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D4" w:rsidRDefault="00973DD4" w:rsidP="00973DD4">
      <w:pPr>
        <w:spacing w:line="240" w:lineRule="auto"/>
        <w:jc w:val="center"/>
        <w:rPr>
          <w:rFonts w:ascii="Times New Roman" w:hAnsi="Times New Roman"/>
          <w:b/>
          <w:sz w:val="28"/>
          <w:szCs w:val="28"/>
          <w:lang w:val="en-US"/>
        </w:rPr>
      </w:pPr>
      <w:r>
        <w:rPr>
          <w:rFonts w:ascii="Times New Roman" w:hAnsi="Times New Roman"/>
          <w:b/>
          <w:sz w:val="28"/>
          <w:szCs w:val="28"/>
        </w:rPr>
        <w:t>RELACION</w:t>
      </w:r>
    </w:p>
    <w:p w:rsidR="00973DD4" w:rsidRDefault="00973DD4" w:rsidP="00973DD4">
      <w:pPr>
        <w:pStyle w:val="NormalWeb"/>
        <w:spacing w:before="0" w:beforeAutospacing="0" w:after="0" w:afterAutospacing="0"/>
        <w:jc w:val="center"/>
        <w:rPr>
          <w:b/>
          <w:bCs/>
          <w:sz w:val="28"/>
          <w:szCs w:val="28"/>
          <w:lang w:val="sq-AL"/>
        </w:rPr>
      </w:pPr>
      <w:r>
        <w:rPr>
          <w:b/>
          <w:bCs/>
          <w:sz w:val="28"/>
          <w:szCs w:val="28"/>
          <w:lang w:val="sq-AL"/>
        </w:rPr>
        <w:t>PËR</w:t>
      </w:r>
    </w:p>
    <w:p w:rsidR="00973DD4" w:rsidRDefault="00973DD4" w:rsidP="00973DD4">
      <w:pPr>
        <w:pStyle w:val="NormalWeb"/>
        <w:spacing w:before="0" w:beforeAutospacing="0" w:after="0" w:afterAutospacing="0"/>
        <w:jc w:val="center"/>
        <w:rPr>
          <w:b/>
          <w:bCs/>
          <w:sz w:val="28"/>
          <w:szCs w:val="28"/>
          <w:lang w:val="sq-AL"/>
        </w:rPr>
      </w:pPr>
    </w:p>
    <w:p w:rsidR="00973DD4" w:rsidRDefault="00973DD4" w:rsidP="00973DD4">
      <w:pPr>
        <w:spacing w:after="0" w:line="240" w:lineRule="auto"/>
        <w:jc w:val="center"/>
        <w:rPr>
          <w:rFonts w:ascii="Times New Roman" w:hAnsi="Times New Roman"/>
          <w:b/>
          <w:sz w:val="28"/>
          <w:szCs w:val="28"/>
          <w:lang w:val="en-US"/>
        </w:rPr>
      </w:pPr>
      <w:r>
        <w:rPr>
          <w:rFonts w:ascii="Times New Roman" w:hAnsi="Times New Roman"/>
          <w:b/>
          <w:sz w:val="28"/>
          <w:szCs w:val="28"/>
        </w:rPr>
        <w:t>DISA SHTESA DHENDRYSHIME NË LIGJIN NR. 103/2016</w:t>
      </w:r>
    </w:p>
    <w:p w:rsidR="00973DD4" w:rsidRDefault="00973DD4" w:rsidP="00973DD4">
      <w:pPr>
        <w:spacing w:line="240" w:lineRule="auto"/>
        <w:jc w:val="center"/>
        <w:rPr>
          <w:rFonts w:ascii="Times New Roman" w:hAnsi="Times New Roman"/>
          <w:b/>
          <w:sz w:val="28"/>
          <w:szCs w:val="28"/>
        </w:rPr>
      </w:pPr>
      <w:r>
        <w:rPr>
          <w:rFonts w:ascii="Times New Roman" w:hAnsi="Times New Roman"/>
          <w:b/>
          <w:sz w:val="28"/>
          <w:szCs w:val="28"/>
        </w:rPr>
        <w:t>PËR AKUAKULTURËN</w:t>
      </w:r>
    </w:p>
    <w:p w:rsidR="00973DD4" w:rsidRDefault="00973DD4" w:rsidP="00973DD4">
      <w:pPr>
        <w:spacing w:line="240" w:lineRule="auto"/>
        <w:jc w:val="center"/>
        <w:rPr>
          <w:rFonts w:ascii="Times New Roman" w:hAnsi="Times New Roman"/>
          <w:b/>
          <w:bCs/>
          <w:sz w:val="28"/>
          <w:szCs w:val="28"/>
          <w:u w:val="single"/>
        </w:rPr>
      </w:pPr>
    </w:p>
    <w:p w:rsidR="00973DD4" w:rsidRDefault="00973DD4" w:rsidP="00973DD4">
      <w:pPr>
        <w:pStyle w:val="ColorfulList-Accent11"/>
        <w:numPr>
          <w:ilvl w:val="0"/>
          <w:numId w:val="15"/>
        </w:numPr>
        <w:spacing w:line="240" w:lineRule="auto"/>
        <w:ind w:hanging="630"/>
        <w:jc w:val="both"/>
        <w:rPr>
          <w:rFonts w:ascii="Times New Roman" w:hAnsi="Times New Roman"/>
          <w:b/>
          <w:sz w:val="28"/>
          <w:szCs w:val="28"/>
        </w:rPr>
      </w:pPr>
      <w:r>
        <w:rPr>
          <w:rFonts w:ascii="Times New Roman" w:hAnsi="Times New Roman"/>
          <w:b/>
          <w:sz w:val="28"/>
          <w:szCs w:val="28"/>
        </w:rPr>
        <w:t>QËLLIMI I PROJEKTAKTIT DHE OBJEKTIVAT QË SYNOHEN TË ARRIHEN</w:t>
      </w:r>
    </w:p>
    <w:p w:rsidR="00973DD4" w:rsidRDefault="00973DD4" w:rsidP="00973DD4">
      <w:pPr>
        <w:pStyle w:val="ColorfulList-Accent11"/>
        <w:spacing w:line="240" w:lineRule="auto"/>
        <w:ind w:left="0"/>
        <w:jc w:val="both"/>
        <w:rPr>
          <w:rFonts w:ascii="Times New Roman" w:hAnsi="Times New Roman"/>
          <w:b/>
          <w:sz w:val="28"/>
          <w:szCs w:val="28"/>
        </w:rPr>
      </w:pPr>
    </w:p>
    <w:p w:rsidR="00973DD4" w:rsidRDefault="00973DD4" w:rsidP="00973DD4">
      <w:pPr>
        <w:spacing w:line="240" w:lineRule="auto"/>
        <w:jc w:val="both"/>
        <w:rPr>
          <w:rFonts w:ascii="Times New Roman" w:hAnsi="Times New Roman"/>
          <w:sz w:val="28"/>
          <w:szCs w:val="28"/>
        </w:rPr>
      </w:pPr>
      <w:r>
        <w:rPr>
          <w:rFonts w:ascii="Times New Roman" w:hAnsi="Times New Roman"/>
          <w:sz w:val="28"/>
          <w:szCs w:val="28"/>
        </w:rPr>
        <w:t xml:space="preserve">Ky projektligj ka për qëllim dhe </w:t>
      </w:r>
      <w:r>
        <w:rPr>
          <w:rFonts w:ascii="Times New Roman" w:hAnsi="Times New Roman"/>
          <w:bCs/>
          <w:sz w:val="28"/>
          <w:szCs w:val="28"/>
        </w:rPr>
        <w:t>mundëson disa rregullime në aktivitetin e akuakulturësnë kuadër të</w:t>
      </w:r>
      <w:r>
        <w:rPr>
          <w:rFonts w:ascii="Times New Roman" w:hAnsi="Times New Roman"/>
          <w:sz w:val="28"/>
          <w:szCs w:val="28"/>
        </w:rPr>
        <w:t xml:space="preserve"> një qasje më të afërt me fusha te rëndësishme të Politikes s</w:t>
      </w:r>
      <w:r>
        <w:rPr>
          <w:rFonts w:ascii="Times New Roman" w:hAnsi="Times New Roman"/>
          <w:bCs/>
          <w:sz w:val="28"/>
          <w:szCs w:val="28"/>
        </w:rPr>
        <w:t>ë</w:t>
      </w:r>
      <w:r>
        <w:rPr>
          <w:rFonts w:ascii="Times New Roman" w:hAnsi="Times New Roman"/>
          <w:sz w:val="28"/>
          <w:szCs w:val="28"/>
        </w:rPr>
        <w:t xml:space="preserve"> Përbashkët t</w:t>
      </w:r>
      <w:r>
        <w:rPr>
          <w:rFonts w:ascii="Times New Roman" w:hAnsi="Times New Roman"/>
          <w:bCs/>
          <w:sz w:val="28"/>
          <w:szCs w:val="28"/>
        </w:rPr>
        <w:t>ë</w:t>
      </w:r>
      <w:r>
        <w:rPr>
          <w:rFonts w:ascii="Times New Roman" w:hAnsi="Times New Roman"/>
          <w:sz w:val="28"/>
          <w:szCs w:val="28"/>
        </w:rPr>
        <w:t xml:space="preserve"> Peshkimit të Bashkimit Evropian, dokumentit programatik t</w:t>
      </w:r>
      <w:r>
        <w:rPr>
          <w:rFonts w:ascii="Times New Roman" w:hAnsi="Times New Roman"/>
          <w:bCs/>
          <w:sz w:val="28"/>
          <w:szCs w:val="28"/>
        </w:rPr>
        <w:t>ë</w:t>
      </w:r>
      <w:r>
        <w:rPr>
          <w:rFonts w:ascii="Times New Roman" w:hAnsi="Times New Roman"/>
          <w:sz w:val="28"/>
          <w:szCs w:val="28"/>
        </w:rPr>
        <w:t xml:space="preserve"> Unionit për mbështetjen dhe zhvillimin e sektorit të peshkimit</w:t>
      </w:r>
      <w:r>
        <w:rPr>
          <w:rFonts w:ascii="Times New Roman" w:hAnsi="Times New Roman"/>
          <w:bCs/>
          <w:sz w:val="28"/>
          <w:szCs w:val="28"/>
        </w:rPr>
        <w:t xml:space="preserve">dhe akuakulturës. </w:t>
      </w:r>
    </w:p>
    <w:p w:rsidR="00973DD4" w:rsidRDefault="00973DD4" w:rsidP="00973DD4">
      <w:pPr>
        <w:spacing w:line="240" w:lineRule="auto"/>
        <w:jc w:val="both"/>
        <w:rPr>
          <w:rFonts w:ascii="Times New Roman" w:hAnsi="Times New Roman"/>
          <w:bCs/>
          <w:sz w:val="28"/>
          <w:szCs w:val="28"/>
        </w:rPr>
      </w:pPr>
      <w:r>
        <w:rPr>
          <w:rFonts w:ascii="Times New Roman" w:hAnsi="Times New Roman"/>
          <w:bCs/>
          <w:sz w:val="28"/>
          <w:szCs w:val="28"/>
        </w:rPr>
        <w:t>Projektligji jep përcaktimin e saktë të organizatave prodhuese në fushën e akuakulturës, funksionin dhe objektivat e tyre.</w:t>
      </w:r>
    </w:p>
    <w:p w:rsidR="00973DD4" w:rsidRDefault="00973DD4" w:rsidP="00973DD4">
      <w:pPr>
        <w:spacing w:line="240" w:lineRule="auto"/>
        <w:jc w:val="both"/>
        <w:rPr>
          <w:rFonts w:ascii="Times New Roman" w:hAnsi="Times New Roman"/>
          <w:bCs/>
          <w:sz w:val="28"/>
          <w:szCs w:val="28"/>
        </w:rPr>
      </w:pPr>
      <w:r>
        <w:rPr>
          <w:rFonts w:ascii="Times New Roman" w:hAnsi="Times New Roman"/>
          <w:bCs/>
          <w:sz w:val="28"/>
          <w:szCs w:val="28"/>
        </w:rPr>
        <w:t xml:space="preserve">Në projektligj rregullohen edhe disa aspekte të tjera në lidhje me periudhën tranzitore të përcaktuar në ligj me qëllim që aktiviteti i akuakulturës të zhvillohet normalisht si një sektor i cili ashtu sikurse edhe në të gjithë botën po shndërrohet në zërin parësor të peshkimit. </w:t>
      </w:r>
    </w:p>
    <w:p w:rsidR="00973DD4" w:rsidRDefault="00973DD4" w:rsidP="00973DD4">
      <w:pPr>
        <w:pStyle w:val="ColorfulList-Accent11"/>
        <w:spacing w:line="240" w:lineRule="auto"/>
        <w:ind w:left="0"/>
        <w:jc w:val="both"/>
        <w:rPr>
          <w:rStyle w:val="Emphasis"/>
          <w:i w:val="0"/>
          <w:iCs w:val="0"/>
        </w:rPr>
      </w:pPr>
    </w:p>
    <w:p w:rsidR="00973DD4" w:rsidRDefault="00973DD4" w:rsidP="00973DD4">
      <w:pPr>
        <w:pStyle w:val="ColorfulList-Accent11"/>
        <w:numPr>
          <w:ilvl w:val="0"/>
          <w:numId w:val="15"/>
        </w:numPr>
        <w:spacing w:after="0" w:line="240" w:lineRule="auto"/>
        <w:jc w:val="both"/>
        <w:rPr>
          <w:rFonts w:ascii="Times New Roman" w:eastAsia="Times New Roman" w:hAnsi="Times New Roman"/>
          <w:b/>
        </w:rPr>
      </w:pPr>
      <w:r>
        <w:rPr>
          <w:rFonts w:ascii="Times New Roman" w:eastAsia="Times New Roman" w:hAnsi="Times New Roman"/>
          <w:b/>
          <w:sz w:val="28"/>
          <w:szCs w:val="28"/>
        </w:rPr>
        <w:t>VLERËSIMI I PROJEKTAKTIT NË RAPORT ME PROGRAMIN POLITIK TË KËSHILLIT TË MINISTRAVE, ME PROGRAMIN ANALITIK TË AKTEVE DHE DOKUMENTE TË TJERA POLITIKE</w:t>
      </w:r>
    </w:p>
    <w:p w:rsidR="00973DD4" w:rsidRDefault="00973DD4" w:rsidP="00973DD4">
      <w:pPr>
        <w:pStyle w:val="ColorfulList-Accent11"/>
        <w:spacing w:after="0" w:line="240" w:lineRule="auto"/>
        <w:ind w:left="1080"/>
        <w:jc w:val="both"/>
        <w:rPr>
          <w:rFonts w:ascii="Times New Roman" w:eastAsia="Times New Roman" w:hAnsi="Times New Roman"/>
          <w:b/>
          <w:sz w:val="28"/>
          <w:szCs w:val="28"/>
        </w:rPr>
      </w:pPr>
    </w:p>
    <w:p w:rsidR="00973DD4" w:rsidRDefault="00973DD4" w:rsidP="00973DD4">
      <w:pPr>
        <w:pStyle w:val="ColorfulList-Accent11"/>
        <w:spacing w:after="0" w:line="240" w:lineRule="auto"/>
        <w:ind w:left="0"/>
        <w:jc w:val="both"/>
        <w:rPr>
          <w:rFonts w:ascii="Times New Roman" w:eastAsia="Times New Roman" w:hAnsi="Times New Roman"/>
          <w:b/>
          <w:sz w:val="28"/>
          <w:szCs w:val="28"/>
        </w:rPr>
      </w:pPr>
      <w:r>
        <w:rPr>
          <w:rFonts w:ascii="Times New Roman" w:eastAsia="Times New Roman" w:hAnsi="Times New Roman"/>
          <w:sz w:val="28"/>
          <w:szCs w:val="28"/>
        </w:rPr>
        <w:t xml:space="preserve">Hartimi i këtij projektligjinuk ështëparashikuar nëProgramin e Përgjithshëm Analitik </w:t>
      </w:r>
      <w:r>
        <w:rPr>
          <w:rStyle w:val="Strong"/>
          <w:b w:val="0"/>
          <w:sz w:val="28"/>
          <w:szCs w:val="28"/>
        </w:rPr>
        <w:t>të projektakteve që do të paraqiten për shqyrtim dhe miratim në Këshillin e Ministrave gjatë vitit 2018.</w:t>
      </w:r>
    </w:p>
    <w:p w:rsidR="00973DD4" w:rsidRDefault="00973DD4" w:rsidP="00973DD4">
      <w:pPr>
        <w:pStyle w:val="ColorfulList-Accent11"/>
        <w:spacing w:after="0" w:line="240" w:lineRule="auto"/>
        <w:ind w:left="0"/>
        <w:jc w:val="both"/>
        <w:rPr>
          <w:rFonts w:ascii="Times New Roman" w:eastAsia="Times New Roman" w:hAnsi="Times New Roman"/>
          <w:b/>
          <w:sz w:val="28"/>
          <w:szCs w:val="28"/>
        </w:rPr>
      </w:pPr>
    </w:p>
    <w:p w:rsidR="00973DD4" w:rsidRDefault="00973DD4" w:rsidP="00973DD4">
      <w:pPr>
        <w:pStyle w:val="ColorfulList-Accent11"/>
        <w:numPr>
          <w:ilvl w:val="0"/>
          <w:numId w:val="15"/>
        </w:num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ARGUMENTIMI I PROJEKTAKTIT LIDHUR ME PËRPARËSITË, PROBLEMATIKAT, EFEKTET E PRITSHME</w:t>
      </w:r>
    </w:p>
    <w:p w:rsidR="00973DD4" w:rsidRDefault="00973DD4" w:rsidP="00973DD4">
      <w:pPr>
        <w:spacing w:after="0" w:line="240" w:lineRule="auto"/>
        <w:jc w:val="both"/>
        <w:rPr>
          <w:rFonts w:ascii="Times New Roman" w:eastAsia="Times New Roman" w:hAnsi="Times New Roman"/>
          <w:b/>
          <w:sz w:val="28"/>
          <w:szCs w:val="28"/>
        </w:rPr>
      </w:pPr>
    </w:p>
    <w:p w:rsidR="00973DD4" w:rsidRDefault="00973DD4" w:rsidP="00973DD4">
      <w:pPr>
        <w:spacing w:line="240" w:lineRule="auto"/>
        <w:jc w:val="both"/>
        <w:rPr>
          <w:rFonts w:ascii="Times New Roman" w:hAnsi="Times New Roman"/>
          <w:sz w:val="28"/>
          <w:szCs w:val="28"/>
        </w:rPr>
      </w:pPr>
      <w:r>
        <w:rPr>
          <w:rFonts w:ascii="Times New Roman" w:hAnsi="Times New Roman"/>
          <w:bCs/>
          <w:sz w:val="28"/>
          <w:szCs w:val="28"/>
        </w:rPr>
        <w:t xml:space="preserve">Organizimi i organizatave prodhuese në ligjin aktual mungon ndërsa për pjesën e organizatave të peshkimit është i përfshirë në ligjin “Për Peshkimin”. Shfuqizimi i Rregullores nr. </w:t>
      </w:r>
      <w:r>
        <w:rPr>
          <w:rFonts w:ascii="Times New Roman" w:hAnsi="Times New Roman"/>
          <w:sz w:val="28"/>
          <w:szCs w:val="28"/>
        </w:rPr>
        <w:t xml:space="preserve">104/2000/KE të Këshillit sjell nevojën e reflektimit të këtyre ndryshimeve edhe në legjislacioni kombëtar. </w:t>
      </w:r>
      <w:r>
        <w:rPr>
          <w:rFonts w:ascii="Times New Roman" w:hAnsi="Times New Roman"/>
          <w:bCs/>
          <w:sz w:val="28"/>
          <w:szCs w:val="28"/>
        </w:rPr>
        <w:t xml:space="preserve">Ndryshimi bazohet mbi </w:t>
      </w:r>
      <w:r>
        <w:rPr>
          <w:rFonts w:ascii="Times New Roman" w:hAnsi="Times New Roman"/>
          <w:sz w:val="28"/>
          <w:szCs w:val="28"/>
        </w:rPr>
        <w:t xml:space="preserve">rregulloren (KE) nr. 104/2000 e cila është shfuqizuar nga Rregullorja e Këshillit nr. </w:t>
      </w:r>
      <w:r>
        <w:rPr>
          <w:rFonts w:ascii="Times New Roman" w:hAnsi="Times New Roman"/>
          <w:sz w:val="28"/>
          <w:szCs w:val="28"/>
        </w:rPr>
        <w:lastRenderedPageBreak/>
        <w:t>1379/2013/KE, datë 11 Dhjetor 2013, në lidhje me organizimin e përbashkët të tregjeve të prodhimeve të peshkimit dhe akuakulturës.</w:t>
      </w:r>
    </w:p>
    <w:p w:rsidR="00973DD4" w:rsidRDefault="00973DD4" w:rsidP="00973DD4">
      <w:pPr>
        <w:pStyle w:val="ListParagraph"/>
        <w:spacing w:after="0" w:line="240" w:lineRule="auto"/>
        <w:ind w:left="0" w:firstLine="1"/>
        <w:jc w:val="both"/>
        <w:rPr>
          <w:rFonts w:ascii="Times New Roman" w:hAnsi="Times New Roman"/>
          <w:sz w:val="28"/>
          <w:szCs w:val="28"/>
        </w:rPr>
      </w:pPr>
      <w:r>
        <w:rPr>
          <w:rFonts w:ascii="Times New Roman" w:hAnsi="Times New Roman"/>
          <w:sz w:val="28"/>
          <w:szCs w:val="28"/>
        </w:rPr>
        <w:t>Gjatë procesit të miratimit të ligjit nr. 103/2016 “Për Akuakulturën”, nga ana e Kuvendit të Shqipërisë u vendos edhe një dispozitë pezulluese në lidhje lejimin e aktiviteteve të reja në akuakulturë. Kjo dispozitë shtyn proceset e lejimit të ushtrimit të aktivitetit të akuakulturës, deri në përfundim të Përcaktimit të Zonave në të cilat do të zhvillohet ky aktivitet.</w:t>
      </w:r>
    </w:p>
    <w:p w:rsidR="00973DD4" w:rsidRDefault="00973DD4" w:rsidP="00973DD4">
      <w:pPr>
        <w:pStyle w:val="ListParagraph"/>
        <w:spacing w:after="0" w:line="240" w:lineRule="auto"/>
        <w:ind w:left="0" w:firstLine="1"/>
        <w:jc w:val="both"/>
        <w:rPr>
          <w:rFonts w:ascii="Times New Roman" w:hAnsi="Times New Roman"/>
          <w:sz w:val="28"/>
          <w:szCs w:val="28"/>
        </w:rPr>
      </w:pPr>
    </w:p>
    <w:p w:rsidR="00973DD4" w:rsidRDefault="00973DD4" w:rsidP="00973DD4">
      <w:pPr>
        <w:pStyle w:val="ListParagraph"/>
        <w:spacing w:after="0" w:line="240" w:lineRule="auto"/>
        <w:ind w:left="0" w:firstLine="1"/>
        <w:jc w:val="both"/>
        <w:rPr>
          <w:rFonts w:ascii="Times New Roman" w:hAnsi="Times New Roman"/>
          <w:sz w:val="28"/>
          <w:szCs w:val="28"/>
        </w:rPr>
      </w:pPr>
      <w:r>
        <w:rPr>
          <w:rFonts w:ascii="Times New Roman" w:hAnsi="Times New Roman"/>
          <w:sz w:val="28"/>
          <w:szCs w:val="28"/>
        </w:rPr>
        <w:t>Ky pezullim, gjatë kësaj faze tranzitore prek edhe ato subjekte të cilat kanë qenë të pajisura me të drejtën e zhvillimit të aktivitetit, por deri në momentin e miratimit të ZPA, kontrata u mbaron. E ardhmja e zonave në të cilën këto subjekte do të zhvillojnë aktivitetin do të vendoset pas miratimit të ZPA si dhe mundësia e rinovimit ose jo të tyre është e parashikuar nga neni 25 i ligjit nr. 130/2016. Në këtë periudhe tranzitore subjektet janë të detyruara të ndërpresin aktivitetin, pa i’u dhënë e drejta për të kërkuar rinovimin e kontratës duke shkaktuar dëme ekonomike, qoftë për biznesin, ashtu edhe për ekonominë shqiptare. Ky projektligj parashikon që deri në miratimin e ZPA, kontrata vazhdon në përputhje me dispozitat e nenit 25 të ligji nr. 103/2016 “Për Akuakulturën”.</w:t>
      </w:r>
    </w:p>
    <w:p w:rsidR="00973DD4" w:rsidRDefault="00973DD4" w:rsidP="00973DD4">
      <w:pPr>
        <w:pStyle w:val="ListParagraph"/>
        <w:spacing w:after="0" w:line="240" w:lineRule="auto"/>
        <w:ind w:left="0" w:firstLine="1"/>
        <w:jc w:val="both"/>
        <w:rPr>
          <w:rFonts w:ascii="Times New Roman" w:hAnsi="Times New Roman"/>
          <w:sz w:val="28"/>
          <w:szCs w:val="28"/>
        </w:rPr>
      </w:pPr>
    </w:p>
    <w:p w:rsidR="00973DD4" w:rsidRDefault="00973DD4" w:rsidP="00973DD4">
      <w:pPr>
        <w:spacing w:after="0" w:line="240" w:lineRule="auto"/>
        <w:ind w:left="-11"/>
        <w:jc w:val="both"/>
        <w:rPr>
          <w:rFonts w:ascii="Times New Roman" w:hAnsi="Times New Roman"/>
          <w:sz w:val="28"/>
          <w:szCs w:val="28"/>
        </w:rPr>
      </w:pPr>
      <w:r>
        <w:rPr>
          <w:rFonts w:ascii="Times New Roman" w:hAnsi="Times New Roman"/>
          <w:sz w:val="28"/>
          <w:szCs w:val="28"/>
        </w:rPr>
        <w:t>Po kështu, pezullimi i përcaktuar në ligj nuk zbatohet për strukturat ekzistuese të akuakulturës, pronë shtetërore.</w:t>
      </w:r>
    </w:p>
    <w:p w:rsidR="00973DD4" w:rsidRDefault="00973DD4" w:rsidP="00973DD4">
      <w:pPr>
        <w:spacing w:after="0" w:line="240" w:lineRule="auto"/>
        <w:jc w:val="both"/>
        <w:rPr>
          <w:rFonts w:ascii="Times New Roman" w:hAnsi="Times New Roman"/>
          <w:sz w:val="28"/>
          <w:szCs w:val="28"/>
        </w:rPr>
      </w:pPr>
    </w:p>
    <w:p w:rsidR="00973DD4" w:rsidRDefault="00973DD4" w:rsidP="00973DD4">
      <w:pPr>
        <w:pStyle w:val="Default"/>
        <w:jc w:val="both"/>
        <w:rPr>
          <w:rFonts w:ascii="Times New Roman" w:hAnsi="Times New Roman" w:cs="Times New Roman"/>
          <w:color w:val="auto"/>
          <w:sz w:val="28"/>
          <w:szCs w:val="28"/>
          <w:lang w:val="sq-AL"/>
        </w:rPr>
      </w:pPr>
    </w:p>
    <w:p w:rsidR="00973DD4" w:rsidRDefault="00973DD4" w:rsidP="00973DD4">
      <w:pPr>
        <w:pStyle w:val="ColorfulList-Accent11"/>
        <w:numPr>
          <w:ilvl w:val="0"/>
          <w:numId w:val="15"/>
        </w:num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VLERËSIMI I LIGJSHMËRISË, KUSHTETUTSHMËRISË DHE HARMONIZIMI ME LEGJISLACIONIN NËFUQI VENDAS E NDËRKOMBËTAR</w:t>
      </w:r>
    </w:p>
    <w:p w:rsidR="00973DD4" w:rsidRDefault="00973DD4" w:rsidP="00973DD4">
      <w:pPr>
        <w:spacing w:after="0" w:line="240" w:lineRule="auto"/>
        <w:jc w:val="both"/>
        <w:rPr>
          <w:rFonts w:ascii="Times New Roman" w:eastAsia="Times New Roman" w:hAnsi="Times New Roman"/>
          <w:b/>
          <w:sz w:val="28"/>
          <w:szCs w:val="28"/>
        </w:rPr>
      </w:pPr>
    </w:p>
    <w:p w:rsidR="00973DD4" w:rsidRDefault="00973DD4" w:rsidP="00973DD4">
      <w:pPr>
        <w:pStyle w:val="BodyText"/>
        <w:tabs>
          <w:tab w:val="left" w:pos="3705"/>
        </w:tabs>
        <w:spacing w:line="240" w:lineRule="auto"/>
        <w:ind w:firstLine="0"/>
        <w:rPr>
          <w:rFonts w:ascii="Times New Roman" w:hAnsi="Times New Roman"/>
          <w:sz w:val="28"/>
          <w:szCs w:val="28"/>
        </w:rPr>
      </w:pPr>
      <w:r>
        <w:rPr>
          <w:rFonts w:ascii="Times New Roman" w:hAnsi="Times New Roman"/>
          <w:sz w:val="28"/>
          <w:szCs w:val="28"/>
        </w:rPr>
        <w:t>Ky ligj është në përputhje me Kushtetutën e Republikës së Shqipërisë dhe në përputhje me legjislacionin përkatës që rregullon këtë fushë në vendet anëtare të BE-së, si dhe me Politikën e Përbashkët të Peshkimit(Common Fisheries Policy).</w:t>
      </w:r>
    </w:p>
    <w:p w:rsidR="00973DD4" w:rsidRDefault="00973DD4" w:rsidP="00973DD4">
      <w:pPr>
        <w:spacing w:after="0" w:line="240" w:lineRule="auto"/>
        <w:ind w:left="360"/>
        <w:jc w:val="both"/>
        <w:rPr>
          <w:rFonts w:ascii="Times New Roman" w:eastAsia="Times New Roman" w:hAnsi="Times New Roman"/>
          <w:b/>
          <w:sz w:val="28"/>
          <w:szCs w:val="28"/>
        </w:rPr>
      </w:pPr>
    </w:p>
    <w:p w:rsidR="00973DD4" w:rsidRDefault="00973DD4" w:rsidP="00973DD4">
      <w:pPr>
        <w:pStyle w:val="ColorfulList-Accent11"/>
        <w:numPr>
          <w:ilvl w:val="0"/>
          <w:numId w:val="15"/>
        </w:num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VLERËSIMI I SHKALLËS SË PËRAFRIMIT ME </w:t>
      </w:r>
      <w:r>
        <w:rPr>
          <w:rFonts w:ascii="Times New Roman" w:eastAsia="Times New Roman" w:hAnsi="Times New Roman"/>
          <w:b/>
          <w:i/>
          <w:sz w:val="28"/>
          <w:szCs w:val="28"/>
        </w:rPr>
        <w:t xml:space="preserve">ACQUIS </w:t>
      </w:r>
      <w:r>
        <w:rPr>
          <w:rFonts w:ascii="Times New Roman" w:eastAsia="Times New Roman" w:hAnsi="Times New Roman"/>
          <w:b/>
          <w:sz w:val="28"/>
          <w:szCs w:val="28"/>
        </w:rPr>
        <w:t>E BE</w:t>
      </w:r>
      <w:r>
        <w:rPr>
          <w:rFonts w:ascii="Times New Roman" w:eastAsia="Times New Roman" w:hAnsi="Times New Roman"/>
          <w:b/>
          <w:i/>
          <w:sz w:val="28"/>
          <w:szCs w:val="28"/>
        </w:rPr>
        <w:t xml:space="preserve"> </w:t>
      </w:r>
      <w:r>
        <w:rPr>
          <w:rFonts w:ascii="Times New Roman" w:eastAsia="Times New Roman" w:hAnsi="Times New Roman"/>
          <w:b/>
          <w:sz w:val="28"/>
          <w:szCs w:val="28"/>
        </w:rPr>
        <w:t>(PËR PROJEKTAKET NORMATIVE)</w:t>
      </w:r>
    </w:p>
    <w:p w:rsidR="00973DD4" w:rsidRDefault="00973DD4" w:rsidP="00973DD4">
      <w:pPr>
        <w:pStyle w:val="ColorfulList-Accent11"/>
        <w:spacing w:after="0" w:line="240" w:lineRule="auto"/>
        <w:ind w:left="360"/>
        <w:jc w:val="both"/>
        <w:rPr>
          <w:rFonts w:ascii="Times New Roman" w:eastAsia="Times New Roman" w:hAnsi="Times New Roman"/>
          <w:b/>
          <w:sz w:val="28"/>
          <w:szCs w:val="28"/>
        </w:rPr>
      </w:pPr>
    </w:p>
    <w:p w:rsidR="00973DD4" w:rsidRDefault="00973DD4" w:rsidP="00973DD4">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Ky projektligj përafron pjesërisht Rregulloren e Këshillit nr. 1379/2013/BE, datë 11 Dhjetor 2013, në lidhje me organizimin e përbashkët të tregjeve të prodhimeve të peshkimit dhe akuakulturës që amendon rregulloret nr. 1184/2006/(KE) dhe nr. 1224/2009/KE,si dhe shfuqizon rregulloren(KE) nr. 104/2000 të  Këshillit.</w:t>
      </w:r>
    </w:p>
    <w:p w:rsidR="00973DD4" w:rsidRDefault="00973DD4" w:rsidP="00973DD4">
      <w:pPr>
        <w:spacing w:after="0" w:line="240" w:lineRule="auto"/>
        <w:jc w:val="both"/>
        <w:rPr>
          <w:rFonts w:ascii="Times New Roman" w:eastAsia="Times New Roman" w:hAnsi="Times New Roman"/>
          <w:b/>
          <w:sz w:val="28"/>
          <w:szCs w:val="28"/>
        </w:rPr>
      </w:pPr>
    </w:p>
    <w:p w:rsidR="00973DD4" w:rsidRDefault="00973DD4" w:rsidP="00973DD4">
      <w:pPr>
        <w:pStyle w:val="ColorfulList-Accent11"/>
        <w:numPr>
          <w:ilvl w:val="0"/>
          <w:numId w:val="15"/>
        </w:num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PËRMBLEDHJE SHPJEGUESE E PËRMBAJTJES SË PROJEKTAKTIT</w:t>
      </w:r>
    </w:p>
    <w:p w:rsidR="00973DD4" w:rsidRDefault="00973DD4" w:rsidP="00973DD4">
      <w:pPr>
        <w:pStyle w:val="ColorfulList-Accent11"/>
        <w:spacing w:after="0" w:line="240" w:lineRule="auto"/>
        <w:ind w:left="1080"/>
        <w:jc w:val="both"/>
        <w:rPr>
          <w:rFonts w:ascii="Times New Roman" w:eastAsia="Times New Roman" w:hAnsi="Times New Roman"/>
          <w:b/>
          <w:sz w:val="28"/>
          <w:szCs w:val="28"/>
        </w:rPr>
      </w:pP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Në nenin 1, bëhet ndryshimi i pikës 7 të nenit 3, “ Përkufizimi i termave”:</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Fjalia e parë riformulohet si më poshtë: </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Zonë e Përcaktuar për Akuakulturë (ZPA), është një sistem planifikimi hapësinor apo zonimi, i kryer në nivel rajonal ose kombëtar.</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Ky ndryshim, pra që ZPA kryhet edhe në nivel rajonal, bëhet me qellim që të lehtësoje fillimin e procesit të hartimit të ZPA, qoftë edhe pjesërisht për rajone të caktuara, në të cilat paraqitet interes për zhvillimin e akuakulturës. Psh.: nuk ka pse të jetë i ndërvarur miratimi i një ZPA në rajonin verilindor të vendit për zhvillimin e troftikulturës, me miratimin e një ZPA për zhvillimin e kultivimit te peshkut në kosha notues në det. Nga ana tjetër, hartimi i ZPA në nivel rajonal, kërkon burime më të vogla financimi, duke krijuar kështu mundësinë e financimit të tyre nga projekte të ndryshme, jo domosdoshmërish në nivel kombëtar. </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Po kështu, është shtuar edhe përkufizimi në lidhje me Instalimet në pronësi shtetërore të cilat janë tërësia e ndërtimeve që shërbejnë për kultivimin e organizmave ujorë, të tilla si vaskat, kanalet furnizuese dhe shkarkuese, inkubatorët, laboratorët, magazinat frigoriferike, si dhe çdo ndërtim tjetër që shërben për akuakulturë dhe që janë në pronësi ose përgjegjësi menaxhimi të një enti shtetëror. Bëhet fjalë për instalime si në liqenin e Butrintit për kultivimin e midhjes, të qendrave të prodhimit të rasateve të koranit në Lin – Pogradec, dhe Zvezdë – Korçë në përgjegjësi administrimi të MBZHR si dhe për qendrën e prodhimit të rasateve në Tapizë – Krujë, në përgjegjësi administrimi të Universitetit Bujqësor Kamëz. </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Në nenin 2, është bërë një riformulim i pikës 1 të nenit  5 sipas së cilës, ZPA-ja përfshin zona të veçanta, të caktuara, përfshirë edhe instalimet në pronësi shtetërore, me qëllim aktivitetin e akuakulturës, së bashku me infrastrukturën në shërbim të saj.</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p>
    <w:p w:rsidR="00973DD4" w:rsidRDefault="00973DD4" w:rsidP="00973DD4">
      <w:pPr>
        <w:spacing w:line="240" w:lineRule="auto"/>
        <w:jc w:val="both"/>
        <w:rPr>
          <w:rFonts w:ascii="Times New Roman" w:hAnsi="Times New Roman"/>
          <w:sz w:val="28"/>
          <w:szCs w:val="28"/>
        </w:rPr>
      </w:pPr>
      <w:r>
        <w:rPr>
          <w:rFonts w:ascii="Times New Roman" w:eastAsia="Times New Roman" w:hAnsi="Times New Roman"/>
          <w:sz w:val="28"/>
          <w:szCs w:val="28"/>
        </w:rPr>
        <w:t xml:space="preserve">Neni 3 parashikon dy shtesa (44/1 dhe 44/2) në nenin 44 të ligjit përkatës dhe që kanë të bëjnë me Organizatat e prodhuesve të Akuakulturës dhe objektivat e tyre. </w:t>
      </w:r>
      <w:r>
        <w:rPr>
          <w:rFonts w:ascii="Times New Roman" w:hAnsi="Times New Roman"/>
          <w:bCs/>
          <w:sz w:val="28"/>
          <w:szCs w:val="28"/>
        </w:rPr>
        <w:t>Organizimi i organizatave prodhuese në ligjin aktual mungon. Për pjesën e organizatave të peshkimit, kemi parashikimin përkatës në ligjin “Për Peshkimin”, ndërsa në legjislacionin për akuakulturën nuk ka parashikime mbi organizatat e prodhueseve të Akuakulturës</w:t>
      </w:r>
      <w:r>
        <w:rPr>
          <w:rFonts w:ascii="Times New Roman" w:hAnsi="Times New Roman"/>
          <w:sz w:val="28"/>
          <w:szCs w:val="28"/>
        </w:rPr>
        <w:t xml:space="preserve">. </w:t>
      </w:r>
      <w:r>
        <w:rPr>
          <w:rFonts w:ascii="Times New Roman" w:hAnsi="Times New Roman"/>
          <w:bCs/>
          <w:sz w:val="28"/>
          <w:szCs w:val="28"/>
        </w:rPr>
        <w:t>Ndryshimi bazohet në</w:t>
      </w:r>
      <w:r>
        <w:rPr>
          <w:rFonts w:ascii="Times New Roman" w:hAnsi="Times New Roman"/>
          <w:sz w:val="28"/>
          <w:szCs w:val="28"/>
        </w:rPr>
        <w:t xml:space="preserve"> rregulloren e Këshillit nr. 1379/2013/BE, datë 11 Dhjetor 2013, në lidhje me organizimin e përbashkët të tregjeve të prodhimeve të peshkimit dhe akuakulturës.</w:t>
      </w:r>
    </w:p>
    <w:p w:rsidR="00973DD4" w:rsidRDefault="00973DD4" w:rsidP="00973DD4">
      <w:pPr>
        <w:pStyle w:val="ListParagraph"/>
        <w:spacing w:after="0" w:line="240" w:lineRule="auto"/>
        <w:ind w:left="0" w:firstLine="1"/>
        <w:jc w:val="both"/>
        <w:rPr>
          <w:rFonts w:ascii="Times New Roman" w:hAnsi="Times New Roman"/>
          <w:sz w:val="28"/>
          <w:szCs w:val="28"/>
        </w:rPr>
      </w:pPr>
      <w:r>
        <w:rPr>
          <w:rFonts w:ascii="Times New Roman" w:hAnsi="Times New Roman"/>
          <w:sz w:val="28"/>
          <w:szCs w:val="28"/>
        </w:rPr>
        <w:t xml:space="preserve">Objektivat e organizatave të </w:t>
      </w:r>
      <w:r>
        <w:rPr>
          <w:rFonts w:ascii="Times New Roman" w:eastAsia="Times New Roman" w:hAnsi="Times New Roman"/>
          <w:sz w:val="28"/>
          <w:szCs w:val="28"/>
        </w:rPr>
        <w:t>prodhuesve të Akuakulturës</w:t>
      </w:r>
      <w:r>
        <w:rPr>
          <w:rFonts w:ascii="Times New Roman" w:hAnsi="Times New Roman"/>
          <w:sz w:val="28"/>
          <w:szCs w:val="28"/>
        </w:rPr>
        <w:t xml:space="preserve"> janë në përputhje me strategjinë kombëtare të peshkimit dhe synojnë realizimin e aktiviteteve të qëndrueshme të akuakulturës, sigurojnë që ushqimet për akuakulturën me origjinë nga peshkimi të vijnë nga peshkimi i menaxhuar në mënyrë të qëndrueshme, përmirësojnë kushtet për vendosjen në treg të produkteve të akuakulturës, </w:t>
      </w:r>
      <w:r>
        <w:rPr>
          <w:rFonts w:ascii="Times New Roman" w:hAnsi="Times New Roman"/>
          <w:sz w:val="28"/>
          <w:szCs w:val="28"/>
        </w:rPr>
        <w:lastRenderedPageBreak/>
        <w:t>përmirësojnë performancën ekonomike të subjekteve të akuakulturës dhe qëndrueshmërinë e tregjeve, promovojnë standarde të larta të cilësisë dhe sigurisë ushqimore si dhe promovojnë punësimin në zonat bregdetare dhe rurale.</w:t>
      </w:r>
    </w:p>
    <w:p w:rsidR="00973DD4" w:rsidRDefault="00973DD4" w:rsidP="00973DD4">
      <w:pPr>
        <w:pStyle w:val="ListParagraph"/>
        <w:spacing w:after="0" w:line="240" w:lineRule="auto"/>
        <w:ind w:left="0" w:firstLine="1"/>
        <w:jc w:val="both"/>
        <w:rPr>
          <w:rFonts w:ascii="Times New Roman" w:hAnsi="Times New Roman"/>
          <w:sz w:val="28"/>
          <w:szCs w:val="28"/>
        </w:rPr>
      </w:pPr>
    </w:p>
    <w:p w:rsidR="00973DD4" w:rsidRDefault="00973DD4" w:rsidP="00973DD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Neni 4 parashikon dy shtesat (pika 4 dhe 5) në nenin 50 tëligjit 103/2016. </w:t>
      </w:r>
      <w:r>
        <w:rPr>
          <w:rFonts w:ascii="Times New Roman" w:hAnsi="Times New Roman"/>
          <w:sz w:val="28"/>
          <w:szCs w:val="28"/>
        </w:rPr>
        <w:t>Ndryshimet e propuzuara në këtë nen përjashtojnë nga pezullimi i përcaktuar në pikën 3 të këtij neni për strukturat ekzistuese të akuakulturës, pronë shtetërore, deri në miratimin e ZPA-së.</w:t>
      </w:r>
    </w:p>
    <w:p w:rsidR="00973DD4" w:rsidRDefault="00973DD4" w:rsidP="00973DD4">
      <w:pPr>
        <w:spacing w:after="0" w:line="240" w:lineRule="auto"/>
        <w:ind w:left="-11"/>
        <w:jc w:val="both"/>
        <w:rPr>
          <w:rFonts w:ascii="Times New Roman" w:hAnsi="Times New Roman"/>
          <w:sz w:val="28"/>
          <w:szCs w:val="28"/>
        </w:rPr>
      </w:pPr>
      <w:r>
        <w:rPr>
          <w:rFonts w:ascii="Times New Roman" w:hAnsi="Times New Roman"/>
          <w:sz w:val="28"/>
          <w:szCs w:val="28"/>
        </w:rPr>
        <w:t>Gjithashtu është parashikuar se kontratat e lidhura përpara hyrjes në fuqi të këtij ligji, të cilave u mbaron afati përpara miratimit të ZPA, konsiderohen të vlefshme deri në miratimin e ZPA-së.”. Zgjatja e</w:t>
      </w:r>
      <w:r>
        <w:rPr>
          <w:rFonts w:ascii="Times New Roman" w:hAnsi="Times New Roman"/>
          <w:sz w:val="28"/>
          <w:szCs w:val="28"/>
          <w:shd w:val="clear" w:color="auto" w:fill="FFFFFF"/>
        </w:rPr>
        <w:t xml:space="preserve"> këtyre kontratave, do të bëhet me kërkesë të ushtruesit të veprimtarisë së akuakulturës, në përputhje me parashikimet ligjore të përcaktuara në pikën 2 të nenit 25 të ligjit.</w:t>
      </w:r>
    </w:p>
    <w:p w:rsidR="00973DD4" w:rsidRDefault="00973DD4" w:rsidP="00973DD4">
      <w:pPr>
        <w:autoSpaceDE w:val="0"/>
        <w:autoSpaceDN w:val="0"/>
        <w:adjustRightInd w:val="0"/>
        <w:spacing w:after="0" w:line="240" w:lineRule="auto"/>
        <w:jc w:val="both"/>
        <w:rPr>
          <w:rFonts w:ascii="Times New Roman" w:hAnsi="Times New Roman"/>
          <w:sz w:val="28"/>
          <w:szCs w:val="28"/>
        </w:rPr>
      </w:pPr>
    </w:p>
    <w:p w:rsidR="00973DD4" w:rsidRDefault="00973DD4" w:rsidP="00973DD4">
      <w:pPr>
        <w:pStyle w:val="ColorfulList-Accent11"/>
        <w:numPr>
          <w:ilvl w:val="0"/>
          <w:numId w:val="15"/>
        </w:num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INSTITUCIONET DHE ORGANET QË NGARKOHEN PËR ZBATIMIN E AKTIT</w:t>
      </w:r>
    </w:p>
    <w:p w:rsidR="00973DD4" w:rsidRDefault="00973DD4" w:rsidP="00973DD4">
      <w:pPr>
        <w:pStyle w:val="ColorfulList-Accent11"/>
        <w:spacing w:after="0" w:line="240" w:lineRule="auto"/>
        <w:ind w:left="360"/>
        <w:jc w:val="both"/>
        <w:rPr>
          <w:rFonts w:ascii="Times New Roman" w:hAnsi="Times New Roman"/>
          <w:sz w:val="28"/>
          <w:szCs w:val="28"/>
        </w:rPr>
      </w:pPr>
    </w:p>
    <w:p w:rsidR="00973DD4" w:rsidRDefault="00973DD4" w:rsidP="00973DD4">
      <w:pPr>
        <w:pStyle w:val="ColorfulList-Accent11"/>
        <w:spacing w:after="0" w:line="240" w:lineRule="auto"/>
        <w:ind w:left="0"/>
        <w:jc w:val="both"/>
        <w:rPr>
          <w:rFonts w:ascii="Times New Roman" w:eastAsia="Times New Roman" w:hAnsi="Times New Roman"/>
          <w:b/>
          <w:sz w:val="28"/>
          <w:szCs w:val="28"/>
        </w:rPr>
      </w:pPr>
      <w:r>
        <w:rPr>
          <w:rFonts w:ascii="Times New Roman" w:hAnsi="Times New Roman"/>
          <w:sz w:val="28"/>
          <w:szCs w:val="28"/>
        </w:rPr>
        <w:t>Institucioni që ngarkohet për zbatimin e këtij projektligji ështëMinistria e Bujqësisë dhe Zhvillimit Rural.</w:t>
      </w:r>
    </w:p>
    <w:p w:rsidR="00973DD4" w:rsidRDefault="00973DD4" w:rsidP="00973DD4">
      <w:pPr>
        <w:spacing w:after="0" w:line="240" w:lineRule="auto"/>
        <w:jc w:val="both"/>
        <w:rPr>
          <w:rFonts w:ascii="Times New Roman" w:eastAsia="Times New Roman" w:hAnsi="Times New Roman"/>
          <w:b/>
          <w:sz w:val="28"/>
          <w:szCs w:val="28"/>
        </w:rPr>
      </w:pPr>
    </w:p>
    <w:p w:rsidR="00973DD4" w:rsidRDefault="00973DD4" w:rsidP="00973DD4">
      <w:pPr>
        <w:pStyle w:val="ColorfulList-Accent11"/>
        <w:numPr>
          <w:ilvl w:val="0"/>
          <w:numId w:val="15"/>
        </w:numPr>
        <w:spacing w:line="240" w:lineRule="auto"/>
        <w:jc w:val="both"/>
        <w:rPr>
          <w:rFonts w:ascii="Times New Roman" w:hAnsi="Times New Roman"/>
          <w:b/>
          <w:sz w:val="28"/>
          <w:szCs w:val="28"/>
        </w:rPr>
      </w:pPr>
      <w:r>
        <w:rPr>
          <w:rFonts w:ascii="Times New Roman" w:hAnsi="Times New Roman"/>
          <w:b/>
          <w:sz w:val="28"/>
          <w:szCs w:val="28"/>
        </w:rPr>
        <w:t>PERSONAT DHE INSTITUCIONET QË KANË KONTRIBUAR NË HARTIMIN E PROJEKTAKTIT</w:t>
      </w:r>
    </w:p>
    <w:p w:rsidR="00973DD4" w:rsidRDefault="00973DD4" w:rsidP="00973DD4">
      <w:pPr>
        <w:spacing w:line="240" w:lineRule="auto"/>
        <w:jc w:val="both"/>
        <w:rPr>
          <w:rFonts w:ascii="Times New Roman" w:hAnsi="Times New Roman"/>
          <w:sz w:val="28"/>
          <w:szCs w:val="28"/>
          <w:lang w:val="gsw-FR"/>
        </w:rPr>
      </w:pPr>
      <w:r>
        <w:rPr>
          <w:rFonts w:ascii="Times New Roman" w:hAnsi="Times New Roman"/>
          <w:sz w:val="28"/>
          <w:szCs w:val="28"/>
        </w:rPr>
        <w:t xml:space="preserve">Ky projektligj u përgatit nga grupi i punës i MBZHR, ngritur me Urdhrin e Ministrit Nr. </w:t>
      </w:r>
      <w:r>
        <w:rPr>
          <w:rFonts w:ascii="Times New Roman" w:hAnsi="Times New Roman"/>
          <w:sz w:val="28"/>
          <w:szCs w:val="28"/>
          <w:lang w:val="gsw-FR"/>
        </w:rPr>
        <w:t xml:space="preserve">138 datë 30/3/2018. </w:t>
      </w:r>
    </w:p>
    <w:p w:rsidR="00973DD4" w:rsidRDefault="00973DD4" w:rsidP="00973DD4">
      <w:pPr>
        <w:pStyle w:val="ColorfulList-Accent11"/>
        <w:numPr>
          <w:ilvl w:val="0"/>
          <w:numId w:val="15"/>
        </w:num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RAPORTI I VLERËSIMIT TË TË ARDHURAVE DHE SHPENZIMEVE BUXHETORE</w:t>
      </w:r>
    </w:p>
    <w:p w:rsidR="00973DD4" w:rsidRDefault="00973DD4" w:rsidP="00973DD4">
      <w:pPr>
        <w:pStyle w:val="ColorfulList-Accent11"/>
        <w:spacing w:after="0" w:line="240" w:lineRule="auto"/>
        <w:ind w:left="0"/>
        <w:jc w:val="both"/>
        <w:rPr>
          <w:rFonts w:ascii="Times New Roman" w:eastAsia="Times New Roman" w:hAnsi="Times New Roman"/>
          <w:b/>
          <w:sz w:val="28"/>
          <w:szCs w:val="28"/>
        </w:rPr>
      </w:pPr>
    </w:p>
    <w:p w:rsidR="00973DD4" w:rsidRDefault="00973DD4" w:rsidP="00973DD4">
      <w:pPr>
        <w:pStyle w:val="ColorfulList-Accent11"/>
        <w:spacing w:after="0" w:line="240" w:lineRule="auto"/>
        <w:ind w:left="360"/>
        <w:jc w:val="both"/>
        <w:rPr>
          <w:rStyle w:val="Emphasis"/>
          <w:i w:val="0"/>
        </w:rPr>
      </w:pPr>
      <w:r>
        <w:rPr>
          <w:rStyle w:val="Emphasis"/>
          <w:i w:val="0"/>
          <w:sz w:val="28"/>
          <w:szCs w:val="28"/>
        </w:rPr>
        <w:t>Ky projektligj nuk shoqërohet me efekte financiare në buxhetin e shtetit.</w:t>
      </w:r>
    </w:p>
    <w:p w:rsidR="00973DD4" w:rsidRDefault="00973DD4" w:rsidP="00973DD4">
      <w:pPr>
        <w:pStyle w:val="ColorfulList-Accent11"/>
        <w:spacing w:after="0" w:line="240" w:lineRule="auto"/>
        <w:ind w:left="360"/>
        <w:jc w:val="both"/>
        <w:rPr>
          <w:rStyle w:val="Emphasis"/>
          <w:i w:val="0"/>
          <w:sz w:val="28"/>
          <w:szCs w:val="28"/>
        </w:rPr>
      </w:pPr>
    </w:p>
    <w:p w:rsidR="00973DD4" w:rsidRDefault="00973DD4" w:rsidP="00973DD4">
      <w:pPr>
        <w:pStyle w:val="ColorfulList-Accent11"/>
        <w:spacing w:after="0" w:line="240" w:lineRule="auto"/>
        <w:ind w:left="0"/>
        <w:jc w:val="both"/>
        <w:rPr>
          <w:rFonts w:ascii="Times New Roman" w:eastAsia="Times New Roman" w:hAnsi="Times New Roman"/>
          <w:b/>
        </w:rPr>
      </w:pPr>
      <w:r>
        <w:rPr>
          <w:rFonts w:ascii="Times New Roman" w:eastAsia="Times New Roman" w:hAnsi="Times New Roman"/>
          <w:b/>
          <w:sz w:val="28"/>
          <w:szCs w:val="28"/>
        </w:rPr>
        <w:t>MENDIMET E MINISTRIVE</w:t>
      </w:r>
    </w:p>
    <w:p w:rsidR="00973DD4" w:rsidRDefault="00973DD4" w:rsidP="00973DD4">
      <w:pPr>
        <w:pStyle w:val="ColorfulList-Accent11"/>
        <w:spacing w:after="0" w:line="240" w:lineRule="auto"/>
        <w:ind w:left="0"/>
        <w:jc w:val="both"/>
        <w:rPr>
          <w:rFonts w:ascii="Times New Roman" w:eastAsia="Times New Roman" w:hAnsi="Times New Roman"/>
          <w:b/>
          <w:sz w:val="28"/>
          <w:szCs w:val="28"/>
        </w:rPr>
      </w:pP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Ky projektligj iu dërgua për mendim Ministrisë së Drejtësisë, Ministrisë së</w:t>
      </w:r>
      <w:r>
        <w:rPr>
          <w:rFonts w:ascii="Times New Roman" w:hAnsi="Times New Roman"/>
          <w:sz w:val="28"/>
          <w:szCs w:val="28"/>
        </w:rPr>
        <w:t xml:space="preserve"> </w:t>
      </w:r>
      <w:r>
        <w:rPr>
          <w:rFonts w:ascii="Times New Roman" w:eastAsia="Times New Roman" w:hAnsi="Times New Roman"/>
          <w:sz w:val="28"/>
          <w:szCs w:val="28"/>
        </w:rPr>
        <w:t xml:space="preserve">Financave dhe Ekonomisë, Ministrisë së Turizmit dhe Mjedisit dhe Ministrisë së Brendshme, Ministrisë për Evropën dhe Punët e Jashtme, Ministrit për Shtetin dhe Mbrojtjen e Sipërmarrjes. </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Ministria e Financave dhe Ekonomisë, Ministri për Shtetin dhe Mbrojtjen e Sipërmarrjes dhe Ministria për Evropën dhe Punët e Jashtme janë shprehur dakord me përmbajtjen e projektligjit. Ministria për Evropën dhe Punët e Jashtme ka bërë disa sugjerime në formatin e tabelës së përputhshmërisë të cilat janë reflektuar.  </w:t>
      </w:r>
    </w:p>
    <w:p w:rsidR="00973DD4" w:rsidRDefault="00973DD4" w:rsidP="00973DD4">
      <w:pPr>
        <w:pStyle w:val="ColorfulList-Accent11"/>
        <w:spacing w:after="0" w:line="240" w:lineRule="auto"/>
        <w:ind w:left="0"/>
        <w:jc w:val="both"/>
        <w:rPr>
          <w:rFonts w:ascii="Times New Roman" w:eastAsia="Times New Roman" w:hAnsi="Times New Roman"/>
          <w:sz w:val="28"/>
          <w:szCs w:val="28"/>
          <w:u w:val="single"/>
        </w:rPr>
      </w:pPr>
    </w:p>
    <w:p w:rsidR="00973DD4" w:rsidRDefault="00973DD4" w:rsidP="00973DD4">
      <w:pPr>
        <w:pStyle w:val="ColorfulList-Accent11"/>
        <w:spacing w:after="0" w:line="240" w:lineRule="auto"/>
        <w:ind w:left="0"/>
        <w:jc w:val="both"/>
        <w:rPr>
          <w:rFonts w:ascii="Times New Roman" w:eastAsia="Times New Roman" w:hAnsi="Times New Roman"/>
          <w:sz w:val="28"/>
          <w:szCs w:val="28"/>
          <w:u w:val="single"/>
        </w:rPr>
      </w:pPr>
      <w:r>
        <w:rPr>
          <w:rFonts w:ascii="Times New Roman" w:eastAsia="Times New Roman" w:hAnsi="Times New Roman"/>
          <w:sz w:val="28"/>
          <w:szCs w:val="28"/>
          <w:u w:val="single"/>
        </w:rPr>
        <w:lastRenderedPageBreak/>
        <w:t xml:space="preserve">Mendimet e Ministrisë së Drejtësisë </w:t>
      </w:r>
    </w:p>
    <w:p w:rsidR="00973DD4" w:rsidRDefault="00973DD4" w:rsidP="00973DD4">
      <w:pPr>
        <w:pStyle w:val="ColorfulList-Accent11"/>
        <w:spacing w:after="0" w:line="240" w:lineRule="auto"/>
        <w:ind w:left="360"/>
        <w:jc w:val="both"/>
        <w:rPr>
          <w:rFonts w:ascii="Times New Roman" w:eastAsia="Times New Roman" w:hAnsi="Times New Roman"/>
          <w:b/>
          <w:sz w:val="28"/>
          <w:szCs w:val="28"/>
        </w:rPr>
      </w:pP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Janë reflektuar të gjitha sugjerimet e Ministrisë së Drejtësisë. Kështu, është shtuar në nenin 1 përkufizimi i instalimeve në pronësi shtetërore. Është riformuluar pika 2 e nenit 44/1 (neni 3 i projektligjit) si dhe sugjerimi në nenin 4 të projektligjit. </w:t>
      </w:r>
    </w:p>
    <w:p w:rsidR="00973DD4" w:rsidRDefault="00973DD4" w:rsidP="00973DD4">
      <w:pPr>
        <w:pStyle w:val="ColorfulList-Accent11"/>
        <w:spacing w:after="0" w:line="240" w:lineRule="auto"/>
        <w:ind w:left="0"/>
        <w:jc w:val="both"/>
        <w:rPr>
          <w:rFonts w:ascii="Times New Roman" w:eastAsia="Times New Roman" w:hAnsi="Times New Roman"/>
          <w:sz w:val="28"/>
          <w:szCs w:val="28"/>
          <w:u w:val="single"/>
        </w:rPr>
      </w:pPr>
    </w:p>
    <w:p w:rsidR="00973DD4" w:rsidRDefault="00973DD4" w:rsidP="00973DD4">
      <w:pPr>
        <w:pStyle w:val="ColorfulList-Accent11"/>
        <w:spacing w:after="0" w:line="240" w:lineRule="auto"/>
        <w:ind w:left="0"/>
        <w:jc w:val="both"/>
        <w:rPr>
          <w:rFonts w:ascii="Times New Roman" w:eastAsia="Times New Roman" w:hAnsi="Times New Roman"/>
          <w:sz w:val="28"/>
          <w:szCs w:val="28"/>
          <w:u w:val="single"/>
        </w:rPr>
      </w:pPr>
      <w:r>
        <w:rPr>
          <w:rFonts w:ascii="Times New Roman" w:eastAsia="Times New Roman" w:hAnsi="Times New Roman"/>
          <w:sz w:val="28"/>
          <w:szCs w:val="28"/>
          <w:u w:val="single"/>
        </w:rPr>
        <w:t xml:space="preserve">Mendimet e Ministrisë së Turizmit dhe Mjedisit </w:t>
      </w:r>
    </w:p>
    <w:p w:rsidR="00973DD4" w:rsidRDefault="00973DD4" w:rsidP="00973DD4">
      <w:pPr>
        <w:pStyle w:val="ColorfulList-Accent11"/>
        <w:spacing w:after="0" w:line="240" w:lineRule="auto"/>
        <w:ind w:left="0"/>
        <w:jc w:val="both"/>
        <w:rPr>
          <w:rFonts w:ascii="Times New Roman" w:eastAsia="Times New Roman" w:hAnsi="Times New Roman"/>
          <w:sz w:val="28"/>
          <w:szCs w:val="28"/>
          <w:u w:val="single"/>
        </w:rPr>
      </w:pP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Janë reflektuar mendimet e Ministrisë së Turizmit dhe Mjedisit. Kështu është riformuluar neni 2 duke hequr piken 3.1 dhe riformuluar pika 1 e nenit 3 të ligjit ekzistues, sipas përcaktimit të MTM. </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Në lidhje me përmbledhjen e objektivave në një pikë të vetme, duke qene se ky sugjerim nuk merret me përmbajtjen e nenit, por formën e tij është preferuar të mbahet në formatin origjinal që është në përputhje me Rregulloren përkatëse të BE.  Është reflektuar sugjerimi për përcaktimin e objektivave plotësuese, duke u bërë përcaktimi konkret në pikën 3 të nenit 44/2. </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Është reflektuar në relacion sugjerimi në lidhje me nenin 4 se për cilat instalime ekzistuese bëhet fjalë, ku janë reflektuar edhe sugjerimet e MD për këtë pikë. </w:t>
      </w: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p>
    <w:p w:rsidR="00973DD4" w:rsidRDefault="00973DD4" w:rsidP="00973DD4">
      <w:pPr>
        <w:pStyle w:val="ColorfulList-Accent11"/>
        <w:spacing w:after="0" w:line="240" w:lineRule="auto"/>
        <w:ind w:left="0"/>
        <w:jc w:val="both"/>
        <w:rPr>
          <w:rFonts w:ascii="Times New Roman" w:eastAsia="Times New Roman" w:hAnsi="Times New Roman"/>
          <w:sz w:val="28"/>
          <w:szCs w:val="28"/>
          <w:u w:val="single"/>
        </w:rPr>
      </w:pPr>
      <w:r>
        <w:rPr>
          <w:rFonts w:ascii="Times New Roman" w:eastAsia="Times New Roman" w:hAnsi="Times New Roman"/>
          <w:sz w:val="28"/>
          <w:szCs w:val="28"/>
          <w:u w:val="single"/>
        </w:rPr>
        <w:t>Mendimet e Ministrisë së Brendshme</w:t>
      </w:r>
    </w:p>
    <w:p w:rsidR="00973DD4" w:rsidRDefault="00973DD4" w:rsidP="00973DD4">
      <w:pPr>
        <w:pStyle w:val="ColorfulList-Accent11"/>
        <w:spacing w:after="0" w:line="240" w:lineRule="auto"/>
        <w:ind w:left="0"/>
        <w:jc w:val="both"/>
        <w:rPr>
          <w:rFonts w:ascii="Times New Roman" w:eastAsia="Times New Roman" w:hAnsi="Times New Roman"/>
          <w:sz w:val="28"/>
          <w:szCs w:val="28"/>
          <w:u w:val="single"/>
        </w:rPr>
      </w:pPr>
    </w:p>
    <w:p w:rsidR="00973DD4" w:rsidRDefault="00973DD4" w:rsidP="00973DD4">
      <w:pPr>
        <w:pStyle w:val="ColorfulList-Accent11"/>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 xml:space="preserve">Mendimet e Ministrisë së Brendshme nuk janë marrë parasysh pasi sugjerimet i përkasin ujëmbledhësve (rezervuarëve) të bujqësisë të cilat janë objekt i ligjit nr. 64/2012 “Për peshkimin”i ndryshuar. </w:t>
      </w:r>
    </w:p>
    <w:p w:rsidR="00973DD4" w:rsidRDefault="00973DD4" w:rsidP="00973DD4">
      <w:pPr>
        <w:tabs>
          <w:tab w:val="left" w:pos="0"/>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color w:val="000000"/>
          <w:sz w:val="28"/>
          <w:szCs w:val="28"/>
          <w:lang w:eastAsia="gsw-FR"/>
        </w:rPr>
        <w:t xml:space="preserve">Pika 99 e nenit 4 të </w:t>
      </w:r>
      <w:r>
        <w:rPr>
          <w:rFonts w:ascii="Times New Roman" w:eastAsia="Times New Roman" w:hAnsi="Times New Roman"/>
          <w:sz w:val="28"/>
          <w:szCs w:val="28"/>
        </w:rPr>
        <w:t xml:space="preserve">ligjit nr. 64/2012, </w:t>
      </w:r>
      <w:r>
        <w:rPr>
          <w:rFonts w:ascii="Times New Roman" w:eastAsia="Times New Roman" w:hAnsi="Times New Roman"/>
          <w:color w:val="000000"/>
          <w:sz w:val="28"/>
          <w:szCs w:val="28"/>
          <w:lang w:eastAsia="gsw-FR"/>
        </w:rPr>
        <w:t xml:space="preserve">përcakton se "Ujëra të brendshme" janë lagunat bregdetare, liqenet natyrore, liqenet e hidrocentraleve, ujëmbledhësit e bujqësisë, lumenjtë dhe ujëra të tjera të Republikës së Shqipërisë, të ndryshme nga ujërat detare. Rregullimi i aktivitetit të peshkimit në ujërat e brendshme kryhet nga seksioni IV (Peshkimi në ujërat e brendshme) nenet 51 dhe 52 të </w:t>
      </w:r>
      <w:r>
        <w:rPr>
          <w:rFonts w:ascii="Times New Roman" w:eastAsia="Times New Roman" w:hAnsi="Times New Roman"/>
          <w:sz w:val="28"/>
          <w:szCs w:val="28"/>
        </w:rPr>
        <w:t xml:space="preserve">ligjit nr. 64/2012 “Për peshkimin”i ndryshuar. </w:t>
      </w:r>
    </w:p>
    <w:p w:rsidR="00973DD4" w:rsidRDefault="00973DD4" w:rsidP="00973DD4">
      <w:pPr>
        <w:tabs>
          <w:tab w:val="left" w:pos="0"/>
        </w:tabs>
        <w:spacing w:after="0" w:line="240" w:lineRule="auto"/>
        <w:contextualSpacing/>
        <w:jc w:val="both"/>
        <w:rPr>
          <w:rFonts w:ascii="Times New Roman" w:eastAsia="Times New Roman" w:hAnsi="Times New Roman"/>
          <w:color w:val="000000"/>
          <w:sz w:val="28"/>
          <w:szCs w:val="28"/>
          <w:lang w:eastAsia="gsw-FR"/>
        </w:rPr>
      </w:pPr>
      <w:r>
        <w:rPr>
          <w:rFonts w:ascii="Times New Roman" w:eastAsia="Times New Roman" w:hAnsi="Times New Roman"/>
          <w:color w:val="000000"/>
          <w:sz w:val="28"/>
          <w:szCs w:val="28"/>
          <w:lang w:eastAsia="gsw-FR"/>
        </w:rPr>
        <w:t xml:space="preserve">Gjithashtu, MBZHR ka iniciuar ndryshimin e ligjit nr. 64/2012 “Për peshkimin” i ndryshuar, i cili është miratuar në Këshillin e Ministrave dhe është dërguar në Kuvend për miratim. Në këtë projektligj është bërë riformulimi i shkronjës “h” të pikës 3 të nenit 19, si më poshtë: </w:t>
      </w:r>
    </w:p>
    <w:p w:rsidR="00973DD4" w:rsidRDefault="00973DD4" w:rsidP="00973DD4">
      <w:pPr>
        <w:tabs>
          <w:tab w:val="left" w:pos="0"/>
        </w:tabs>
        <w:spacing w:after="0" w:line="240" w:lineRule="auto"/>
        <w:contextualSpacing/>
        <w:jc w:val="both"/>
        <w:rPr>
          <w:rFonts w:ascii="Times New Roman" w:eastAsia="Times New Roman" w:hAnsi="Times New Roman"/>
          <w:color w:val="000000"/>
          <w:sz w:val="28"/>
          <w:szCs w:val="28"/>
          <w:lang w:eastAsia="gsw-FR"/>
        </w:rPr>
      </w:pPr>
      <w:r>
        <w:rPr>
          <w:rFonts w:ascii="Times New Roman" w:eastAsia="Times New Roman" w:hAnsi="Times New Roman"/>
          <w:color w:val="000000"/>
          <w:sz w:val="28"/>
          <w:szCs w:val="28"/>
          <w:lang w:eastAsia="gsw-FR"/>
        </w:rPr>
        <w:t>“</w:t>
      </w:r>
      <w:r>
        <w:rPr>
          <w:rFonts w:ascii="Times New Roman" w:eastAsia="Times New Roman" w:hAnsi="Times New Roman"/>
          <w:i/>
          <w:color w:val="000000"/>
          <w:sz w:val="28"/>
          <w:szCs w:val="28"/>
          <w:lang w:eastAsia="gsw-FR"/>
        </w:rPr>
        <w:t>h) autorizimin e organeve administrative ose enteve të tjera për dhënien e të drejtës së peshkimit të parashikuara në këtë ligj”.</w:t>
      </w:r>
      <w:r>
        <w:rPr>
          <w:rFonts w:ascii="Times New Roman" w:eastAsia="Times New Roman" w:hAnsi="Times New Roman"/>
          <w:color w:val="000000"/>
          <w:sz w:val="28"/>
          <w:szCs w:val="28"/>
          <w:lang w:eastAsia="gsw-FR"/>
        </w:rPr>
        <w:t xml:space="preserve"> </w:t>
      </w:r>
    </w:p>
    <w:p w:rsidR="00973DD4" w:rsidRDefault="00973DD4" w:rsidP="00973DD4">
      <w:pPr>
        <w:tabs>
          <w:tab w:val="left" w:pos="0"/>
        </w:tabs>
        <w:spacing w:after="0" w:line="240" w:lineRule="auto"/>
        <w:contextualSpacing/>
        <w:jc w:val="both"/>
        <w:rPr>
          <w:rFonts w:ascii="Times New Roman" w:eastAsia="Times New Roman" w:hAnsi="Times New Roman"/>
          <w:color w:val="000000"/>
          <w:sz w:val="28"/>
          <w:szCs w:val="28"/>
          <w:lang w:eastAsia="gsw-FR"/>
        </w:rPr>
      </w:pPr>
      <w:r>
        <w:rPr>
          <w:rFonts w:ascii="Times New Roman" w:eastAsia="Times New Roman" w:hAnsi="Times New Roman"/>
          <w:color w:val="000000"/>
          <w:sz w:val="28"/>
          <w:szCs w:val="28"/>
          <w:lang w:eastAsia="gsw-FR"/>
        </w:rPr>
        <w:t xml:space="preserve">Kjo do të thotë që ministri autorizon, me rregulla të përcaktuara, organet administrative ose entet e tjera (ku përfshihen organet e qeverisjes vendore) në dhënien e të drejtës së peshkimit, pra të gjithë procesin, nga konkurrimi deri në lidhjen e kontratës së zhvillimit të aktivitetit. </w:t>
      </w:r>
    </w:p>
    <w:p w:rsidR="00973DD4" w:rsidRDefault="00973DD4" w:rsidP="00973DD4">
      <w:pPr>
        <w:tabs>
          <w:tab w:val="left" w:pos="0"/>
        </w:tabs>
        <w:spacing w:after="0" w:line="240" w:lineRule="auto"/>
        <w:contextualSpacing/>
        <w:jc w:val="both"/>
        <w:rPr>
          <w:rFonts w:ascii="Times New Roman" w:eastAsia="Times New Roman" w:hAnsi="Times New Roman"/>
          <w:sz w:val="28"/>
          <w:szCs w:val="28"/>
        </w:rPr>
      </w:pPr>
    </w:p>
    <w:p w:rsidR="00973DD4" w:rsidRDefault="00973DD4" w:rsidP="00973DD4">
      <w:pPr>
        <w:tabs>
          <w:tab w:val="left" w:pos="0"/>
        </w:tabs>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Për rastet e tjera, ku nuk përfshihen ujëmbledhësit, dhe kur aktiviteti i akuakulturës do të zhvillohet në prona të pushtetit vendor, (pronë truall, etj.), ligji </w:t>
      </w:r>
      <w:r>
        <w:rPr>
          <w:rFonts w:ascii="Times New Roman" w:eastAsia="Times New Roman" w:hAnsi="Times New Roman"/>
          <w:sz w:val="28"/>
          <w:szCs w:val="28"/>
        </w:rPr>
        <w:lastRenderedPageBreak/>
        <w:t xml:space="preserve">aktual (nr. 103/2016) rregullon edhe shpërndarjen e të ardhurave nga qiradhënia si dhe raportet kontraktuale me pushtetin vendor. </w:t>
      </w:r>
    </w:p>
    <w:p w:rsidR="00973DD4" w:rsidRDefault="00973DD4" w:rsidP="00973DD4">
      <w:pPr>
        <w:tabs>
          <w:tab w:val="left" w:pos="0"/>
        </w:tabs>
        <w:spacing w:after="0" w:line="240" w:lineRule="auto"/>
        <w:contextualSpacing/>
        <w:jc w:val="both"/>
        <w:rPr>
          <w:rFonts w:ascii="Times New Roman" w:eastAsia="Times New Roman" w:hAnsi="Times New Roman"/>
          <w:color w:val="000000"/>
          <w:sz w:val="28"/>
          <w:szCs w:val="28"/>
          <w:lang w:eastAsia="gsw-FR"/>
        </w:rPr>
      </w:pPr>
      <w:r>
        <w:rPr>
          <w:rFonts w:ascii="Times New Roman" w:eastAsia="Times New Roman" w:hAnsi="Times New Roman"/>
          <w:sz w:val="28"/>
          <w:szCs w:val="28"/>
        </w:rPr>
        <w:t>Qiradhënia është e parashikuar në rastet e akuakulturës intensive sipas përcaktimeve të pikës 5 të nenit 3 të ligjit nr 103/2016. N</w:t>
      </w:r>
      <w:r>
        <w:rPr>
          <w:rFonts w:ascii="Times New Roman" w:eastAsia="Times New Roman" w:hAnsi="Times New Roman"/>
          <w:color w:val="000000"/>
          <w:sz w:val="28"/>
          <w:szCs w:val="28"/>
          <w:lang w:eastAsia="gsw-FR"/>
        </w:rPr>
        <w:t>ë ligjin aktual nr. 103/2016 “Për Akuakulturën”, në pikën 3 të nenit 9 është e përcaktuar se: “</w:t>
      </w:r>
      <w:r>
        <w:rPr>
          <w:rFonts w:ascii="Times New Roman" w:eastAsia="Times New Roman" w:hAnsi="Times New Roman"/>
          <w:i/>
          <w:color w:val="000000"/>
          <w:sz w:val="28"/>
          <w:szCs w:val="28"/>
          <w:lang w:eastAsia="gsw-FR"/>
        </w:rPr>
        <w:t>Të ardhurat nga qiradhënia për pronën shtetërore derdhen në Buxhetin e Shtetit, ndërsa të ardhurat nga qiradhënia e pronës së pushtetit vendor derdhen në buxhetin e bashkisë</w:t>
      </w:r>
      <w:r>
        <w:rPr>
          <w:rFonts w:ascii="Times New Roman" w:eastAsia="Times New Roman" w:hAnsi="Times New Roman"/>
          <w:color w:val="000000"/>
          <w:sz w:val="28"/>
          <w:szCs w:val="28"/>
          <w:lang w:eastAsia="gsw-FR"/>
        </w:rPr>
        <w:t xml:space="preserve">” </w:t>
      </w:r>
    </w:p>
    <w:p w:rsidR="00973DD4" w:rsidRDefault="00973DD4" w:rsidP="00973DD4">
      <w:pPr>
        <w:tabs>
          <w:tab w:val="left" w:pos="0"/>
        </w:tabs>
        <w:spacing w:after="0" w:line="240" w:lineRule="auto"/>
        <w:contextualSpacing/>
        <w:jc w:val="both"/>
        <w:rPr>
          <w:rFonts w:ascii="Times New Roman" w:eastAsia="Times New Roman" w:hAnsi="Times New Roman"/>
          <w:color w:val="000000"/>
          <w:sz w:val="28"/>
          <w:szCs w:val="28"/>
          <w:lang w:eastAsia="gsw-FR"/>
        </w:rPr>
      </w:pPr>
      <w:r>
        <w:rPr>
          <w:rFonts w:ascii="Times New Roman" w:eastAsia="Times New Roman" w:hAnsi="Times New Roman"/>
          <w:color w:val="000000"/>
          <w:sz w:val="28"/>
          <w:szCs w:val="28"/>
          <w:lang w:eastAsia="gsw-FR"/>
        </w:rPr>
        <w:t xml:space="preserve">Raportet kontraktuale, sugjerimi i tretë, (jo të ujëmbledhësve të bujqësisë) është e parashikuar në ligjin aktual në pikën 2 të nenit 9 i cili përcakton se </w:t>
      </w:r>
      <w:r>
        <w:rPr>
          <w:rFonts w:ascii="Times New Roman" w:eastAsia="Times New Roman" w:hAnsi="Times New Roman"/>
          <w:i/>
          <w:color w:val="000000"/>
          <w:sz w:val="28"/>
          <w:szCs w:val="28"/>
          <w:lang w:eastAsia="gsw-FR"/>
        </w:rPr>
        <w:t>Ministria lidh kontratën për të drejtën e ushtrimit të aktivitetit të akuakulturës me fituesin, pasi ky i fundit të lidhë kontratë me përfaqësuesin e pronës shtetërore ose të bashkisë</w:t>
      </w:r>
      <w:r>
        <w:rPr>
          <w:rFonts w:ascii="Times New Roman" w:eastAsia="Times New Roman" w:hAnsi="Times New Roman"/>
          <w:color w:val="000000"/>
          <w:sz w:val="28"/>
          <w:szCs w:val="28"/>
          <w:lang w:eastAsia="gsw-FR"/>
        </w:rPr>
        <w:t xml:space="preserve">. </w:t>
      </w:r>
    </w:p>
    <w:p w:rsidR="00973DD4" w:rsidRDefault="00973DD4" w:rsidP="00973DD4">
      <w:pPr>
        <w:pStyle w:val="ColorfulList-Accent11"/>
        <w:spacing w:after="0" w:line="240" w:lineRule="auto"/>
        <w:ind w:left="0"/>
        <w:jc w:val="both"/>
        <w:rPr>
          <w:rFonts w:ascii="Times New Roman" w:eastAsia="Times New Roman" w:hAnsi="Times New Roman"/>
          <w:sz w:val="28"/>
          <w:szCs w:val="28"/>
          <w:lang w:val="gsw-FR"/>
        </w:rPr>
      </w:pPr>
    </w:p>
    <w:p w:rsidR="00973DD4" w:rsidRDefault="00973DD4" w:rsidP="00973DD4">
      <w:pPr>
        <w:pStyle w:val="ColorfulList-Accent11"/>
        <w:spacing w:after="0" w:line="240" w:lineRule="auto"/>
        <w:ind w:left="0"/>
        <w:jc w:val="both"/>
        <w:rPr>
          <w:rFonts w:ascii="Times New Roman" w:eastAsia="Times New Roman" w:hAnsi="Times New Roman"/>
          <w:sz w:val="28"/>
          <w:szCs w:val="28"/>
          <w:u w:val="single"/>
          <w:lang w:val="gsw-FR"/>
        </w:rPr>
      </w:pPr>
    </w:p>
    <w:p w:rsidR="00973DD4" w:rsidRDefault="00973DD4" w:rsidP="00973DD4">
      <w:pPr>
        <w:pStyle w:val="ColorfulList-Accent11"/>
        <w:spacing w:after="0" w:line="240" w:lineRule="auto"/>
        <w:ind w:left="360"/>
        <w:jc w:val="both"/>
        <w:rPr>
          <w:rFonts w:ascii="Times New Roman" w:eastAsia="Times New Roman" w:hAnsi="Times New Roman"/>
          <w:b/>
          <w:sz w:val="28"/>
          <w:szCs w:val="28"/>
        </w:rPr>
      </w:pPr>
    </w:p>
    <w:p w:rsidR="00973DD4" w:rsidRDefault="00973DD4" w:rsidP="00973DD4">
      <w:pPr>
        <w:spacing w:after="0" w:line="240" w:lineRule="auto"/>
        <w:ind w:left="360"/>
        <w:jc w:val="both"/>
        <w:rPr>
          <w:rFonts w:ascii="Times New Roman" w:eastAsia="Times New Roman" w:hAnsi="Times New Roman"/>
          <w:b/>
          <w:sz w:val="28"/>
          <w:szCs w:val="28"/>
        </w:rPr>
      </w:pPr>
    </w:p>
    <w:p w:rsidR="00973DD4" w:rsidRDefault="00973DD4" w:rsidP="00973DD4">
      <w:pPr>
        <w:spacing w:after="0" w:line="240" w:lineRule="auto"/>
        <w:ind w:left="360"/>
        <w:jc w:val="both"/>
        <w:rPr>
          <w:rFonts w:ascii="Times New Roman" w:eastAsia="Times New Roman" w:hAnsi="Times New Roman"/>
          <w:b/>
          <w:sz w:val="28"/>
          <w:szCs w:val="28"/>
        </w:rPr>
      </w:pPr>
    </w:p>
    <w:p w:rsidR="00973DD4" w:rsidRDefault="00973DD4" w:rsidP="00973DD4">
      <w:pPr>
        <w:spacing w:after="0" w:line="240" w:lineRule="auto"/>
        <w:ind w:left="360"/>
        <w:jc w:val="center"/>
        <w:rPr>
          <w:rFonts w:ascii="Times New Roman" w:eastAsia="Times New Roman" w:hAnsi="Times New Roman"/>
          <w:b/>
          <w:sz w:val="28"/>
          <w:szCs w:val="28"/>
        </w:rPr>
      </w:pPr>
      <w:r>
        <w:rPr>
          <w:rFonts w:ascii="Times New Roman" w:eastAsia="Times New Roman" w:hAnsi="Times New Roman"/>
          <w:b/>
          <w:sz w:val="28"/>
          <w:szCs w:val="28"/>
        </w:rPr>
        <w:t xml:space="preserve">                           MINISTRI</w:t>
      </w:r>
    </w:p>
    <w:p w:rsidR="00973DD4" w:rsidRDefault="00973DD4" w:rsidP="00973DD4">
      <w:pPr>
        <w:spacing w:after="0" w:line="240" w:lineRule="auto"/>
        <w:ind w:left="360"/>
        <w:jc w:val="center"/>
        <w:rPr>
          <w:rFonts w:ascii="Times New Roman" w:eastAsia="Times New Roman" w:hAnsi="Times New Roman"/>
          <w:b/>
          <w:sz w:val="28"/>
          <w:szCs w:val="28"/>
        </w:rPr>
      </w:pPr>
    </w:p>
    <w:p w:rsidR="00973DD4" w:rsidRDefault="00973DD4" w:rsidP="00973DD4">
      <w:pPr>
        <w:spacing w:after="0" w:line="240" w:lineRule="auto"/>
        <w:ind w:left="360"/>
        <w:jc w:val="center"/>
        <w:rPr>
          <w:rFonts w:ascii="Times New Roman" w:eastAsia="Times New Roman" w:hAnsi="Times New Roman"/>
          <w:b/>
          <w:sz w:val="28"/>
          <w:szCs w:val="28"/>
        </w:rPr>
      </w:pPr>
    </w:p>
    <w:p w:rsidR="00973DD4" w:rsidRDefault="00973DD4" w:rsidP="00973DD4">
      <w:pPr>
        <w:spacing w:after="0" w:line="240" w:lineRule="auto"/>
        <w:ind w:left="1800" w:firstLine="360"/>
        <w:jc w:val="center"/>
        <w:rPr>
          <w:rFonts w:ascii="Times New Roman" w:eastAsia="Times New Roman" w:hAnsi="Times New Roman"/>
          <w:b/>
          <w:sz w:val="28"/>
          <w:szCs w:val="28"/>
        </w:rPr>
      </w:pPr>
      <w:r>
        <w:rPr>
          <w:rFonts w:ascii="Times New Roman" w:eastAsia="Times New Roman" w:hAnsi="Times New Roman"/>
          <w:b/>
          <w:sz w:val="28"/>
          <w:szCs w:val="28"/>
        </w:rPr>
        <w:t>Niko Peleshi</w:t>
      </w:r>
    </w:p>
    <w:p w:rsidR="006D44A4" w:rsidRDefault="006D44A4" w:rsidP="00366D8D">
      <w:pPr>
        <w:spacing w:after="0" w:line="360" w:lineRule="auto"/>
        <w:rPr>
          <w:rFonts w:ascii="Times New Roman" w:eastAsia="Times New Roman" w:hAnsi="Times New Roman"/>
          <w:bCs/>
          <w:sz w:val="20"/>
          <w:szCs w:val="20"/>
        </w:rPr>
      </w:pPr>
    </w:p>
    <w:p w:rsidR="008E0851" w:rsidRDefault="008E0851" w:rsidP="006D3037">
      <w:pPr>
        <w:spacing w:after="0" w:line="240" w:lineRule="auto"/>
        <w:rPr>
          <w:rFonts w:ascii="Times New Roman" w:eastAsia="Times New Roman" w:hAnsi="Times New Roman"/>
          <w:bCs/>
          <w:sz w:val="28"/>
          <w:szCs w:val="28"/>
        </w:rPr>
      </w:pPr>
    </w:p>
    <w:p w:rsidR="00DA0C09" w:rsidRDefault="00DA0C09" w:rsidP="006D3037">
      <w:pPr>
        <w:spacing w:after="0" w:line="240" w:lineRule="auto"/>
        <w:rPr>
          <w:rFonts w:ascii="Times New Roman" w:eastAsia="Times New Roman" w:hAnsi="Times New Roman"/>
          <w:bCs/>
          <w:sz w:val="28"/>
          <w:szCs w:val="28"/>
        </w:rPr>
      </w:pPr>
    </w:p>
    <w:p w:rsidR="00DA0C09" w:rsidRDefault="00DA0C09" w:rsidP="006D3037">
      <w:pPr>
        <w:spacing w:after="0" w:line="240" w:lineRule="auto"/>
        <w:rPr>
          <w:rFonts w:ascii="Times New Roman" w:eastAsia="Times New Roman" w:hAnsi="Times New Roman"/>
          <w:bCs/>
          <w:sz w:val="28"/>
          <w:szCs w:val="28"/>
        </w:rPr>
      </w:pPr>
    </w:p>
    <w:p w:rsidR="00D80008" w:rsidRPr="007915F4" w:rsidRDefault="00D80008" w:rsidP="006D3037">
      <w:pPr>
        <w:pStyle w:val="Title"/>
        <w:jc w:val="left"/>
        <w:rPr>
          <w:b w:val="0"/>
          <w:sz w:val="28"/>
          <w:szCs w:val="28"/>
          <w:lang w:val="sq-AL"/>
        </w:rPr>
      </w:pPr>
      <w:bookmarkStart w:id="0" w:name="_GoBack"/>
      <w:bookmarkEnd w:id="0"/>
    </w:p>
    <w:sectPr w:rsidR="00D80008" w:rsidRPr="007915F4" w:rsidSect="00743D41">
      <w:footerReference w:type="default" r:id="rId8"/>
      <w:pgSz w:w="11907" w:h="16839" w:code="9"/>
      <w:pgMar w:top="1276" w:right="1275"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FE5" w:rsidRDefault="00606FE5" w:rsidP="002660D9">
      <w:pPr>
        <w:spacing w:after="0" w:line="240" w:lineRule="auto"/>
      </w:pPr>
      <w:r>
        <w:separator/>
      </w:r>
    </w:p>
  </w:endnote>
  <w:endnote w:type="continuationSeparator" w:id="0">
    <w:p w:rsidR="00606FE5" w:rsidRDefault="00606FE5" w:rsidP="0026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4CF" w:rsidRPr="00630F8C" w:rsidRDefault="00B2339D" w:rsidP="00BA42C1">
    <w:pPr>
      <w:pStyle w:val="Footer"/>
      <w:pBdr>
        <w:top w:val="thinThickSmallGap" w:sz="24" w:space="1" w:color="622423"/>
      </w:pBdr>
      <w:tabs>
        <w:tab w:val="clear" w:pos="4680"/>
        <w:tab w:val="clear" w:pos="9360"/>
        <w:tab w:val="right" w:pos="9027"/>
      </w:tabs>
      <w:jc w:val="both"/>
      <w:rPr>
        <w:rFonts w:ascii="Times New Roman" w:hAnsi="Times New Roman"/>
      </w:rPr>
    </w:pPr>
    <w:r>
      <w:rPr>
        <w:rFonts w:ascii="Times New Roman" w:hAnsi="Times New Roman"/>
        <w:sz w:val="24"/>
        <w:szCs w:val="24"/>
      </w:rPr>
      <w:t>Relacion për projektligjin “P</w:t>
    </w:r>
    <w:r w:rsidR="008C24CF" w:rsidRPr="008E1830">
      <w:rPr>
        <w:rFonts w:ascii="Times New Roman" w:hAnsi="Times New Roman"/>
        <w:sz w:val="24"/>
        <w:szCs w:val="24"/>
      </w:rPr>
      <w:t xml:space="preserve">ër disa </w:t>
    </w:r>
    <w:r>
      <w:rPr>
        <w:rFonts w:ascii="Times New Roman" w:hAnsi="Times New Roman"/>
        <w:sz w:val="24"/>
        <w:szCs w:val="24"/>
      </w:rPr>
      <w:t>shtesa dhe ndryshime</w:t>
    </w:r>
    <w:r w:rsidR="008C24CF" w:rsidRPr="008E1830">
      <w:rPr>
        <w:rFonts w:ascii="Times New Roman" w:hAnsi="Times New Roman"/>
        <w:sz w:val="24"/>
        <w:szCs w:val="24"/>
      </w:rPr>
      <w:t xml:space="preserve"> në ligji</w:t>
    </w:r>
    <w:r w:rsidR="001C29D7">
      <w:rPr>
        <w:rFonts w:ascii="Times New Roman" w:hAnsi="Times New Roman"/>
        <w:sz w:val="24"/>
        <w:szCs w:val="24"/>
      </w:rPr>
      <w:t>n nr. 103/2016</w:t>
    </w:r>
    <w:r w:rsidR="008C24CF">
      <w:rPr>
        <w:rFonts w:ascii="Times New Roman" w:hAnsi="Times New Roman"/>
        <w:sz w:val="24"/>
        <w:szCs w:val="24"/>
      </w:rPr>
      <w:t>, “P</w:t>
    </w:r>
    <w:r w:rsidR="001C29D7">
      <w:rPr>
        <w:rFonts w:ascii="Times New Roman" w:hAnsi="Times New Roman"/>
        <w:sz w:val="24"/>
        <w:szCs w:val="24"/>
      </w:rPr>
      <w:t>ër akuakultur</w:t>
    </w:r>
    <w:r w:rsidR="00504808">
      <w:rPr>
        <w:rFonts w:ascii="Times New Roman" w:hAnsi="Times New Roman"/>
        <w:sz w:val="24"/>
        <w:szCs w:val="24"/>
      </w:rPr>
      <w:t>ë</w:t>
    </w:r>
    <w:r w:rsidR="002C021B">
      <w:rPr>
        <w:rFonts w:ascii="Times New Roman" w:hAnsi="Times New Roman"/>
        <w:sz w:val="24"/>
        <w:szCs w:val="24"/>
      </w:rPr>
      <w:t>n”</w:t>
    </w:r>
    <w:r>
      <w:rPr>
        <w:rFonts w:ascii="Times New Roman" w:hAnsi="Times New Roman"/>
        <w:sz w:val="24"/>
        <w:szCs w:val="24"/>
      </w:rPr>
      <w:t>”</w:t>
    </w:r>
    <w:r w:rsidR="001C29D7">
      <w:rPr>
        <w:rFonts w:ascii="Times New Roman" w:hAnsi="Times New Roman"/>
        <w:sz w:val="24"/>
        <w:szCs w:val="24"/>
      </w:rPr>
      <w:t>.</w:t>
    </w:r>
    <w:r w:rsidR="008C24CF" w:rsidRPr="00630F8C">
      <w:rPr>
        <w:rFonts w:ascii="Times New Roman" w:hAnsi="Times New Roman"/>
      </w:rPr>
      <w:tab/>
      <w:t xml:space="preserve">Page </w:t>
    </w:r>
    <w:r w:rsidR="009462C5" w:rsidRPr="00630F8C">
      <w:rPr>
        <w:rFonts w:ascii="Times New Roman" w:hAnsi="Times New Roman"/>
      </w:rPr>
      <w:fldChar w:fldCharType="begin"/>
    </w:r>
    <w:r w:rsidR="008C24CF" w:rsidRPr="00630F8C">
      <w:rPr>
        <w:rFonts w:ascii="Times New Roman" w:hAnsi="Times New Roman"/>
      </w:rPr>
      <w:instrText xml:space="preserve"> PAGE   \* MERGEFORMAT </w:instrText>
    </w:r>
    <w:r w:rsidR="009462C5" w:rsidRPr="00630F8C">
      <w:rPr>
        <w:rFonts w:ascii="Times New Roman" w:hAnsi="Times New Roman"/>
      </w:rPr>
      <w:fldChar w:fldCharType="separate"/>
    </w:r>
    <w:r w:rsidR="00C130C0">
      <w:rPr>
        <w:rFonts w:ascii="Times New Roman" w:hAnsi="Times New Roman"/>
        <w:noProof/>
      </w:rPr>
      <w:t>6</w:t>
    </w:r>
    <w:r w:rsidR="009462C5" w:rsidRPr="00630F8C">
      <w:rPr>
        <w:rFonts w:ascii="Times New Roman" w:hAnsi="Times New Roman"/>
        <w:noProof/>
      </w:rPr>
      <w:fldChar w:fldCharType="end"/>
    </w:r>
  </w:p>
  <w:p w:rsidR="008C24CF" w:rsidRPr="00630F8C" w:rsidRDefault="008C24CF">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FE5" w:rsidRDefault="00606FE5" w:rsidP="002660D9">
      <w:pPr>
        <w:spacing w:after="0" w:line="240" w:lineRule="auto"/>
      </w:pPr>
      <w:r>
        <w:separator/>
      </w:r>
    </w:p>
  </w:footnote>
  <w:footnote w:type="continuationSeparator" w:id="0">
    <w:p w:rsidR="00606FE5" w:rsidRDefault="00606FE5" w:rsidP="00266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260BB"/>
    <w:multiLevelType w:val="hybridMultilevel"/>
    <w:tmpl w:val="836A19D4"/>
    <w:lvl w:ilvl="0" w:tplc="995615D2">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F9F420B"/>
    <w:multiLevelType w:val="hybridMultilevel"/>
    <w:tmpl w:val="A0BCE3AC"/>
    <w:lvl w:ilvl="0" w:tplc="93441B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A271A"/>
    <w:multiLevelType w:val="hybridMultilevel"/>
    <w:tmpl w:val="B5E49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E07A0"/>
    <w:multiLevelType w:val="hybridMultilevel"/>
    <w:tmpl w:val="703E7752"/>
    <w:lvl w:ilvl="0" w:tplc="8C5067E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9F1BB4"/>
    <w:multiLevelType w:val="hybridMultilevel"/>
    <w:tmpl w:val="02780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113B1"/>
    <w:multiLevelType w:val="hybridMultilevel"/>
    <w:tmpl w:val="B4467BF0"/>
    <w:lvl w:ilvl="0" w:tplc="4156EF1C">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62DB2CDA"/>
    <w:multiLevelType w:val="hybridMultilevel"/>
    <w:tmpl w:val="8E30462A"/>
    <w:lvl w:ilvl="0" w:tplc="0484000F">
      <w:start w:val="1"/>
      <w:numFmt w:val="decimal"/>
      <w:lvlText w:val="%1."/>
      <w:lvlJc w:val="left"/>
      <w:pPr>
        <w:ind w:left="720" w:hanging="360"/>
      </w:pPr>
    </w:lvl>
    <w:lvl w:ilvl="1" w:tplc="2B721D0C">
      <w:start w:val="1"/>
      <w:numFmt w:val="lowerLetter"/>
      <w:lvlText w:val="%2)"/>
      <w:lvlJc w:val="left"/>
      <w:pPr>
        <w:ind w:left="1440" w:hanging="360"/>
      </w:pPr>
      <w:rPr>
        <w:rFonts w:hint="default"/>
      </w:r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10" w15:restartNumberingAfterBreak="0">
    <w:nsid w:val="6C3B673A"/>
    <w:multiLevelType w:val="hybridMultilevel"/>
    <w:tmpl w:val="F908643E"/>
    <w:lvl w:ilvl="0" w:tplc="450075D6">
      <w:start w:val="1"/>
      <w:numFmt w:val="upperLetter"/>
      <w:lvlText w:val="%1."/>
      <w:lvlJc w:val="left"/>
      <w:pPr>
        <w:ind w:left="1440" w:hanging="360"/>
      </w:pPr>
      <w:rPr>
        <w:rFonts w:ascii="Cambria" w:hAnsi="Cambria"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B631D8"/>
    <w:multiLevelType w:val="hybridMultilevel"/>
    <w:tmpl w:val="B1C8F8FE"/>
    <w:lvl w:ilvl="0" w:tplc="0484000F">
      <w:start w:val="1"/>
      <w:numFmt w:val="decimal"/>
      <w:lvlText w:val="%1."/>
      <w:lvlJc w:val="left"/>
      <w:pPr>
        <w:ind w:left="927" w:hanging="360"/>
      </w:pPr>
    </w:lvl>
    <w:lvl w:ilvl="1" w:tplc="04840019" w:tentative="1">
      <w:start w:val="1"/>
      <w:numFmt w:val="lowerLetter"/>
      <w:lvlText w:val="%2."/>
      <w:lvlJc w:val="left"/>
      <w:pPr>
        <w:ind w:left="1647" w:hanging="360"/>
      </w:pPr>
    </w:lvl>
    <w:lvl w:ilvl="2" w:tplc="0484001B" w:tentative="1">
      <w:start w:val="1"/>
      <w:numFmt w:val="lowerRoman"/>
      <w:lvlText w:val="%3."/>
      <w:lvlJc w:val="right"/>
      <w:pPr>
        <w:ind w:left="2367" w:hanging="180"/>
      </w:pPr>
    </w:lvl>
    <w:lvl w:ilvl="3" w:tplc="0484000F" w:tentative="1">
      <w:start w:val="1"/>
      <w:numFmt w:val="decimal"/>
      <w:lvlText w:val="%4."/>
      <w:lvlJc w:val="left"/>
      <w:pPr>
        <w:ind w:left="3087" w:hanging="360"/>
      </w:pPr>
    </w:lvl>
    <w:lvl w:ilvl="4" w:tplc="04840019" w:tentative="1">
      <w:start w:val="1"/>
      <w:numFmt w:val="lowerLetter"/>
      <w:lvlText w:val="%5."/>
      <w:lvlJc w:val="left"/>
      <w:pPr>
        <w:ind w:left="3807" w:hanging="360"/>
      </w:pPr>
    </w:lvl>
    <w:lvl w:ilvl="5" w:tplc="0484001B" w:tentative="1">
      <w:start w:val="1"/>
      <w:numFmt w:val="lowerRoman"/>
      <w:lvlText w:val="%6."/>
      <w:lvlJc w:val="right"/>
      <w:pPr>
        <w:ind w:left="4527" w:hanging="180"/>
      </w:pPr>
    </w:lvl>
    <w:lvl w:ilvl="6" w:tplc="0484000F" w:tentative="1">
      <w:start w:val="1"/>
      <w:numFmt w:val="decimal"/>
      <w:lvlText w:val="%7."/>
      <w:lvlJc w:val="left"/>
      <w:pPr>
        <w:ind w:left="5247" w:hanging="360"/>
      </w:pPr>
    </w:lvl>
    <w:lvl w:ilvl="7" w:tplc="04840019" w:tentative="1">
      <w:start w:val="1"/>
      <w:numFmt w:val="lowerLetter"/>
      <w:lvlText w:val="%8."/>
      <w:lvlJc w:val="left"/>
      <w:pPr>
        <w:ind w:left="5967" w:hanging="360"/>
      </w:pPr>
    </w:lvl>
    <w:lvl w:ilvl="8" w:tplc="0484001B" w:tentative="1">
      <w:start w:val="1"/>
      <w:numFmt w:val="lowerRoman"/>
      <w:lvlText w:val="%9."/>
      <w:lvlJc w:val="right"/>
      <w:pPr>
        <w:ind w:left="6687" w:hanging="180"/>
      </w:pPr>
    </w:lvl>
  </w:abstractNum>
  <w:abstractNum w:abstractNumId="12" w15:restartNumberingAfterBreak="0">
    <w:nsid w:val="79D109F6"/>
    <w:multiLevelType w:val="hybridMultilevel"/>
    <w:tmpl w:val="1FB0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93896"/>
    <w:multiLevelType w:val="hybridMultilevel"/>
    <w:tmpl w:val="20C0AB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0"/>
  </w:num>
  <w:num w:numId="4">
    <w:abstractNumId w:val="4"/>
  </w:num>
  <w:num w:numId="5">
    <w:abstractNumId w:val="12"/>
  </w:num>
  <w:num w:numId="6">
    <w:abstractNumId w:val="0"/>
  </w:num>
  <w:num w:numId="7">
    <w:abstractNumId w:val="13"/>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1"/>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0D4E"/>
    <w:rsid w:val="00000CBC"/>
    <w:rsid w:val="000027AA"/>
    <w:rsid w:val="00004B8B"/>
    <w:rsid w:val="00010D4E"/>
    <w:rsid w:val="00014249"/>
    <w:rsid w:val="00017533"/>
    <w:rsid w:val="00024A76"/>
    <w:rsid w:val="0002626F"/>
    <w:rsid w:val="00026DA8"/>
    <w:rsid w:val="000279D7"/>
    <w:rsid w:val="0003004E"/>
    <w:rsid w:val="00031A24"/>
    <w:rsid w:val="00031AFC"/>
    <w:rsid w:val="000418D6"/>
    <w:rsid w:val="00041C17"/>
    <w:rsid w:val="00041D85"/>
    <w:rsid w:val="00042F51"/>
    <w:rsid w:val="00052567"/>
    <w:rsid w:val="00052BDE"/>
    <w:rsid w:val="0005474B"/>
    <w:rsid w:val="00062C3A"/>
    <w:rsid w:val="00062E40"/>
    <w:rsid w:val="00075B8C"/>
    <w:rsid w:val="00080CEB"/>
    <w:rsid w:val="000861A9"/>
    <w:rsid w:val="000925D3"/>
    <w:rsid w:val="00096EDF"/>
    <w:rsid w:val="00096F6E"/>
    <w:rsid w:val="00097B18"/>
    <w:rsid w:val="000A5D83"/>
    <w:rsid w:val="000B32FE"/>
    <w:rsid w:val="000B5BB1"/>
    <w:rsid w:val="000B5FA5"/>
    <w:rsid w:val="000B6234"/>
    <w:rsid w:val="000C4D11"/>
    <w:rsid w:val="000D0E7B"/>
    <w:rsid w:val="000D1177"/>
    <w:rsid w:val="000D51EF"/>
    <w:rsid w:val="000D5829"/>
    <w:rsid w:val="000E1AF8"/>
    <w:rsid w:val="000E317C"/>
    <w:rsid w:val="000E6F0E"/>
    <w:rsid w:val="000F5524"/>
    <w:rsid w:val="00104E50"/>
    <w:rsid w:val="00107B5A"/>
    <w:rsid w:val="00107E91"/>
    <w:rsid w:val="00122342"/>
    <w:rsid w:val="001226AF"/>
    <w:rsid w:val="00124C76"/>
    <w:rsid w:val="00125A98"/>
    <w:rsid w:val="00127000"/>
    <w:rsid w:val="0013020B"/>
    <w:rsid w:val="00131057"/>
    <w:rsid w:val="00135E35"/>
    <w:rsid w:val="00141AE9"/>
    <w:rsid w:val="001476C3"/>
    <w:rsid w:val="001503D8"/>
    <w:rsid w:val="0015054D"/>
    <w:rsid w:val="001533D0"/>
    <w:rsid w:val="00173F19"/>
    <w:rsid w:val="001876BD"/>
    <w:rsid w:val="00187A3B"/>
    <w:rsid w:val="00192AB5"/>
    <w:rsid w:val="00196A31"/>
    <w:rsid w:val="001B4231"/>
    <w:rsid w:val="001C29D7"/>
    <w:rsid w:val="001E05A3"/>
    <w:rsid w:val="001E1005"/>
    <w:rsid w:val="001E1649"/>
    <w:rsid w:val="001E1CDD"/>
    <w:rsid w:val="001E6439"/>
    <w:rsid w:val="001F088B"/>
    <w:rsid w:val="001F0FED"/>
    <w:rsid w:val="001F37E7"/>
    <w:rsid w:val="001F6E09"/>
    <w:rsid w:val="00207D52"/>
    <w:rsid w:val="00220141"/>
    <w:rsid w:val="002221F2"/>
    <w:rsid w:val="00223249"/>
    <w:rsid w:val="0023452C"/>
    <w:rsid w:val="00237638"/>
    <w:rsid w:val="00240E17"/>
    <w:rsid w:val="00244374"/>
    <w:rsid w:val="00244FB1"/>
    <w:rsid w:val="002476FF"/>
    <w:rsid w:val="0025020E"/>
    <w:rsid w:val="0025098D"/>
    <w:rsid w:val="00252C9D"/>
    <w:rsid w:val="00254F6C"/>
    <w:rsid w:val="002631F3"/>
    <w:rsid w:val="002632B6"/>
    <w:rsid w:val="002660D9"/>
    <w:rsid w:val="002812D1"/>
    <w:rsid w:val="0028224E"/>
    <w:rsid w:val="00284483"/>
    <w:rsid w:val="00290896"/>
    <w:rsid w:val="002908EB"/>
    <w:rsid w:val="0029274D"/>
    <w:rsid w:val="002974C0"/>
    <w:rsid w:val="00297F6F"/>
    <w:rsid w:val="002A30C1"/>
    <w:rsid w:val="002A3F91"/>
    <w:rsid w:val="002A4444"/>
    <w:rsid w:val="002B711D"/>
    <w:rsid w:val="002C021B"/>
    <w:rsid w:val="002C7A74"/>
    <w:rsid w:val="002D7107"/>
    <w:rsid w:val="002D7911"/>
    <w:rsid w:val="002E27AF"/>
    <w:rsid w:val="002F34D8"/>
    <w:rsid w:val="002F4609"/>
    <w:rsid w:val="002F7D3D"/>
    <w:rsid w:val="003023A4"/>
    <w:rsid w:val="00306C3E"/>
    <w:rsid w:val="003134E8"/>
    <w:rsid w:val="00326386"/>
    <w:rsid w:val="003425D0"/>
    <w:rsid w:val="00347E7E"/>
    <w:rsid w:val="00350AE4"/>
    <w:rsid w:val="00351F1C"/>
    <w:rsid w:val="00353177"/>
    <w:rsid w:val="00353A53"/>
    <w:rsid w:val="003572B4"/>
    <w:rsid w:val="00360D73"/>
    <w:rsid w:val="0036366A"/>
    <w:rsid w:val="00363CB4"/>
    <w:rsid w:val="00365C6E"/>
    <w:rsid w:val="00366750"/>
    <w:rsid w:val="00366D8D"/>
    <w:rsid w:val="0037511A"/>
    <w:rsid w:val="00392101"/>
    <w:rsid w:val="003962FC"/>
    <w:rsid w:val="003A3E58"/>
    <w:rsid w:val="003A66DB"/>
    <w:rsid w:val="003A75BE"/>
    <w:rsid w:val="003B4834"/>
    <w:rsid w:val="003C05D5"/>
    <w:rsid w:val="003D6C4C"/>
    <w:rsid w:val="003E2351"/>
    <w:rsid w:val="003E71B6"/>
    <w:rsid w:val="00400BC6"/>
    <w:rsid w:val="0040521F"/>
    <w:rsid w:val="004059AF"/>
    <w:rsid w:val="004165EB"/>
    <w:rsid w:val="00416A19"/>
    <w:rsid w:val="0041723B"/>
    <w:rsid w:val="0042289C"/>
    <w:rsid w:val="00424ACD"/>
    <w:rsid w:val="004318C6"/>
    <w:rsid w:val="00432585"/>
    <w:rsid w:val="00454B90"/>
    <w:rsid w:val="004601AA"/>
    <w:rsid w:val="0046423A"/>
    <w:rsid w:val="00464D92"/>
    <w:rsid w:val="004722EF"/>
    <w:rsid w:val="00485E71"/>
    <w:rsid w:val="0048761E"/>
    <w:rsid w:val="00493BEA"/>
    <w:rsid w:val="00496D0B"/>
    <w:rsid w:val="004A0136"/>
    <w:rsid w:val="004B2071"/>
    <w:rsid w:val="004B3290"/>
    <w:rsid w:val="004B7907"/>
    <w:rsid w:val="004D74B5"/>
    <w:rsid w:val="004E2378"/>
    <w:rsid w:val="004E545C"/>
    <w:rsid w:val="004E5BC7"/>
    <w:rsid w:val="004F4EFF"/>
    <w:rsid w:val="004F5155"/>
    <w:rsid w:val="00500063"/>
    <w:rsid w:val="0050187D"/>
    <w:rsid w:val="00504808"/>
    <w:rsid w:val="00506923"/>
    <w:rsid w:val="00511748"/>
    <w:rsid w:val="00524E86"/>
    <w:rsid w:val="00525752"/>
    <w:rsid w:val="005303FC"/>
    <w:rsid w:val="00536D9C"/>
    <w:rsid w:val="005500B2"/>
    <w:rsid w:val="005603EF"/>
    <w:rsid w:val="00562EC1"/>
    <w:rsid w:val="00570CCA"/>
    <w:rsid w:val="00575F73"/>
    <w:rsid w:val="005764B7"/>
    <w:rsid w:val="005809C6"/>
    <w:rsid w:val="00582E1C"/>
    <w:rsid w:val="005841B3"/>
    <w:rsid w:val="0058633B"/>
    <w:rsid w:val="00590234"/>
    <w:rsid w:val="00591CED"/>
    <w:rsid w:val="005967F9"/>
    <w:rsid w:val="00597B95"/>
    <w:rsid w:val="005B4F24"/>
    <w:rsid w:val="005B712C"/>
    <w:rsid w:val="005C1836"/>
    <w:rsid w:val="005C22FF"/>
    <w:rsid w:val="005D3F37"/>
    <w:rsid w:val="005D7892"/>
    <w:rsid w:val="005E0EF8"/>
    <w:rsid w:val="005E5656"/>
    <w:rsid w:val="005E6DBC"/>
    <w:rsid w:val="005F2ED4"/>
    <w:rsid w:val="005F3E0D"/>
    <w:rsid w:val="005F71B9"/>
    <w:rsid w:val="00603B00"/>
    <w:rsid w:val="00606FE5"/>
    <w:rsid w:val="0060712B"/>
    <w:rsid w:val="00612AF9"/>
    <w:rsid w:val="0061566B"/>
    <w:rsid w:val="006158E2"/>
    <w:rsid w:val="00617502"/>
    <w:rsid w:val="00627353"/>
    <w:rsid w:val="006276ED"/>
    <w:rsid w:val="00630F8C"/>
    <w:rsid w:val="00642FC7"/>
    <w:rsid w:val="00653C83"/>
    <w:rsid w:val="00654B0A"/>
    <w:rsid w:val="0066440D"/>
    <w:rsid w:val="00670314"/>
    <w:rsid w:val="0067235F"/>
    <w:rsid w:val="006822C3"/>
    <w:rsid w:val="006855F1"/>
    <w:rsid w:val="006A4894"/>
    <w:rsid w:val="006A59C7"/>
    <w:rsid w:val="006A6662"/>
    <w:rsid w:val="006C1989"/>
    <w:rsid w:val="006C4107"/>
    <w:rsid w:val="006D1DD5"/>
    <w:rsid w:val="006D3037"/>
    <w:rsid w:val="006D41E0"/>
    <w:rsid w:val="006D44A4"/>
    <w:rsid w:val="006E575E"/>
    <w:rsid w:val="006E5B15"/>
    <w:rsid w:val="006F3007"/>
    <w:rsid w:val="006F3227"/>
    <w:rsid w:val="006F6C51"/>
    <w:rsid w:val="006F797F"/>
    <w:rsid w:val="007029AD"/>
    <w:rsid w:val="0070376A"/>
    <w:rsid w:val="00703EDD"/>
    <w:rsid w:val="0070694A"/>
    <w:rsid w:val="00706EA3"/>
    <w:rsid w:val="00723186"/>
    <w:rsid w:val="00724723"/>
    <w:rsid w:val="007248C1"/>
    <w:rsid w:val="00730A16"/>
    <w:rsid w:val="00737003"/>
    <w:rsid w:val="007415E6"/>
    <w:rsid w:val="00743D41"/>
    <w:rsid w:val="00744A12"/>
    <w:rsid w:val="00745798"/>
    <w:rsid w:val="00750D05"/>
    <w:rsid w:val="00753B5E"/>
    <w:rsid w:val="00753EB7"/>
    <w:rsid w:val="007639CA"/>
    <w:rsid w:val="00771662"/>
    <w:rsid w:val="00776716"/>
    <w:rsid w:val="0078120B"/>
    <w:rsid w:val="00783C33"/>
    <w:rsid w:val="00784174"/>
    <w:rsid w:val="007859A8"/>
    <w:rsid w:val="007915F4"/>
    <w:rsid w:val="00794D8F"/>
    <w:rsid w:val="00796C0A"/>
    <w:rsid w:val="007A4334"/>
    <w:rsid w:val="007B0355"/>
    <w:rsid w:val="007B0D8E"/>
    <w:rsid w:val="007C0441"/>
    <w:rsid w:val="007E4654"/>
    <w:rsid w:val="007E51CA"/>
    <w:rsid w:val="007E5FCB"/>
    <w:rsid w:val="007E7460"/>
    <w:rsid w:val="007E77B1"/>
    <w:rsid w:val="007F0F8E"/>
    <w:rsid w:val="007F6E38"/>
    <w:rsid w:val="008001B5"/>
    <w:rsid w:val="008007A9"/>
    <w:rsid w:val="008044C1"/>
    <w:rsid w:val="008143C1"/>
    <w:rsid w:val="00814DFB"/>
    <w:rsid w:val="00817FDC"/>
    <w:rsid w:val="0082322D"/>
    <w:rsid w:val="00823A69"/>
    <w:rsid w:val="00830118"/>
    <w:rsid w:val="00833F59"/>
    <w:rsid w:val="0085353B"/>
    <w:rsid w:val="00853A5C"/>
    <w:rsid w:val="008558B1"/>
    <w:rsid w:val="0086203A"/>
    <w:rsid w:val="00874E41"/>
    <w:rsid w:val="008855C4"/>
    <w:rsid w:val="00891B7E"/>
    <w:rsid w:val="008A1D95"/>
    <w:rsid w:val="008B4620"/>
    <w:rsid w:val="008C1379"/>
    <w:rsid w:val="008C24CF"/>
    <w:rsid w:val="008C3375"/>
    <w:rsid w:val="008C7B45"/>
    <w:rsid w:val="008E0851"/>
    <w:rsid w:val="008E1E69"/>
    <w:rsid w:val="008F228B"/>
    <w:rsid w:val="009007B0"/>
    <w:rsid w:val="0091551D"/>
    <w:rsid w:val="00920D39"/>
    <w:rsid w:val="00922A0F"/>
    <w:rsid w:val="00922B09"/>
    <w:rsid w:val="00923AE0"/>
    <w:rsid w:val="009247C5"/>
    <w:rsid w:val="00927B86"/>
    <w:rsid w:val="00933105"/>
    <w:rsid w:val="00934DA5"/>
    <w:rsid w:val="00944B89"/>
    <w:rsid w:val="009462C5"/>
    <w:rsid w:val="0094716F"/>
    <w:rsid w:val="00954389"/>
    <w:rsid w:val="00956C09"/>
    <w:rsid w:val="00964487"/>
    <w:rsid w:val="0097198D"/>
    <w:rsid w:val="0097297C"/>
    <w:rsid w:val="00973DD4"/>
    <w:rsid w:val="009768AE"/>
    <w:rsid w:val="00977DDF"/>
    <w:rsid w:val="00982108"/>
    <w:rsid w:val="00985171"/>
    <w:rsid w:val="00994BD3"/>
    <w:rsid w:val="009A71BB"/>
    <w:rsid w:val="009B550C"/>
    <w:rsid w:val="009B5571"/>
    <w:rsid w:val="009B7C65"/>
    <w:rsid w:val="009C0E18"/>
    <w:rsid w:val="009C24E9"/>
    <w:rsid w:val="009D759E"/>
    <w:rsid w:val="009E36B9"/>
    <w:rsid w:val="009F39C8"/>
    <w:rsid w:val="009F46CC"/>
    <w:rsid w:val="009F58B9"/>
    <w:rsid w:val="00A07B0E"/>
    <w:rsid w:val="00A124A8"/>
    <w:rsid w:val="00A13978"/>
    <w:rsid w:val="00A141A4"/>
    <w:rsid w:val="00A1686D"/>
    <w:rsid w:val="00A20EC9"/>
    <w:rsid w:val="00A2495E"/>
    <w:rsid w:val="00A30BCF"/>
    <w:rsid w:val="00A3126B"/>
    <w:rsid w:val="00A35BA0"/>
    <w:rsid w:val="00A36A26"/>
    <w:rsid w:val="00A44E9E"/>
    <w:rsid w:val="00A501A2"/>
    <w:rsid w:val="00A558D1"/>
    <w:rsid w:val="00A64CB3"/>
    <w:rsid w:val="00A709C5"/>
    <w:rsid w:val="00A864D8"/>
    <w:rsid w:val="00A9611A"/>
    <w:rsid w:val="00AA184D"/>
    <w:rsid w:val="00AB2215"/>
    <w:rsid w:val="00AB4AF5"/>
    <w:rsid w:val="00AD2111"/>
    <w:rsid w:val="00AD70FA"/>
    <w:rsid w:val="00AE0DFD"/>
    <w:rsid w:val="00AF43DC"/>
    <w:rsid w:val="00B12BCF"/>
    <w:rsid w:val="00B13566"/>
    <w:rsid w:val="00B155DD"/>
    <w:rsid w:val="00B15D32"/>
    <w:rsid w:val="00B17208"/>
    <w:rsid w:val="00B2339D"/>
    <w:rsid w:val="00B26AB4"/>
    <w:rsid w:val="00B2703E"/>
    <w:rsid w:val="00B316E5"/>
    <w:rsid w:val="00B33012"/>
    <w:rsid w:val="00B33566"/>
    <w:rsid w:val="00B349E8"/>
    <w:rsid w:val="00B34F38"/>
    <w:rsid w:val="00B464C8"/>
    <w:rsid w:val="00B51781"/>
    <w:rsid w:val="00B51BFD"/>
    <w:rsid w:val="00B56777"/>
    <w:rsid w:val="00B63B41"/>
    <w:rsid w:val="00B75932"/>
    <w:rsid w:val="00B91984"/>
    <w:rsid w:val="00B9391A"/>
    <w:rsid w:val="00B95892"/>
    <w:rsid w:val="00B970F5"/>
    <w:rsid w:val="00B976BF"/>
    <w:rsid w:val="00BA0B0F"/>
    <w:rsid w:val="00BA38AE"/>
    <w:rsid w:val="00BA4245"/>
    <w:rsid w:val="00BA42C1"/>
    <w:rsid w:val="00BB3C3F"/>
    <w:rsid w:val="00BB4B60"/>
    <w:rsid w:val="00BB6A75"/>
    <w:rsid w:val="00BC1786"/>
    <w:rsid w:val="00BD296C"/>
    <w:rsid w:val="00BE0A64"/>
    <w:rsid w:val="00BE2602"/>
    <w:rsid w:val="00BE2AAF"/>
    <w:rsid w:val="00BE382E"/>
    <w:rsid w:val="00BE41A8"/>
    <w:rsid w:val="00BF0361"/>
    <w:rsid w:val="00BF292F"/>
    <w:rsid w:val="00BF4B95"/>
    <w:rsid w:val="00C079B6"/>
    <w:rsid w:val="00C10AD8"/>
    <w:rsid w:val="00C1160F"/>
    <w:rsid w:val="00C12DDC"/>
    <w:rsid w:val="00C130C0"/>
    <w:rsid w:val="00C1580A"/>
    <w:rsid w:val="00C21A7C"/>
    <w:rsid w:val="00C22AEC"/>
    <w:rsid w:val="00C23BAB"/>
    <w:rsid w:val="00C35529"/>
    <w:rsid w:val="00C4010B"/>
    <w:rsid w:val="00C406A4"/>
    <w:rsid w:val="00C4189C"/>
    <w:rsid w:val="00C46A99"/>
    <w:rsid w:val="00C54C75"/>
    <w:rsid w:val="00C67BC0"/>
    <w:rsid w:val="00C70E1B"/>
    <w:rsid w:val="00C7268B"/>
    <w:rsid w:val="00C74C03"/>
    <w:rsid w:val="00C75731"/>
    <w:rsid w:val="00C85FE9"/>
    <w:rsid w:val="00C9456C"/>
    <w:rsid w:val="00C957E9"/>
    <w:rsid w:val="00C95E5A"/>
    <w:rsid w:val="00CA240C"/>
    <w:rsid w:val="00CB302E"/>
    <w:rsid w:val="00CB6AE9"/>
    <w:rsid w:val="00CC1EC3"/>
    <w:rsid w:val="00CC37A5"/>
    <w:rsid w:val="00CC4741"/>
    <w:rsid w:val="00CC6367"/>
    <w:rsid w:val="00CD5C09"/>
    <w:rsid w:val="00CD7442"/>
    <w:rsid w:val="00CD75BB"/>
    <w:rsid w:val="00CE02A2"/>
    <w:rsid w:val="00CF0D66"/>
    <w:rsid w:val="00CF2B83"/>
    <w:rsid w:val="00CF356D"/>
    <w:rsid w:val="00D16D2E"/>
    <w:rsid w:val="00D26142"/>
    <w:rsid w:val="00D30131"/>
    <w:rsid w:val="00D305EA"/>
    <w:rsid w:val="00D32AA1"/>
    <w:rsid w:val="00D35332"/>
    <w:rsid w:val="00D40F57"/>
    <w:rsid w:val="00D411AD"/>
    <w:rsid w:val="00D43975"/>
    <w:rsid w:val="00D44C08"/>
    <w:rsid w:val="00D54F47"/>
    <w:rsid w:val="00D55289"/>
    <w:rsid w:val="00D57455"/>
    <w:rsid w:val="00D6006D"/>
    <w:rsid w:val="00D62AB2"/>
    <w:rsid w:val="00D62F06"/>
    <w:rsid w:val="00D75856"/>
    <w:rsid w:val="00D80008"/>
    <w:rsid w:val="00D8394A"/>
    <w:rsid w:val="00D97038"/>
    <w:rsid w:val="00DA07A0"/>
    <w:rsid w:val="00DA0C09"/>
    <w:rsid w:val="00DB671A"/>
    <w:rsid w:val="00DC27B0"/>
    <w:rsid w:val="00DC53D6"/>
    <w:rsid w:val="00DC5BC2"/>
    <w:rsid w:val="00DC7E0B"/>
    <w:rsid w:val="00DD0E79"/>
    <w:rsid w:val="00DD35B8"/>
    <w:rsid w:val="00DD5381"/>
    <w:rsid w:val="00DE69DE"/>
    <w:rsid w:val="00DF248B"/>
    <w:rsid w:val="00DF4DD8"/>
    <w:rsid w:val="00E04DFF"/>
    <w:rsid w:val="00E107F4"/>
    <w:rsid w:val="00E11CC1"/>
    <w:rsid w:val="00E2545B"/>
    <w:rsid w:val="00E26D5E"/>
    <w:rsid w:val="00E467B5"/>
    <w:rsid w:val="00E50790"/>
    <w:rsid w:val="00E52065"/>
    <w:rsid w:val="00E55097"/>
    <w:rsid w:val="00E64941"/>
    <w:rsid w:val="00E6501E"/>
    <w:rsid w:val="00E81C65"/>
    <w:rsid w:val="00EA160E"/>
    <w:rsid w:val="00EC01D5"/>
    <w:rsid w:val="00EC2D41"/>
    <w:rsid w:val="00EC3BA7"/>
    <w:rsid w:val="00EC3D6E"/>
    <w:rsid w:val="00ED4C30"/>
    <w:rsid w:val="00ED53E4"/>
    <w:rsid w:val="00EE0568"/>
    <w:rsid w:val="00EE3341"/>
    <w:rsid w:val="00EE77F1"/>
    <w:rsid w:val="00EE7EDE"/>
    <w:rsid w:val="00EF01D0"/>
    <w:rsid w:val="00EF01D5"/>
    <w:rsid w:val="00EF0547"/>
    <w:rsid w:val="00EF0AAE"/>
    <w:rsid w:val="00EF10ED"/>
    <w:rsid w:val="00EF4460"/>
    <w:rsid w:val="00F014A3"/>
    <w:rsid w:val="00F02DE2"/>
    <w:rsid w:val="00F116AC"/>
    <w:rsid w:val="00F13777"/>
    <w:rsid w:val="00F13D9B"/>
    <w:rsid w:val="00F143AD"/>
    <w:rsid w:val="00F43E19"/>
    <w:rsid w:val="00F56EE5"/>
    <w:rsid w:val="00F6317C"/>
    <w:rsid w:val="00F75AF0"/>
    <w:rsid w:val="00F84F5F"/>
    <w:rsid w:val="00F861D6"/>
    <w:rsid w:val="00F87077"/>
    <w:rsid w:val="00F937FC"/>
    <w:rsid w:val="00F96947"/>
    <w:rsid w:val="00FA40C3"/>
    <w:rsid w:val="00FA5E29"/>
    <w:rsid w:val="00FB2E29"/>
    <w:rsid w:val="00FB4211"/>
    <w:rsid w:val="00FB79DA"/>
    <w:rsid w:val="00FC626E"/>
    <w:rsid w:val="00FD3DC2"/>
    <w:rsid w:val="00FE12E0"/>
    <w:rsid w:val="00FE4329"/>
    <w:rsid w:val="00FF39C9"/>
  </w:rsids>
  <m:mathPr>
    <m:mathFont m:val="Cambria Math"/>
    <m:brkBin m:val="before"/>
    <m:brkBinSub m:val="--"/>
    <m:smallFrac/>
    <m:dispDef/>
    <m:lMargin m:val="0"/>
    <m:rMargin m:val="0"/>
    <m:defJc m:val="centerGroup"/>
    <m:wrapIndent m:val="1440"/>
    <m:intLim m:val="subSup"/>
    <m:naryLim m:val="undOvr"/>
  </m:mathPr>
  <w:themeFontLang w:val="gsw-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B567A"/>
  <w15:docId w15:val="{B305E9AE-8FCD-4861-BB80-12EBD537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C51"/>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34"/>
    <w:qFormat/>
    <w:rsid w:val="001E1005"/>
    <w:pPr>
      <w:ind w:left="720"/>
    </w:pPr>
  </w:style>
  <w:style w:type="character" w:styleId="Emphasis">
    <w:name w:val="Emphasis"/>
    <w:qFormat/>
    <w:rsid w:val="00783C33"/>
    <w:rPr>
      <w:i/>
      <w:iCs/>
    </w:rPr>
  </w:style>
  <w:style w:type="character" w:styleId="Strong">
    <w:name w:val="Strong"/>
    <w:uiPriority w:val="22"/>
    <w:qFormat/>
    <w:rsid w:val="00783C33"/>
    <w:rPr>
      <w:b/>
      <w:bCs/>
    </w:rPr>
  </w:style>
  <w:style w:type="paragraph" w:styleId="NoSpacing">
    <w:name w:val="No Spacing"/>
    <w:uiPriority w:val="1"/>
    <w:qFormat/>
    <w:rsid w:val="005303FC"/>
    <w:rPr>
      <w:sz w:val="22"/>
      <w:szCs w:val="22"/>
    </w:rPr>
  </w:style>
  <w:style w:type="paragraph" w:customStyle="1" w:styleId="Default">
    <w:name w:val="Default"/>
    <w:uiPriority w:val="99"/>
    <w:rsid w:val="008B4620"/>
    <w:pPr>
      <w:autoSpaceDE w:val="0"/>
      <w:autoSpaceDN w:val="0"/>
      <w:adjustRightInd w:val="0"/>
    </w:pPr>
    <w:rPr>
      <w:rFonts w:ascii="Book Antiqua" w:hAnsi="Book Antiqua" w:cs="Book Antiqua"/>
      <w:color w:val="000000"/>
      <w:sz w:val="24"/>
      <w:szCs w:val="24"/>
    </w:rPr>
  </w:style>
  <w:style w:type="paragraph" w:styleId="NormalWeb">
    <w:name w:val="Normal (Web)"/>
    <w:basedOn w:val="Normal"/>
    <w:uiPriority w:val="99"/>
    <w:unhideWhenUsed/>
    <w:rsid w:val="00D54F47"/>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017533"/>
    <w:rPr>
      <w:sz w:val="16"/>
      <w:szCs w:val="16"/>
    </w:rPr>
  </w:style>
  <w:style w:type="paragraph" w:styleId="CommentText">
    <w:name w:val="annotation text"/>
    <w:basedOn w:val="Normal"/>
    <w:link w:val="CommentTextChar"/>
    <w:uiPriority w:val="99"/>
    <w:unhideWhenUsed/>
    <w:rsid w:val="00017533"/>
    <w:pPr>
      <w:spacing w:line="240" w:lineRule="auto"/>
    </w:pPr>
    <w:rPr>
      <w:sz w:val="20"/>
      <w:szCs w:val="20"/>
    </w:rPr>
  </w:style>
  <w:style w:type="character" w:customStyle="1" w:styleId="CommentTextChar">
    <w:name w:val="Comment Text Char"/>
    <w:basedOn w:val="DefaultParagraphFont"/>
    <w:link w:val="CommentText"/>
    <w:uiPriority w:val="99"/>
    <w:rsid w:val="00017533"/>
    <w:rPr>
      <w:lang w:val="sq-AL"/>
    </w:rPr>
  </w:style>
  <w:style w:type="paragraph" w:styleId="CommentSubject">
    <w:name w:val="annotation subject"/>
    <w:basedOn w:val="CommentText"/>
    <w:next w:val="CommentText"/>
    <w:link w:val="CommentSubjectChar"/>
    <w:uiPriority w:val="99"/>
    <w:semiHidden/>
    <w:unhideWhenUsed/>
    <w:rsid w:val="00017533"/>
    <w:rPr>
      <w:b/>
      <w:bCs/>
    </w:rPr>
  </w:style>
  <w:style w:type="character" w:customStyle="1" w:styleId="CommentSubjectChar">
    <w:name w:val="Comment Subject Char"/>
    <w:basedOn w:val="CommentTextChar"/>
    <w:link w:val="CommentSubject"/>
    <w:uiPriority w:val="99"/>
    <w:semiHidden/>
    <w:rsid w:val="00017533"/>
    <w:rPr>
      <w:b/>
      <w:bCs/>
      <w:lang w:val="sq-AL"/>
    </w:rPr>
  </w:style>
  <w:style w:type="paragraph" w:styleId="Title">
    <w:name w:val="Title"/>
    <w:basedOn w:val="Normal"/>
    <w:link w:val="TitleChar"/>
    <w:qFormat/>
    <w:rsid w:val="00743D41"/>
    <w:pPr>
      <w:spacing w:after="0" w:line="240" w:lineRule="auto"/>
      <w:jc w:val="center"/>
    </w:pPr>
    <w:rPr>
      <w:rFonts w:ascii="Times New Roman" w:eastAsia="Times New Roman" w:hAnsi="Times New Roman"/>
      <w:b/>
      <w:sz w:val="24"/>
      <w:szCs w:val="20"/>
      <w:lang w:val="en-US"/>
    </w:rPr>
  </w:style>
  <w:style w:type="character" w:customStyle="1" w:styleId="TitleChar">
    <w:name w:val="Title Char"/>
    <w:basedOn w:val="DefaultParagraphFont"/>
    <w:link w:val="Title"/>
    <w:rsid w:val="00743D41"/>
    <w:rPr>
      <w:rFonts w:ascii="Times New Roman" w:eastAsia="Times New Roman" w:hAnsi="Times New Roman"/>
      <w:b/>
      <w:sz w:val="24"/>
    </w:rPr>
  </w:style>
  <w:style w:type="paragraph" w:styleId="BodyText">
    <w:name w:val="Body Text"/>
    <w:basedOn w:val="Normal"/>
    <w:link w:val="BodyTextChar"/>
    <w:uiPriority w:val="99"/>
    <w:rsid w:val="00D35332"/>
    <w:pPr>
      <w:spacing w:after="240" w:line="240" w:lineRule="atLeast"/>
      <w:ind w:firstLine="360"/>
      <w:jc w:val="both"/>
    </w:pPr>
    <w:rPr>
      <w:rFonts w:ascii="Garamond" w:eastAsia="Times New Roman" w:hAnsi="Garamond"/>
      <w:szCs w:val="20"/>
    </w:rPr>
  </w:style>
  <w:style w:type="character" w:customStyle="1" w:styleId="BodyTextChar">
    <w:name w:val="Body Text Char"/>
    <w:basedOn w:val="DefaultParagraphFont"/>
    <w:link w:val="BodyText"/>
    <w:uiPriority w:val="99"/>
    <w:rsid w:val="00D35332"/>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8567">
      <w:bodyDiv w:val="1"/>
      <w:marLeft w:val="0"/>
      <w:marRight w:val="0"/>
      <w:marTop w:val="0"/>
      <w:marBottom w:val="0"/>
      <w:divBdr>
        <w:top w:val="none" w:sz="0" w:space="0" w:color="auto"/>
        <w:left w:val="none" w:sz="0" w:space="0" w:color="auto"/>
        <w:bottom w:val="none" w:sz="0" w:space="0" w:color="auto"/>
        <w:right w:val="none" w:sz="0" w:space="0" w:color="auto"/>
      </w:divBdr>
    </w:div>
    <w:div w:id="868108761">
      <w:bodyDiv w:val="1"/>
      <w:marLeft w:val="0"/>
      <w:marRight w:val="0"/>
      <w:marTop w:val="0"/>
      <w:marBottom w:val="0"/>
      <w:divBdr>
        <w:top w:val="none" w:sz="0" w:space="0" w:color="auto"/>
        <w:left w:val="none" w:sz="0" w:space="0" w:color="auto"/>
        <w:bottom w:val="none" w:sz="0" w:space="0" w:color="auto"/>
        <w:right w:val="none" w:sz="0" w:space="0" w:color="auto"/>
      </w:divBdr>
    </w:div>
    <w:div w:id="1535850184">
      <w:bodyDiv w:val="1"/>
      <w:marLeft w:val="0"/>
      <w:marRight w:val="0"/>
      <w:marTop w:val="0"/>
      <w:marBottom w:val="0"/>
      <w:divBdr>
        <w:top w:val="none" w:sz="0" w:space="0" w:color="auto"/>
        <w:left w:val="none" w:sz="0" w:space="0" w:color="auto"/>
        <w:bottom w:val="none" w:sz="0" w:space="0" w:color="auto"/>
        <w:right w:val="none" w:sz="0" w:space="0" w:color="auto"/>
      </w:divBdr>
    </w:div>
    <w:div w:id="1596354290">
      <w:bodyDiv w:val="1"/>
      <w:marLeft w:val="0"/>
      <w:marRight w:val="0"/>
      <w:marTop w:val="0"/>
      <w:marBottom w:val="0"/>
      <w:divBdr>
        <w:top w:val="none" w:sz="0" w:space="0" w:color="auto"/>
        <w:left w:val="none" w:sz="0" w:space="0" w:color="auto"/>
        <w:bottom w:val="none" w:sz="0" w:space="0" w:color="auto"/>
        <w:right w:val="none" w:sz="0" w:space="0" w:color="auto"/>
      </w:divBdr>
    </w:div>
    <w:div w:id="19490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0825-CA47-4B5E-A81D-8D630F01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Ilirjana Nano</dc:creator>
  <cp:lastModifiedBy>Edlira Llango</cp:lastModifiedBy>
  <cp:revision>15</cp:revision>
  <cp:lastPrinted>2019-01-14T10:21:00Z</cp:lastPrinted>
  <dcterms:created xsi:type="dcterms:W3CDTF">2019-01-08T10:07:00Z</dcterms:created>
  <dcterms:modified xsi:type="dcterms:W3CDTF">2019-01-14T12:48:00Z</dcterms:modified>
</cp:coreProperties>
</file>