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59D75" w14:textId="7539787C" w:rsidR="001109C7" w:rsidRPr="00011E77" w:rsidRDefault="00263629" w:rsidP="00B059D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q-AL"/>
        </w:rPr>
      </w:pPr>
      <w:r w:rsidRPr="007E405A">
        <w:rPr>
          <w:rFonts w:ascii="Times New Roman" w:hAnsi="Times New Roman" w:cs="Times New Roman"/>
          <w:b/>
          <w:bCs/>
          <w:i/>
          <w:iCs/>
          <w:cap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D02DA0" wp14:editId="240FE150">
            <wp:simplePos x="0" y="0"/>
            <wp:positionH relativeFrom="column">
              <wp:posOffset>-933450</wp:posOffset>
            </wp:positionH>
            <wp:positionV relativeFrom="paragraph">
              <wp:posOffset>-1142999</wp:posOffset>
            </wp:positionV>
            <wp:extent cx="7560945" cy="1409700"/>
            <wp:effectExtent l="0" t="0" r="1905" b="0"/>
            <wp:wrapNone/>
            <wp:docPr id="3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109C7" w:rsidRPr="00011E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q-AL"/>
        </w:rPr>
        <w:t>PROJEKTVENDIM</w:t>
      </w:r>
    </w:p>
    <w:p w14:paraId="586F8863" w14:textId="77777777" w:rsidR="00263629" w:rsidRDefault="00263629" w:rsidP="003A3F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7E098F92" w14:textId="77777777" w:rsidR="00FE1C6B" w:rsidRPr="007E405A" w:rsidRDefault="00FE1C6B" w:rsidP="00FE1C6B">
      <w:pPr>
        <w:keepNext/>
        <w:widowControl w:val="0"/>
        <w:spacing w:before="120" w:after="120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E405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 R O J E K T V E N D I M</w:t>
      </w:r>
    </w:p>
    <w:p w14:paraId="4FD5D5F7" w14:textId="77777777" w:rsidR="00FE1C6B" w:rsidRPr="007E405A" w:rsidRDefault="00FE1C6B" w:rsidP="00FE1C6B">
      <w:pPr>
        <w:widowControl w:val="0"/>
        <w:spacing w:before="120" w:after="120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E405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Nr.______, datë __________</w:t>
      </w:r>
    </w:p>
    <w:p w14:paraId="43F68C50" w14:textId="15AE404E" w:rsidR="001109C7" w:rsidRPr="00011E77" w:rsidRDefault="001109C7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PËR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br/>
      </w: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MIRATIMIN E RREGULLAVE, KËRKESAVE DHE PROCEDURAVE PËR VENDDEPOZITIMET E PËRKOHSHME TË MBETJEVE INERTE</w:t>
      </w:r>
    </w:p>
    <w:p w14:paraId="6471A7CF" w14:textId="77777777" w:rsidR="001109C7" w:rsidRPr="00011E77" w:rsidRDefault="001109C7" w:rsidP="00B059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Në mbështetje të nenit 100 të Kushtetutës dhe të nenit 34, pika 10, të ligjit nr. 57/2025, “Për menaxhimin e integruar të mbetjeve”, me propozimin e ministrit përgjegjës për mjedisin, Këshilli i Ministrave</w:t>
      </w:r>
    </w:p>
    <w:p w14:paraId="773FACBA" w14:textId="77777777" w:rsidR="001109C7" w:rsidRPr="00011E77" w:rsidRDefault="001109C7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V E N D O S I:</w:t>
      </w:r>
    </w:p>
    <w:p w14:paraId="17A4A000" w14:textId="7574D1E4" w:rsidR="00336048" w:rsidRPr="00011E77" w:rsidRDefault="00336048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KREU I</w:t>
      </w:r>
    </w:p>
    <w:p w14:paraId="60A007E3" w14:textId="0A1D7ACD" w:rsidR="00336048" w:rsidRPr="00011E77" w:rsidRDefault="00336048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DISPOZITA T</w:t>
      </w:r>
      <w:r w:rsidR="00C34F19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Ë</w:t>
      </w: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P</w:t>
      </w:r>
      <w:r w:rsidR="00C34F19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Ë</w:t>
      </w: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RGJITHSHME</w:t>
      </w:r>
    </w:p>
    <w:p w14:paraId="60D2576D" w14:textId="7AB54853" w:rsidR="001109C7" w:rsidRPr="00011E77" w:rsidRDefault="001109C7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Neni 1</w:t>
      </w:r>
    </w:p>
    <w:p w14:paraId="0070D42E" w14:textId="77777777" w:rsidR="001109C7" w:rsidRPr="00011E77" w:rsidRDefault="001109C7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Objekti</w:t>
      </w:r>
    </w:p>
    <w:p w14:paraId="0499BA00" w14:textId="2FF63B6C" w:rsidR="00DE096C" w:rsidRPr="00B0286F" w:rsidRDefault="001109C7" w:rsidP="00B0286F">
      <w:pPr>
        <w:pStyle w:val="ListParagraph"/>
        <w:numPr>
          <w:ilvl w:val="0"/>
          <w:numId w:val="54"/>
        </w:numPr>
        <w:spacing w:before="100" w:beforeAutospacing="1"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Ky vendim përcakton rregullat, kërkesat teknike, mjedisore dhe administrative si dhe procedurat për</w:t>
      </w:r>
      <w:r w:rsidR="00AE538A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krijimin</w:t>
      </w:r>
      <w:r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, miratimin, administrimin, operimin, monitorimin, mbylljen dhe rehabilitimin e venddepozitimeve të përkohshme të mbetjeve inerte, të cilat ndërtohen përjashtimisht deri në ndërtimin dhe vënien në funksion të landfilleve rajonale për mbetjet inerte</w:t>
      </w:r>
      <w:r w:rsidR="00F47092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, kur mungon infrastruktura p</w:t>
      </w:r>
      <w:r w:rsidR="00C34F19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47092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rfundimtare p</w:t>
      </w:r>
      <w:r w:rsidR="00C34F19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47092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rkat</w:t>
      </w:r>
      <w:r w:rsidR="00C34F19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47092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se</w:t>
      </w:r>
      <w:r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="00231D56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398A6B41" w14:textId="1ACC4A8A" w:rsidR="00231D56" w:rsidRPr="00B0286F" w:rsidRDefault="00231D56" w:rsidP="00B0286F">
      <w:pPr>
        <w:pStyle w:val="ListParagraph"/>
        <w:numPr>
          <w:ilvl w:val="0"/>
          <w:numId w:val="54"/>
        </w:numPr>
        <w:spacing w:before="100" w:beforeAutospacing="1"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Venddepozitimet e përkohshme të mbetjeve inerte, në kuptim të këtij vendimi, përbëjnë një regjim përjashtimor dhe kalimtar</w:t>
      </w:r>
      <w:r w:rsidR="003A64C3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dhe nuk klasifikohen si landfille në kuptim të </w:t>
      </w:r>
      <w:r w:rsidR="003A64C3"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>ligjit nr. 57/2025</w:t>
      </w:r>
      <w:r w:rsidRPr="00B0286F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dhe të akteve nënligjore përkatëse për landfillet.</w:t>
      </w:r>
    </w:p>
    <w:p w14:paraId="4C2FDDDD" w14:textId="6AA139E6" w:rsidR="007E7018" w:rsidRDefault="007E7018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Neni 2</w:t>
      </w:r>
    </w:p>
    <w:p w14:paraId="3D9975A5" w14:textId="637CF780" w:rsidR="001109C7" w:rsidRPr="00011E77" w:rsidRDefault="001109C7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Qëllimi</w:t>
      </w:r>
    </w:p>
    <w:p w14:paraId="4343103F" w14:textId="47C9D6B9" w:rsidR="001109C7" w:rsidRPr="00371732" w:rsidRDefault="001109C7" w:rsidP="00B0286F">
      <w:pPr>
        <w:pStyle w:val="ListParagraph"/>
        <w:numPr>
          <w:ilvl w:val="0"/>
          <w:numId w:val="55"/>
        </w:numPr>
        <w:spacing w:before="100" w:beforeAutospacing="1"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371732">
        <w:rPr>
          <w:rFonts w:ascii="Times New Roman" w:eastAsia="Times New Roman" w:hAnsi="Times New Roman" w:cs="Times New Roman"/>
          <w:sz w:val="24"/>
          <w:szCs w:val="24"/>
          <w:lang w:eastAsia="sq-AL"/>
        </w:rPr>
        <w:t>Ky vendim ka për qëllim:</w:t>
      </w:r>
    </w:p>
    <w:p w14:paraId="35E493DF" w14:textId="250C2E6D" w:rsidR="00CD7845" w:rsidRPr="00561D87" w:rsidRDefault="001109C7" w:rsidP="00D46CE8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561D87">
        <w:rPr>
          <w:rFonts w:ascii="Times New Roman" w:eastAsia="Times New Roman" w:hAnsi="Times New Roman" w:cs="Times New Roman"/>
          <w:sz w:val="24"/>
          <w:szCs w:val="24"/>
          <w:lang w:eastAsia="sq-AL"/>
        </w:rPr>
        <w:t>garantimin e menaxhimit të kontrolluar, të përkohshëm dhe të standardizuar të mbetjeve inerte;</w:t>
      </w:r>
    </w:p>
    <w:p w14:paraId="39F774F2" w14:textId="64972944" w:rsidR="00561D87" w:rsidRPr="00561D87" w:rsidRDefault="001109C7" w:rsidP="00D46CE8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561D87">
        <w:rPr>
          <w:rFonts w:ascii="Times New Roman" w:eastAsia="Times New Roman" w:hAnsi="Times New Roman" w:cs="Times New Roman"/>
          <w:sz w:val="24"/>
          <w:szCs w:val="24"/>
          <w:lang w:eastAsia="sq-AL"/>
        </w:rPr>
        <w:t>parandalimin e depozitimit të paligjshëm të mbetjeve inerte në territor;</w:t>
      </w:r>
    </w:p>
    <w:p w14:paraId="4A85F525" w14:textId="77777777" w:rsidR="00561D87" w:rsidRDefault="001109C7" w:rsidP="00D46CE8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561D87">
        <w:rPr>
          <w:rFonts w:ascii="Times New Roman" w:eastAsia="Times New Roman" w:hAnsi="Times New Roman" w:cs="Times New Roman"/>
          <w:sz w:val="24"/>
          <w:szCs w:val="24"/>
          <w:lang w:eastAsia="sq-AL"/>
        </w:rPr>
        <w:t>mbrojtjen e mjedisit, shëndetit të njeriut, ujërave sipërfaqësore e nëntokësore, tokës dhe peizazhit;</w:t>
      </w:r>
    </w:p>
    <w:p w14:paraId="5D8E9ECF" w14:textId="224946A1" w:rsidR="00561D87" w:rsidRPr="00561D87" w:rsidRDefault="001109C7" w:rsidP="00561D87">
      <w:pPr>
        <w:pStyle w:val="ListParagraph"/>
        <w:tabs>
          <w:tab w:val="left" w:pos="270"/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561D87">
        <w:rPr>
          <w:rFonts w:ascii="Times New Roman" w:eastAsia="Times New Roman" w:hAnsi="Times New Roman" w:cs="Times New Roman"/>
          <w:sz w:val="24"/>
          <w:szCs w:val="24"/>
          <w:lang w:eastAsia="sq-AL"/>
        </w:rPr>
        <w:t>ç</w:t>
      </w:r>
      <w:r w:rsidR="006139E6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561D8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sigurimin e gjurmueshmërisë, kontrollit dhe raportimit të sasive të mbetjeve inerte;</w:t>
      </w:r>
    </w:p>
    <w:p w14:paraId="7ED32630" w14:textId="084F9E2F" w:rsidR="001109C7" w:rsidRDefault="001109C7" w:rsidP="00D46CE8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561D87">
        <w:rPr>
          <w:rFonts w:ascii="Times New Roman" w:eastAsia="Times New Roman" w:hAnsi="Times New Roman" w:cs="Times New Roman"/>
          <w:sz w:val="24"/>
          <w:szCs w:val="24"/>
          <w:lang w:eastAsia="sq-AL"/>
        </w:rPr>
        <w:t>krijimin e një regjimi kalimtar të administruar në mënyrë të centralizuar nga shteti, deri në funksionalizimin e infrastrukturës rajonale përfundimtare.</w:t>
      </w:r>
    </w:p>
    <w:p w14:paraId="23AE2305" w14:textId="04F7BF64" w:rsidR="006139E6" w:rsidRPr="008B2F62" w:rsidRDefault="00F97CDB" w:rsidP="008B2F62">
      <w:pPr>
        <w:pStyle w:val="ListParagraph"/>
        <w:numPr>
          <w:ilvl w:val="0"/>
          <w:numId w:val="32"/>
        </w:numPr>
        <w:tabs>
          <w:tab w:val="left" w:pos="27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F97CDB">
        <w:rPr>
          <w:rFonts w:ascii="Times New Roman" w:hAnsi="Times New Roman" w:cs="Times New Roman"/>
          <w:sz w:val="24"/>
          <w:szCs w:val="24"/>
        </w:rPr>
        <w:t>nxitjen e ripërdorimit, riciklimit dhe rikuperimit të mbetjeve inerte, me synim reduktimin e sasive që destinohen për depozitimin final dhe zbatimin e hierarkisë së mbetjeve;</w:t>
      </w:r>
    </w:p>
    <w:p w14:paraId="44D45348" w14:textId="4AF5836A" w:rsidR="001109C7" w:rsidRPr="00011E77" w:rsidRDefault="001109C7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lastRenderedPageBreak/>
        <w:t xml:space="preserve">Neni </w:t>
      </w:r>
      <w:r w:rsidR="00AE2D58"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3</w:t>
      </w:r>
    </w:p>
    <w:p w14:paraId="208BCAB3" w14:textId="77777777" w:rsidR="001109C7" w:rsidRPr="00011E77" w:rsidRDefault="001109C7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Përkufizime</w:t>
      </w:r>
    </w:p>
    <w:p w14:paraId="2DEBEAD4" w14:textId="77777777" w:rsidR="001109C7" w:rsidRPr="00011E77" w:rsidRDefault="001109C7" w:rsidP="00B059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Përveç përkufizimeve të parashikuara në ligjin nr. 57/2025, në kuptim të këtij vendimi, termat e mëposhtëm kanë këto kuptime:</w:t>
      </w:r>
    </w:p>
    <w:p w14:paraId="7869F758" w14:textId="77777777" w:rsidR="00C373B9" w:rsidRDefault="001109C7" w:rsidP="005B027C">
      <w:pPr>
        <w:pStyle w:val="ListParagraph"/>
        <w:numPr>
          <w:ilvl w:val="0"/>
          <w:numId w:val="58"/>
        </w:numPr>
        <w:spacing w:before="100" w:beforeAutospacing="1" w:after="0" w:line="240" w:lineRule="auto"/>
        <w:ind w:left="54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373B9">
        <w:rPr>
          <w:rFonts w:ascii="Times New Roman" w:eastAsia="Times New Roman" w:hAnsi="Times New Roman" w:cs="Times New Roman"/>
          <w:sz w:val="24"/>
          <w:szCs w:val="24"/>
          <w:lang w:eastAsia="sq-AL"/>
        </w:rPr>
        <w:t>“venddepozitim i përkohshëm i mbetjeve inerte” është një vendndodhje e autorizuar për depozitimin e kontrolluar, të kufizuar në kohë dhe në kapacitet, vetëm të mbetjeve inerte, deri në ndërtimin dhe vënien në funksion të landfill-it rajonal përkatës;</w:t>
      </w:r>
    </w:p>
    <w:p w14:paraId="55BAA17D" w14:textId="10526B2E" w:rsidR="006533E4" w:rsidRPr="00B32C79" w:rsidRDefault="006533E4" w:rsidP="005B027C">
      <w:pPr>
        <w:pStyle w:val="ListParagraph"/>
        <w:numPr>
          <w:ilvl w:val="0"/>
          <w:numId w:val="58"/>
        </w:numPr>
        <w:spacing w:after="0" w:line="240" w:lineRule="auto"/>
        <w:ind w:left="54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C7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056D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32C79">
        <w:rPr>
          <w:rFonts w:ascii="Times New Roman" w:eastAsia="Times New Roman" w:hAnsi="Times New Roman" w:cs="Times New Roman"/>
          <w:sz w:val="24"/>
          <w:szCs w:val="24"/>
        </w:rPr>
        <w:t>perator” është çdo person</w:t>
      </w:r>
      <w:r w:rsidR="00F65F13">
        <w:rPr>
          <w:rFonts w:ascii="Times New Roman" w:eastAsia="Times New Roman" w:hAnsi="Times New Roman" w:cs="Times New Roman"/>
          <w:sz w:val="24"/>
          <w:szCs w:val="24"/>
        </w:rPr>
        <w:t xml:space="preserve"> fizik apo</w:t>
      </w:r>
      <w:r w:rsidRPr="00B32C79">
        <w:rPr>
          <w:rFonts w:ascii="Times New Roman" w:eastAsia="Times New Roman" w:hAnsi="Times New Roman" w:cs="Times New Roman"/>
          <w:sz w:val="24"/>
          <w:szCs w:val="24"/>
        </w:rPr>
        <w:t xml:space="preserve"> juridik që aplikon për ngritjen dhe/ose operimin e venddepozitimit të përkohshëm të mbetjeve inerte dhe që mban përgjegjësinë për përmbushjen e kërkesave teknike, mjedisore dhe administrative të këtij vendimi, përfshirë AKEM sh.a., kur kjo shoqëri vepron si operator në këtë funksion.</w:t>
      </w:r>
    </w:p>
    <w:p w14:paraId="5A750368" w14:textId="4B4C029C" w:rsidR="004F7C83" w:rsidRPr="00E46C66" w:rsidRDefault="001056D6" w:rsidP="005B027C">
      <w:pPr>
        <w:pStyle w:val="ListParagraph"/>
        <w:numPr>
          <w:ilvl w:val="0"/>
          <w:numId w:val="58"/>
        </w:numPr>
        <w:spacing w:after="0" w:line="240" w:lineRule="auto"/>
        <w:ind w:left="54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“</w:t>
      </w:r>
      <w:r w:rsidR="001109C7" w:rsidRPr="00456203">
        <w:rPr>
          <w:rFonts w:ascii="Times New Roman" w:eastAsia="Times New Roman" w:hAnsi="Times New Roman" w:cs="Times New Roman"/>
          <w:sz w:val="24"/>
          <w:szCs w:val="24"/>
          <w:lang w:eastAsia="sq-AL"/>
        </w:rPr>
        <w:t>plani i menaxhimit të venddepozitimit” është dokumenti teknik dhe administrativ që përcakton mënyrën e funksionimit, kontrollit, sigurisë, monitorimit, mbylljes dhe rehabilitimit të venddepozitimit;</w:t>
      </w:r>
    </w:p>
    <w:p w14:paraId="4E9C8A87" w14:textId="1C6713D3" w:rsidR="001109C7" w:rsidRPr="004F7C83" w:rsidRDefault="001056D6" w:rsidP="005B027C">
      <w:pPr>
        <w:pStyle w:val="ListParagraph"/>
        <w:spacing w:before="100" w:beforeAutospacing="1" w:after="0" w:line="240" w:lineRule="auto"/>
        <w:ind w:left="54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ç</w:t>
      </w:r>
      <w:r w:rsidR="001109C7" w:rsidRPr="004F7C83">
        <w:rPr>
          <w:rFonts w:ascii="Times New Roman" w:eastAsia="Times New Roman" w:hAnsi="Times New Roman" w:cs="Times New Roman"/>
          <w:sz w:val="24"/>
          <w:szCs w:val="24"/>
          <w:lang w:eastAsia="sq-AL"/>
        </w:rPr>
        <w:t>) “mbyllje</w:t>
      </w:r>
      <w:r w:rsidR="005F516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” </w:t>
      </w:r>
      <w:r w:rsidR="001109C7" w:rsidRPr="004F7C83">
        <w:rPr>
          <w:rFonts w:ascii="Times New Roman" w:eastAsia="Times New Roman" w:hAnsi="Times New Roman" w:cs="Times New Roman"/>
          <w:sz w:val="24"/>
          <w:szCs w:val="24"/>
          <w:lang w:eastAsia="sq-AL"/>
        </w:rPr>
        <w:t>është ndërprerja e përhershme e pranimit të mbetjeve</w:t>
      </w:r>
      <w:r w:rsidR="00690E3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inerte</w:t>
      </w:r>
      <w:r w:rsidR="001109C7" w:rsidRPr="004F7C8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dhe zbatimi i masave teknike, mjedisore dhe administrative për , sigurimin</w:t>
      </w:r>
      <w:r w:rsidR="00D926B4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 mbylljes </w:t>
      </w:r>
      <w:r w:rsidR="001109C7" w:rsidRPr="004F7C8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dhe rehabilitimin e </w:t>
      </w:r>
      <w:r w:rsidR="00D926B4">
        <w:rPr>
          <w:rFonts w:ascii="Times New Roman" w:eastAsia="Times New Roman" w:hAnsi="Times New Roman" w:cs="Times New Roman"/>
          <w:sz w:val="24"/>
          <w:szCs w:val="24"/>
          <w:lang w:eastAsia="sq-AL"/>
        </w:rPr>
        <w:t>sip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D926B4">
        <w:rPr>
          <w:rFonts w:ascii="Times New Roman" w:eastAsia="Times New Roman" w:hAnsi="Times New Roman" w:cs="Times New Roman"/>
          <w:sz w:val="24"/>
          <w:szCs w:val="24"/>
          <w:lang w:eastAsia="sq-AL"/>
        </w:rPr>
        <w:t>rfaqes s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D926B4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venddepozitimit</w:t>
      </w:r>
      <w:r w:rsidR="001109C7" w:rsidRPr="004F7C83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6FA7768A" w14:textId="5521DA9B" w:rsidR="00002921" w:rsidRPr="00011E77" w:rsidRDefault="00002921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KREU II</w:t>
      </w:r>
    </w:p>
    <w:p w14:paraId="098715C6" w14:textId="1847890B" w:rsidR="00884B4D" w:rsidRPr="00011E77" w:rsidRDefault="00884B4D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KËRKESAT TEKNIKE</w:t>
      </w:r>
      <w:r w:rsidR="00561D8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</w:t>
      </w: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PËR VENDDEPOZITIMET E PËRKOHSHME</w:t>
      </w:r>
    </w:p>
    <w:p w14:paraId="534DD1A1" w14:textId="02A44FAA" w:rsidR="001109C7" w:rsidRPr="00011E77" w:rsidRDefault="001109C7" w:rsidP="005B027C">
      <w:pPr>
        <w:spacing w:before="100" w:beforeAutospacing="1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AE2D58"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4</w:t>
      </w:r>
    </w:p>
    <w:p w14:paraId="728D2F80" w14:textId="793D2E12" w:rsidR="00011E77" w:rsidRPr="00B059D7" w:rsidRDefault="009A5797" w:rsidP="005B027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Kërkesat</w:t>
      </w:r>
      <w:r w:rsidR="00AE2D58" w:rsidRPr="00B059D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</w:t>
      </w:r>
      <w:r w:rsidR="00B40392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teknike p</w:t>
      </w:r>
      <w:r w:rsidR="00CA7478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ë</w:t>
      </w:r>
      <w:r w:rsidR="00B40392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r</w:t>
      </w:r>
      <w:r w:rsidR="00AE2D58" w:rsidRPr="00B059D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nd</w:t>
      </w:r>
      <w:r w:rsidR="00C34F19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ë</w:t>
      </w:r>
      <w:r w:rsidR="00AE2D58" w:rsidRPr="00B059D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rtimit</w:t>
      </w:r>
      <w:r w:rsidR="0027747E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dhe operimit</w:t>
      </w:r>
    </w:p>
    <w:p w14:paraId="19F84878" w14:textId="77777777" w:rsidR="00F50A04" w:rsidRPr="00B059D7" w:rsidRDefault="00F50A04" w:rsidP="00D46CE8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Venddepozitimet e përkohshme të mbetjeve inerte nd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rtohen kur provohet se:</w:t>
      </w:r>
    </w:p>
    <w:p w14:paraId="6500E7DA" w14:textId="77777777" w:rsidR="00F50A04" w:rsidRPr="00011E77" w:rsidRDefault="00F50A04" w:rsidP="005B027C">
      <w:pPr>
        <w:pStyle w:val="ListParagraph"/>
        <w:numPr>
          <w:ilvl w:val="0"/>
          <w:numId w:val="5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mungon ose nuk është ende funksionale infrastruktura rajonale përfundimtare për depozitimin e mbetjeve inerte;</w:t>
      </w:r>
    </w:p>
    <w:p w14:paraId="10505B85" w14:textId="77777777" w:rsidR="00F50A04" w:rsidRPr="00011E77" w:rsidRDefault="00F50A04" w:rsidP="005B027C">
      <w:pPr>
        <w:pStyle w:val="ListParagraph"/>
        <w:numPr>
          <w:ilvl w:val="0"/>
          <w:numId w:val="5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zgjidhja e propozuar ka karakter kalimtar dhe nuk cenon detyrimin për ndërtimin e infrastrukturës rajonale përfundimtare;</w:t>
      </w:r>
    </w:p>
    <w:p w14:paraId="75D3AC71" w14:textId="02F22445" w:rsidR="00F50A04" w:rsidRPr="00011E77" w:rsidRDefault="001056D6" w:rsidP="005B027C">
      <w:pPr>
        <w:pStyle w:val="ListParagraph"/>
        <w:numPr>
          <w:ilvl w:val="0"/>
          <w:numId w:val="5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v</w:t>
      </w:r>
      <w:r w:rsidR="00F50A04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endndodhja e propozuar ndodhet;</w:t>
      </w:r>
    </w:p>
    <w:p w14:paraId="548B74EB" w14:textId="2AD13E69" w:rsidR="00F50A04" w:rsidRPr="00C36BCB" w:rsidRDefault="00F50A04" w:rsidP="00D46CE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36BCB">
        <w:rPr>
          <w:rFonts w:ascii="Times New Roman" w:eastAsia="Times New Roman" w:hAnsi="Times New Roman" w:cs="Times New Roman"/>
          <w:sz w:val="24"/>
          <w:szCs w:val="24"/>
          <w:lang w:eastAsia="sq-AL"/>
        </w:rPr>
        <w:t>jashtë zonave të mbrojtura, arkeologjike, turistike apo në çdo zonë që mbrohet me një akt normativ;</w:t>
      </w:r>
    </w:p>
    <w:p w14:paraId="05113D9B" w14:textId="50F3AE4D" w:rsidR="00F50A04" w:rsidRPr="00C36BCB" w:rsidRDefault="00F50A04" w:rsidP="00D46CE8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36BCB">
        <w:rPr>
          <w:rFonts w:ascii="Times New Roman" w:eastAsia="Times New Roman" w:hAnsi="Times New Roman" w:cs="Times New Roman"/>
          <w:sz w:val="24"/>
          <w:szCs w:val="24"/>
          <w:lang w:eastAsia="sq-AL"/>
        </w:rPr>
        <w:t>në distancë 300 metra nga një pus furnizues me ujë dhe çdo burim tjetër ujor;</w:t>
      </w:r>
    </w:p>
    <w:p w14:paraId="01751BCF" w14:textId="2F72B10A" w:rsidR="00F50A04" w:rsidRPr="00C36BCB" w:rsidRDefault="00F50A04" w:rsidP="00D46CE8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36BCB">
        <w:rPr>
          <w:rFonts w:ascii="Times New Roman" w:eastAsia="Times New Roman" w:hAnsi="Times New Roman" w:cs="Times New Roman"/>
          <w:sz w:val="24"/>
          <w:szCs w:val="24"/>
          <w:lang w:eastAsia="sq-AL"/>
        </w:rPr>
        <w:t>në distancë 100 metra nga një përrua, argjinaturë lumore, liqen, lum ose kompleks ligatinor;</w:t>
      </w:r>
    </w:p>
    <w:p w14:paraId="04B88608" w14:textId="5DFEAA24" w:rsidR="00F50A04" w:rsidRPr="00C36BCB" w:rsidRDefault="00F50A04" w:rsidP="00D46CE8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36BCB">
        <w:rPr>
          <w:rFonts w:ascii="Times New Roman" w:eastAsia="Times New Roman" w:hAnsi="Times New Roman" w:cs="Times New Roman"/>
          <w:sz w:val="24"/>
          <w:szCs w:val="24"/>
          <w:lang w:eastAsia="sq-AL"/>
        </w:rPr>
        <w:t>në distancë 300 metra nga një zonë e mbrojtur në përputhje me shkronjën “i”.</w:t>
      </w:r>
    </w:p>
    <w:p w14:paraId="35FA8C5E" w14:textId="212D5DF4" w:rsidR="00F50A04" w:rsidRPr="00011E77" w:rsidRDefault="001056D6" w:rsidP="001056D6">
      <w:pPr>
        <w:pStyle w:val="ListParagraph"/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ç</w:t>
      </w:r>
      <w:r w:rsidR="005B027C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  </w:t>
      </w:r>
      <w:r w:rsidR="00F50A04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janë parashikuar masa të mjaftueshme për kontrollin e hyrjeve, operimin, monitorimin, 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F50A04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mbylljen dhe rehabilitimin e </w:t>
      </w:r>
      <w:r w:rsidR="0027747E">
        <w:rPr>
          <w:rFonts w:ascii="Times New Roman" w:eastAsia="Times New Roman" w:hAnsi="Times New Roman" w:cs="Times New Roman"/>
          <w:sz w:val="24"/>
          <w:szCs w:val="24"/>
          <w:lang w:eastAsia="sq-AL"/>
        </w:rPr>
        <w:t>territorit t</w:t>
      </w:r>
      <w:r w:rsidR="00242AAA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7747E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venddepozitimit</w:t>
      </w:r>
      <w:r w:rsidR="00F50A04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408833B3" w14:textId="528543ED" w:rsidR="00F50A04" w:rsidRPr="00CA7478" w:rsidRDefault="00F50A04" w:rsidP="00CA747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Ngritj</w:t>
      </w:r>
      <w:r w:rsidR="004B3DD6">
        <w:rPr>
          <w:rFonts w:ascii="Times New Roman" w:eastAsia="Times New Roman" w:hAnsi="Times New Roman" w:cs="Times New Roman"/>
          <w:sz w:val="24"/>
          <w:szCs w:val="24"/>
          <w:lang w:eastAsia="sq-AL"/>
        </w:rPr>
        <w:t>a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 çdo venddepozitimi të përkohshëm </w:t>
      </w:r>
      <w:r w:rsidR="004B3DD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duhet 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të jetë në përputhje </w:t>
      </w:r>
      <w:r w:rsidRP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me parimet e afërsisë, proporcionalitetit dhe leverdisë tekniko-ekonomike.</w:t>
      </w:r>
    </w:p>
    <w:p w14:paraId="20242F6E" w14:textId="6F3BFE58" w:rsidR="00F50A04" w:rsidRPr="0027747E" w:rsidRDefault="00F50A04" w:rsidP="001B4D0A">
      <w:pPr>
        <w:pStyle w:val="ListParagraph"/>
        <w:numPr>
          <w:ilvl w:val="0"/>
          <w:numId w:val="1"/>
        </w:numPr>
        <w:tabs>
          <w:tab w:val="left" w:pos="36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27747E">
        <w:rPr>
          <w:rFonts w:ascii="Times New Roman" w:eastAsia="Times New Roman" w:hAnsi="Times New Roman" w:cs="Times New Roman"/>
          <w:sz w:val="24"/>
          <w:szCs w:val="24"/>
          <w:lang w:eastAsia="sq-AL"/>
        </w:rPr>
        <w:t>Kërkesat minimale teknike që përmbush venddepozitimi i përkohshëm gjatë ndërtimit dhe operimit janë si më poshtë:</w:t>
      </w:r>
    </w:p>
    <w:p w14:paraId="3629CCF4" w14:textId="77777777" w:rsidR="0026269A" w:rsidRDefault="00F50A04" w:rsidP="005B027C">
      <w:pPr>
        <w:pStyle w:val="ListParagraph"/>
        <w:numPr>
          <w:ilvl w:val="0"/>
          <w:numId w:val="6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kufizim fizik dhe identifikim të qartë të perimetrit;</w:t>
      </w:r>
    </w:p>
    <w:p w14:paraId="6A17ADF5" w14:textId="77777777" w:rsidR="0026269A" w:rsidRDefault="00F50A04" w:rsidP="005B027C">
      <w:pPr>
        <w:pStyle w:val="ListParagraph"/>
        <w:numPr>
          <w:ilvl w:val="0"/>
          <w:numId w:val="6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lastRenderedPageBreak/>
        <w:t>hyrje të kontrolluar dhe regjistër të hyrje-daljeve;</w:t>
      </w:r>
    </w:p>
    <w:p w14:paraId="4DF5D28C" w14:textId="1ECDAC28" w:rsidR="00F50A04" w:rsidRPr="00B4603F" w:rsidRDefault="00F50A04" w:rsidP="005B027C">
      <w:pPr>
        <w:pStyle w:val="ListParagraph"/>
        <w:numPr>
          <w:ilvl w:val="0"/>
          <w:numId w:val="6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4603F">
        <w:rPr>
          <w:rFonts w:ascii="Times New Roman" w:eastAsia="Times New Roman" w:hAnsi="Times New Roman" w:cs="Times New Roman"/>
          <w:sz w:val="24"/>
          <w:szCs w:val="24"/>
          <w:lang w:eastAsia="sq-AL"/>
        </w:rPr>
        <w:t>rrugë hyrëse dhe të brendshme të përshtatshme;</w:t>
      </w:r>
    </w:p>
    <w:p w14:paraId="6A9B3147" w14:textId="246D4080" w:rsidR="00F50A04" w:rsidRDefault="003278FD" w:rsidP="005B027C">
      <w:pPr>
        <w:pStyle w:val="ListParagraph"/>
        <w:tabs>
          <w:tab w:val="left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ç</w:t>
      </w:r>
      <w:r w:rsidR="005B027C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</w:t>
      </w:r>
      <w:r w:rsidR="00F50A04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sistem për devijimin dhe menaxhimin e ujërave sipërfaqësore;</w:t>
      </w:r>
    </w:p>
    <w:p w14:paraId="5EBE6AA0" w14:textId="64D9ED92" w:rsidR="00F50A04" w:rsidRPr="0026269A" w:rsidRDefault="00AE410D" w:rsidP="005B027C">
      <w:pPr>
        <w:pStyle w:val="ListParagraph"/>
        <w:numPr>
          <w:ilvl w:val="0"/>
          <w:numId w:val="6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F50A04" w:rsidRPr="0026269A">
        <w:rPr>
          <w:rFonts w:ascii="Times New Roman" w:eastAsia="Times New Roman" w:hAnsi="Times New Roman" w:cs="Times New Roman"/>
          <w:sz w:val="24"/>
          <w:szCs w:val="24"/>
          <w:lang w:eastAsia="sq-AL"/>
        </w:rPr>
        <w:t>masa për kontrollin e pluhurit, baltës dhe shpërndarjes së materialeve;</w:t>
      </w:r>
    </w:p>
    <w:p w14:paraId="4A0D634D" w14:textId="073020BE" w:rsidR="00F50A04" w:rsidRDefault="003278FD" w:rsidP="005B027C">
      <w:pPr>
        <w:pStyle w:val="ListParagraph"/>
        <w:tabs>
          <w:tab w:val="left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dh</w:t>
      </w:r>
      <w:r w:rsidR="005B027C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F50A04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zona të veçanta për kontrollin e ngarkesave të dyshimta dhe refuzimin e tyre;</w:t>
      </w:r>
    </w:p>
    <w:p w14:paraId="7EA75F61" w14:textId="3440896B" w:rsidR="00F50A04" w:rsidRPr="0026269A" w:rsidRDefault="00F50A04" w:rsidP="005B027C">
      <w:pPr>
        <w:pStyle w:val="ListParagraph"/>
        <w:numPr>
          <w:ilvl w:val="0"/>
          <w:numId w:val="6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26269A">
        <w:rPr>
          <w:rFonts w:ascii="Times New Roman" w:eastAsia="Times New Roman" w:hAnsi="Times New Roman" w:cs="Times New Roman"/>
          <w:sz w:val="24"/>
          <w:szCs w:val="24"/>
          <w:lang w:eastAsia="sq-AL"/>
        </w:rPr>
        <w:t>sinjalistikë, rregullore të brendshme dhe masa sigurie;</w:t>
      </w:r>
    </w:p>
    <w:p w14:paraId="76030758" w14:textId="378986E2" w:rsidR="00F50A04" w:rsidRDefault="0059158B" w:rsidP="005B027C">
      <w:pPr>
        <w:pStyle w:val="ListParagraph"/>
        <w:tabs>
          <w:tab w:val="left" w:pos="3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5B027C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="00AE410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F50A04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mjete për shuarjen e zjarrit dhe për ndërhyrje emergjente;</w:t>
      </w:r>
    </w:p>
    <w:p w14:paraId="7CCFFDEF" w14:textId="77777777" w:rsidR="001B4D0A" w:rsidRDefault="001B4D0A" w:rsidP="001B4D0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784A629E" w14:textId="15CDF907" w:rsidR="00011E77" w:rsidRPr="00011E77" w:rsidRDefault="00011E77" w:rsidP="005B027C">
      <w:pPr>
        <w:pStyle w:val="ListParagraph"/>
        <w:spacing w:before="100" w:beforeAutospacing="1" w:line="360" w:lineRule="auto"/>
        <w:ind w:left="360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Neni 5</w:t>
      </w:r>
    </w:p>
    <w:p w14:paraId="58B64D72" w14:textId="77777777" w:rsidR="00011E77" w:rsidRPr="00011E77" w:rsidRDefault="00011E77" w:rsidP="005B027C">
      <w:pPr>
        <w:pStyle w:val="ListParagraph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Normat teknike</w:t>
      </w:r>
    </w:p>
    <w:p w14:paraId="172C9A22" w14:textId="0ADE518B" w:rsidR="00011E77" w:rsidRPr="00011E77" w:rsidRDefault="00D27A49" w:rsidP="006D3086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0" w:line="240" w:lineRule="auto"/>
        <w:ind w:left="1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Norma</w:t>
      </w:r>
      <w:r w:rsidR="00011E7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t teknike</w:t>
      </w:r>
      <w:r w:rsidR="00D87611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p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r venddepozitimet e p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rkohshme t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mbetjeve inerte </w:t>
      </w:r>
      <w:r w:rsidR="00D87611">
        <w:rPr>
          <w:rFonts w:ascii="Times New Roman" w:eastAsia="Times New Roman" w:hAnsi="Times New Roman" w:cs="Times New Roman"/>
          <w:sz w:val="24"/>
          <w:szCs w:val="24"/>
          <w:lang w:eastAsia="sq-AL"/>
        </w:rPr>
        <w:t>q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D87611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zbaton operato</w:t>
      </w:r>
      <w:r w:rsidR="00AF67EB">
        <w:rPr>
          <w:rFonts w:ascii="Times New Roman" w:eastAsia="Times New Roman" w:hAnsi="Times New Roman" w:cs="Times New Roman"/>
          <w:sz w:val="24"/>
          <w:szCs w:val="24"/>
          <w:lang w:eastAsia="sq-AL"/>
        </w:rPr>
        <w:t>ri</w:t>
      </w:r>
      <w:r w:rsidR="00011E7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për projektimin, ndërtimin, organizimin, operimin, monitorimin, mbylljen dhe rehabilitimin e venddepozitimeve të përkohshme të mbetjeve inerte përcaktohen në Aneksin I, bashkëlidhur këtij vendimi dhe pjesë përbërëse e tij.</w:t>
      </w:r>
    </w:p>
    <w:p w14:paraId="2387F53E" w14:textId="022E4FFF" w:rsidR="00011E77" w:rsidRPr="00B32C79" w:rsidRDefault="00011E77" w:rsidP="00E1277C">
      <w:pPr>
        <w:pStyle w:val="ListParagraph"/>
        <w:numPr>
          <w:ilvl w:val="1"/>
          <w:numId w:val="1"/>
        </w:numPr>
        <w:tabs>
          <w:tab w:val="clear" w:pos="1440"/>
          <w:tab w:val="left" w:pos="540"/>
        </w:tabs>
        <w:spacing w:before="100" w:beforeAutospacing="1" w:after="0" w:line="240" w:lineRule="auto"/>
        <w:ind w:left="1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Normat teknike zbatohen në mënyrë proporcionale, duke marrë në konsideratë karakterin e përkohshëm të </w:t>
      </w:r>
      <w:r w:rsidRPr="00DA17CA">
        <w:rPr>
          <w:rFonts w:ascii="Times New Roman" w:eastAsia="Times New Roman" w:hAnsi="Times New Roman" w:cs="Times New Roman"/>
          <w:sz w:val="24"/>
          <w:szCs w:val="24"/>
          <w:lang w:eastAsia="sq-AL"/>
        </w:rPr>
        <w:t>venddepozitimeve</w:t>
      </w:r>
      <w:r w:rsidR="00AF67EB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DA17C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0D1E9717" w14:textId="23189F27" w:rsidR="00E1277C" w:rsidRPr="00E1277C" w:rsidRDefault="008B279A" w:rsidP="008B279A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0" w:line="240" w:lineRule="auto"/>
        <w:ind w:left="1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O</w:t>
      </w:r>
      <w:r w:rsidR="00E1277C" w:rsidRPr="00E1277C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peratori i venddepozitimit të përkohshëm </w:t>
      </w:r>
      <w:r w:rsidR="00E1277C">
        <w:rPr>
          <w:rFonts w:ascii="Times New Roman" w:eastAsia="Times New Roman" w:hAnsi="Times New Roman" w:cs="Times New Roman"/>
          <w:sz w:val="24"/>
          <w:szCs w:val="24"/>
          <w:lang w:eastAsia="sq-AL"/>
        </w:rPr>
        <w:t>siguron</w:t>
      </w:r>
      <w:r w:rsidR="00E1277C" w:rsidRPr="00E1277C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zbatimin praktik të kërkesave të këtij vendimi përmes procedurave dhe udhëzimeve të brendshme operative, të cilat shërbejnë vetëm për administrimin e veprimtarisë dhe nuk zëvendësojnë apo modifikojnë normat teknike të përcaktuara në këtë vendim dhe anekset e ti</w:t>
      </w:r>
      <w:r w:rsidR="00E1277C">
        <w:rPr>
          <w:rFonts w:ascii="Times New Roman" w:eastAsia="Times New Roman" w:hAnsi="Times New Roman" w:cs="Times New Roman"/>
          <w:sz w:val="24"/>
          <w:szCs w:val="24"/>
          <w:lang w:eastAsia="sq-AL"/>
        </w:rPr>
        <w:t>j.</w:t>
      </w:r>
    </w:p>
    <w:p w14:paraId="21463BBE" w14:textId="699713AC" w:rsidR="00067060" w:rsidRPr="00E1277C" w:rsidRDefault="00067060" w:rsidP="00E1277C">
      <w:pPr>
        <w:pStyle w:val="ListParagraph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38F41BDD" w14:textId="16EEC573" w:rsidR="001109C7" w:rsidRPr="00011E77" w:rsidRDefault="001109C7" w:rsidP="005B027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011E77"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6</w:t>
      </w:r>
    </w:p>
    <w:p w14:paraId="07DDC03C" w14:textId="244FFEAE" w:rsidR="001109C7" w:rsidRPr="00011E77" w:rsidRDefault="00AE2D58" w:rsidP="005B027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K</w:t>
      </w:r>
      <w:r w:rsidR="00C34F19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ë</w:t>
      </w: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rkesat p</w:t>
      </w:r>
      <w:r w:rsidR="00C34F19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ë</w:t>
      </w: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r pranimin</w:t>
      </w:r>
      <w:r w:rsid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</w:t>
      </w: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e m</w:t>
      </w:r>
      <w:r w:rsidR="001109C7"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betje</w:t>
      </w: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ve inerte</w:t>
      </w:r>
      <w:r w:rsid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në vend</w:t>
      </w:r>
      <w:r w:rsidR="000C7F26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d</w:t>
      </w:r>
      <w:r w:rsid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epozitimin e përkohshëm</w:t>
      </w:r>
    </w:p>
    <w:p w14:paraId="4E8A770F" w14:textId="6EE42BD5" w:rsidR="001109C7" w:rsidRDefault="001109C7" w:rsidP="00E805B4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Në venddepozitimet e </w:t>
      </w:r>
      <w:r w:rsidRPr="00C210F0">
        <w:rPr>
          <w:rFonts w:ascii="Times New Roman" w:eastAsia="Times New Roman" w:hAnsi="Times New Roman" w:cs="Times New Roman"/>
          <w:sz w:val="24"/>
          <w:szCs w:val="24"/>
          <w:lang w:eastAsia="sq-AL"/>
        </w:rPr>
        <w:t>përkohshme pranohen vetëm mbetje inerte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, sipas përkufizimit të parashikuar në ligjin nr. 57/2025</w:t>
      </w:r>
      <w:r w:rsidR="00AE2D58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, specifikisht</w:t>
      </w:r>
      <w:r w:rsid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="00AE2D58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por pa</w:t>
      </w:r>
      <w:r w:rsid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AE2D58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u kufizuar</w:t>
      </w:r>
      <w:r w:rsid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="00AE2D58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</w:t>
      </w:r>
      <w:r w:rsidR="00C34F1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mbetje </w:t>
      </w:r>
      <w:r w:rsidR="003E39AC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inertesh 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nga ndërtimi dhe shembja, të pastra dhe të papërziera, si dhe gurë, beton, tulla, tjegulla, qeramikë, materiale minerale të ngjashme dhe fraksione të tjera me karakteristikë</w:t>
      </w:r>
      <w:r w:rsidR="002A52C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A52C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ngjashme t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A52C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mbetjeve</w:t>
      </w:r>
      <w:r w:rsidR="00D74831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inerte.</w:t>
      </w:r>
    </w:p>
    <w:p w14:paraId="24E009F4" w14:textId="5D1D074B" w:rsidR="00AE2D58" w:rsidRPr="00011E77" w:rsidRDefault="001109C7" w:rsidP="00E805B4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Mbetjet duhet të jenë, </w:t>
      </w:r>
      <w:r w:rsidR="00AE2D58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p</w:t>
      </w:r>
      <w:r w:rsidR="00C34F1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AE2D58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r 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sa </w:t>
      </w:r>
      <w:r w:rsidR="00AE2D58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C34F1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AE2D58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sht</w:t>
      </w:r>
      <w:r w:rsidR="00C34F1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teknikisht e mundur</w:t>
      </w:r>
      <w:r w:rsid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:</w:t>
      </w:r>
    </w:p>
    <w:p w14:paraId="31064C92" w14:textId="7B01443F" w:rsidR="001109C7" w:rsidRPr="00E805B4" w:rsidRDefault="001109C7" w:rsidP="00D46CE8">
      <w:pPr>
        <w:pStyle w:val="ListParagraph"/>
        <w:numPr>
          <w:ilvl w:val="1"/>
          <w:numId w:val="3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E805B4">
        <w:rPr>
          <w:rFonts w:ascii="Times New Roman" w:eastAsia="Times New Roman" w:hAnsi="Times New Roman" w:cs="Times New Roman"/>
          <w:sz w:val="24"/>
          <w:szCs w:val="24"/>
          <w:lang w:eastAsia="sq-AL"/>
        </w:rPr>
        <w:t>të ndara në burim dhe të mos përmbajnë përzierje me materiale të rrezikshme, djegëse, biodegraduese ose me materiale të tjera që kërkojnë trajtim të posaçëm.</w:t>
      </w:r>
    </w:p>
    <w:p w14:paraId="5A638D2A" w14:textId="57698EA2" w:rsidR="00231D56" w:rsidRPr="00E805B4" w:rsidRDefault="00231D56" w:rsidP="00D46CE8">
      <w:pPr>
        <w:pStyle w:val="ListParagraph"/>
        <w:numPr>
          <w:ilvl w:val="1"/>
          <w:numId w:val="35"/>
        </w:num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E805B4">
        <w:rPr>
          <w:rFonts w:ascii="Times New Roman" w:eastAsia="Times New Roman" w:hAnsi="Times New Roman" w:cs="Times New Roman"/>
          <w:sz w:val="24"/>
          <w:szCs w:val="24"/>
          <w:lang w:eastAsia="sq-AL"/>
        </w:rPr>
        <w:t>të ndara dhe të mos përmbajnë fraksione të riciklueshme ose të ripërdorshme, në përputhje me parimin e hierarkisë së mbetjeve dhe objektivat për ekonominë qarkulluese.</w:t>
      </w:r>
    </w:p>
    <w:p w14:paraId="75DC3D89" w14:textId="1DC501A0" w:rsidR="00FE6BA5" w:rsidRDefault="00FE6BA5" w:rsidP="00E805B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Mbetjet identifikohen dhe klasifikohen sipas katalogut kombëtar të klasifikimit të mbetjeve, në përputhje me legjislacionin në fuqi</w:t>
      </w:r>
      <w:r w:rsidR="00846D0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</w:t>
      </w:r>
      <w:r w:rsidR="0059519B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46D05">
        <w:rPr>
          <w:rFonts w:ascii="Times New Roman" w:eastAsia="Times New Roman" w:hAnsi="Times New Roman" w:cs="Times New Roman"/>
          <w:sz w:val="24"/>
          <w:szCs w:val="24"/>
          <w:lang w:eastAsia="sq-AL"/>
        </w:rPr>
        <w:t>r mbetjet</w:t>
      </w:r>
      <w:r w:rsidR="000101E2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6D229331" w14:textId="77777777" w:rsidR="003C0FA2" w:rsidRDefault="001109C7" w:rsidP="00067060">
      <w:pPr>
        <w:numPr>
          <w:ilvl w:val="0"/>
          <w:numId w:val="2"/>
        </w:numPr>
        <w:tabs>
          <w:tab w:val="clear" w:pos="720"/>
          <w:tab w:val="num" w:pos="360"/>
        </w:tabs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Ndalohet</w:t>
      </w:r>
      <w:r w:rsid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:</w:t>
      </w:r>
      <w:r w:rsidR="0006706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5A706C29" w14:textId="3E933E82" w:rsidR="001109C7" w:rsidRPr="00B32C79" w:rsidRDefault="001109C7" w:rsidP="000E1697">
      <w:pPr>
        <w:pStyle w:val="ListParagraph"/>
        <w:numPr>
          <w:ilvl w:val="0"/>
          <w:numId w:val="47"/>
        </w:numPr>
        <w:spacing w:after="0" w:line="23" w:lineRule="atLeast"/>
        <w:ind w:left="72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pranimi në venddepozitimet e përkohshme </w:t>
      </w:r>
      <w:r w:rsidR="00067060"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>i</w:t>
      </w:r>
      <w:r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>:</w:t>
      </w:r>
    </w:p>
    <w:p w14:paraId="55C7D58C" w14:textId="1C25E7C5" w:rsidR="00AE2D58" w:rsidRPr="00011E77" w:rsidRDefault="001109C7" w:rsidP="00067060">
      <w:pPr>
        <w:pStyle w:val="ListParagraph"/>
        <w:numPr>
          <w:ilvl w:val="0"/>
          <w:numId w:val="20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mbetjeve të rrezikshme;</w:t>
      </w:r>
    </w:p>
    <w:p w14:paraId="76693702" w14:textId="75392503" w:rsidR="00AE2D58" w:rsidRPr="00011E77" w:rsidRDefault="001109C7" w:rsidP="00067060">
      <w:pPr>
        <w:pStyle w:val="ListParagraph"/>
        <w:numPr>
          <w:ilvl w:val="0"/>
          <w:numId w:val="20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mbetjeve bashkiake;</w:t>
      </w:r>
    </w:p>
    <w:p w14:paraId="2E7B1EB5" w14:textId="2C4DE9FD" w:rsidR="00AE2D58" w:rsidRPr="00011E77" w:rsidRDefault="001109C7" w:rsidP="00067060">
      <w:pPr>
        <w:pStyle w:val="ListParagraph"/>
        <w:numPr>
          <w:ilvl w:val="0"/>
          <w:numId w:val="20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mbetjeve bio ose biodegraduese;</w:t>
      </w:r>
    </w:p>
    <w:p w14:paraId="20192DA8" w14:textId="51C6EB32" w:rsidR="00AE2D58" w:rsidRPr="00011E77" w:rsidRDefault="001109C7" w:rsidP="00067060">
      <w:pPr>
        <w:pStyle w:val="ListParagraph"/>
        <w:numPr>
          <w:ilvl w:val="0"/>
          <w:numId w:val="20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mbetjeve të lëngshme dhe </w:t>
      </w:r>
      <w:r w:rsidR="002A2833"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="00242AAA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A283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llumrave;</w:t>
      </w:r>
    </w:p>
    <w:p w14:paraId="3D7CDDEA" w14:textId="28677A53" w:rsidR="00AE2D58" w:rsidRPr="00011E77" w:rsidRDefault="001109C7" w:rsidP="00067060">
      <w:pPr>
        <w:pStyle w:val="ListParagraph"/>
        <w:numPr>
          <w:ilvl w:val="0"/>
          <w:numId w:val="20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mbetjeve që përmbajnë azbest, PCB/PCT, substanca të rrezikshme ose ndotës organikë të qëndrueshëm;</w:t>
      </w:r>
    </w:p>
    <w:p w14:paraId="6DB377FD" w14:textId="24CC825E" w:rsidR="00AE2D58" w:rsidRPr="00011E77" w:rsidRDefault="001109C7" w:rsidP="00067060">
      <w:pPr>
        <w:pStyle w:val="ListParagraph"/>
        <w:numPr>
          <w:ilvl w:val="0"/>
          <w:numId w:val="20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lastRenderedPageBreak/>
        <w:t>mbetjeve të djegshme, shpërthyese, oksiduese ose gërryese;</w:t>
      </w:r>
    </w:p>
    <w:p w14:paraId="4FE98C02" w14:textId="54B21D2C" w:rsidR="00AE2D58" w:rsidRPr="00011E77" w:rsidRDefault="001109C7" w:rsidP="00067060">
      <w:pPr>
        <w:pStyle w:val="ListParagraph"/>
        <w:numPr>
          <w:ilvl w:val="0"/>
          <w:numId w:val="20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gomave, automjeteve në fund të jetës, baterive, pajisjeve elektrike dhe elektronike</w:t>
      </w:r>
      <w:r w:rsidR="00AE2D58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;</w:t>
      </w:r>
    </w:p>
    <w:p w14:paraId="36817FAF" w14:textId="501616B2" w:rsidR="00AE2D58" w:rsidRPr="00011E77" w:rsidRDefault="001109C7" w:rsidP="00067060">
      <w:pPr>
        <w:pStyle w:val="ListParagraph"/>
        <w:numPr>
          <w:ilvl w:val="0"/>
          <w:numId w:val="20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mbetjeve të përziera nga ndërtimi dhe shembja që nuk janë verifikuar ose ndarë paraprakisht;</w:t>
      </w:r>
    </w:p>
    <w:p w14:paraId="25F23E2F" w14:textId="5A01D607" w:rsidR="001109C7" w:rsidRPr="00B059D7" w:rsidRDefault="001109C7" w:rsidP="00067060">
      <w:pPr>
        <w:pStyle w:val="ListParagraph"/>
        <w:numPr>
          <w:ilvl w:val="0"/>
          <w:numId w:val="20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çdo </w:t>
      </w:r>
      <w:r w:rsidR="00C560E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lloj </w:t>
      </w: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mbetje</w:t>
      </w:r>
      <w:r w:rsidR="00C560E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tjetër që nuk përmbush kriteret e </w:t>
      </w:r>
      <w:r w:rsidR="00C560E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mbetjeve </w:t>
      </w: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inert</w:t>
      </w:r>
      <w:r w:rsidR="00DA62A5">
        <w:rPr>
          <w:rFonts w:ascii="Times New Roman" w:eastAsia="Times New Roman" w:hAnsi="Times New Roman" w:cs="Times New Roman"/>
          <w:sz w:val="24"/>
          <w:szCs w:val="24"/>
          <w:lang w:eastAsia="sq-AL"/>
        </w:rPr>
        <w:t>e</w:t>
      </w: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0594E013" w14:textId="33448C89" w:rsidR="00AE2D58" w:rsidRPr="00011E77" w:rsidRDefault="001109C7" w:rsidP="000E1697">
      <w:pPr>
        <w:pStyle w:val="ListParagraph"/>
        <w:numPr>
          <w:ilvl w:val="0"/>
          <w:numId w:val="47"/>
        </w:numPr>
        <w:spacing w:after="0" w:line="23" w:lineRule="atLeast"/>
        <w:ind w:left="720" w:hanging="270"/>
        <w:jc w:val="both"/>
        <w:rPr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hollimi, përzierja ose </w:t>
      </w:r>
      <w:r w:rsidR="00DA62A5">
        <w:rPr>
          <w:rFonts w:ascii="Times New Roman" w:eastAsia="Times New Roman" w:hAnsi="Times New Roman" w:cs="Times New Roman"/>
          <w:sz w:val="24"/>
          <w:szCs w:val="24"/>
          <w:lang w:eastAsia="sq-AL"/>
        </w:rPr>
        <w:t>fshehja</w:t>
      </w:r>
      <w:r w:rsidR="00DA62A5"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180258">
        <w:rPr>
          <w:rFonts w:ascii="Times New Roman" w:eastAsia="Times New Roman" w:hAnsi="Times New Roman" w:cs="Times New Roman"/>
          <w:sz w:val="24"/>
          <w:szCs w:val="24"/>
          <w:lang w:eastAsia="sq-AL"/>
        </w:rPr>
        <w:t>e</w:t>
      </w:r>
      <w:r w:rsidR="00180258"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mbetjeve me qëllim paraqitjen e tyre si mbetje inerte</w:t>
      </w:r>
      <w:r w:rsid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;</w:t>
      </w:r>
    </w:p>
    <w:p w14:paraId="209E418D" w14:textId="67D04360" w:rsidR="00FE6BA5" w:rsidRDefault="00011E77" w:rsidP="000E1697">
      <w:pPr>
        <w:pStyle w:val="ListParagraph"/>
        <w:numPr>
          <w:ilvl w:val="0"/>
          <w:numId w:val="47"/>
        </w:numPr>
        <w:tabs>
          <w:tab w:val="left" w:pos="540"/>
        </w:tabs>
        <w:spacing w:after="0" w:line="23" w:lineRule="atLeast"/>
        <w:ind w:left="72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FE6BA5"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paraqitja, deklarimi ose trajtimi i materialeve si mbetje inerte kur ato përbëjnë lëndë të parë ose produkt, me qëllim shmangien e kërkesave ligjore përkatëse</w:t>
      </w: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58ACD233" w14:textId="732D9F58" w:rsidR="00B7040C" w:rsidRPr="00B7040C" w:rsidRDefault="00B7040C" w:rsidP="007737DA">
      <w:pPr>
        <w:spacing w:after="0" w:line="23" w:lineRule="atLeast"/>
        <w:ind w:left="27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>ç</w:t>
      </w:r>
      <w:r w:rsidR="000E1697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="000D4B7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</w:t>
      </w:r>
      <w:r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>djegia e mbetjeve;</w:t>
      </w:r>
    </w:p>
    <w:p w14:paraId="6553FDC5" w14:textId="07A346B0" w:rsidR="00B7040C" w:rsidRPr="00B7040C" w:rsidRDefault="00B7040C" w:rsidP="000E1697">
      <w:pPr>
        <w:pStyle w:val="ListParagraph"/>
        <w:numPr>
          <w:ilvl w:val="0"/>
          <w:numId w:val="47"/>
        </w:numPr>
        <w:spacing w:after="0" w:line="23" w:lineRule="atLeast"/>
        <w:ind w:left="72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>përzierja e mbetjeve inerte me mbetje të tjera;</w:t>
      </w:r>
    </w:p>
    <w:p w14:paraId="19BCB3C8" w14:textId="6ACE78DB" w:rsidR="00B7040C" w:rsidRPr="00B7040C" w:rsidRDefault="00B7040C" w:rsidP="007737DA">
      <w:pPr>
        <w:spacing w:after="0" w:line="23" w:lineRule="atLeast"/>
        <w:ind w:left="81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dh) </w:t>
      </w:r>
      <w:r w:rsidR="000D4B7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>depozitimi i mbetjeve jashtë perimetrit të miratuar;</w:t>
      </w:r>
    </w:p>
    <w:p w14:paraId="6169F106" w14:textId="3BB5B163" w:rsidR="00B7040C" w:rsidRPr="00B7040C" w:rsidRDefault="00B7040C" w:rsidP="000E1697">
      <w:pPr>
        <w:pStyle w:val="ListParagraph"/>
        <w:numPr>
          <w:ilvl w:val="0"/>
          <w:numId w:val="47"/>
        </w:numPr>
        <w:spacing w:after="0" w:line="23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nxjerrja e </w:t>
      </w:r>
      <w:r w:rsidR="00D119EA">
        <w:rPr>
          <w:rFonts w:ascii="Times New Roman" w:eastAsia="Times New Roman" w:hAnsi="Times New Roman" w:cs="Times New Roman"/>
          <w:sz w:val="24"/>
          <w:szCs w:val="24"/>
          <w:lang w:eastAsia="sq-AL"/>
        </w:rPr>
        <w:t>mbetjeve</w:t>
      </w:r>
      <w:r w:rsidR="00D119EA"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>pa autorizim dhe pa regjistrim;</w:t>
      </w:r>
    </w:p>
    <w:p w14:paraId="7B9C0B01" w14:textId="7D2DF42F" w:rsidR="00B7040C" w:rsidRPr="00B7040C" w:rsidRDefault="00B7040C" w:rsidP="007737DA">
      <w:pPr>
        <w:spacing w:after="0" w:line="23" w:lineRule="atLeast"/>
        <w:ind w:left="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0D4B7D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0D4B7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>përdorimi i venddepozitimit për qëllime të tjera nga ato të parashikuara në këtë vendim;</w:t>
      </w:r>
    </w:p>
    <w:p w14:paraId="520E23E4" w14:textId="1B58A3EC" w:rsidR="001056C3" w:rsidRDefault="00561D87" w:rsidP="000E1697">
      <w:pPr>
        <w:pStyle w:val="ListParagraph"/>
        <w:numPr>
          <w:ilvl w:val="0"/>
          <w:numId w:val="47"/>
        </w:numPr>
        <w:spacing w:after="0" w:line="23" w:lineRule="atLeast"/>
        <w:ind w:left="72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="00B7040C" w:rsidRPr="00B7040C">
        <w:rPr>
          <w:rFonts w:ascii="Times New Roman" w:eastAsia="Times New Roman" w:hAnsi="Times New Roman" w:cs="Times New Roman"/>
          <w:sz w:val="24"/>
          <w:szCs w:val="24"/>
          <w:lang w:eastAsia="sq-AL"/>
        </w:rPr>
        <w:t>ransferimi i menaxhimit te subjekte të treta pa miratim dhe pa përmbushjen e kushteve ligjore.</w:t>
      </w:r>
    </w:p>
    <w:p w14:paraId="4E572D29" w14:textId="4462F1F0" w:rsidR="002A2833" w:rsidRPr="002A2833" w:rsidRDefault="00011E77" w:rsidP="002A283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Çdo ngarkesë mbetjesh inerte që pranohet në venddepozitim shoqërohet me dokument transferimi, sipas legjislacionit në fuqi për mbetjet jo të rrezikshme.</w:t>
      </w:r>
    </w:p>
    <w:p w14:paraId="47EC2482" w14:textId="77777777" w:rsidR="00011E77" w:rsidRPr="00011E77" w:rsidRDefault="00011E77" w:rsidP="007A14E1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Dokumentacioni duhet të përmbajë, të paktën:</w:t>
      </w:r>
    </w:p>
    <w:p w14:paraId="2DCCE392" w14:textId="77777777" w:rsidR="00B36D7B" w:rsidRDefault="00011E77" w:rsidP="00D46CE8">
      <w:pPr>
        <w:pStyle w:val="ListParagraph"/>
        <w:numPr>
          <w:ilvl w:val="1"/>
          <w:numId w:val="34"/>
        </w:num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6D7B">
        <w:rPr>
          <w:rFonts w:ascii="Times New Roman" w:eastAsia="Times New Roman" w:hAnsi="Times New Roman" w:cs="Times New Roman"/>
          <w:sz w:val="24"/>
          <w:szCs w:val="24"/>
          <w:lang w:eastAsia="sq-AL"/>
        </w:rPr>
        <w:t>identitetin e mbajtësit të mbetjeve;</w:t>
      </w:r>
    </w:p>
    <w:p w14:paraId="191D6ADE" w14:textId="77777777" w:rsidR="00B36D7B" w:rsidRDefault="00011E77" w:rsidP="00D46CE8">
      <w:pPr>
        <w:pStyle w:val="ListParagraph"/>
        <w:numPr>
          <w:ilvl w:val="1"/>
          <w:numId w:val="34"/>
        </w:num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6D7B">
        <w:rPr>
          <w:rFonts w:ascii="Times New Roman" w:eastAsia="Times New Roman" w:hAnsi="Times New Roman" w:cs="Times New Roman"/>
          <w:sz w:val="24"/>
          <w:szCs w:val="24"/>
          <w:lang w:eastAsia="sq-AL"/>
        </w:rPr>
        <w:t>vendin e origjinës;</w:t>
      </w:r>
    </w:p>
    <w:p w14:paraId="32072176" w14:textId="77777777" w:rsidR="00B36D7B" w:rsidRDefault="00011E77" w:rsidP="00D46CE8">
      <w:pPr>
        <w:pStyle w:val="ListParagraph"/>
        <w:numPr>
          <w:ilvl w:val="1"/>
          <w:numId w:val="34"/>
        </w:num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6D7B">
        <w:rPr>
          <w:rFonts w:ascii="Times New Roman" w:eastAsia="Times New Roman" w:hAnsi="Times New Roman" w:cs="Times New Roman"/>
          <w:sz w:val="24"/>
          <w:szCs w:val="24"/>
          <w:lang w:eastAsia="sq-AL"/>
        </w:rPr>
        <w:t>llojin dhe kodin e mbetjes, kur është i identifikueshëm;</w:t>
      </w:r>
    </w:p>
    <w:p w14:paraId="11297B13" w14:textId="16343678" w:rsidR="00B36D7B" w:rsidRDefault="00EB4BBA" w:rsidP="00EB4BBA">
      <w:pPr>
        <w:pStyle w:val="ListParagraph"/>
        <w:spacing w:after="0" w:line="240" w:lineRule="auto"/>
        <w:ind w:left="630" w:hanging="36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ç</w:t>
      </w:r>
      <w:r w:rsidR="0071608C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  </w:t>
      </w:r>
      <w:r w:rsidR="00011E77" w:rsidRPr="00B36D7B">
        <w:rPr>
          <w:rFonts w:ascii="Times New Roman" w:eastAsia="Times New Roman" w:hAnsi="Times New Roman" w:cs="Times New Roman"/>
          <w:sz w:val="24"/>
          <w:szCs w:val="24"/>
          <w:lang w:eastAsia="sq-AL"/>
        </w:rPr>
        <w:t>sasinë e ngarkesës;</w:t>
      </w:r>
    </w:p>
    <w:p w14:paraId="3A37010D" w14:textId="6B302BE2" w:rsidR="00B36D7B" w:rsidRDefault="00011E77" w:rsidP="00D46CE8">
      <w:pPr>
        <w:pStyle w:val="ListParagraph"/>
        <w:numPr>
          <w:ilvl w:val="1"/>
          <w:numId w:val="34"/>
        </w:num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6D7B">
        <w:rPr>
          <w:rFonts w:ascii="Times New Roman" w:eastAsia="Times New Roman" w:hAnsi="Times New Roman" w:cs="Times New Roman"/>
          <w:sz w:val="24"/>
          <w:szCs w:val="24"/>
          <w:lang w:eastAsia="sq-AL"/>
        </w:rPr>
        <w:t>datën dhe orën e dorëzimit</w:t>
      </w:r>
      <w:r w:rsidR="00B36D7B">
        <w:rPr>
          <w:rFonts w:ascii="Times New Roman" w:eastAsia="Times New Roman" w:hAnsi="Times New Roman" w:cs="Times New Roman"/>
          <w:sz w:val="24"/>
          <w:szCs w:val="24"/>
          <w:lang w:eastAsia="sq-AL"/>
        </w:rPr>
        <w:t>;</w:t>
      </w:r>
    </w:p>
    <w:p w14:paraId="49417C3F" w14:textId="3369B573" w:rsidR="00011E77" w:rsidRPr="00B36D7B" w:rsidRDefault="00011E77" w:rsidP="00EB4BBA">
      <w:pPr>
        <w:pStyle w:val="ListParagraph"/>
        <w:spacing w:after="0" w:line="240" w:lineRule="auto"/>
        <w:ind w:left="630" w:hanging="36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6D7B">
        <w:rPr>
          <w:rFonts w:ascii="Times New Roman" w:eastAsia="Times New Roman" w:hAnsi="Times New Roman" w:cs="Times New Roman"/>
          <w:sz w:val="24"/>
          <w:szCs w:val="24"/>
          <w:lang w:eastAsia="sq-AL"/>
        </w:rPr>
        <w:t>dh</w:t>
      </w:r>
      <w:r w:rsidR="002A2833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="004651A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B36D7B">
        <w:rPr>
          <w:rFonts w:ascii="Times New Roman" w:eastAsia="Times New Roman" w:hAnsi="Times New Roman" w:cs="Times New Roman"/>
          <w:sz w:val="24"/>
          <w:szCs w:val="24"/>
          <w:lang w:eastAsia="sq-AL"/>
        </w:rPr>
        <w:t>mjetin e transportit.</w:t>
      </w:r>
    </w:p>
    <w:p w14:paraId="704861BD" w14:textId="5CD52D83" w:rsidR="00011E77" w:rsidRPr="00B059D7" w:rsidRDefault="002A2833" w:rsidP="007A14E1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Operatori i vendepozitimit t</w:t>
      </w:r>
      <w:r w:rsidR="00242AAA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</w:t>
      </w:r>
      <w:r w:rsidR="00242AAA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rkohsh</w:t>
      </w:r>
      <w:r w:rsidR="00242AAA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m</w:t>
      </w: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011E77"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mban regjistër ditor dhe regjistër mujor të mbetjeve të pranuara dhe të refuzuara.</w:t>
      </w:r>
    </w:p>
    <w:p w14:paraId="23DA7C3C" w14:textId="77777777" w:rsidR="00011E77" w:rsidRDefault="00011E77" w:rsidP="007A14E1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Dokumentacioni ruhet për jo më pak se 2 vjet.</w:t>
      </w:r>
    </w:p>
    <w:p w14:paraId="60A23029" w14:textId="77777777" w:rsidR="008B2F62" w:rsidRDefault="008B2F62" w:rsidP="00054D2F">
      <w:pPr>
        <w:tabs>
          <w:tab w:val="num" w:pos="3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4D8BFF17" w14:textId="2F7618CD" w:rsidR="00242AAA" w:rsidRPr="00054D2F" w:rsidRDefault="00054D2F" w:rsidP="00054D2F">
      <w:pPr>
        <w:tabs>
          <w:tab w:val="num" w:pos="3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54D2F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Kreu III</w:t>
      </w:r>
    </w:p>
    <w:p w14:paraId="219A368D" w14:textId="0C4BD7DE" w:rsidR="00054D2F" w:rsidRPr="00054D2F" w:rsidRDefault="007C4737" w:rsidP="00054D2F">
      <w:pPr>
        <w:tabs>
          <w:tab w:val="num" w:pos="360"/>
        </w:tabs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54D2F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PROCEDURAT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E MIRATIMIT </w:t>
      </w:r>
      <w:r w:rsidR="00B4603F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DHE OPERIMIT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TË VENDDEPOZITIMEVE TË PËRKOHS</w:t>
      </w:r>
      <w:r w:rsidR="004651A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ME</w:t>
      </w:r>
    </w:p>
    <w:p w14:paraId="13E7E738" w14:textId="77777777" w:rsidR="00054D2F" w:rsidRDefault="00054D2F" w:rsidP="00242AA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12F2D2E5" w14:textId="44FDD8FF" w:rsidR="001109C7" w:rsidRPr="00011E77" w:rsidRDefault="001109C7" w:rsidP="00242AA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076248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7</w:t>
      </w:r>
    </w:p>
    <w:p w14:paraId="08914A40" w14:textId="77777777" w:rsidR="001109C7" w:rsidRPr="00011E77" w:rsidRDefault="001109C7" w:rsidP="00242A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Procedura e miratimit</w:t>
      </w:r>
    </w:p>
    <w:p w14:paraId="4FA532B9" w14:textId="7BA3E271" w:rsidR="007A47AF" w:rsidRPr="007A47AF" w:rsidRDefault="007737DA" w:rsidP="007A47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="007A47AF"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>Zhvilluesi aplikon nëpërmjet sistemit elektronik pranë Agjencisë së Zhvillimit të Territorit (AZHT) për pajisjen me leje ndërtimi për ngritjen e venddepozitimit të përkohshëm të mbetjeve inerte, në përputhje me legjislacionin në fuqi për zhvillimin dhe kontrollin e territorit.</w:t>
      </w:r>
    </w:p>
    <w:p w14:paraId="03A37F07" w14:textId="77777777" w:rsidR="00CA045D" w:rsidRDefault="00CA045D" w:rsidP="009B19D7">
      <w:pPr>
        <w:pStyle w:val="ListParagraph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4141F20C" w14:textId="5AEC791D" w:rsidR="00FD6865" w:rsidRDefault="00CA045D" w:rsidP="00B3454F">
      <w:pPr>
        <w:pStyle w:val="ListParagraph"/>
        <w:numPr>
          <w:ilvl w:val="0"/>
          <w:numId w:val="2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>P</w:t>
      </w:r>
      <w:r w:rsidR="00927869"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>rpara miratimi</w:t>
      </w:r>
      <w:r w:rsidR="004C5F58"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</w:t>
      </w:r>
      <w:r w:rsidR="00927869"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lejes merret mendimi i Ministris</w:t>
      </w:r>
      <w:r w:rsidR="00927869"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</w:t>
      </w:r>
      <w:r w:rsidR="00927869"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Mjedisit</w:t>
      </w:r>
      <w:r w:rsidR="004C5F58"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lidhur me </w:t>
      </w:r>
      <w:r w:rsidR="00AE2963"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>verifikimi</w:t>
      </w:r>
      <w:r w:rsid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 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>e</w:t>
      </w:r>
      <w:r w:rsidR="00AE2963"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përputhshmërisë me politikat kombëtare të menaxhimit të mbetjeve, ekonominë </w:t>
      </w:r>
      <w:r w:rsidR="00AE2963"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lastRenderedPageBreak/>
        <w:t xml:space="preserve">qarkulluese dhe hierarkinë e mbetjeve, si dhe 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>p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>r normat</w:t>
      </w:r>
      <w:r w:rsidR="00AE2963"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teknike të përcaktuara në Aneksin I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>tij vendimi.</w:t>
      </w:r>
    </w:p>
    <w:p w14:paraId="0F97C571" w14:textId="56818115" w:rsidR="007A47AF" w:rsidRPr="00AE2963" w:rsidRDefault="007A47AF" w:rsidP="00B3454F">
      <w:pPr>
        <w:pStyle w:val="ListParagraph"/>
        <w:numPr>
          <w:ilvl w:val="0"/>
          <w:numId w:val="2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AE2963">
        <w:rPr>
          <w:rFonts w:ascii="Times New Roman" w:eastAsia="Times New Roman" w:hAnsi="Times New Roman" w:cs="Times New Roman"/>
          <w:sz w:val="24"/>
          <w:szCs w:val="24"/>
          <w:lang w:eastAsia="sq-AL"/>
        </w:rPr>
        <w:t>Kërkesa shoqërohet me dokumentacionin teknik dhe mjedisor përkatës, sipas legjislacionit në fuqi, dhe përfshin minimalisht:</w:t>
      </w:r>
    </w:p>
    <w:p w14:paraId="21BAA93A" w14:textId="75302C68" w:rsidR="007A47AF" w:rsidRPr="007737DA" w:rsidRDefault="007A47AF" w:rsidP="00D27BB8">
      <w:pPr>
        <w:pStyle w:val="ListParagraph"/>
        <w:numPr>
          <w:ilvl w:val="1"/>
          <w:numId w:val="56"/>
        </w:numPr>
        <w:tabs>
          <w:tab w:val="left" w:pos="900"/>
        </w:tabs>
        <w:spacing w:after="0" w:line="276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relacionin teknik dhe justifikimin e nevojës për ngritjen e venddepozitimit të përkohshëm; </w:t>
      </w:r>
    </w:p>
    <w:p w14:paraId="34262E20" w14:textId="70BEBAF1" w:rsidR="007A47AF" w:rsidRPr="007737DA" w:rsidRDefault="007A47AF" w:rsidP="00D27BB8">
      <w:pPr>
        <w:pStyle w:val="ListParagraph"/>
        <w:numPr>
          <w:ilvl w:val="1"/>
          <w:numId w:val="56"/>
        </w:numPr>
        <w:tabs>
          <w:tab w:val="left" w:pos="990"/>
          <w:tab w:val="left" w:pos="1080"/>
        </w:tabs>
        <w:spacing w:after="0" w:line="276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>dokumentacionin që provon statusin e pronësisë së truallit ose të drejtën ligjore të përdorimit të tij;</w:t>
      </w:r>
    </w:p>
    <w:p w14:paraId="27D00B82" w14:textId="2837B056" w:rsidR="007A47AF" w:rsidRPr="007737DA" w:rsidRDefault="007A47AF" w:rsidP="00D27BB8">
      <w:pPr>
        <w:pStyle w:val="ListParagraph"/>
        <w:numPr>
          <w:ilvl w:val="1"/>
          <w:numId w:val="56"/>
        </w:numPr>
        <w:tabs>
          <w:tab w:val="left" w:pos="990"/>
          <w:tab w:val="left" w:pos="1080"/>
        </w:tabs>
        <w:spacing w:after="0" w:line="276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>planin e vendosjes dhe hartën topografike të venddepozitimit;</w:t>
      </w:r>
    </w:p>
    <w:p w14:paraId="1C6B6B83" w14:textId="4C192E86" w:rsidR="007A47AF" w:rsidRPr="007737DA" w:rsidRDefault="007A47AF" w:rsidP="00D27BB8">
      <w:pPr>
        <w:pStyle w:val="ListParagraph"/>
        <w:tabs>
          <w:tab w:val="left" w:pos="900"/>
          <w:tab w:val="left" w:pos="1260"/>
        </w:tabs>
        <w:spacing w:after="0" w:line="276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>ç</w:t>
      </w:r>
      <w:r w:rsidR="0071608C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D27BB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</w:t>
      </w: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>studimin gjeoteknik të përgjithshëm, i cili mund të përfshijë elemente gjeologjike dhe hidrogjeologjike;</w:t>
      </w:r>
    </w:p>
    <w:p w14:paraId="67E571A9" w14:textId="41754DBE" w:rsidR="007A47AF" w:rsidRPr="007737DA" w:rsidRDefault="007A47AF" w:rsidP="00937689">
      <w:pPr>
        <w:pStyle w:val="ListParagraph"/>
        <w:numPr>
          <w:ilvl w:val="1"/>
          <w:numId w:val="56"/>
        </w:numPr>
        <w:tabs>
          <w:tab w:val="left" w:pos="990"/>
          <w:tab w:val="left" w:pos="1080"/>
        </w:tabs>
        <w:spacing w:after="0" w:line="276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>përshkrimin e kategorive të mbetjeve inerte që do të pranohen;</w:t>
      </w:r>
    </w:p>
    <w:p w14:paraId="251C618C" w14:textId="035CC606" w:rsidR="007A47AF" w:rsidRPr="007737DA" w:rsidRDefault="007A47AF" w:rsidP="00937689">
      <w:pPr>
        <w:pStyle w:val="ListParagraph"/>
        <w:tabs>
          <w:tab w:val="left" w:pos="1080"/>
          <w:tab w:val="left" w:pos="1260"/>
        </w:tabs>
        <w:spacing w:after="0" w:line="276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>dh</w:t>
      </w:r>
      <w:r w:rsidR="0071608C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projektin teknik të organizimit dhe funksionimit të venddepozitimit;</w:t>
      </w:r>
    </w:p>
    <w:p w14:paraId="1AC723EE" w14:textId="3ECA4294" w:rsidR="007A47AF" w:rsidRPr="007737DA" w:rsidRDefault="007A47AF" w:rsidP="00937689">
      <w:pPr>
        <w:pStyle w:val="ListParagraph"/>
        <w:numPr>
          <w:ilvl w:val="1"/>
          <w:numId w:val="56"/>
        </w:numPr>
        <w:tabs>
          <w:tab w:val="left" w:pos="1080"/>
          <w:tab w:val="left" w:pos="1260"/>
        </w:tabs>
        <w:spacing w:after="0" w:line="276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>planin e menaxhimit të venddepozitimit, i cili mund të përfshijë monitorimin dhe</w:t>
      </w:r>
      <w:r w:rsid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>masat për përballimin e situatave të zakonshme emergjente;</w:t>
      </w:r>
    </w:p>
    <w:p w14:paraId="4C7E388C" w14:textId="34F4DFAC" w:rsidR="007A47AF" w:rsidRPr="007737DA" w:rsidRDefault="007A47AF" w:rsidP="00937689">
      <w:pPr>
        <w:pStyle w:val="ListParagraph"/>
        <w:tabs>
          <w:tab w:val="left" w:pos="1080"/>
          <w:tab w:val="left" w:pos="1260"/>
        </w:tabs>
        <w:spacing w:after="0" w:line="276" w:lineRule="auto"/>
        <w:ind w:left="108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7B0AA7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7737D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planin e mbylljes dhe rehabilitimit të venddepozitimit.</w:t>
      </w:r>
    </w:p>
    <w:p w14:paraId="214C2B0D" w14:textId="2CC997D0" w:rsidR="007A47AF" w:rsidRDefault="007A47AF" w:rsidP="007A47AF">
      <w:pPr>
        <w:numPr>
          <w:ilvl w:val="0"/>
          <w:numId w:val="21"/>
        </w:numPr>
        <w:tabs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>A</w:t>
      </w:r>
      <w:r w:rsidR="004F230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gjencia e </w:t>
      </w:r>
      <w:r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>Z</w:t>
      </w:r>
      <w:r w:rsidR="004F2308">
        <w:rPr>
          <w:rFonts w:ascii="Times New Roman" w:eastAsia="Times New Roman" w:hAnsi="Times New Roman" w:cs="Times New Roman"/>
          <w:sz w:val="24"/>
          <w:szCs w:val="24"/>
          <w:lang w:eastAsia="sq-AL"/>
        </w:rPr>
        <w:t>hvillimit t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4F230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="004F2308">
        <w:rPr>
          <w:rFonts w:ascii="Times New Roman" w:eastAsia="Times New Roman" w:hAnsi="Times New Roman" w:cs="Times New Roman"/>
          <w:sz w:val="24"/>
          <w:szCs w:val="24"/>
          <w:lang w:eastAsia="sq-AL"/>
        </w:rPr>
        <w:t>erritorit</w:t>
      </w:r>
      <w:r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mbi bazën e dokumentacionit të paraqitur dhe 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>pas marrjes s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mendimit t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Ministris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Mjedisit, ndjek procedurat p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FD686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r </w:t>
      </w:r>
      <w:r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miratimin e kërkesës për leje ndërtimi, </w:t>
      </w:r>
      <w:r w:rsidR="004F2308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4F230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4F2308">
        <w:rPr>
          <w:rFonts w:ascii="Times New Roman" w:eastAsia="Times New Roman" w:hAnsi="Times New Roman" w:cs="Times New Roman"/>
          <w:sz w:val="24"/>
          <w:szCs w:val="24"/>
          <w:lang w:eastAsia="sq-AL"/>
        </w:rPr>
        <w:t>rputhje me legjislacionin n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4F2308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fuqi</w:t>
      </w:r>
      <w:r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3EACE052" w14:textId="77777777" w:rsidR="007A47AF" w:rsidRPr="007A47AF" w:rsidRDefault="007A47AF" w:rsidP="007A47AF">
      <w:pPr>
        <w:pStyle w:val="ListParagraph"/>
        <w:spacing w:line="276" w:lineRule="auto"/>
        <w:rPr>
          <w:rFonts w:ascii="Times New Roman" w:eastAsia="Times New Roman" w:hAnsi="Times New Roman" w:cs="Times New Roman"/>
          <w:sz w:val="2"/>
          <w:szCs w:val="2"/>
          <w:lang w:eastAsia="sq-AL"/>
        </w:rPr>
      </w:pPr>
    </w:p>
    <w:p w14:paraId="3332CB45" w14:textId="77777777" w:rsidR="007A47AF" w:rsidRPr="007A47AF" w:rsidRDefault="007A47AF" w:rsidP="007A47AF">
      <w:pPr>
        <w:tabs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"/>
          <w:szCs w:val="2"/>
          <w:lang w:eastAsia="sq-AL"/>
        </w:rPr>
      </w:pPr>
    </w:p>
    <w:p w14:paraId="1623B2D3" w14:textId="2D0478D7" w:rsidR="007A47AF" w:rsidRPr="007A47AF" w:rsidRDefault="007A47AF" w:rsidP="007A47AF">
      <w:pPr>
        <w:numPr>
          <w:ilvl w:val="0"/>
          <w:numId w:val="21"/>
        </w:numPr>
        <w:tabs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A47AF">
        <w:rPr>
          <w:rFonts w:ascii="Times New Roman" w:eastAsia="Times New Roman" w:hAnsi="Times New Roman" w:cs="Times New Roman"/>
          <w:sz w:val="24"/>
          <w:szCs w:val="24"/>
          <w:lang w:eastAsia="sq-AL"/>
        </w:rPr>
        <w:t>Ndërtimi i venddepozitimit të përkohshëm mund të fillojë vetëm pas miratimit të lejes së ndërtimit nga Këshilli Kombëtar i Territorit dhe Ujit, duke respektuar kushtet dhe kriteret e përcaktuara në këtë vendim.</w:t>
      </w:r>
    </w:p>
    <w:p w14:paraId="4543C7B9" w14:textId="3B2AA55D" w:rsidR="001109C7" w:rsidRPr="00011E77" w:rsidRDefault="001109C7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5F39A5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8</w:t>
      </w:r>
    </w:p>
    <w:p w14:paraId="5451DC2C" w14:textId="77777777" w:rsidR="001109C7" w:rsidRPr="00011E77" w:rsidRDefault="001109C7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Kohëzgjatja e funksionimit</w:t>
      </w:r>
    </w:p>
    <w:p w14:paraId="3997413E" w14:textId="77777777" w:rsidR="00FE4B5D" w:rsidRPr="00FE4B5D" w:rsidRDefault="00FE4B5D" w:rsidP="00FE4B5D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FE4B5D">
        <w:rPr>
          <w:rFonts w:ascii="Times New Roman" w:eastAsia="Times New Roman" w:hAnsi="Times New Roman" w:cs="Times New Roman"/>
          <w:sz w:val="24"/>
          <w:szCs w:val="24"/>
          <w:lang w:eastAsia="sq-AL"/>
        </w:rPr>
        <w:t>Venddepozitimi i përkohshëm miratohet për një periudhë të kufizuar kohore, e cila nuk mund të jetë më e gjatë se 3 (tre) vjet.</w:t>
      </w:r>
    </w:p>
    <w:p w14:paraId="09D7261F" w14:textId="77777777" w:rsidR="00FE4B5D" w:rsidRPr="00FE4B5D" w:rsidRDefault="00FE4B5D" w:rsidP="00FE4B5D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FE4B5D">
        <w:rPr>
          <w:rFonts w:ascii="Times New Roman" w:eastAsia="Times New Roman" w:hAnsi="Times New Roman" w:cs="Times New Roman"/>
          <w:sz w:val="24"/>
          <w:szCs w:val="24"/>
          <w:lang w:eastAsia="sq-AL"/>
        </w:rPr>
        <w:t>Në raste të veçanta, kur infrastruktura rajonale përfundimtare nuk është ende funksionale për shkaqe objektive të dokumentuara, afati i funksionimit mund të zgjatet, vetëm një herë, me propozim të argumentuar të operatorit, për një periudhë jo më të gjatë se 2 (dy) vjet.</w:t>
      </w:r>
    </w:p>
    <w:p w14:paraId="73B03250" w14:textId="77777777" w:rsidR="00FE4B5D" w:rsidRPr="00FE4B5D" w:rsidRDefault="00FE4B5D" w:rsidP="00FE4B5D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FE4B5D">
        <w:rPr>
          <w:rFonts w:ascii="Times New Roman" w:eastAsia="Times New Roman" w:hAnsi="Times New Roman" w:cs="Times New Roman"/>
          <w:sz w:val="24"/>
          <w:szCs w:val="24"/>
          <w:lang w:eastAsia="sq-AL"/>
        </w:rPr>
        <w:t>Pas përfundimit të afatit të miratuar, ndalohet pranimi i mëtejshëm i mbetjeve dhe operatori fillon menjëherë procedurat e mbylljes dhe rehabilitimit të venddepozitimit.</w:t>
      </w:r>
    </w:p>
    <w:p w14:paraId="0329D250" w14:textId="77777777" w:rsidR="00FE4B5D" w:rsidRPr="00FE4B5D" w:rsidRDefault="00FE4B5D" w:rsidP="00FE4B5D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FE4B5D">
        <w:rPr>
          <w:rFonts w:ascii="Times New Roman" w:eastAsia="Times New Roman" w:hAnsi="Times New Roman" w:cs="Times New Roman"/>
          <w:sz w:val="24"/>
          <w:szCs w:val="24"/>
          <w:lang w:eastAsia="sq-AL"/>
        </w:rPr>
        <w:t>Karakteri i përkohshëm i venddepozitimit nuk krijon të drejtë për shndërrimin e tij në infrastrukturë të përhershme, pa një procedurë të re të plotë ligjore dhe mjedisore.</w:t>
      </w:r>
    </w:p>
    <w:p w14:paraId="113B6428" w14:textId="226BE0F3" w:rsidR="00231D56" w:rsidRPr="00011E77" w:rsidRDefault="00FE4B5D" w:rsidP="00FE4B5D">
      <w:pPr>
        <w:numPr>
          <w:ilvl w:val="0"/>
          <w:numId w:val="3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FE4B5D">
        <w:rPr>
          <w:rFonts w:ascii="Times New Roman" w:eastAsia="Times New Roman" w:hAnsi="Times New Roman" w:cs="Times New Roman"/>
          <w:sz w:val="24"/>
          <w:szCs w:val="24"/>
          <w:lang w:eastAsia="sq-AL"/>
        </w:rPr>
        <w:t>Zgjatja e afatit sipas pikës 2 të këtij neni lejohet vetëm kur provohet se janë ndërmarrë të gjitha masat e nevojshme për ndërtimin e infrastrukturës rajonale përfundimtare dhe se vonesat kanë ardhur për shkaqe objektive të dokumentuara, si dhe pas miratimit nga Këshilli Kombëtar i Territorit dhe Ujit, sipas procedurës së përcaktuar në këtë vendim.</w:t>
      </w:r>
    </w:p>
    <w:p w14:paraId="6A431E52" w14:textId="77777777" w:rsidR="008B2F62" w:rsidRDefault="008B2F62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7262CD73" w14:textId="14465BF9" w:rsidR="001109C7" w:rsidRPr="00011E77" w:rsidRDefault="001109C7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lastRenderedPageBreak/>
        <w:t xml:space="preserve">Neni </w:t>
      </w:r>
      <w:r w:rsidR="00B46EC0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9</w:t>
      </w:r>
    </w:p>
    <w:p w14:paraId="5370B38E" w14:textId="11963775" w:rsidR="001109C7" w:rsidRPr="00011E77" w:rsidRDefault="001109C7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Kapaciteti </w:t>
      </w:r>
      <w:r w:rsidR="00734F7C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i</w:t>
      </w:r>
      <w:r w:rsidR="00B46EC0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</w:t>
      </w: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operimit</w:t>
      </w:r>
    </w:p>
    <w:p w14:paraId="0EACB556" w14:textId="77777777" w:rsidR="00C20871" w:rsidRDefault="00883EC4" w:rsidP="00334024">
      <w:pPr>
        <w:pStyle w:val="NormalWeb"/>
        <w:numPr>
          <w:ilvl w:val="0"/>
          <w:numId w:val="51"/>
        </w:numPr>
        <w:spacing w:line="300" w:lineRule="atLeast"/>
        <w:jc w:val="both"/>
        <w:rPr>
          <w:lang w:val="sq-AL"/>
        </w:rPr>
      </w:pPr>
      <w:r w:rsidRPr="00883EC4">
        <w:rPr>
          <w:lang w:val="sq-AL"/>
        </w:rPr>
        <w:t>Sipërfaqja për një venddepozitim të përkohshëm të mbetjeve inerte nuk mund të jetë më e vogël se 5 000 m².</w:t>
      </w:r>
    </w:p>
    <w:p w14:paraId="0E4C983A" w14:textId="339FA5E9" w:rsidR="00993AB0" w:rsidRPr="00334024" w:rsidRDefault="00993AB0" w:rsidP="00334024">
      <w:pPr>
        <w:pStyle w:val="NormalWeb"/>
        <w:numPr>
          <w:ilvl w:val="0"/>
          <w:numId w:val="51"/>
        </w:numPr>
        <w:spacing w:line="300" w:lineRule="atLeast"/>
        <w:jc w:val="both"/>
        <w:rPr>
          <w:lang w:val="sq-AL"/>
        </w:rPr>
      </w:pPr>
      <w:r w:rsidRPr="00334024">
        <w:rPr>
          <w:lang w:val="sq-AL"/>
        </w:rPr>
        <w:t xml:space="preserve">Vëllimi efektiv për depozitimin final, për qëllime të projektimit dhe dimensionimit të venddepozitimeve të përkohshme për mbetje inerte, përllogaritet sipas formulës të përcaktuar në pikën 1 të Aneksit III, </w:t>
      </w:r>
      <w:r w:rsidR="00E20EDF">
        <w:rPr>
          <w:lang w:val="sq-AL"/>
        </w:rPr>
        <w:t>q</w:t>
      </w:r>
      <w:r w:rsidR="00CA7478">
        <w:rPr>
          <w:lang w:val="sq-AL"/>
        </w:rPr>
        <w:t>ë</w:t>
      </w:r>
      <w:r w:rsidR="00E20EDF">
        <w:rPr>
          <w:lang w:val="sq-AL"/>
        </w:rPr>
        <w:t xml:space="preserve"> i bashk</w:t>
      </w:r>
      <w:r w:rsidR="00CA7478">
        <w:rPr>
          <w:lang w:val="sq-AL"/>
        </w:rPr>
        <w:t>ë</w:t>
      </w:r>
      <w:r w:rsidR="00E20EDF">
        <w:rPr>
          <w:lang w:val="sq-AL"/>
        </w:rPr>
        <w:t>lidhet k</w:t>
      </w:r>
      <w:r w:rsidR="00CA7478">
        <w:rPr>
          <w:lang w:val="sq-AL"/>
        </w:rPr>
        <w:t>ë</w:t>
      </w:r>
      <w:r w:rsidR="00E20EDF">
        <w:rPr>
          <w:lang w:val="sq-AL"/>
        </w:rPr>
        <w:t>t</w:t>
      </w:r>
      <w:r w:rsidR="00D27F7A">
        <w:rPr>
          <w:lang w:val="sq-AL"/>
        </w:rPr>
        <w:t xml:space="preserve">ij vendimi dhe </w:t>
      </w:r>
      <w:r w:rsidR="00CA7478">
        <w:rPr>
          <w:lang w:val="sq-AL"/>
        </w:rPr>
        <w:t>ë</w:t>
      </w:r>
      <w:r w:rsidR="00D27F7A">
        <w:rPr>
          <w:lang w:val="sq-AL"/>
        </w:rPr>
        <w:t>sht</w:t>
      </w:r>
      <w:r w:rsidR="00CA7478">
        <w:rPr>
          <w:lang w:val="sq-AL"/>
        </w:rPr>
        <w:t>ë</w:t>
      </w:r>
      <w:r w:rsidR="00D27F7A">
        <w:rPr>
          <w:lang w:val="sq-AL"/>
        </w:rPr>
        <w:t xml:space="preserve"> pjes</w:t>
      </w:r>
      <w:r w:rsidR="00CA7478">
        <w:rPr>
          <w:lang w:val="sq-AL"/>
        </w:rPr>
        <w:t>ë</w:t>
      </w:r>
      <w:r w:rsidR="00D27F7A">
        <w:rPr>
          <w:lang w:val="sq-AL"/>
        </w:rPr>
        <w:t xml:space="preserve"> p</w:t>
      </w:r>
      <w:r w:rsidR="00CA7478">
        <w:rPr>
          <w:lang w:val="sq-AL"/>
        </w:rPr>
        <w:t>ë</w:t>
      </w:r>
      <w:r w:rsidR="00D27F7A">
        <w:rPr>
          <w:lang w:val="sq-AL"/>
        </w:rPr>
        <w:t>rb</w:t>
      </w:r>
      <w:r w:rsidR="00CA7478">
        <w:rPr>
          <w:lang w:val="sq-AL"/>
        </w:rPr>
        <w:t>ë</w:t>
      </w:r>
      <w:r w:rsidR="00D27F7A">
        <w:rPr>
          <w:lang w:val="sq-AL"/>
        </w:rPr>
        <w:t>r</w:t>
      </w:r>
      <w:r w:rsidR="00CA7478">
        <w:rPr>
          <w:lang w:val="sq-AL"/>
        </w:rPr>
        <w:t>ë</w:t>
      </w:r>
      <w:r w:rsidR="00D27F7A">
        <w:rPr>
          <w:lang w:val="sq-AL"/>
        </w:rPr>
        <w:t>se e tij</w:t>
      </w:r>
      <w:r w:rsidRPr="00334024">
        <w:rPr>
          <w:lang w:val="sq-AL"/>
        </w:rPr>
        <w:t>.</w:t>
      </w:r>
    </w:p>
    <w:p w14:paraId="78E25DEF" w14:textId="735073B2" w:rsidR="00D27F7A" w:rsidRPr="00334024" w:rsidRDefault="00993AB0" w:rsidP="00D27F7A">
      <w:pPr>
        <w:pStyle w:val="NormalWeb"/>
        <w:numPr>
          <w:ilvl w:val="0"/>
          <w:numId w:val="51"/>
        </w:numPr>
        <w:spacing w:line="300" w:lineRule="atLeast"/>
        <w:jc w:val="both"/>
        <w:rPr>
          <w:lang w:val="sq-AL"/>
        </w:rPr>
      </w:pPr>
      <w:r w:rsidRPr="00334024">
        <w:rPr>
          <w:lang w:val="sq-AL"/>
        </w:rPr>
        <w:t>Për projektimin, dimensionimin dhe operimin e venddepozitimeve të përkohshme për mbetje inerte zbatohen koeficientët teknikë të përcaktuar në pikën 2 të Aneksit III</w:t>
      </w:r>
      <w:r w:rsidR="00FF5DA5">
        <w:rPr>
          <w:lang w:val="sq-AL"/>
        </w:rPr>
        <w:t>,</w:t>
      </w:r>
      <w:r w:rsidR="00D27F7A" w:rsidRPr="00D27F7A">
        <w:rPr>
          <w:lang w:val="sq-AL"/>
        </w:rPr>
        <w:t xml:space="preserve"> </w:t>
      </w:r>
      <w:r w:rsidR="00D27F7A">
        <w:rPr>
          <w:lang w:val="sq-AL"/>
        </w:rPr>
        <w:t>q</w:t>
      </w:r>
      <w:r w:rsidR="00CA7478">
        <w:rPr>
          <w:lang w:val="sq-AL"/>
        </w:rPr>
        <w:t>ë</w:t>
      </w:r>
      <w:r w:rsidR="00D27F7A">
        <w:rPr>
          <w:lang w:val="sq-AL"/>
        </w:rPr>
        <w:t xml:space="preserve"> i bashk</w:t>
      </w:r>
      <w:r w:rsidR="00CA7478">
        <w:rPr>
          <w:lang w:val="sq-AL"/>
        </w:rPr>
        <w:t>ë</w:t>
      </w:r>
      <w:r w:rsidR="00D27F7A">
        <w:rPr>
          <w:lang w:val="sq-AL"/>
        </w:rPr>
        <w:t>lidhet k</w:t>
      </w:r>
      <w:r w:rsidR="00CA7478">
        <w:rPr>
          <w:lang w:val="sq-AL"/>
        </w:rPr>
        <w:t>ë</w:t>
      </w:r>
      <w:r w:rsidR="00D27F7A">
        <w:rPr>
          <w:lang w:val="sq-AL"/>
        </w:rPr>
        <w:t xml:space="preserve">tij vendimi dhe </w:t>
      </w:r>
      <w:r w:rsidR="00CA7478">
        <w:rPr>
          <w:lang w:val="sq-AL"/>
        </w:rPr>
        <w:t>ë</w:t>
      </w:r>
      <w:r w:rsidR="00D27F7A">
        <w:rPr>
          <w:lang w:val="sq-AL"/>
        </w:rPr>
        <w:t>sht</w:t>
      </w:r>
      <w:r w:rsidR="00CA7478">
        <w:rPr>
          <w:lang w:val="sq-AL"/>
        </w:rPr>
        <w:t>ë</w:t>
      </w:r>
      <w:r w:rsidR="00D27F7A">
        <w:rPr>
          <w:lang w:val="sq-AL"/>
        </w:rPr>
        <w:t xml:space="preserve"> pjes</w:t>
      </w:r>
      <w:r w:rsidR="00CA7478">
        <w:rPr>
          <w:lang w:val="sq-AL"/>
        </w:rPr>
        <w:t>ë</w:t>
      </w:r>
      <w:r w:rsidR="00D27F7A">
        <w:rPr>
          <w:lang w:val="sq-AL"/>
        </w:rPr>
        <w:t xml:space="preserve"> p</w:t>
      </w:r>
      <w:r w:rsidR="00CA7478">
        <w:rPr>
          <w:lang w:val="sq-AL"/>
        </w:rPr>
        <w:t>ë</w:t>
      </w:r>
      <w:r w:rsidR="00D27F7A">
        <w:rPr>
          <w:lang w:val="sq-AL"/>
        </w:rPr>
        <w:t>rb</w:t>
      </w:r>
      <w:r w:rsidR="00CA7478">
        <w:rPr>
          <w:lang w:val="sq-AL"/>
        </w:rPr>
        <w:t>ë</w:t>
      </w:r>
      <w:r w:rsidR="00D27F7A">
        <w:rPr>
          <w:lang w:val="sq-AL"/>
        </w:rPr>
        <w:t>r</w:t>
      </w:r>
      <w:r w:rsidR="00CA7478">
        <w:rPr>
          <w:lang w:val="sq-AL"/>
        </w:rPr>
        <w:t>ë</w:t>
      </w:r>
      <w:r w:rsidR="00D27F7A">
        <w:rPr>
          <w:lang w:val="sq-AL"/>
        </w:rPr>
        <w:t>se e tij</w:t>
      </w:r>
      <w:r w:rsidR="00D27F7A" w:rsidRPr="00334024">
        <w:rPr>
          <w:lang w:val="sq-AL"/>
        </w:rPr>
        <w:t>.</w:t>
      </w:r>
    </w:p>
    <w:p w14:paraId="4603ED76" w14:textId="77777777" w:rsidR="00334024" w:rsidRDefault="00993AB0" w:rsidP="00334024">
      <w:pPr>
        <w:pStyle w:val="NormalWeb"/>
        <w:numPr>
          <w:ilvl w:val="0"/>
          <w:numId w:val="51"/>
        </w:numPr>
        <w:spacing w:line="300" w:lineRule="atLeast"/>
        <w:jc w:val="both"/>
        <w:rPr>
          <w:lang w:val="sq-AL"/>
        </w:rPr>
      </w:pPr>
      <w:r w:rsidRPr="00334024">
        <w:rPr>
          <w:lang w:val="sq-AL"/>
        </w:rPr>
        <w:t xml:space="preserve">Për qëllime të operimit dhe dimensionimit të venddepozitimeve të përkohshme për mbetje inerte, zbatohet një kuotë minimale e rikuperimit prej 45% të sasisë totale të mbetjeve të pranuara, të cilat përdoren për: </w:t>
      </w:r>
    </w:p>
    <w:p w14:paraId="01DBEF76" w14:textId="70AB0579" w:rsidR="00334024" w:rsidRDefault="00993AB0" w:rsidP="00334024">
      <w:pPr>
        <w:pStyle w:val="NormalWeb"/>
        <w:numPr>
          <w:ilvl w:val="1"/>
          <w:numId w:val="51"/>
        </w:numPr>
        <w:spacing w:line="300" w:lineRule="atLeast"/>
        <w:jc w:val="both"/>
        <w:rPr>
          <w:lang w:val="sq-AL"/>
        </w:rPr>
      </w:pPr>
      <w:r w:rsidRPr="00334024">
        <w:rPr>
          <w:lang w:val="sq-AL"/>
        </w:rPr>
        <w:t>material mbushës (backfilling);</w:t>
      </w:r>
    </w:p>
    <w:p w14:paraId="62955543" w14:textId="6BFDF854" w:rsidR="00334024" w:rsidRDefault="00993AB0" w:rsidP="00334024">
      <w:pPr>
        <w:pStyle w:val="NormalWeb"/>
        <w:numPr>
          <w:ilvl w:val="1"/>
          <w:numId w:val="51"/>
        </w:numPr>
        <w:spacing w:line="300" w:lineRule="atLeast"/>
        <w:jc w:val="both"/>
        <w:rPr>
          <w:lang w:val="sq-AL"/>
        </w:rPr>
      </w:pPr>
      <w:r w:rsidRPr="00334024">
        <w:rPr>
          <w:lang w:val="sq-AL"/>
        </w:rPr>
        <w:t>materiale ndërtimi sekondare;</w:t>
      </w:r>
    </w:p>
    <w:p w14:paraId="4CD85B81" w14:textId="092C94A6" w:rsidR="00993AB0" w:rsidRPr="00334024" w:rsidRDefault="00993AB0" w:rsidP="00334024">
      <w:pPr>
        <w:pStyle w:val="NormalWeb"/>
        <w:numPr>
          <w:ilvl w:val="1"/>
          <w:numId w:val="51"/>
        </w:numPr>
        <w:spacing w:line="300" w:lineRule="atLeast"/>
        <w:jc w:val="both"/>
        <w:rPr>
          <w:lang w:val="sq-AL"/>
        </w:rPr>
      </w:pPr>
      <w:r w:rsidRPr="00334024">
        <w:rPr>
          <w:lang w:val="sq-AL"/>
        </w:rPr>
        <w:t>qëllime të tjera rikuperimi të lejuara nga legjislacioni në fuqi.</w:t>
      </w:r>
    </w:p>
    <w:p w14:paraId="233B4F50" w14:textId="77777777" w:rsidR="00993AB0" w:rsidRPr="00334024" w:rsidRDefault="00993AB0" w:rsidP="00334024">
      <w:pPr>
        <w:pStyle w:val="NormalWeb"/>
        <w:numPr>
          <w:ilvl w:val="0"/>
          <w:numId w:val="51"/>
        </w:numPr>
        <w:spacing w:line="300" w:lineRule="atLeast"/>
        <w:jc w:val="both"/>
        <w:rPr>
          <w:lang w:val="sq-AL"/>
        </w:rPr>
      </w:pPr>
      <w:r w:rsidRPr="00334024">
        <w:rPr>
          <w:lang w:val="sq-AL"/>
        </w:rPr>
        <w:t>Kuota e rikuperimit llogaritet mbi sasinë totale të mbetjeve të pranuara dhe verifikohet në intervale 6-mujore. Fraksioni maksimal i mbetjeve që destinohet për depozitimin final nuk mund të tejkalojë 55% të sasisë totale të mbetjeve të pranuara.</w:t>
      </w:r>
    </w:p>
    <w:p w14:paraId="355E75AC" w14:textId="00A3EECF" w:rsidR="00993AB0" w:rsidRPr="00334024" w:rsidRDefault="00993AB0" w:rsidP="00334024">
      <w:pPr>
        <w:pStyle w:val="NormalWeb"/>
        <w:numPr>
          <w:ilvl w:val="0"/>
          <w:numId w:val="51"/>
        </w:numPr>
        <w:spacing w:line="300" w:lineRule="atLeast"/>
        <w:jc w:val="both"/>
        <w:rPr>
          <w:lang w:val="sq-AL"/>
        </w:rPr>
      </w:pPr>
      <w:r w:rsidRPr="008E6DA0">
        <w:rPr>
          <w:lang w:val="sq-AL"/>
        </w:rPr>
        <w:t>Ministria përgjegjëse për mjedisin</w:t>
      </w:r>
      <w:r w:rsidR="00C253DF" w:rsidRPr="008E6DA0">
        <w:rPr>
          <w:lang w:val="sq-AL"/>
        </w:rPr>
        <w:t xml:space="preserve">, </w:t>
      </w:r>
      <w:r w:rsidRPr="00334024">
        <w:rPr>
          <w:lang w:val="sq-AL"/>
        </w:rPr>
        <w:t>monitoron zbatimin e këtij neni dhe propozon masa korrigjuese në rast të mosrespektimit të koeficientëve teknikë dhe kuotave të përcaktuara.</w:t>
      </w:r>
    </w:p>
    <w:p w14:paraId="03D51783" w14:textId="7E11933D" w:rsidR="00993AB0" w:rsidRPr="00334024" w:rsidRDefault="00993AB0" w:rsidP="00334024">
      <w:pPr>
        <w:pStyle w:val="NormalWeb"/>
        <w:numPr>
          <w:ilvl w:val="0"/>
          <w:numId w:val="51"/>
        </w:numPr>
        <w:spacing w:line="300" w:lineRule="atLeast"/>
        <w:jc w:val="both"/>
        <w:rPr>
          <w:lang w:val="sq-AL"/>
        </w:rPr>
      </w:pPr>
      <w:r w:rsidRPr="00334024">
        <w:rPr>
          <w:lang w:val="sq-AL"/>
        </w:rPr>
        <w:t>Operatori nuk lejohet të tejkalojë kapacitetin vjetor ose total të miratuar në lejen përkatëse.</w:t>
      </w:r>
    </w:p>
    <w:p w14:paraId="20F3AFC5" w14:textId="02BE1214" w:rsidR="00993AB0" w:rsidRPr="00334024" w:rsidRDefault="00993AB0" w:rsidP="00334024">
      <w:pPr>
        <w:pStyle w:val="NormalWeb"/>
        <w:numPr>
          <w:ilvl w:val="0"/>
          <w:numId w:val="51"/>
        </w:numPr>
        <w:spacing w:line="300" w:lineRule="atLeast"/>
        <w:jc w:val="both"/>
        <w:rPr>
          <w:lang w:val="sq-AL"/>
        </w:rPr>
      </w:pPr>
      <w:r w:rsidRPr="00334024">
        <w:rPr>
          <w:lang w:val="sq-AL"/>
        </w:rPr>
        <w:t>Depozitimi i mbetjeve kryhet në mënyrë të kontrolluar, përmes shtrirjes, nivelimit dhe stabilizimit periodik, në përputhje me projektin teknik të miratuar.</w:t>
      </w:r>
    </w:p>
    <w:p w14:paraId="3FAACE5E" w14:textId="44A35405" w:rsidR="00993AB0" w:rsidRPr="00334024" w:rsidRDefault="00993AB0" w:rsidP="00334024">
      <w:pPr>
        <w:pStyle w:val="NormalWeb"/>
        <w:numPr>
          <w:ilvl w:val="0"/>
          <w:numId w:val="51"/>
        </w:numPr>
        <w:spacing w:line="300" w:lineRule="atLeast"/>
        <w:jc w:val="both"/>
        <w:rPr>
          <w:lang w:val="sq-AL"/>
        </w:rPr>
      </w:pPr>
      <w:r w:rsidRPr="00334024">
        <w:rPr>
          <w:lang w:val="sq-AL"/>
        </w:rPr>
        <w:t>Ndalohet krijimi i depozitimit të pakontrolluar jashtë zonës së miratuar të venddepozitimit.</w:t>
      </w:r>
    </w:p>
    <w:p w14:paraId="14548E34" w14:textId="48765503" w:rsidR="001109C7" w:rsidRPr="00011E77" w:rsidRDefault="001109C7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07535E"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1</w:t>
      </w:r>
      <w:r w:rsidR="00BF6E3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0</w:t>
      </w:r>
    </w:p>
    <w:p w14:paraId="4AA53F3C" w14:textId="45DBC9BA" w:rsidR="00067060" w:rsidRDefault="00C14843" w:rsidP="00067060">
      <w:pPr>
        <w:pStyle w:val="ListParagraph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C14843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Detyrimet e operator</w:t>
      </w:r>
      <w:r w:rsidR="00BF6E3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it</w:t>
      </w:r>
    </w:p>
    <w:p w14:paraId="1BD6B8B8" w14:textId="77777777" w:rsidR="000F4844" w:rsidRDefault="000F4844" w:rsidP="00067060">
      <w:pPr>
        <w:pStyle w:val="ListParagraph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5728D51E" w14:textId="54A7EF6A" w:rsidR="000F4844" w:rsidRDefault="0071468D" w:rsidP="000F4844">
      <w:pPr>
        <w:pStyle w:val="NormalWeb"/>
        <w:numPr>
          <w:ilvl w:val="2"/>
          <w:numId w:val="34"/>
        </w:numPr>
        <w:spacing w:before="0" w:beforeAutospacing="0" w:after="0" w:afterAutospacing="0" w:line="23" w:lineRule="atLeast"/>
        <w:ind w:left="720"/>
        <w:jc w:val="both"/>
        <w:rPr>
          <w:lang w:val="sq-AL"/>
        </w:rPr>
      </w:pPr>
      <w:r w:rsidRPr="0071468D">
        <w:rPr>
          <w:lang w:val="sq-AL"/>
        </w:rPr>
        <w:t>Operatori ushtron veprimtarinë në përputhje me këtë vendim dhe legjislacionin në fuqi, mbi bazën e vetëdeklarimit dhe përgjegjësisë për saktësinë e të dhënave të paraqitura, pa cenuar kompetencat e kontrollit dhe monitorimit nga autoritetet përgjegjëse.</w:t>
      </w:r>
    </w:p>
    <w:p w14:paraId="49989F4E" w14:textId="77777777" w:rsidR="000F4844" w:rsidRPr="000F4844" w:rsidRDefault="000F4844" w:rsidP="000F4844">
      <w:pPr>
        <w:pStyle w:val="NormalWeb"/>
        <w:spacing w:before="0" w:beforeAutospacing="0" w:after="0" w:afterAutospacing="0" w:line="23" w:lineRule="atLeast"/>
        <w:jc w:val="both"/>
        <w:rPr>
          <w:lang w:val="sq-AL"/>
        </w:rPr>
      </w:pPr>
    </w:p>
    <w:p w14:paraId="1F2C41CC" w14:textId="1BA8DE26" w:rsidR="000F4844" w:rsidRPr="000F4844" w:rsidRDefault="000F4844" w:rsidP="000F4844">
      <w:pPr>
        <w:pStyle w:val="NormalWeb"/>
        <w:numPr>
          <w:ilvl w:val="2"/>
          <w:numId w:val="34"/>
        </w:numPr>
        <w:spacing w:before="0" w:beforeAutospacing="0" w:after="0" w:afterAutospacing="0" w:line="23" w:lineRule="atLeast"/>
        <w:ind w:left="720"/>
        <w:jc w:val="both"/>
        <w:rPr>
          <w:lang w:val="sq-AL"/>
        </w:rPr>
      </w:pPr>
      <w:r w:rsidRPr="000F4844">
        <w:rPr>
          <w:lang w:eastAsia="sq-AL"/>
        </w:rPr>
        <w:t xml:space="preserve">AKEM </w:t>
      </w:r>
      <w:proofErr w:type="spellStart"/>
      <w:r w:rsidRPr="000F4844">
        <w:rPr>
          <w:lang w:eastAsia="sq-AL"/>
        </w:rPr>
        <w:t>sh.a</w:t>
      </w:r>
      <w:proofErr w:type="spellEnd"/>
      <w:r w:rsidRPr="000F4844">
        <w:rPr>
          <w:lang w:eastAsia="sq-AL"/>
        </w:rPr>
        <w:t xml:space="preserve">., </w:t>
      </w:r>
      <w:proofErr w:type="spellStart"/>
      <w:r w:rsidRPr="000F4844">
        <w:rPr>
          <w:lang w:eastAsia="sq-AL"/>
        </w:rPr>
        <w:t>për</w:t>
      </w:r>
      <w:proofErr w:type="spellEnd"/>
      <w:r w:rsidRPr="000F4844">
        <w:rPr>
          <w:lang w:eastAsia="sq-AL"/>
        </w:rPr>
        <w:t xml:space="preserve"> </w:t>
      </w:r>
      <w:proofErr w:type="spellStart"/>
      <w:r w:rsidRPr="000F4844">
        <w:rPr>
          <w:lang w:eastAsia="sq-AL"/>
        </w:rPr>
        <w:t>qëllime</w:t>
      </w:r>
      <w:proofErr w:type="spellEnd"/>
      <w:r w:rsidRPr="000F4844">
        <w:rPr>
          <w:lang w:eastAsia="sq-AL"/>
        </w:rPr>
        <w:t xml:space="preserve"> </w:t>
      </w:r>
      <w:proofErr w:type="spellStart"/>
      <w:r w:rsidRPr="000F4844">
        <w:rPr>
          <w:lang w:eastAsia="sq-AL"/>
        </w:rPr>
        <w:t>të</w:t>
      </w:r>
      <w:proofErr w:type="spellEnd"/>
      <w:r w:rsidRPr="000F4844">
        <w:rPr>
          <w:lang w:eastAsia="sq-AL"/>
        </w:rPr>
        <w:t xml:space="preserve"> </w:t>
      </w:r>
      <w:proofErr w:type="spellStart"/>
      <w:r w:rsidRPr="000F4844">
        <w:rPr>
          <w:lang w:eastAsia="sq-AL"/>
        </w:rPr>
        <w:t>operimit</w:t>
      </w:r>
      <w:proofErr w:type="spellEnd"/>
      <w:r w:rsidRPr="000F4844">
        <w:rPr>
          <w:lang w:eastAsia="sq-AL"/>
        </w:rPr>
        <w:t xml:space="preserve"> </w:t>
      </w:r>
      <w:proofErr w:type="spellStart"/>
      <w:r w:rsidRPr="000F4844">
        <w:rPr>
          <w:lang w:eastAsia="sq-AL"/>
        </w:rPr>
        <w:t>praktik</w:t>
      </w:r>
      <w:proofErr w:type="spellEnd"/>
      <w:r w:rsidRPr="000F4844">
        <w:rPr>
          <w:lang w:eastAsia="sq-AL"/>
        </w:rPr>
        <w:t xml:space="preserve">, </w:t>
      </w:r>
      <w:proofErr w:type="spellStart"/>
      <w:r w:rsidRPr="000F4844">
        <w:rPr>
          <w:lang w:eastAsia="sq-AL"/>
        </w:rPr>
        <w:t>mund</w:t>
      </w:r>
      <w:proofErr w:type="spellEnd"/>
      <w:r w:rsidRPr="000F4844">
        <w:rPr>
          <w:lang w:eastAsia="sq-AL"/>
        </w:rPr>
        <w:t xml:space="preserve"> </w:t>
      </w:r>
      <w:proofErr w:type="spellStart"/>
      <w:r w:rsidRPr="000F4844">
        <w:rPr>
          <w:lang w:eastAsia="sq-AL"/>
        </w:rPr>
        <w:t>të</w:t>
      </w:r>
      <w:proofErr w:type="spellEnd"/>
      <w:r w:rsidRPr="000F4844">
        <w:rPr>
          <w:lang w:eastAsia="sq-AL"/>
        </w:rPr>
        <w:t>:</w:t>
      </w:r>
    </w:p>
    <w:p w14:paraId="7FE4F098" w14:textId="77777777" w:rsidR="000F4844" w:rsidRPr="00C14843" w:rsidRDefault="000F4844" w:rsidP="000F4844">
      <w:pPr>
        <w:pStyle w:val="ListParagraph"/>
        <w:numPr>
          <w:ilvl w:val="1"/>
          <w:numId w:val="23"/>
        </w:numPr>
        <w:spacing w:after="0" w:line="23" w:lineRule="atLeast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>kryejë vetë operimin;</w:t>
      </w:r>
    </w:p>
    <w:p w14:paraId="0CEEEDFC" w14:textId="77777777" w:rsidR="000F4844" w:rsidRPr="00C14843" w:rsidRDefault="000F4844" w:rsidP="000F4844">
      <w:pPr>
        <w:pStyle w:val="ListParagraph"/>
        <w:numPr>
          <w:ilvl w:val="1"/>
          <w:numId w:val="23"/>
        </w:numPr>
        <w:spacing w:after="0" w:line="23" w:lineRule="atLeast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>krijojë shoqëri, degë ose njësi operative të vetat;</w:t>
      </w:r>
    </w:p>
    <w:p w14:paraId="5F7FEE6E" w14:textId="09D125D6" w:rsidR="000F4844" w:rsidRPr="000F4844" w:rsidRDefault="000F4844" w:rsidP="000F4844">
      <w:pPr>
        <w:pStyle w:val="ListParagraph"/>
        <w:numPr>
          <w:ilvl w:val="1"/>
          <w:numId w:val="23"/>
        </w:numPr>
        <w:spacing w:after="0" w:line="23" w:lineRule="atLeast"/>
        <w:ind w:left="99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kontraktojë sipas legjislacionit në fuqi, subjekte të licencuara, operatorë të autorizuar ose partnerë të tjerë për shërbime të caktuara teknike, pa deleguar përgjegjësinë ligjore dhe administrative përfundimtare. </w:t>
      </w:r>
    </w:p>
    <w:p w14:paraId="4A35C816" w14:textId="6BF76A2E" w:rsidR="00C14843" w:rsidRPr="0071468D" w:rsidRDefault="00C14843" w:rsidP="000F4844">
      <w:pPr>
        <w:pStyle w:val="NormalWeb"/>
        <w:numPr>
          <w:ilvl w:val="2"/>
          <w:numId w:val="34"/>
        </w:numPr>
        <w:spacing w:before="0" w:beforeAutospacing="0" w:after="0" w:afterAutospacing="0" w:line="23" w:lineRule="atLeast"/>
        <w:ind w:left="720"/>
        <w:jc w:val="both"/>
        <w:rPr>
          <w:lang w:val="sq-AL"/>
        </w:rPr>
      </w:pPr>
      <w:r w:rsidRPr="0071468D">
        <w:rPr>
          <w:lang w:val="sq-AL"/>
        </w:rPr>
        <w:t>Çdo operator ka detyrimin të:</w:t>
      </w:r>
    </w:p>
    <w:p w14:paraId="0C49CCF0" w14:textId="38273F25" w:rsidR="00C14843" w:rsidRPr="00C14843" w:rsidRDefault="00C14843" w:rsidP="000F4844">
      <w:pPr>
        <w:pStyle w:val="ListParagraph"/>
        <w:numPr>
          <w:ilvl w:val="1"/>
          <w:numId w:val="24"/>
        </w:numPr>
        <w:spacing w:after="0" w:line="23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lastRenderedPageBreak/>
        <w:t>pranojë vetëm mbetje të lejuara sipas këtij vendimi;</w:t>
      </w:r>
    </w:p>
    <w:p w14:paraId="0647B79B" w14:textId="54AE2DFB" w:rsidR="00C14843" w:rsidRPr="00C14843" w:rsidRDefault="00C14843" w:rsidP="000F4844">
      <w:pPr>
        <w:pStyle w:val="ListParagraph"/>
        <w:numPr>
          <w:ilvl w:val="1"/>
          <w:numId w:val="24"/>
        </w:numPr>
        <w:spacing w:after="0" w:line="23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>verifikojë dokumentacionin dhe origjinën e çdo ngarkese mbetjesh;</w:t>
      </w:r>
    </w:p>
    <w:p w14:paraId="085B736E" w14:textId="3926D139" w:rsidR="00C14843" w:rsidRPr="00C14843" w:rsidRDefault="00C14843" w:rsidP="000F4844">
      <w:pPr>
        <w:pStyle w:val="ListParagraph"/>
        <w:numPr>
          <w:ilvl w:val="1"/>
          <w:numId w:val="24"/>
        </w:numPr>
        <w:spacing w:after="0" w:line="23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>refuzojë çdo ngarkesë që nuk përmbush kriteret ligjore, teknike dhe mjedisore;</w:t>
      </w:r>
    </w:p>
    <w:p w14:paraId="3767E654" w14:textId="56C76699" w:rsidR="00C14843" w:rsidRPr="00C14843" w:rsidRDefault="00C14843" w:rsidP="000F4844">
      <w:pPr>
        <w:pStyle w:val="ListParagraph"/>
        <w:spacing w:after="0" w:line="23" w:lineRule="atLeas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>ç</w:t>
      </w:r>
      <w:r w:rsidR="00D26038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 </w:t>
      </w: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>mbajë regjistra të plotë për sasinë, llojin, origjinën dhe datën e pranimit të mbetjeve;</w:t>
      </w:r>
    </w:p>
    <w:p w14:paraId="27FBF42B" w14:textId="213545C9" w:rsidR="00C14843" w:rsidRPr="00C14843" w:rsidRDefault="00C14843" w:rsidP="000F4844">
      <w:pPr>
        <w:pStyle w:val="ListParagraph"/>
        <w:numPr>
          <w:ilvl w:val="1"/>
          <w:numId w:val="24"/>
        </w:numPr>
        <w:spacing w:after="0" w:line="23" w:lineRule="atLeas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>sigurojë mirëmbajtjen, administrimin, kontrollin e hyrjes dhe sigurinë e venddepozitimit;</w:t>
      </w:r>
    </w:p>
    <w:p w14:paraId="07D2CC53" w14:textId="672E0E8B" w:rsidR="00C14843" w:rsidRPr="00C14843" w:rsidRDefault="00C14843" w:rsidP="00C14843">
      <w:pPr>
        <w:pStyle w:val="ListParagraph"/>
        <w:spacing w:before="100" w:beforeAutospacing="1"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>dh</w:t>
      </w:r>
      <w:r w:rsidR="00D26038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C1484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zbatojë planin e monitorimit, planin e emergjencës dhe masat operative të përcaktuara në Aneksin I dhe II;</w:t>
      </w:r>
    </w:p>
    <w:p w14:paraId="298A318B" w14:textId="098AA7BB" w:rsidR="00613B50" w:rsidRDefault="00C14843" w:rsidP="001B4D0A">
      <w:pPr>
        <w:pStyle w:val="ListParagraph"/>
        <w:numPr>
          <w:ilvl w:val="1"/>
          <w:numId w:val="24"/>
        </w:numPr>
        <w:spacing w:before="100" w:beforeAutospacing="1"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51D77">
        <w:rPr>
          <w:rFonts w:ascii="Times New Roman" w:eastAsia="Times New Roman" w:hAnsi="Times New Roman" w:cs="Times New Roman"/>
          <w:sz w:val="24"/>
          <w:szCs w:val="24"/>
          <w:lang w:eastAsia="sq-AL"/>
        </w:rPr>
        <w:t>raportojë periodikisht pranë AKM</w:t>
      </w:r>
      <w:r w:rsidR="0020250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613B50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613B50">
        <w:rPr>
          <w:rFonts w:ascii="Times New Roman" w:eastAsia="Times New Roman" w:hAnsi="Times New Roman" w:cs="Times New Roman"/>
          <w:sz w:val="24"/>
          <w:szCs w:val="24"/>
          <w:lang w:eastAsia="sq-AL"/>
        </w:rPr>
        <w:t>p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613B50">
        <w:rPr>
          <w:rFonts w:ascii="Times New Roman" w:eastAsia="Times New Roman" w:hAnsi="Times New Roman" w:cs="Times New Roman"/>
          <w:sz w:val="24"/>
          <w:szCs w:val="24"/>
          <w:lang w:eastAsia="sq-AL"/>
        </w:rPr>
        <w:t>rmjet sistemit SIM</w:t>
      </w:r>
      <w:r w:rsidR="00CA1168">
        <w:rPr>
          <w:rFonts w:ascii="Times New Roman" w:eastAsia="Times New Roman" w:hAnsi="Times New Roman" w:cs="Times New Roman"/>
          <w:sz w:val="24"/>
          <w:szCs w:val="24"/>
          <w:lang w:eastAsia="sq-AL"/>
        </w:rPr>
        <w:t>;</w:t>
      </w:r>
    </w:p>
    <w:p w14:paraId="2546AFCE" w14:textId="3CCABC25" w:rsidR="00C14843" w:rsidRPr="00C51D77" w:rsidRDefault="00C14843" w:rsidP="00D26038">
      <w:pPr>
        <w:pStyle w:val="ListParagraph"/>
        <w:spacing w:before="100" w:beforeAutospacing="1"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51D77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D26038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="0095220B" w:rsidRPr="00C51D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</w:t>
      </w:r>
      <w:r w:rsidR="0095220B" w:rsidRPr="00C51D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C51D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marrë masat për mbylljen dhe rehabilitimin e venddepozitimit në përfundim të afatit </w:t>
      </w:r>
      <w:r w:rsidR="008E2632"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E2632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funk</w:t>
      </w:r>
      <w:r w:rsidR="00083241">
        <w:rPr>
          <w:rFonts w:ascii="Times New Roman" w:eastAsia="Times New Roman" w:hAnsi="Times New Roman" w:cs="Times New Roman"/>
          <w:sz w:val="24"/>
          <w:szCs w:val="24"/>
          <w:lang w:eastAsia="sq-AL"/>
        </w:rPr>
        <w:t>s</w:t>
      </w:r>
      <w:r w:rsidR="008E2632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ionimit </w:t>
      </w:r>
      <w:r w:rsidRPr="00C51D77">
        <w:rPr>
          <w:rFonts w:ascii="Times New Roman" w:eastAsia="Times New Roman" w:hAnsi="Times New Roman" w:cs="Times New Roman"/>
          <w:sz w:val="24"/>
          <w:szCs w:val="24"/>
          <w:lang w:eastAsia="sq-AL"/>
        </w:rPr>
        <w:t>ose në rast ndërprerjeje të parakohshme</w:t>
      </w:r>
      <w:r w:rsidR="009B3E4B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C51D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53898AAC" w14:textId="2246822E" w:rsidR="00002A2A" w:rsidRPr="00C20871" w:rsidRDefault="002778CA" w:rsidP="00CA7478">
      <w:pPr>
        <w:pStyle w:val="NormalWeb"/>
        <w:numPr>
          <w:ilvl w:val="2"/>
          <w:numId w:val="34"/>
        </w:numPr>
        <w:spacing w:before="0" w:beforeAutospacing="0" w:after="0" w:afterAutospacing="0" w:line="23" w:lineRule="atLeast"/>
        <w:ind w:left="720"/>
        <w:jc w:val="both"/>
        <w:rPr>
          <w:lang w:val="sq-AL" w:eastAsia="sq-AL"/>
        </w:rPr>
      </w:pPr>
      <w:r w:rsidRPr="00C20871">
        <w:rPr>
          <w:lang w:val="sq-AL" w:eastAsia="sq-AL"/>
        </w:rPr>
        <w:t>O</w:t>
      </w:r>
      <w:r w:rsidR="00C14843" w:rsidRPr="00C20871">
        <w:rPr>
          <w:lang w:val="sq-AL" w:eastAsia="sq-AL"/>
        </w:rPr>
        <w:t xml:space="preserve">peratorët respektojnë </w:t>
      </w:r>
      <w:r w:rsidR="00D1294F" w:rsidRPr="00C20871">
        <w:rPr>
          <w:lang w:val="sq-AL" w:eastAsia="sq-AL"/>
        </w:rPr>
        <w:t>normat teknike</w:t>
      </w:r>
      <w:r w:rsidR="00C14843" w:rsidRPr="00C20871">
        <w:rPr>
          <w:lang w:val="sq-AL" w:eastAsia="sq-AL"/>
        </w:rPr>
        <w:t xml:space="preserve">, </w:t>
      </w:r>
      <w:r w:rsidR="004356F1" w:rsidRPr="00C20871">
        <w:rPr>
          <w:lang w:val="sq-AL" w:eastAsia="sq-AL"/>
        </w:rPr>
        <w:t xml:space="preserve">parametrat dhe </w:t>
      </w:r>
      <w:r w:rsidR="00C14843" w:rsidRPr="00C20871">
        <w:rPr>
          <w:lang w:val="sq-AL" w:eastAsia="sq-AL"/>
        </w:rPr>
        <w:t>frekuencat e monitorimit</w:t>
      </w:r>
      <w:r w:rsidR="009B3E4B" w:rsidRPr="00C20871">
        <w:rPr>
          <w:lang w:val="sq-AL" w:eastAsia="sq-AL"/>
        </w:rPr>
        <w:t xml:space="preserve">, si </w:t>
      </w:r>
      <w:r w:rsidR="00C14843" w:rsidRPr="00C20871">
        <w:rPr>
          <w:lang w:val="sq-AL" w:eastAsia="sq-AL"/>
        </w:rPr>
        <w:t xml:space="preserve">dhe detyrimet operative dhe proceduriale të përcaktuara në Aneksin I dhe II, dhe të sigurojnë </w:t>
      </w:r>
      <w:r w:rsidR="009B3E4B" w:rsidRPr="00C20871">
        <w:rPr>
          <w:lang w:val="sq-AL" w:eastAsia="sq-AL"/>
        </w:rPr>
        <w:t>zbatimin</w:t>
      </w:r>
      <w:r w:rsidR="00C14843" w:rsidRPr="00C20871">
        <w:rPr>
          <w:lang w:val="sq-AL" w:eastAsia="sq-AL"/>
        </w:rPr>
        <w:t xml:space="preserve"> e të gjitha kërkesave të këtij vendimi.</w:t>
      </w:r>
    </w:p>
    <w:p w14:paraId="4A45FA9D" w14:textId="348CD39E" w:rsidR="001109C7" w:rsidRPr="00011E77" w:rsidRDefault="001109C7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07535E"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1</w:t>
      </w:r>
      <w:r w:rsidR="0028199C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1</w:t>
      </w:r>
    </w:p>
    <w:p w14:paraId="79AC386A" w14:textId="77777777" w:rsidR="001109C7" w:rsidRPr="00011E77" w:rsidRDefault="001109C7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Transporti i mbetjeve inerte drejt venddepozitimit</w:t>
      </w:r>
    </w:p>
    <w:p w14:paraId="5EFD437A" w14:textId="356B1C2A" w:rsidR="001109C7" w:rsidRPr="00011E77" w:rsidRDefault="001109C7" w:rsidP="002E1F4E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Transporti i mbetjeve inerte drejt venddepozitimit kryhet nga subjekte të licencuara</w:t>
      </w:r>
      <w:r w:rsidR="00324AA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324AA3">
        <w:rPr>
          <w:rFonts w:ascii="Times New Roman" w:eastAsia="Times New Roman" w:hAnsi="Times New Roman" w:cs="Times New Roman"/>
          <w:sz w:val="24"/>
          <w:szCs w:val="24"/>
          <w:lang w:eastAsia="sq-AL"/>
        </w:rPr>
        <w:t>r k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324AA3"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324AA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veprimtari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r w:rsidR="00324AA3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324AA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324AA3">
        <w:rPr>
          <w:rFonts w:ascii="Times New Roman" w:eastAsia="Times New Roman" w:hAnsi="Times New Roman" w:cs="Times New Roman"/>
          <w:sz w:val="24"/>
          <w:szCs w:val="24"/>
          <w:lang w:eastAsia="sq-AL"/>
        </w:rPr>
        <w:t>rputhje me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legjislacioni</w:t>
      </w:r>
      <w:r w:rsidR="00324AA3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në fuqi.</w:t>
      </w:r>
    </w:p>
    <w:p w14:paraId="6CA4CEAC" w14:textId="77777777" w:rsidR="00317CDA" w:rsidRDefault="00317CDA" w:rsidP="002E1F4E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317CDA">
        <w:rPr>
          <w:rFonts w:ascii="Times New Roman" w:eastAsia="Times New Roman" w:hAnsi="Times New Roman" w:cs="Times New Roman"/>
          <w:sz w:val="24"/>
          <w:szCs w:val="24"/>
          <w:lang w:eastAsia="sq-AL"/>
        </w:rPr>
        <w:t>Mjetet e përdorura për transportin e mbetjeve inerte duhet të jenë teknikisht të përshtatshme për këtë qëllim dhe, kur është e nevojshme, të pajisura me mekanizma mbulues, në mënyrë që të parandalohet shpërndarja e materialeve gjatë lëvizjes</w:t>
      </w:r>
    </w:p>
    <w:p w14:paraId="212BE4E9" w14:textId="7056C039" w:rsidR="007A4F48" w:rsidRPr="007A4F48" w:rsidRDefault="00317CDA" w:rsidP="007A4F48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="001109C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Gjatë transportit ndalohet hedhja, rrjedhja ose shpërndarja e mbetjeve në rrugë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="001109C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hapësira publike</w:t>
      </w:r>
      <w:r w:rsidR="007A4F48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="007A4F48" w:rsidRPr="007A4F48">
        <w:rPr>
          <w:rFonts w:ascii="Segoe UI" w:eastAsia="Times New Roman" w:hAnsi="Segoe UI" w:cs="Segoe UI"/>
          <w:sz w:val="21"/>
          <w:szCs w:val="21"/>
        </w:rPr>
        <w:t xml:space="preserve"> </w:t>
      </w:r>
      <w:r w:rsidR="007A4F48" w:rsidRPr="007A4F48">
        <w:rPr>
          <w:rFonts w:ascii="Times New Roman" w:eastAsia="Times New Roman" w:hAnsi="Times New Roman" w:cs="Times New Roman"/>
          <w:sz w:val="24"/>
          <w:szCs w:val="24"/>
          <w:lang w:eastAsia="sq-AL"/>
        </w:rPr>
        <w:t>ose zona të tjera jashtë destinacionit të miratuar të depozitimit.</w:t>
      </w:r>
    </w:p>
    <w:p w14:paraId="2557B7F6" w14:textId="77777777" w:rsidR="00C03652" w:rsidRDefault="00C03652" w:rsidP="00D45CC1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74E038E0" w14:textId="25A0CFFC" w:rsidR="001109C7" w:rsidRDefault="001109C7" w:rsidP="00D45CC1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07535E"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1</w:t>
      </w:r>
      <w:r w:rsidR="0028199C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2</w:t>
      </w:r>
    </w:p>
    <w:p w14:paraId="019BE686" w14:textId="77777777" w:rsidR="0007535E" w:rsidRPr="00011E77" w:rsidRDefault="0007535E" w:rsidP="00D45CC1">
      <w:pPr>
        <w:spacing w:after="0" w:line="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58F2E574" w14:textId="5BD004A9" w:rsidR="001109C7" w:rsidRPr="00011E77" w:rsidRDefault="001109C7" w:rsidP="00D45CC1">
      <w:pPr>
        <w:spacing w:after="0" w:line="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Monitorimi </w:t>
      </w:r>
      <w:r w:rsidR="006C3F28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dhe raportimi</w:t>
      </w:r>
    </w:p>
    <w:p w14:paraId="19C1E202" w14:textId="6EFBA6DA" w:rsidR="00091605" w:rsidRPr="00091605" w:rsidRDefault="0007535E" w:rsidP="00091605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Vet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m</w:t>
      </w:r>
      <w:r w:rsidR="00091605" w:rsidRPr="0009160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onitorimi mjedisor kryhet nga operatori, në përputhje me </w:t>
      </w:r>
      <w:r w:rsidR="002E2690">
        <w:rPr>
          <w:rFonts w:ascii="Times New Roman" w:eastAsia="Times New Roman" w:hAnsi="Times New Roman" w:cs="Times New Roman"/>
          <w:sz w:val="24"/>
          <w:szCs w:val="24"/>
          <w:lang w:eastAsia="sq-AL"/>
        </w:rPr>
        <w:t>planin e menaxhimit t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E269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venddepozitimit t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E269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hartuar nga zhvilluesi</w:t>
      </w:r>
      <w:r w:rsidR="00091605" w:rsidRPr="00091605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56A3CA75" w14:textId="64A43263" w:rsidR="006C3F28" w:rsidRPr="00995CC7" w:rsidRDefault="00091605" w:rsidP="00995CC7">
      <w:pPr>
        <w:pStyle w:val="ListParagraph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995CC7">
        <w:rPr>
          <w:rFonts w:ascii="Times New Roman" w:eastAsia="Times New Roman" w:hAnsi="Times New Roman" w:cs="Times New Roman"/>
          <w:sz w:val="24"/>
          <w:szCs w:val="24"/>
          <w:lang w:eastAsia="sq-AL"/>
        </w:rPr>
        <w:t>Frekuenca dhe parametrat e monitorimit përcaktohen në programin e monitorimit dhe në Aneksin II të këtij vendimi.</w:t>
      </w:r>
      <w:r w:rsidR="006C3F28" w:rsidRPr="00995CC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5FE4F937" w14:textId="31B1494A" w:rsidR="006C3F28" w:rsidRPr="00DE7FB6" w:rsidRDefault="006C3F28" w:rsidP="0094008C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t>Operatori i venddepozitimit t</w:t>
      </w:r>
      <w:r w:rsidR="00242AAA"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</w:t>
      </w:r>
      <w:r w:rsidR="00242AAA"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t>rkohsh</w:t>
      </w:r>
      <w:r w:rsidR="00242AAA"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t>m raporton  pran</w:t>
      </w:r>
      <w:r w:rsidR="00242AAA"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AKM-</w:t>
      </w:r>
      <w:r w:rsidRPr="00DE7FB6">
        <w:rPr>
          <w:rFonts w:ascii="Times New Roman" w:eastAsia="Times New Roman" w:hAnsi="Times New Roman" w:cs="Times New Roman"/>
          <w:sz w:val="24"/>
          <w:szCs w:val="24"/>
          <w:lang w:eastAsia="sq-AL"/>
        </w:rPr>
        <w:t>s</w:t>
      </w:r>
      <w:r w:rsidR="00242AAA" w:rsidRPr="00DE7FB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E7FB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r w:rsidR="00DE7FB6" w:rsidRPr="00DE7FB6">
        <w:rPr>
          <w:rFonts w:ascii="Times New Roman" w:eastAsia="Times New Roman" w:hAnsi="Times New Roman" w:cs="Times New Roman"/>
          <w:sz w:val="24"/>
          <w:szCs w:val="24"/>
          <w:lang w:eastAsia="sq-AL"/>
        </w:rPr>
        <w:t>në baza tremujore dhe vjetore, të dhënat në lidhje me:</w:t>
      </w:r>
    </w:p>
    <w:p w14:paraId="1A3DA79E" w14:textId="77777777" w:rsidR="00BA319B" w:rsidRDefault="006C3F28" w:rsidP="00BA319B">
      <w:pPr>
        <w:pStyle w:val="ListParagraph"/>
        <w:numPr>
          <w:ilvl w:val="0"/>
          <w:numId w:val="57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sasitë e mbetjeve të pranuara;</w:t>
      </w:r>
    </w:p>
    <w:p w14:paraId="05C240D1" w14:textId="74F02B47" w:rsidR="00BA319B" w:rsidRDefault="006C3F28" w:rsidP="00BA319B">
      <w:pPr>
        <w:pStyle w:val="ListParagraph"/>
        <w:numPr>
          <w:ilvl w:val="0"/>
          <w:numId w:val="57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origjinën e tyre;</w:t>
      </w:r>
    </w:p>
    <w:p w14:paraId="568E8811" w14:textId="77777777" w:rsidR="00BA319B" w:rsidRDefault="006C3F28" w:rsidP="00BA319B">
      <w:pPr>
        <w:pStyle w:val="ListParagraph"/>
        <w:numPr>
          <w:ilvl w:val="0"/>
          <w:numId w:val="57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ngarkesat e refuzuara dhe shkaqet përkatëse;</w:t>
      </w:r>
    </w:p>
    <w:p w14:paraId="0C027C2D" w14:textId="12CC8942" w:rsidR="00BA319B" w:rsidRPr="00BA319B" w:rsidRDefault="006C3F28" w:rsidP="00BA319B">
      <w:pPr>
        <w:tabs>
          <w:tab w:val="left" w:pos="99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ç</w:t>
      </w:r>
      <w:r w:rsid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.   </w:t>
      </w:r>
      <w:r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rezultatet e monitorimit mjedisor;</w:t>
      </w:r>
    </w:p>
    <w:p w14:paraId="3C9E233F" w14:textId="212672AE" w:rsidR="006C3F28" w:rsidRDefault="006C3F28" w:rsidP="00BA319B">
      <w:pPr>
        <w:pStyle w:val="ListParagraph"/>
        <w:numPr>
          <w:ilvl w:val="0"/>
          <w:numId w:val="57"/>
        </w:num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masat e marra për përmirësimin e operimit, sigurisë dhe kontrollit.</w:t>
      </w:r>
    </w:p>
    <w:p w14:paraId="263D139C" w14:textId="3EE73137" w:rsidR="0041144A" w:rsidRPr="00BA319B" w:rsidRDefault="00BA319B" w:rsidP="00BA319B">
      <w:pPr>
        <w:tabs>
          <w:tab w:val="left" w:pos="99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dh.</w:t>
      </w:r>
      <w:r w:rsidR="006C3F28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036AE7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s</w:t>
      </w:r>
      <w:r w:rsidR="006C3F28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asin</w:t>
      </w:r>
      <w:r w:rsidR="00242AAA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6C3F28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 mbetjeve t</w:t>
      </w:r>
      <w:r w:rsidR="00242AAA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6C3F28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ricikluara sipas kodeve </w:t>
      </w:r>
      <w:r w:rsidR="00036AE7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p</w:t>
      </w:r>
      <w:r w:rsidR="00927869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036AE7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rkat</w:t>
      </w:r>
      <w:r w:rsidR="00927869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036AE7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se</w:t>
      </w:r>
      <w:r w:rsidR="006C3F28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</w:t>
      </w:r>
      <w:r w:rsidR="00242AAA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6C3F28" w:rsidRPr="00BA319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mbetjeve</w:t>
      </w:r>
    </w:p>
    <w:p w14:paraId="65F3AD6C" w14:textId="32B83A0F" w:rsidR="00995CC7" w:rsidRPr="00B01050" w:rsidRDefault="00693869" w:rsidP="00995CC7">
      <w:pPr>
        <w:pStyle w:val="ListParagraph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t>Raportimi kryhet nëpërmjet Sistemit të Informacionit të Monitorimit (SIM), në mënyrë që të sigurohet gjurmueshmëria e mbetjeve inerte dhe disponueshmëria e të dhënave për qëllime monitorimi dhe kontrolli.</w:t>
      </w:r>
    </w:p>
    <w:p w14:paraId="2033C415" w14:textId="456DDE6C" w:rsidR="00BF651E" w:rsidRPr="00BF651E" w:rsidRDefault="007C7DF2" w:rsidP="00BF651E">
      <w:pPr>
        <w:pStyle w:val="ListParagraph"/>
        <w:numPr>
          <w:ilvl w:val="0"/>
          <w:numId w:val="8"/>
        </w:num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B01050">
        <w:rPr>
          <w:rFonts w:ascii="Times New Roman" w:eastAsia="Times New Roman" w:hAnsi="Times New Roman" w:cs="Times New Roman"/>
          <w:sz w:val="24"/>
          <w:szCs w:val="24"/>
          <w:lang w:eastAsia="sq-AL"/>
        </w:rPr>
        <w:lastRenderedPageBreak/>
        <w:t>Të dhënat dhe raportet sipas këtij neni përdoren</w:t>
      </w:r>
      <w:r w:rsidRPr="007C7DF2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për monitorimin në nivel kombëtar të menaxhimit të mbetjeve inerte, si dhe për vlerësimin e nevojës për marrjen e masave shtesë rregullatore ose administrative.</w:t>
      </w:r>
    </w:p>
    <w:p w14:paraId="30981814" w14:textId="77777777" w:rsidR="007235AC" w:rsidRDefault="007235AC" w:rsidP="00BF651E">
      <w:pPr>
        <w:pStyle w:val="ListParagraph"/>
        <w:spacing w:before="100" w:beforeAutospacing="1" w:after="0" w:line="240" w:lineRule="auto"/>
        <w:ind w:left="78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0E1D1703" w14:textId="66D1712D" w:rsidR="001109C7" w:rsidRPr="00BF651E" w:rsidRDefault="001109C7" w:rsidP="00EC7147">
      <w:pPr>
        <w:pStyle w:val="ListParagraph"/>
        <w:spacing w:before="100" w:beforeAutospacing="1" w:after="0" w:line="240" w:lineRule="auto"/>
        <w:ind w:left="78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BF651E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D45CC1" w:rsidRPr="00BF651E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1</w:t>
      </w:r>
      <w:r w:rsidR="007A6F60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3</w:t>
      </w:r>
    </w:p>
    <w:p w14:paraId="0D088F35" w14:textId="77777777" w:rsidR="001109C7" w:rsidRPr="00011E77" w:rsidRDefault="001109C7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Kontrolli dhe inspektimi</w:t>
      </w:r>
    </w:p>
    <w:p w14:paraId="1C6A91D0" w14:textId="587C4CF0" w:rsidR="001109C7" w:rsidRPr="00011E77" w:rsidRDefault="001B35E0" w:rsidP="002E1F4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S</w:t>
      </w:r>
      <w:r w:rsidRPr="001B35E0">
        <w:rPr>
          <w:rFonts w:ascii="Times New Roman" w:eastAsia="Times New Roman" w:hAnsi="Times New Roman" w:cs="Times New Roman"/>
          <w:sz w:val="24"/>
          <w:szCs w:val="24"/>
          <w:lang w:eastAsia="sq-AL"/>
        </w:rPr>
        <w:t>truktura përgjegjëse për inspektimin në fushën e territorit dhe mjedisit, sipas fushës përkatëse të kompetencës, kryen kontrollin dhe verifikimin e përputhshmërisë së funksionimit të venddepozitimeve të përkohshme me kërkesat e këtij vendimi</w:t>
      </w:r>
      <w:r w:rsidR="00FA0F6A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3F689CD3" w14:textId="77777777" w:rsidR="001109C7" w:rsidRPr="00011E77" w:rsidRDefault="001109C7" w:rsidP="002E1F4E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Gjatë inspektimit verifikohet, në veçanti:</w:t>
      </w:r>
    </w:p>
    <w:p w14:paraId="0B07E81D" w14:textId="77777777" w:rsidR="00DC5012" w:rsidRDefault="001109C7" w:rsidP="00D46CE8">
      <w:pPr>
        <w:pStyle w:val="ListParagraph"/>
        <w:numPr>
          <w:ilvl w:val="1"/>
          <w:numId w:val="36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C5012">
        <w:rPr>
          <w:rFonts w:ascii="Times New Roman" w:eastAsia="Times New Roman" w:hAnsi="Times New Roman" w:cs="Times New Roman"/>
          <w:sz w:val="24"/>
          <w:szCs w:val="24"/>
          <w:lang w:eastAsia="sq-AL"/>
        </w:rPr>
        <w:t>përputhshmëria e mbetjeve të pranuara me kriteret e këtij vendimi;</w:t>
      </w:r>
    </w:p>
    <w:p w14:paraId="3BBC5205" w14:textId="0EE5C89F" w:rsidR="00DC5012" w:rsidRDefault="00AB31BE" w:rsidP="00D46CE8">
      <w:pPr>
        <w:pStyle w:val="ListParagraph"/>
        <w:numPr>
          <w:ilvl w:val="1"/>
          <w:numId w:val="36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AB31BE">
        <w:rPr>
          <w:rFonts w:ascii="Times New Roman" w:eastAsia="Times New Roman" w:hAnsi="Times New Roman" w:cs="Times New Roman"/>
          <w:sz w:val="24"/>
          <w:szCs w:val="24"/>
          <w:lang w:eastAsia="sq-AL"/>
        </w:rPr>
        <w:t>zbatimi i kërkesave teknike dhe mjedisore të përcaktuara në këtë vendim dhe në anekset e tij</w:t>
      </w:r>
      <w:r w:rsidR="001109C7" w:rsidRPr="00DC5012">
        <w:rPr>
          <w:rFonts w:ascii="Times New Roman" w:eastAsia="Times New Roman" w:hAnsi="Times New Roman" w:cs="Times New Roman"/>
          <w:sz w:val="24"/>
          <w:szCs w:val="24"/>
          <w:lang w:eastAsia="sq-AL"/>
        </w:rPr>
        <w:t>;</w:t>
      </w:r>
    </w:p>
    <w:p w14:paraId="7B4F2F5E" w14:textId="77777777" w:rsidR="00DC5012" w:rsidRDefault="001109C7" w:rsidP="00D46CE8">
      <w:pPr>
        <w:pStyle w:val="ListParagraph"/>
        <w:numPr>
          <w:ilvl w:val="1"/>
          <w:numId w:val="36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C5012">
        <w:rPr>
          <w:rFonts w:ascii="Times New Roman" w:eastAsia="Times New Roman" w:hAnsi="Times New Roman" w:cs="Times New Roman"/>
          <w:sz w:val="24"/>
          <w:szCs w:val="24"/>
          <w:lang w:eastAsia="sq-AL"/>
        </w:rPr>
        <w:t>regjistrat dhe gjurmueshmëria e mbetjeve;</w:t>
      </w:r>
    </w:p>
    <w:p w14:paraId="6537B2BD" w14:textId="4496EAD9" w:rsidR="00DC5012" w:rsidRDefault="00BA319B" w:rsidP="00BA319B">
      <w:pPr>
        <w:pStyle w:val="ListParagraph"/>
        <w:spacing w:before="100" w:beforeAutospacing="1" w:after="0" w:line="240" w:lineRule="auto"/>
        <w:ind w:left="900" w:hanging="36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ç. </w:t>
      </w:r>
      <w:r w:rsidR="001109C7" w:rsidRPr="00DC5012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gjendja teknike dhe mjedisore e </w:t>
      </w:r>
      <w:r w:rsidR="002236CA">
        <w:rPr>
          <w:rFonts w:ascii="Times New Roman" w:eastAsia="Times New Roman" w:hAnsi="Times New Roman" w:cs="Times New Roman"/>
          <w:sz w:val="24"/>
          <w:szCs w:val="24"/>
          <w:lang w:eastAsia="sq-AL"/>
        </w:rPr>
        <w:t>sip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236CA">
        <w:rPr>
          <w:rFonts w:ascii="Times New Roman" w:eastAsia="Times New Roman" w:hAnsi="Times New Roman" w:cs="Times New Roman"/>
          <w:sz w:val="24"/>
          <w:szCs w:val="24"/>
          <w:lang w:eastAsia="sq-AL"/>
        </w:rPr>
        <w:t>rfaqes s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236C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venddepozitimit</w:t>
      </w:r>
      <w:r w:rsidR="001109C7" w:rsidRPr="00DC5012">
        <w:rPr>
          <w:rFonts w:ascii="Times New Roman" w:eastAsia="Times New Roman" w:hAnsi="Times New Roman" w:cs="Times New Roman"/>
          <w:sz w:val="24"/>
          <w:szCs w:val="24"/>
          <w:lang w:eastAsia="sq-AL"/>
        </w:rPr>
        <w:t>;</w:t>
      </w:r>
    </w:p>
    <w:p w14:paraId="2B551056" w14:textId="38ABFBF9" w:rsidR="001109C7" w:rsidRPr="00DC5012" w:rsidRDefault="001109C7" w:rsidP="00D46CE8">
      <w:pPr>
        <w:pStyle w:val="ListParagraph"/>
        <w:numPr>
          <w:ilvl w:val="1"/>
          <w:numId w:val="36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C5012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zbatimi i </w:t>
      </w:r>
      <w:r w:rsidR="0065083C" w:rsidRPr="00DC5012">
        <w:rPr>
          <w:rFonts w:ascii="Times New Roman" w:eastAsia="Times New Roman" w:hAnsi="Times New Roman" w:cs="Times New Roman"/>
          <w:sz w:val="24"/>
          <w:szCs w:val="24"/>
          <w:lang w:eastAsia="sq-AL"/>
        </w:rPr>
        <w:t>p</w:t>
      </w:r>
      <w:r w:rsidR="0065083C">
        <w:rPr>
          <w:rFonts w:ascii="Times New Roman" w:eastAsia="Times New Roman" w:hAnsi="Times New Roman" w:cs="Times New Roman"/>
          <w:sz w:val="24"/>
          <w:szCs w:val="24"/>
          <w:lang w:eastAsia="sq-AL"/>
        </w:rPr>
        <w:t>rogramit</w:t>
      </w:r>
      <w:r w:rsidR="0065083C" w:rsidRPr="00DC5012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DC5012">
        <w:rPr>
          <w:rFonts w:ascii="Times New Roman" w:eastAsia="Times New Roman" w:hAnsi="Times New Roman" w:cs="Times New Roman"/>
          <w:sz w:val="24"/>
          <w:szCs w:val="24"/>
          <w:lang w:eastAsia="sq-AL"/>
        </w:rPr>
        <w:t>të monitorimit, mbylljes dhe rehabilitimit.</w:t>
      </w:r>
    </w:p>
    <w:p w14:paraId="7C771976" w14:textId="77777777" w:rsidR="00CB5161" w:rsidRDefault="00CB5161" w:rsidP="00BC1826">
      <w:pPr>
        <w:pStyle w:val="ListParagraph"/>
        <w:spacing w:before="100" w:beforeAutospacing="1" w:after="0" w:line="240" w:lineRule="auto"/>
        <w:ind w:left="9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07A3F538" w14:textId="6F395539" w:rsidR="001109C7" w:rsidRPr="00BC1826" w:rsidRDefault="001109C7" w:rsidP="00BC1826">
      <w:pPr>
        <w:pStyle w:val="ListParagraph"/>
        <w:spacing w:before="100" w:beforeAutospacing="1" w:after="0" w:line="240" w:lineRule="auto"/>
        <w:ind w:left="9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BC1826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D45CC1" w:rsidRPr="00BC1826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1</w:t>
      </w:r>
      <w:r w:rsidR="007A6F60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4</w:t>
      </w:r>
    </w:p>
    <w:p w14:paraId="38031B85" w14:textId="0DC3E1D9" w:rsidR="001109C7" w:rsidRPr="00011E77" w:rsidRDefault="001109C7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Mbyllja </w:t>
      </w:r>
      <w:r w:rsidR="00175FA2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dhe rehabilitimi i </w:t>
      </w: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venddepozitimit të përkohshëm</w:t>
      </w:r>
    </w:p>
    <w:p w14:paraId="6A437D4E" w14:textId="03B4D8FE" w:rsidR="001109C7" w:rsidRPr="00011E77" w:rsidRDefault="001109C7" w:rsidP="002E1F4E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Venddepozitimi i përkohshëm mbyllet</w:t>
      </w:r>
      <w:r w:rsidR="006B572C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6B572C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6B572C">
        <w:rPr>
          <w:rFonts w:ascii="Times New Roman" w:eastAsia="Times New Roman" w:hAnsi="Times New Roman" w:cs="Times New Roman"/>
          <w:sz w:val="24"/>
          <w:szCs w:val="24"/>
          <w:lang w:eastAsia="sq-AL"/>
        </w:rPr>
        <w:t>to raste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:</w:t>
      </w:r>
    </w:p>
    <w:p w14:paraId="42BF758B" w14:textId="18195C69" w:rsidR="00BC1826" w:rsidRDefault="001109C7" w:rsidP="00D46CE8">
      <w:pPr>
        <w:pStyle w:val="ListParagraph"/>
        <w:numPr>
          <w:ilvl w:val="1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C1826">
        <w:rPr>
          <w:rFonts w:ascii="Times New Roman" w:eastAsia="Times New Roman" w:hAnsi="Times New Roman" w:cs="Times New Roman"/>
          <w:sz w:val="24"/>
          <w:szCs w:val="24"/>
          <w:lang w:eastAsia="sq-AL"/>
        </w:rPr>
        <w:t>me përfundimin e afatit të miratuar</w:t>
      </w:r>
      <w:r w:rsidR="00941111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941111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funksionimit</w:t>
      </w:r>
      <w:r w:rsidRPr="00BC1826">
        <w:rPr>
          <w:rFonts w:ascii="Times New Roman" w:eastAsia="Times New Roman" w:hAnsi="Times New Roman" w:cs="Times New Roman"/>
          <w:sz w:val="24"/>
          <w:szCs w:val="24"/>
          <w:lang w:eastAsia="sq-AL"/>
        </w:rPr>
        <w:t>;</w:t>
      </w:r>
    </w:p>
    <w:p w14:paraId="3F090223" w14:textId="77777777" w:rsidR="00BC1826" w:rsidRDefault="001109C7" w:rsidP="00D46CE8">
      <w:pPr>
        <w:pStyle w:val="ListParagraph"/>
        <w:numPr>
          <w:ilvl w:val="1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C1826">
        <w:rPr>
          <w:rFonts w:ascii="Times New Roman" w:eastAsia="Times New Roman" w:hAnsi="Times New Roman" w:cs="Times New Roman"/>
          <w:sz w:val="24"/>
          <w:szCs w:val="24"/>
          <w:lang w:eastAsia="sq-AL"/>
        </w:rPr>
        <w:t>me arritjen e kapacitetit maksimal të lejuar;</w:t>
      </w:r>
    </w:p>
    <w:p w14:paraId="4148AB0D" w14:textId="4546DF11" w:rsidR="00BC1826" w:rsidRDefault="001109C7" w:rsidP="00D46CE8">
      <w:pPr>
        <w:pStyle w:val="ListParagraph"/>
        <w:numPr>
          <w:ilvl w:val="1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C1826">
        <w:rPr>
          <w:rFonts w:ascii="Times New Roman" w:eastAsia="Times New Roman" w:hAnsi="Times New Roman" w:cs="Times New Roman"/>
          <w:sz w:val="24"/>
          <w:szCs w:val="24"/>
          <w:lang w:eastAsia="sq-AL"/>
        </w:rPr>
        <w:t>me vënien në funksion të landfill-it rajonal për mbetje</w:t>
      </w:r>
      <w:r w:rsidR="0065083C"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Pr="00BC182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inerte;</w:t>
      </w:r>
    </w:p>
    <w:p w14:paraId="7877F02F" w14:textId="501378BB" w:rsidR="0019636D" w:rsidRPr="0019636D" w:rsidRDefault="00A760E7" w:rsidP="00A760E7">
      <w:pPr>
        <w:pStyle w:val="ListParagraph"/>
        <w:spacing w:before="100" w:beforeAutospacing="1"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ç.   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rast se</w:t>
      </w:r>
      <w:r w:rsidR="001109C7" w:rsidRPr="00BC182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780EB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operatori </w:t>
      </w:r>
      <w:r w:rsidR="001109C7" w:rsidRPr="00BC1826">
        <w:rPr>
          <w:rFonts w:ascii="Times New Roman" w:eastAsia="Times New Roman" w:hAnsi="Times New Roman" w:cs="Times New Roman"/>
          <w:sz w:val="24"/>
          <w:szCs w:val="24"/>
          <w:lang w:eastAsia="sq-AL"/>
        </w:rPr>
        <w:t>shkel rëndë ose në mënyrë të përsëritur kushtet ligjore dhe mjedisore të funksionimit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r w:rsidR="0019636D" w:rsidRP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>sipas legjislacionit në fuqi.</w:t>
      </w:r>
    </w:p>
    <w:p w14:paraId="1D720F01" w14:textId="785BE91E" w:rsidR="001109C7" w:rsidRPr="00011E77" w:rsidRDefault="001109C7" w:rsidP="002E1F4E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Mbyllja kryhet </w:t>
      </w:r>
      <w:r w:rsidR="00175FA2">
        <w:rPr>
          <w:rFonts w:ascii="Times New Roman" w:eastAsia="Times New Roman" w:hAnsi="Times New Roman" w:cs="Times New Roman"/>
          <w:sz w:val="24"/>
          <w:szCs w:val="24"/>
          <w:lang w:eastAsia="sq-AL"/>
        </w:rPr>
        <w:t>nga</w:t>
      </w:r>
      <w:r w:rsidR="00780EB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operatori 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dhe formalizohet 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>rputhje me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procedura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ligjore në fuqi.</w:t>
      </w:r>
    </w:p>
    <w:p w14:paraId="34501A51" w14:textId="3590FBAE" w:rsidR="001109C7" w:rsidRPr="00011E77" w:rsidRDefault="001109C7" w:rsidP="00B32C79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Pas mbylljes së venddepozitimit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>rkohsh</w:t>
      </w:r>
      <w:r w:rsidR="0092786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>m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r w:rsidR="00C305EA">
        <w:rPr>
          <w:rFonts w:ascii="Times New Roman" w:eastAsia="Times New Roman" w:hAnsi="Times New Roman" w:cs="Times New Roman"/>
          <w:sz w:val="24"/>
          <w:szCs w:val="24"/>
          <w:lang w:eastAsia="sq-AL"/>
        </w:rPr>
        <w:t>operator</w:t>
      </w:r>
      <w:r w:rsidR="0019636D">
        <w:rPr>
          <w:rFonts w:ascii="Times New Roman" w:eastAsia="Times New Roman" w:hAnsi="Times New Roman" w:cs="Times New Roman"/>
          <w:sz w:val="24"/>
          <w:szCs w:val="24"/>
          <w:lang w:eastAsia="sq-AL"/>
        </w:rPr>
        <w:t>i</w:t>
      </w:r>
      <w:r w:rsidR="00780EB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është përgjegjës për zbatimin e planit të rehabilitimit, i cili përfshin sistemimin përfundimtar, stabilizimin e </w:t>
      </w:r>
      <w:r w:rsidR="00A81C6E">
        <w:rPr>
          <w:rFonts w:ascii="Times New Roman" w:eastAsia="Times New Roman" w:hAnsi="Times New Roman" w:cs="Times New Roman"/>
          <w:sz w:val="24"/>
          <w:szCs w:val="24"/>
          <w:lang w:eastAsia="sq-AL"/>
        </w:rPr>
        <w:t>sip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A81C6E">
        <w:rPr>
          <w:rFonts w:ascii="Times New Roman" w:eastAsia="Times New Roman" w:hAnsi="Times New Roman" w:cs="Times New Roman"/>
          <w:sz w:val="24"/>
          <w:szCs w:val="24"/>
          <w:lang w:eastAsia="sq-AL"/>
        </w:rPr>
        <w:t>rfaqes</w:t>
      </w:r>
      <w:r w:rsidR="00A81C6E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të </w:t>
      </w:r>
      <w:r w:rsidR="00D17224">
        <w:rPr>
          <w:rFonts w:ascii="Times New Roman" w:eastAsia="Times New Roman" w:hAnsi="Times New Roman" w:cs="Times New Roman"/>
          <w:sz w:val="24"/>
          <w:szCs w:val="24"/>
          <w:lang w:eastAsia="sq-AL"/>
        </w:rPr>
        <w:t>vend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depozitimit, kontrollin e ujërave sipërfaqësore, masat kundër erozionit dhe rikualifikimin peizazhor të zonës.</w:t>
      </w:r>
    </w:p>
    <w:p w14:paraId="3501827D" w14:textId="77777777" w:rsidR="00812133" w:rsidRDefault="001109C7" w:rsidP="007F595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812133">
        <w:rPr>
          <w:rFonts w:ascii="Times New Roman" w:eastAsia="Times New Roman" w:hAnsi="Times New Roman" w:cs="Times New Roman"/>
          <w:sz w:val="24"/>
          <w:szCs w:val="24"/>
          <w:lang w:eastAsia="sq-AL"/>
        </w:rPr>
        <w:t>Detyrimet për rehabilitim vazhdojnë deri në konstatimin zyrtar</w:t>
      </w:r>
      <w:r w:rsidR="00C7674F" w:rsidRPr="00812133">
        <w:rPr>
          <w:rFonts w:ascii="Segoe UI" w:eastAsia="Times New Roman" w:hAnsi="Segoe UI" w:cs="Segoe UI"/>
          <w:sz w:val="21"/>
          <w:szCs w:val="21"/>
        </w:rPr>
        <w:t xml:space="preserve"> </w:t>
      </w:r>
      <w:r w:rsidR="00C7674F" w:rsidRPr="00812133">
        <w:rPr>
          <w:rFonts w:ascii="Times New Roman" w:eastAsia="Times New Roman" w:hAnsi="Times New Roman" w:cs="Times New Roman"/>
          <w:sz w:val="24"/>
          <w:szCs w:val="24"/>
          <w:lang w:eastAsia="sq-AL"/>
        </w:rPr>
        <w:t>nga autoritetet përgjegjëse</w:t>
      </w:r>
      <w:r w:rsidRPr="0081213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se </w:t>
      </w:r>
      <w:r w:rsidR="00C7674F" w:rsidRPr="00812133">
        <w:rPr>
          <w:rFonts w:ascii="Times New Roman" w:eastAsia="Times New Roman" w:hAnsi="Times New Roman" w:cs="Times New Roman"/>
          <w:sz w:val="24"/>
          <w:szCs w:val="24"/>
          <w:lang w:eastAsia="sq-AL"/>
        </w:rPr>
        <w:t>rehabilitimi është kryer në përputhje me kërkesat e këtij vendimi.</w:t>
      </w:r>
    </w:p>
    <w:p w14:paraId="1D0CF445" w14:textId="77777777" w:rsidR="00E809E3" w:rsidRDefault="000C3E5F" w:rsidP="007F595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812133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B10D5A" w:rsidRPr="00B10D5A">
        <w:rPr>
          <w:rFonts w:ascii="Times New Roman" w:eastAsia="Times New Roman" w:hAnsi="Times New Roman" w:cs="Times New Roman"/>
          <w:sz w:val="24"/>
          <w:szCs w:val="24"/>
          <w:lang w:eastAsia="sq-AL"/>
        </w:rPr>
        <w:t>Fondet e nevojshme për mbylljen dhe rehabilitimin e venddepozitimeve të përkohshme të mbetjeve inerte sigurohen paraprakisht nga operatori, nëpërmjet një garancie financiare, përfshirë policën e sigurimit, në përputhje me legjislacionin në fuqi dhe mekanizmat e tjerë të ligjshëm të financimi</w:t>
      </w:r>
      <w:r w:rsidR="00E809E3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246060D4" w14:textId="14CC31AA" w:rsidR="001109C7" w:rsidRPr="008E6DA0" w:rsidRDefault="000E5BEE" w:rsidP="007F595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AKEM sh.a, n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cil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sin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 operatorit</w:t>
      </w:r>
      <w:r w:rsidR="00CF1F58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, p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F1F58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rjashtohet nga </w:t>
      </w:r>
      <w:r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zbatimi i pik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s 5</w:t>
      </w:r>
      <w:r w:rsidR="00CF1F58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duke </w:t>
      </w:r>
      <w:r w:rsidR="002461A0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qen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461A0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se </w:t>
      </w:r>
      <w:r w:rsidR="00CF1F58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i n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F1F58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nshtohet rregullave t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F1F58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parashikuar n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F1F58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ligjin nr</w:t>
      </w:r>
      <w:r w:rsidR="002461A0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.57/2025 “P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461A0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r menaxhimin e integruar t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2461A0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mbetjeve”.</w:t>
      </w:r>
    </w:p>
    <w:p w14:paraId="173911A3" w14:textId="26B02341" w:rsidR="001D3A2F" w:rsidRDefault="001109C7" w:rsidP="003D3934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lastRenderedPageBreak/>
        <w:t>Kostot e operimit dhe administrimit të venddepozitimeve të përkohshme mbulohen në përputhje me parimin “ndotësi paguan”, tarifat e aplikueshme dhe mekanizmat e tjerë financiarë të</w:t>
      </w:r>
      <w:r w:rsidR="003D3934" w:rsidRPr="003D3934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parashikuar nga legjislacioni në fuqi.</w:t>
      </w:r>
    </w:p>
    <w:p w14:paraId="0899AB68" w14:textId="1BD9DEF5" w:rsidR="00231D56" w:rsidRPr="009966CA" w:rsidRDefault="00231D56" w:rsidP="009966CA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Për çdo venddepozitim të përkohshëm, </w:t>
      </w:r>
      <w:r w:rsidR="002902C1">
        <w:rPr>
          <w:rFonts w:ascii="Times New Roman" w:eastAsia="Times New Roman" w:hAnsi="Times New Roman" w:cs="Times New Roman"/>
          <w:sz w:val="24"/>
          <w:szCs w:val="24"/>
          <w:lang w:eastAsia="sq-AL"/>
        </w:rPr>
        <w:t>operatori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912190">
        <w:rPr>
          <w:rFonts w:ascii="Times New Roman" w:eastAsia="Times New Roman" w:hAnsi="Times New Roman" w:cs="Times New Roman"/>
          <w:sz w:val="24"/>
          <w:szCs w:val="24"/>
          <w:lang w:eastAsia="sq-AL"/>
        </w:rPr>
        <w:t>planifikon burimet e tij financiare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EC0447" w:rsidRPr="009966C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në mënyrë që të sigurojë përmbushjen në kohë të detyrimeve për mbylljen dhe rehabilitimin, </w:t>
      </w:r>
      <w:r w:rsidR="00333D27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333D2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333D2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rputhje </w:t>
      </w:r>
      <w:r w:rsidR="00F17646">
        <w:rPr>
          <w:rFonts w:ascii="Times New Roman" w:eastAsia="Times New Roman" w:hAnsi="Times New Roman" w:cs="Times New Roman"/>
          <w:sz w:val="24"/>
          <w:szCs w:val="24"/>
          <w:lang w:eastAsia="sq-AL"/>
        </w:rPr>
        <w:t>edhe me</w:t>
      </w:r>
      <w:r w:rsidR="00EC0447" w:rsidRPr="009966C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pikë</w:t>
      </w:r>
      <w:r w:rsidR="00F17646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="00EC0447" w:rsidRPr="009966CA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5 të këtij neni.</w:t>
      </w:r>
    </w:p>
    <w:p w14:paraId="36B28CA7" w14:textId="3532B330" w:rsidR="001109C7" w:rsidRPr="00011E77" w:rsidRDefault="001109C7" w:rsidP="00557D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EC044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1</w:t>
      </w:r>
      <w:r w:rsidR="007A6F60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5</w:t>
      </w:r>
    </w:p>
    <w:p w14:paraId="7ACAA4D4" w14:textId="67D1A851" w:rsidR="001109C7" w:rsidRPr="00011E77" w:rsidRDefault="001109C7" w:rsidP="00557D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Dispozita kalimtare</w:t>
      </w:r>
      <w:r w:rsidR="00011E77"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dhe t</w:t>
      </w:r>
      <w:r w:rsidR="00C34F19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ë</w:t>
      </w:r>
      <w:r w:rsidR="00011E77"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fundit</w:t>
      </w:r>
    </w:p>
    <w:p w14:paraId="44069733" w14:textId="1AF19DCE" w:rsidR="00E85B6A" w:rsidRPr="00011E77" w:rsidRDefault="003C288B" w:rsidP="00B32C79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Për venddepozitimet e përkohshme të reja, gjatë fazës së ngritjes dhe përgatitjes për miratim, lejohet operimi i kufizuar për grumbullimin e mbetjeve inerte, në përputhje me standardet bazë të sigurisë dhe mjedisit, deri në përfundimin e procedurave të miratimit dhe finalizimin e venddepozitimit sipas specifikimeve teknike të këtij vendimi.</w:t>
      </w:r>
    </w:p>
    <w:p w14:paraId="051068E9" w14:textId="4F810D04" w:rsidR="00E85B6A" w:rsidRPr="00011E77" w:rsidRDefault="00E85B6A" w:rsidP="002E1F4E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Me hyrjen n</w:t>
      </w:r>
      <w:r w:rsidR="003C288B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fuqi t</w:t>
      </w:r>
      <w:r w:rsidR="003C288B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</w:t>
      </w:r>
      <w:r w:rsidR="003C288B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tij vendimi</w:t>
      </w:r>
      <w:r w:rsidR="00ED2320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="003C288B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011E7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rregullat </w:t>
      </w:r>
      <w:r w:rsidR="009042F4">
        <w:rPr>
          <w:rFonts w:ascii="Times New Roman" w:eastAsia="Times New Roman" w:hAnsi="Times New Roman" w:cs="Times New Roman"/>
          <w:sz w:val="24"/>
          <w:szCs w:val="24"/>
          <w:lang w:eastAsia="sq-AL"/>
        </w:rPr>
        <w:t>q</w:t>
      </w:r>
      <w:r w:rsidR="0059519B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9042F4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lidhen me</w:t>
      </w:r>
      <w:r w:rsidR="00011E7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venddepozitimet e p</w:t>
      </w:r>
      <w:r w:rsidR="00C34F1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011E7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rkohshme t</w:t>
      </w:r>
      <w:r w:rsidR="00C34F1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011E7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parashikuara n</w:t>
      </w:r>
      <w:r w:rsidR="00C34F1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011E7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3C288B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vendimin nr. 575, datë</w:t>
      </w:r>
      <w:r w:rsidR="009042F4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3C288B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24.6.2015, të Këshillit të Ministrave, “Për miratimin e kërkesave për menaxhimin e mbetjeve inerte</w:t>
      </w:r>
      <w:r w:rsidR="00011E7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” t</w:t>
      </w:r>
      <w:r w:rsidR="00C34F1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011E7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ndryshuar</w:t>
      </w:r>
      <w:r w:rsidR="00F40E46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, shfuqizohe</w:t>
      </w:r>
      <w:r w:rsidR="00011E77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="00F40E46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. </w:t>
      </w:r>
    </w:p>
    <w:p w14:paraId="7FC97496" w14:textId="05A4B795" w:rsidR="001109C7" w:rsidRPr="00B059D7" w:rsidRDefault="001109C7" w:rsidP="002E1F4E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Ngarkohen për zbatimin e këtij vendimi ministria përgjegjëse për mjedisin,</w:t>
      </w:r>
      <w:r w:rsidR="0006057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06057B" w:rsidRPr="0006057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Agjencia e Zhvillimit të Territorit (AZHT), </w:t>
      </w:r>
      <w:r w:rsidR="00011E77"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operator</w:t>
      </w:r>
      <w:r w:rsidR="00C34F19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011E77"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Pr="00B059D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dhe strukturat </w:t>
      </w:r>
      <w:r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>përgjegjëse inspektuese</w:t>
      </w:r>
      <w:r w:rsidR="003B5124" w:rsidRPr="008E6DA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. </w:t>
      </w:r>
    </w:p>
    <w:p w14:paraId="6E8A891D" w14:textId="2A9823BC" w:rsidR="001109C7" w:rsidRPr="00011E77" w:rsidRDefault="001109C7" w:rsidP="00B059D7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Neni </w:t>
      </w:r>
      <w:r w:rsidR="005E7F53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1</w:t>
      </w:r>
      <w:r w:rsidR="007A6F60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6</w:t>
      </w:r>
    </w:p>
    <w:p w14:paraId="53BB09A8" w14:textId="77777777" w:rsidR="001109C7" w:rsidRPr="00011E77" w:rsidRDefault="001109C7" w:rsidP="00B059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Hyrja në fuqi</w:t>
      </w:r>
    </w:p>
    <w:p w14:paraId="496E5011" w14:textId="77777777" w:rsidR="001109C7" w:rsidRPr="00011E77" w:rsidRDefault="001109C7" w:rsidP="00B059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Ky vendim hyn në fuqi pas botimit në Fletoren Zyrtare.</w:t>
      </w:r>
    </w:p>
    <w:p w14:paraId="44ADC1CE" w14:textId="312E838F" w:rsidR="007B3698" w:rsidRPr="00011E77" w:rsidRDefault="007B3698" w:rsidP="00B059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br w:type="page"/>
      </w:r>
    </w:p>
    <w:p w14:paraId="6079C9E2" w14:textId="22129846" w:rsidR="00D1283A" w:rsidRPr="00011E77" w:rsidRDefault="007B3698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lastRenderedPageBreak/>
        <w:t>ANEKS I</w:t>
      </w:r>
    </w:p>
    <w:p w14:paraId="2E733AA2" w14:textId="08CDE19B" w:rsidR="00F15DE1" w:rsidRPr="00011E77" w:rsidRDefault="00F15DE1" w:rsidP="00B059D7">
      <w:pPr>
        <w:pStyle w:val="NormalWeb"/>
        <w:spacing w:after="0" w:afterAutospacing="0"/>
        <w:jc w:val="both"/>
        <w:rPr>
          <w:lang w:val="sq-AL"/>
        </w:rPr>
      </w:pPr>
      <w:r w:rsidRPr="00011E77">
        <w:rPr>
          <w:rStyle w:val="Strong"/>
          <w:lang w:val="sq-AL"/>
        </w:rPr>
        <w:t xml:space="preserve">NORMA TEKNIKE </w:t>
      </w:r>
      <w:r w:rsidR="002E6CF2" w:rsidRPr="00011E77">
        <w:rPr>
          <w:rStyle w:val="Strong"/>
          <w:lang w:val="sq-AL"/>
        </w:rPr>
        <w:t xml:space="preserve"> </w:t>
      </w:r>
      <w:r w:rsidRPr="00011E77">
        <w:rPr>
          <w:rStyle w:val="Strong"/>
          <w:lang w:val="sq-AL"/>
        </w:rPr>
        <w:t>PËR VENDDEPOZITIMET E PËRKOHSHME TË MBETJEVE INERTE</w:t>
      </w:r>
    </w:p>
    <w:p w14:paraId="1E5301E0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31BD3A2F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Në kuptim të kësaj norme:</w:t>
      </w:r>
    </w:p>
    <w:p w14:paraId="436DEA53" w14:textId="5FBD4BD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•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</w:p>
    <w:p w14:paraId="6AC35667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•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Venddepozitim inertesh: objekt inxhinierik i projektuar për depozitimin përfundimtar të mbetjeve inerte;</w:t>
      </w:r>
    </w:p>
    <w:p w14:paraId="62D6AEF8" w14:textId="0C31E44C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•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Leksiviate</w:t>
      </w:r>
      <w:r w:rsidR="00DD0801">
        <w:rPr>
          <w:rFonts w:ascii="Times New Roman" w:eastAsia="Times New Roman" w:hAnsi="Times New Roman" w:cs="Times New Roman"/>
          <w:sz w:val="24"/>
          <w:szCs w:val="24"/>
          <w:lang w:eastAsia="sq-AL"/>
        </w:rPr>
        <w:t>/l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DD0801">
        <w:rPr>
          <w:rFonts w:ascii="Times New Roman" w:eastAsia="Times New Roman" w:hAnsi="Times New Roman" w:cs="Times New Roman"/>
          <w:sz w:val="24"/>
          <w:szCs w:val="24"/>
          <w:lang w:eastAsia="sq-AL"/>
        </w:rPr>
        <w:t>ngje (leachate)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: ujë që depërton nëpër trupin e </w:t>
      </w:r>
      <w:r w:rsidR="00557D06">
        <w:rPr>
          <w:rFonts w:ascii="Times New Roman" w:eastAsia="Times New Roman" w:hAnsi="Times New Roman" w:cs="Times New Roman"/>
          <w:sz w:val="24"/>
          <w:szCs w:val="24"/>
          <w:lang w:eastAsia="sq-AL"/>
        </w:rPr>
        <w:t>venddepozitimit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dhe mund të transportojë substanca të tretshme.</w:t>
      </w:r>
    </w:p>
    <w:p w14:paraId="61033C1B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5425B3BF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Klasifikimi i venddepozitimit</w:t>
      </w:r>
    </w:p>
    <w:p w14:paraId="456D7B5B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Venddepozitimi i mbetjeve inerte:</w:t>
      </w:r>
    </w:p>
    <w:p w14:paraId="14222B27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•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pranon vetëm mbetje inerte;</w:t>
      </w:r>
    </w:p>
    <w:p w14:paraId="7DDE2984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•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ndalon pranimin e mbetjeve të rrezikshme, biodegradueshme, të lëngshme, eksplozive ose korrozive;</w:t>
      </w:r>
    </w:p>
    <w:p w14:paraId="4EEBAF8D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•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funksionon si objekt i veçantë ose si sektor i ndarë nga venddepozitime të tjera.</w:t>
      </w:r>
    </w:p>
    <w:p w14:paraId="42BAA524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66BF1787" w14:textId="673F7CCC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4BF690C6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4D1CEA00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Kërkesat për mbrojtjen e tokës dhe ujërave</w:t>
      </w:r>
    </w:p>
    <w:p w14:paraId="6949D551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1.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Fundi dhe anët e venddepozitimit duhet të pajisen me:</w:t>
      </w:r>
    </w:p>
    <w:p w14:paraId="50898407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o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shtresë natyrore argjilore ose të kompaktuar;</w:t>
      </w:r>
    </w:p>
    <w:p w14:paraId="469AE732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o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trashësi minimale 1.0 m;</w:t>
      </w:r>
    </w:p>
    <w:p w14:paraId="3FA43D29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o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koeficient përshkueshmërie: k ≤1* 10-7 m/s</w:t>
      </w:r>
    </w:p>
    <w:p w14:paraId="1ACB1920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2.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Në rast se kushtet natyrore nuk e sigurojnë këtë mbrojtje, vendoset gjeomembranë.</w:t>
      </w:r>
    </w:p>
    <w:p w14:paraId="7C8FA22F" w14:textId="651CD34F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Menaxhimi i ujërave dhe l</w:t>
      </w:r>
      <w:r w:rsidR="00943D92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DD0801">
        <w:rPr>
          <w:rFonts w:ascii="Times New Roman" w:eastAsia="Times New Roman" w:hAnsi="Times New Roman" w:cs="Times New Roman"/>
          <w:sz w:val="24"/>
          <w:szCs w:val="24"/>
          <w:lang w:eastAsia="sq-AL"/>
        </w:rPr>
        <w:t>ngjeve</w:t>
      </w:r>
    </w:p>
    <w:p w14:paraId="2D4DE2CE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1.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Venddepozitimi duhet të ketë sistem kullimi për ujërat sipërfaqësore.</w:t>
      </w:r>
    </w:p>
    <w:p w14:paraId="2002CAE2" w14:textId="76DEC92B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2.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Leksiviatet monitorohen dhe menaxhohen</w:t>
      </w:r>
      <w:r w:rsidR="00F01A76" w:rsidRPr="00F01A76">
        <w:t xml:space="preserve"> </w:t>
      </w:r>
      <w:r w:rsidR="00F01A76" w:rsidRPr="00F01A76">
        <w:rPr>
          <w:rFonts w:ascii="Times New Roman" w:eastAsia="Times New Roman" w:hAnsi="Times New Roman" w:cs="Times New Roman"/>
          <w:sz w:val="24"/>
          <w:szCs w:val="24"/>
          <w:lang w:eastAsia="sq-AL"/>
        </w:rPr>
        <w:t>në përputhje me kërkesat e këtij vendimi dhe normat teknike të përcaktuara në këtë aneks.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262E15F9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3.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Sistemi i trajtimit mund të jetë i thjeshtuar për mbetje inerte, nëse vërtetohet rrezik minimal mjedisor.</w:t>
      </w:r>
    </w:p>
    <w:p w14:paraId="510DAB14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Pranimi i mbetjeve</w:t>
      </w:r>
    </w:p>
    <w:p w14:paraId="1468EBE5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1.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Çdo ngarkesë duhet të shoqërohet me dokument origjine. (formatet sipas VKM-se 229/2014)</w:t>
      </w:r>
    </w:p>
    <w:p w14:paraId="182E6A90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2.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Kryhen kontrolle vizuale dhe, kur kërkohet, testime laboratorike.</w:t>
      </w:r>
    </w:p>
    <w:p w14:paraId="47BADCE5" w14:textId="4AF806D0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3.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Zbatohen kriteret e pranimit të mbetjeve (</w:t>
      </w:r>
      <w:r w:rsidR="00CA7478">
        <w:rPr>
          <w:rFonts w:ascii="Times New Roman" w:eastAsia="Times New Roman" w:hAnsi="Times New Roman" w:cs="Times New Roman"/>
          <w:sz w:val="24"/>
          <w:szCs w:val="24"/>
          <w:lang w:eastAsia="sq-AL"/>
        </w:rPr>
        <w:t>W</w:t>
      </w:r>
      <w:r w:rsidR="00C0616C"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AC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) sipas standardeve të BE-së.</w:t>
      </w:r>
    </w:p>
    <w:p w14:paraId="66B91B13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Operacioni i venddepozitimit</w:t>
      </w:r>
    </w:p>
    <w:p w14:paraId="66509898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Operatori duhet të sigurojë:</w:t>
      </w:r>
    </w:p>
    <w:p w14:paraId="3CFAE040" w14:textId="0E83FF13" w:rsidR="004B6DD6" w:rsidRPr="00B32C79" w:rsidRDefault="004B6DD6" w:rsidP="00B32C79">
      <w:pPr>
        <w:pStyle w:val="ListParagraph"/>
        <w:numPr>
          <w:ilvl w:val="2"/>
          <w:numId w:val="49"/>
        </w:numPr>
        <w:tabs>
          <w:tab w:val="left" w:pos="450"/>
        </w:tabs>
        <w:spacing w:after="0" w:line="240" w:lineRule="auto"/>
        <w:ind w:hanging="207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>plan operimi ditor;</w:t>
      </w:r>
    </w:p>
    <w:p w14:paraId="7F79D9B4" w14:textId="78DD2509" w:rsidR="004B6DD6" w:rsidRPr="00B32C79" w:rsidRDefault="004B6DD6" w:rsidP="00B32C79">
      <w:pPr>
        <w:pStyle w:val="ListParagraph"/>
        <w:numPr>
          <w:ilvl w:val="2"/>
          <w:numId w:val="49"/>
        </w:numPr>
        <w:spacing w:after="0" w:line="240" w:lineRule="auto"/>
        <w:ind w:left="63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>regjistrim të sasisë dhe llojit të mbetjeve;</w:t>
      </w:r>
    </w:p>
    <w:p w14:paraId="00A1C229" w14:textId="56E2BFC2" w:rsidR="004B6DD6" w:rsidRPr="00B32C79" w:rsidRDefault="004B6DD6" w:rsidP="00B32C79">
      <w:pPr>
        <w:pStyle w:val="ListParagraph"/>
        <w:numPr>
          <w:ilvl w:val="2"/>
          <w:numId w:val="49"/>
        </w:numPr>
        <w:spacing w:after="0" w:line="240" w:lineRule="auto"/>
        <w:ind w:left="63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>masa për kontrollin e pluhurit dhe stabilitetin mekanik;</w:t>
      </w:r>
    </w:p>
    <w:p w14:paraId="58A2446F" w14:textId="53E3481F" w:rsidR="004B6DD6" w:rsidRPr="00B32C79" w:rsidRDefault="004B6DD6" w:rsidP="00B32C79">
      <w:pPr>
        <w:pStyle w:val="ListParagraph"/>
        <w:numPr>
          <w:ilvl w:val="2"/>
          <w:numId w:val="49"/>
        </w:numPr>
        <w:spacing w:after="0" w:line="240" w:lineRule="auto"/>
        <w:ind w:left="63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>rrugë të brendshme funksionale.</w:t>
      </w:r>
    </w:p>
    <w:p w14:paraId="5A95E0B6" w14:textId="48C0C80D" w:rsidR="0006784C" w:rsidRPr="00B32C79" w:rsidRDefault="0006784C" w:rsidP="00B32C79">
      <w:pPr>
        <w:pStyle w:val="ListParagraph"/>
        <w:numPr>
          <w:ilvl w:val="0"/>
          <w:numId w:val="49"/>
        </w:numPr>
        <w:tabs>
          <w:tab w:val="left" w:pos="360"/>
        </w:tabs>
        <w:spacing w:after="0" w:line="240" w:lineRule="auto"/>
        <w:ind w:left="63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mjetet e nevojshme për realizimin e procesit të riciklimit: </w:t>
      </w:r>
    </w:p>
    <w:p w14:paraId="154A30CD" w14:textId="61598905" w:rsidR="0006784C" w:rsidRDefault="0006784C" w:rsidP="00B32C79">
      <w:pPr>
        <w:pStyle w:val="ListParagraph"/>
        <w:numPr>
          <w:ilvl w:val="0"/>
          <w:numId w:val="5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(iii) sitë fraksionimi</w:t>
      </w:r>
    </w:p>
    <w:p w14:paraId="7C60A053" w14:textId="77777777" w:rsidR="00B32C79" w:rsidRPr="00B32C79" w:rsidRDefault="00B32C79" w:rsidP="00B32C79">
      <w:pPr>
        <w:pStyle w:val="ListParagraph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>thërmues betoni</w:t>
      </w:r>
    </w:p>
    <w:p w14:paraId="16B85457" w14:textId="77777777" w:rsidR="00B32C79" w:rsidRPr="00B32C79" w:rsidRDefault="00B32C79" w:rsidP="00B32C79">
      <w:pPr>
        <w:pStyle w:val="ListParagraph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>separator (ndarës) magnetik</w:t>
      </w:r>
    </w:p>
    <w:p w14:paraId="6944382F" w14:textId="37ED9FA6" w:rsidR="00026CCF" w:rsidRDefault="00026CCF" w:rsidP="00B32C79">
      <w:pPr>
        <w:pStyle w:val="ListParagraph"/>
        <w:numPr>
          <w:ilvl w:val="0"/>
          <w:numId w:val="49"/>
        </w:num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B32C79">
        <w:rPr>
          <w:rFonts w:ascii="Times New Roman" w:eastAsia="Times New Roman" w:hAnsi="Times New Roman" w:cs="Times New Roman"/>
          <w:sz w:val="24"/>
          <w:szCs w:val="24"/>
          <w:lang w:eastAsia="sq-AL"/>
        </w:rPr>
        <w:t>peshore</w:t>
      </w:r>
    </w:p>
    <w:p w14:paraId="32126684" w14:textId="77777777" w:rsidR="006D1BEC" w:rsidRDefault="006D1BEC" w:rsidP="006D1BE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3696DC39" w14:textId="03A0CA76" w:rsidR="006D1BEC" w:rsidRPr="006D1BEC" w:rsidRDefault="006D1BEC" w:rsidP="006D1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Pajisjet mund të jenë të marra me qera ose në përdorim pa dëmshpërblim.</w:t>
      </w:r>
    </w:p>
    <w:p w14:paraId="6428303D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74CF7843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Monitorimi mjedisor</w:t>
      </w:r>
    </w:p>
    <w:p w14:paraId="564595F4" w14:textId="364763E3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1.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 xml:space="preserve">Monitorohen ujërat nëntokësore dhe stabiliteti i trupit të </w:t>
      </w:r>
      <w:r w:rsidR="00A42243">
        <w:rPr>
          <w:rFonts w:ascii="Times New Roman" w:eastAsia="Times New Roman" w:hAnsi="Times New Roman" w:cs="Times New Roman"/>
          <w:sz w:val="24"/>
          <w:szCs w:val="24"/>
          <w:lang w:eastAsia="sq-AL"/>
        </w:rPr>
        <w:t>venddepozitimit</w:t>
      </w:r>
    </w:p>
    <w:p w14:paraId="469695F8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2.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Nuk kërkohet sistem grumbullimi gazi.</w:t>
      </w:r>
    </w:p>
    <w:p w14:paraId="1A042D41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3.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Raportimi kryhet periodikisht te autoriteti përgjegjës.</w:t>
      </w:r>
    </w:p>
    <w:p w14:paraId="71CCFD0B" w14:textId="77777777" w:rsidR="00243F69" w:rsidRPr="00011E77" w:rsidRDefault="00243F69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2D48C824" w14:textId="68D5EC09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Mbyllja dhe rehabilitimi</w:t>
      </w:r>
    </w:p>
    <w:p w14:paraId="5C32E963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1.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Pas përfundimit të depozitimit, venddepozitimi:</w:t>
      </w:r>
    </w:p>
    <w:p w14:paraId="283072C7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o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mbulohet me shtresë finale;</w:t>
      </w:r>
    </w:p>
    <w:p w14:paraId="65B000C7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o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stabilizohet dhe formësohet;</w:t>
      </w:r>
    </w:p>
    <w:p w14:paraId="2C1AACE2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o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rehabilitohet në peizazh.</w:t>
      </w:r>
    </w:p>
    <w:p w14:paraId="166724BC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>2.</w:t>
      </w:r>
      <w:r w:rsidRPr="00011E77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>Zbatohet monitorim pas-mbylljes për një periudhë të përcaktuar nga autoriteti.</w:t>
      </w:r>
    </w:p>
    <w:p w14:paraId="0DF8F07B" w14:textId="77777777" w:rsidR="004B6DD6" w:rsidRPr="00011E77" w:rsidRDefault="004B6DD6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30BE580" w14:textId="5F57561F" w:rsidR="00FB3749" w:rsidRDefault="00FB3749">
      <w:pPr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02F11352" w14:textId="77777777" w:rsidR="00FB3749" w:rsidRPr="00BF1CA7" w:rsidRDefault="00FB3749" w:rsidP="00FB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CA7">
        <w:rPr>
          <w:rFonts w:ascii="Times New Roman" w:eastAsia="Times New Roman" w:hAnsi="Times New Roman" w:cs="Times New Roman"/>
          <w:b/>
          <w:bCs/>
          <w:sz w:val="24"/>
          <w:szCs w:val="24"/>
        </w:rPr>
        <w:t>ANEKS II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</w:r>
      <w:r w:rsidRPr="00BF1CA7">
        <w:rPr>
          <w:rFonts w:ascii="Times New Roman" w:eastAsia="Times New Roman" w:hAnsi="Times New Roman" w:cs="Times New Roman"/>
          <w:b/>
          <w:bCs/>
          <w:sz w:val="24"/>
          <w:szCs w:val="24"/>
        </w:rPr>
        <w:t>DETYRIMET E OPERATORIT PËR VENDDEPOZITIMET E PËRKOHSHME TË MBETJEVE INERTE</w:t>
      </w:r>
    </w:p>
    <w:p w14:paraId="3DF4A753" w14:textId="4018DF3D" w:rsidR="00FB3749" w:rsidRPr="00BF1CA7" w:rsidRDefault="00FB3749" w:rsidP="00FB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CA7">
        <w:rPr>
          <w:rFonts w:ascii="Times New Roman" w:eastAsia="Times New Roman" w:hAnsi="Times New Roman" w:cs="Times New Roman"/>
          <w:sz w:val="24"/>
          <w:szCs w:val="24"/>
        </w:rPr>
        <w:t>Operator i venddepozitimit të përkohshëm mban përgjegjësin</w:t>
      </w:r>
      <w:r w:rsidR="002E6CF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42AA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t xml:space="preserve"> plotë për operimin, monitorimin dhe përputhshmërinë mjedisore të venddepozitimit.</w:t>
      </w:r>
    </w:p>
    <w:p w14:paraId="0F4D4076" w14:textId="77777777" w:rsidR="00FB3749" w:rsidRPr="00BF1CA7" w:rsidRDefault="00FB3749" w:rsidP="00FB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CA7">
        <w:rPr>
          <w:rFonts w:ascii="Times New Roman" w:eastAsia="Times New Roman" w:hAnsi="Times New Roman" w:cs="Times New Roman"/>
          <w:b/>
          <w:bCs/>
          <w:sz w:val="24"/>
          <w:szCs w:val="24"/>
        </w:rPr>
        <w:t>2. Monitorimi dhe kontrolli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Operatori është i detyruar të zbatojë kërkesat e monitorimit dhe kontrollit, në përputhje me këtë vendim dhe parametrat e përcaktuar në Aneksin I, duke përfshirë: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a) monitorimin e ujërave sipërfaqësore dhe, kur kërkohet, të ujërave nëntokësore;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b) kontrollin e leksiviateve dhe stabilitetin e trupit të venddepozitimit;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c) kontrollin e pranimit të mbetjeve (verifikim dokumentacioni, inspektim vizual dhe, kur është e nevojshme, testime laboratorike);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ç) mbajtjen e regjistrave të sasisë, llojit, origjinës dhe statusit të mbetjeve (të pranuara dhe të refuzuara);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d) zbatimin e planit operativ ditor dhe masave për kontrollin e pluhurit, erozionit dhe stabilitetit mekanik.</w:t>
      </w:r>
    </w:p>
    <w:p w14:paraId="41FD4CC1" w14:textId="77777777" w:rsidR="00FB3749" w:rsidRPr="00BF1CA7" w:rsidRDefault="00FB3749" w:rsidP="00FB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CA7">
        <w:rPr>
          <w:rFonts w:ascii="Times New Roman" w:eastAsia="Times New Roman" w:hAnsi="Times New Roman" w:cs="Times New Roman"/>
          <w:b/>
          <w:bCs/>
          <w:sz w:val="24"/>
          <w:szCs w:val="24"/>
        </w:rPr>
        <w:t>4. Planifikimi operativ dhe emergjencat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a) Operatori duhet të hartojë dhe zbatojë plan operimi dhe plan për situata emergjente;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b) të sigurojë funksionimin e rrugëve të brendshme dhe pajisjeve për menaxhimin e mbetjeve;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c) të zbatojë masa për parandalimin e ndotjes, kontrollin e shpërndarjes së materialeve dhe mirëmbajtjen e vazhdueshme të venddepozitimit.</w:t>
      </w:r>
    </w:p>
    <w:p w14:paraId="33FFC3A3" w14:textId="77777777" w:rsidR="00FB3749" w:rsidRPr="00BF1CA7" w:rsidRDefault="00FB3749" w:rsidP="00FB3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CA7">
        <w:rPr>
          <w:rFonts w:ascii="Times New Roman" w:eastAsia="Times New Roman" w:hAnsi="Times New Roman" w:cs="Times New Roman"/>
          <w:b/>
          <w:bCs/>
          <w:sz w:val="24"/>
          <w:szCs w:val="24"/>
        </w:rPr>
        <w:t>5. Bashkëpunimi me autoritetin mbikëqyrës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Operatori duhet: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a) të lejojë dhe të lehtësojë inspektimet nga strukturat përgjegjëse në fushën e mjedisit;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b) të zbatojë rekomandimet dhe masat e kërkuara nga autoritetet kompetente;</w:t>
      </w:r>
      <w:r w:rsidRPr="00BF1CA7">
        <w:rPr>
          <w:rFonts w:ascii="Times New Roman" w:eastAsia="Times New Roman" w:hAnsi="Times New Roman" w:cs="Times New Roman"/>
          <w:sz w:val="24"/>
          <w:szCs w:val="24"/>
        </w:rPr>
        <w:br/>
        <w:t>c) të vërë në dispozicion çdo dokumentacion të kërkuar në lidhje me operimin dhe monitorimin e venddepozitimit.</w:t>
      </w:r>
    </w:p>
    <w:p w14:paraId="6243311A" w14:textId="77777777" w:rsidR="00DD0801" w:rsidRDefault="00DD0801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6CE51DD0" w14:textId="67D08A53" w:rsidR="00DD0801" w:rsidRPr="003A017A" w:rsidRDefault="00DD0801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3A017A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Aneks III</w:t>
      </w:r>
    </w:p>
    <w:p w14:paraId="509149CD" w14:textId="77777777" w:rsidR="00D117FF" w:rsidRPr="003A017A" w:rsidRDefault="00D117FF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14:paraId="4DBC39FC" w14:textId="43EA24C1" w:rsidR="00D117FF" w:rsidRPr="003A017A" w:rsidRDefault="00D117FF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3A017A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Llogaritja e kapacitetit dhe dime</w:t>
      </w:r>
      <w:r w:rsidR="000F4844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ns</w:t>
      </w:r>
      <w:r w:rsidRPr="003A017A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ioneve t</w:t>
      </w:r>
      <w:r w:rsidR="00943D92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ë</w:t>
      </w:r>
      <w:r w:rsidRPr="003A017A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venddepozitimit</w:t>
      </w:r>
    </w:p>
    <w:p w14:paraId="1452049B" w14:textId="77777777" w:rsidR="00DD0801" w:rsidRDefault="00DD0801" w:rsidP="00B05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06B12030" w14:textId="77777777" w:rsidR="00DD0801" w:rsidRPr="00B32C79" w:rsidRDefault="00DD0801" w:rsidP="00DD0801">
      <w:pPr>
        <w:pStyle w:val="NormalWeb"/>
        <w:numPr>
          <w:ilvl w:val="0"/>
          <w:numId w:val="44"/>
        </w:numPr>
        <w:spacing w:line="276" w:lineRule="auto"/>
        <w:jc w:val="both"/>
        <w:rPr>
          <w:color w:val="222222"/>
          <w:lang w:val="sq-AL"/>
        </w:rPr>
      </w:pPr>
      <w:r w:rsidRPr="00B32C79">
        <w:rPr>
          <w:color w:val="222222"/>
          <w:lang w:val="sq-AL"/>
        </w:rPr>
        <w:t>Për qëllime të dimensionimit të venddepozitimeve të përkohshme për mbetje inerte, vëllimi efektiv për depozitimin final llogaritet duke marrë në konsideratë normën e rikuperimit të materialeve, sipas formulës së mëposhtme:</w:t>
      </w:r>
    </w:p>
    <w:p w14:paraId="542C8CDB" w14:textId="77777777" w:rsidR="00DD0801" w:rsidRPr="00B32C79" w:rsidRDefault="00DD0801" w:rsidP="00DD0801">
      <w:pPr>
        <w:pStyle w:val="NormalWeb"/>
        <w:spacing w:line="276" w:lineRule="auto"/>
        <w:jc w:val="center"/>
        <w:rPr>
          <w:b/>
          <w:bCs/>
          <w:color w:val="222222"/>
          <w:lang w:val="sq-AL"/>
        </w:rPr>
      </w:pPr>
      <w:r w:rsidRPr="00B32C79">
        <w:rPr>
          <w:b/>
          <w:bCs/>
          <w:color w:val="222222"/>
          <w:lang w:val="sq-AL"/>
        </w:rPr>
        <w:t>“V_{neto} = \frac{M \cdot (1 - r)}{\rho \cdot k}”</w:t>
      </w:r>
    </w:p>
    <w:p w14:paraId="4C2488F8" w14:textId="77777777" w:rsidR="00DD0801" w:rsidRPr="00B32C79" w:rsidRDefault="00DD0801" w:rsidP="00DD0801">
      <w:pPr>
        <w:pStyle w:val="NormalWeb"/>
        <w:spacing w:line="276" w:lineRule="auto"/>
        <w:ind w:left="360"/>
        <w:jc w:val="both"/>
        <w:rPr>
          <w:color w:val="222222"/>
          <w:lang w:val="sq-AL"/>
        </w:rPr>
      </w:pPr>
      <w:r w:rsidRPr="00B32C79">
        <w:rPr>
          <w:color w:val="222222"/>
          <w:lang w:val="sq-AL"/>
        </w:rPr>
        <w:t>Në kuptim të këtij vendimi:</w:t>
      </w:r>
    </w:p>
    <w:p w14:paraId="30A78303" w14:textId="77777777" w:rsidR="00DD0801" w:rsidRPr="00B32C79" w:rsidRDefault="00DD0801" w:rsidP="00DD0801">
      <w:pPr>
        <w:pStyle w:val="NormalWeb"/>
        <w:numPr>
          <w:ilvl w:val="0"/>
          <w:numId w:val="45"/>
        </w:numPr>
        <w:spacing w:line="276" w:lineRule="auto"/>
        <w:ind w:left="945"/>
        <w:jc w:val="both"/>
        <w:rPr>
          <w:color w:val="222222"/>
          <w:lang w:val="sq-AL"/>
        </w:rPr>
      </w:pPr>
      <w:r w:rsidRPr="00B32C79">
        <w:rPr>
          <w:color w:val="222222"/>
          <w:lang w:val="sq-AL"/>
        </w:rPr>
        <w:t>V_{neto} është vëllimi efektiv për depozitimin final të mbetjeve inerte;</w:t>
      </w:r>
    </w:p>
    <w:p w14:paraId="2559D9AA" w14:textId="77777777" w:rsidR="00DD0801" w:rsidRPr="00703DB7" w:rsidRDefault="00DD0801" w:rsidP="00DD0801">
      <w:pPr>
        <w:pStyle w:val="NormalWeb"/>
        <w:numPr>
          <w:ilvl w:val="0"/>
          <w:numId w:val="45"/>
        </w:numPr>
        <w:spacing w:line="276" w:lineRule="auto"/>
        <w:ind w:left="945"/>
        <w:jc w:val="both"/>
        <w:rPr>
          <w:color w:val="222222"/>
          <w:lang w:val="it-CH"/>
        </w:rPr>
      </w:pPr>
      <w:r w:rsidRPr="00703DB7">
        <w:rPr>
          <w:color w:val="222222"/>
          <w:lang w:val="it-CH"/>
        </w:rPr>
        <w:t>M është masa totale e mbetjeve të pranuara;</w:t>
      </w:r>
    </w:p>
    <w:p w14:paraId="030024DB" w14:textId="77777777" w:rsidR="00DD0801" w:rsidRPr="00703DB7" w:rsidRDefault="00DD0801" w:rsidP="00DD0801">
      <w:pPr>
        <w:pStyle w:val="NormalWeb"/>
        <w:numPr>
          <w:ilvl w:val="0"/>
          <w:numId w:val="45"/>
        </w:numPr>
        <w:spacing w:line="276" w:lineRule="auto"/>
        <w:ind w:left="945"/>
        <w:jc w:val="both"/>
        <w:rPr>
          <w:color w:val="222222"/>
          <w:lang w:val="it-CH"/>
        </w:rPr>
      </w:pPr>
      <w:r w:rsidRPr="00703DB7">
        <w:rPr>
          <w:color w:val="222222"/>
          <w:lang w:val="it-CH"/>
        </w:rPr>
        <w:t>r është norma e rikuperimit të mbetjeve inerte për përdorim si material mbushës;</w:t>
      </w:r>
    </w:p>
    <w:p w14:paraId="37928DB9" w14:textId="77777777" w:rsidR="00DD0801" w:rsidRPr="00703DB7" w:rsidRDefault="00DD0801" w:rsidP="00DD0801">
      <w:pPr>
        <w:pStyle w:val="NormalWeb"/>
        <w:numPr>
          <w:ilvl w:val="0"/>
          <w:numId w:val="45"/>
        </w:numPr>
        <w:spacing w:line="276" w:lineRule="auto"/>
        <w:ind w:left="945"/>
        <w:jc w:val="both"/>
        <w:rPr>
          <w:color w:val="222222"/>
          <w:lang w:val="it-CH"/>
        </w:rPr>
      </w:pPr>
      <w:r w:rsidRPr="00703DB7">
        <w:rPr>
          <w:color w:val="222222"/>
          <w:lang w:val="it-CH"/>
        </w:rPr>
        <w:t>\rho është dendësia mesatare e mbetjeve në gjendje depozitimi;</w:t>
      </w:r>
    </w:p>
    <w:p w14:paraId="0C53B37A" w14:textId="77777777" w:rsidR="00DD0801" w:rsidRPr="00703DB7" w:rsidRDefault="00DD0801" w:rsidP="00DD0801">
      <w:pPr>
        <w:pStyle w:val="NormalWeb"/>
        <w:numPr>
          <w:ilvl w:val="0"/>
          <w:numId w:val="45"/>
        </w:numPr>
        <w:spacing w:line="276" w:lineRule="auto"/>
        <w:ind w:left="945"/>
        <w:jc w:val="both"/>
        <w:rPr>
          <w:color w:val="222222"/>
          <w:lang w:val="it-CH"/>
        </w:rPr>
      </w:pPr>
      <w:r w:rsidRPr="00703DB7">
        <w:rPr>
          <w:color w:val="222222"/>
          <w:lang w:val="it-CH"/>
        </w:rPr>
        <w:t>k është koeficienti i kompaktimit dhe shfrytëzimit të volumit.</w:t>
      </w:r>
    </w:p>
    <w:p w14:paraId="0218FB75" w14:textId="77777777" w:rsidR="00DD0801" w:rsidRPr="00703DB7" w:rsidRDefault="00DD0801" w:rsidP="00DD0801">
      <w:pPr>
        <w:pStyle w:val="NormalWeb"/>
        <w:numPr>
          <w:ilvl w:val="0"/>
          <w:numId w:val="44"/>
        </w:numPr>
        <w:spacing w:line="276" w:lineRule="auto"/>
        <w:jc w:val="both"/>
        <w:rPr>
          <w:color w:val="222222"/>
          <w:lang w:val="it-CH"/>
        </w:rPr>
      </w:pPr>
      <w:r w:rsidRPr="00703DB7">
        <w:rPr>
          <w:color w:val="222222"/>
          <w:lang w:val="it-CH"/>
        </w:rPr>
        <w:t>Për projektimin, dimensionimin dhe operimin e landfilleve të përkohshme për mbetje inerte, zbatohen këta koeficientë teknikë:</w:t>
      </w:r>
    </w:p>
    <w:p w14:paraId="13736A75" w14:textId="77777777" w:rsidR="00DD0801" w:rsidRPr="00703DB7" w:rsidRDefault="00DD0801" w:rsidP="00DD0801">
      <w:pPr>
        <w:pStyle w:val="NormalWeb"/>
        <w:numPr>
          <w:ilvl w:val="0"/>
          <w:numId w:val="46"/>
        </w:numPr>
        <w:spacing w:line="276" w:lineRule="auto"/>
        <w:jc w:val="both"/>
        <w:rPr>
          <w:color w:val="222222"/>
          <w:lang w:val="it-CH"/>
        </w:rPr>
      </w:pPr>
      <w:r w:rsidRPr="00703DB7">
        <w:rPr>
          <w:color w:val="222222"/>
          <w:lang w:val="it-CH"/>
        </w:rPr>
        <w:t>Dendësia mesatare e mbetjeve inerte në gjendje depozitimi (\rho) përcaktohet si më poshtë:</w:t>
      </w:r>
    </w:p>
    <w:p w14:paraId="4DC7D1C3" w14:textId="77777777" w:rsidR="00DD0801" w:rsidRPr="00703DB7" w:rsidRDefault="00DD0801" w:rsidP="00DD0801">
      <w:pPr>
        <w:pStyle w:val="NormalWeb"/>
        <w:numPr>
          <w:ilvl w:val="1"/>
          <w:numId w:val="45"/>
        </w:numPr>
        <w:spacing w:line="276" w:lineRule="auto"/>
        <w:jc w:val="both"/>
        <w:rPr>
          <w:color w:val="222222"/>
          <w:lang w:val="it-CH"/>
        </w:rPr>
      </w:pPr>
      <w:r w:rsidRPr="00703DB7">
        <w:rPr>
          <w:color w:val="222222"/>
          <w:lang w:val="it-CH"/>
        </w:rPr>
        <w:t>për dhera të thata: 1.30 – 1.50 ton/m³;</w:t>
      </w:r>
    </w:p>
    <w:p w14:paraId="05C70CB8" w14:textId="77777777" w:rsidR="00DD0801" w:rsidRPr="00703DB7" w:rsidRDefault="00DD0801" w:rsidP="00DD0801">
      <w:pPr>
        <w:pStyle w:val="NormalWeb"/>
        <w:numPr>
          <w:ilvl w:val="1"/>
          <w:numId w:val="45"/>
        </w:numPr>
        <w:spacing w:line="276" w:lineRule="auto"/>
        <w:jc w:val="both"/>
        <w:rPr>
          <w:color w:val="222222"/>
          <w:lang w:val="it-CH"/>
        </w:rPr>
      </w:pPr>
      <w:r w:rsidRPr="00703DB7">
        <w:rPr>
          <w:color w:val="222222"/>
          <w:lang w:val="it-CH"/>
        </w:rPr>
        <w:t>për dhera të lagura: 1.50 – 1.70 ton/m³;</w:t>
      </w:r>
    </w:p>
    <w:p w14:paraId="403FB161" w14:textId="77777777" w:rsidR="00DD0801" w:rsidRPr="00703DB7" w:rsidRDefault="00DD0801" w:rsidP="00DD0801">
      <w:pPr>
        <w:pStyle w:val="NormalWeb"/>
        <w:numPr>
          <w:ilvl w:val="1"/>
          <w:numId w:val="45"/>
        </w:numPr>
        <w:spacing w:line="276" w:lineRule="auto"/>
        <w:jc w:val="both"/>
        <w:rPr>
          <w:color w:val="222222"/>
          <w:lang w:val="nl-NL"/>
        </w:rPr>
      </w:pPr>
      <w:r w:rsidRPr="00703DB7">
        <w:rPr>
          <w:color w:val="222222"/>
          <w:lang w:val="nl-NL"/>
        </w:rPr>
        <w:t>për beton të thyer dhe materiale të ngjashme: 1.60 – 1.80 ton/m³;</w:t>
      </w:r>
    </w:p>
    <w:p w14:paraId="6684BB77" w14:textId="77777777" w:rsidR="00DD0801" w:rsidRPr="00B32C79" w:rsidRDefault="00DD0801" w:rsidP="00DD0801">
      <w:pPr>
        <w:pStyle w:val="NormalWeb"/>
        <w:numPr>
          <w:ilvl w:val="1"/>
          <w:numId w:val="45"/>
        </w:numPr>
        <w:spacing w:line="276" w:lineRule="auto"/>
        <w:jc w:val="both"/>
        <w:rPr>
          <w:color w:val="222222"/>
          <w:lang w:val="da-DK"/>
        </w:rPr>
      </w:pPr>
      <w:r w:rsidRPr="00B32C79">
        <w:rPr>
          <w:color w:val="222222"/>
          <w:lang w:val="da-DK"/>
        </w:rPr>
        <w:t>për materiale mikse inerte: 1.40 – 1.70 ton/m³.</w:t>
      </w:r>
    </w:p>
    <w:p w14:paraId="0D18AD49" w14:textId="77777777" w:rsidR="00DD0801" w:rsidRPr="00B32C79" w:rsidRDefault="00DD0801" w:rsidP="00DD0801">
      <w:pPr>
        <w:pStyle w:val="NormalWeb"/>
        <w:numPr>
          <w:ilvl w:val="0"/>
          <w:numId w:val="46"/>
        </w:numPr>
        <w:spacing w:line="276" w:lineRule="auto"/>
        <w:jc w:val="both"/>
        <w:rPr>
          <w:color w:val="222222"/>
          <w:lang w:val="da-DK"/>
        </w:rPr>
      </w:pPr>
      <w:r w:rsidRPr="00B32C79">
        <w:rPr>
          <w:color w:val="222222"/>
          <w:lang w:val="da-DK"/>
        </w:rPr>
        <w:t>Koeficienti i kompaktimit dhe i shfrytëzimit të volumit (k) përcaktohet si më poshtë:</w:t>
      </w:r>
    </w:p>
    <w:p w14:paraId="06BC6FF6" w14:textId="77777777" w:rsidR="00DD0801" w:rsidRPr="00D40CD5" w:rsidRDefault="00DD0801" w:rsidP="00DD0801">
      <w:pPr>
        <w:pStyle w:val="NormalWeb"/>
        <w:numPr>
          <w:ilvl w:val="2"/>
          <w:numId w:val="45"/>
        </w:numPr>
        <w:spacing w:line="276" w:lineRule="auto"/>
        <w:jc w:val="both"/>
        <w:rPr>
          <w:color w:val="222222"/>
        </w:rPr>
      </w:pPr>
      <w:proofErr w:type="spellStart"/>
      <w:r w:rsidRPr="00D40CD5">
        <w:rPr>
          <w:color w:val="222222"/>
        </w:rPr>
        <w:t>për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kompaktim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të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ulët</w:t>
      </w:r>
      <w:proofErr w:type="spellEnd"/>
      <w:r w:rsidRPr="00D40CD5">
        <w:rPr>
          <w:color w:val="222222"/>
        </w:rPr>
        <w:t xml:space="preserve">: </w:t>
      </w:r>
      <w:proofErr w:type="gramStart"/>
      <w:r w:rsidRPr="00D40CD5">
        <w:rPr>
          <w:color w:val="222222"/>
        </w:rPr>
        <w:t>0.75;</w:t>
      </w:r>
      <w:proofErr w:type="gramEnd"/>
    </w:p>
    <w:p w14:paraId="061FEAD1" w14:textId="77777777" w:rsidR="00DD0801" w:rsidRPr="00D40CD5" w:rsidRDefault="00DD0801" w:rsidP="00DD0801">
      <w:pPr>
        <w:pStyle w:val="NormalWeb"/>
        <w:numPr>
          <w:ilvl w:val="2"/>
          <w:numId w:val="45"/>
        </w:numPr>
        <w:spacing w:line="276" w:lineRule="auto"/>
        <w:jc w:val="both"/>
        <w:rPr>
          <w:color w:val="222222"/>
        </w:rPr>
      </w:pPr>
      <w:proofErr w:type="spellStart"/>
      <w:r w:rsidRPr="00D40CD5">
        <w:rPr>
          <w:color w:val="222222"/>
        </w:rPr>
        <w:t>për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kompaktim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mesatar</w:t>
      </w:r>
      <w:proofErr w:type="spellEnd"/>
      <w:r w:rsidRPr="00D40CD5">
        <w:rPr>
          <w:color w:val="222222"/>
        </w:rPr>
        <w:t xml:space="preserve">: 0.80 – </w:t>
      </w:r>
      <w:proofErr w:type="gramStart"/>
      <w:r w:rsidRPr="00D40CD5">
        <w:rPr>
          <w:color w:val="222222"/>
        </w:rPr>
        <w:t>0.85;</w:t>
      </w:r>
      <w:proofErr w:type="gramEnd"/>
    </w:p>
    <w:p w14:paraId="117FFB1E" w14:textId="77777777" w:rsidR="00DD0801" w:rsidRPr="00D40CD5" w:rsidRDefault="00DD0801" w:rsidP="00DD0801">
      <w:pPr>
        <w:pStyle w:val="NormalWeb"/>
        <w:numPr>
          <w:ilvl w:val="2"/>
          <w:numId w:val="45"/>
        </w:numPr>
        <w:spacing w:line="276" w:lineRule="auto"/>
        <w:jc w:val="both"/>
        <w:rPr>
          <w:color w:val="222222"/>
        </w:rPr>
      </w:pPr>
      <w:proofErr w:type="spellStart"/>
      <w:r w:rsidRPr="00D40CD5">
        <w:rPr>
          <w:color w:val="222222"/>
        </w:rPr>
        <w:t>për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kompaktim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të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lartë</w:t>
      </w:r>
      <w:proofErr w:type="spellEnd"/>
      <w:r w:rsidRPr="00D40CD5">
        <w:rPr>
          <w:color w:val="222222"/>
        </w:rPr>
        <w:t>: 0.85 – 0.90.</w:t>
      </w:r>
    </w:p>
    <w:p w14:paraId="75D1614C" w14:textId="77777777" w:rsidR="00DD0801" w:rsidRPr="00D40CD5" w:rsidRDefault="00DD0801" w:rsidP="00DD0801">
      <w:pPr>
        <w:pStyle w:val="NormalWeb"/>
        <w:numPr>
          <w:ilvl w:val="0"/>
          <w:numId w:val="46"/>
        </w:numPr>
        <w:spacing w:line="276" w:lineRule="auto"/>
        <w:jc w:val="both"/>
        <w:rPr>
          <w:color w:val="222222"/>
        </w:rPr>
      </w:pPr>
      <w:proofErr w:type="spellStart"/>
      <w:r w:rsidRPr="00D40CD5">
        <w:rPr>
          <w:color w:val="222222"/>
        </w:rPr>
        <w:t>Koeficienti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i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shfrytëzimit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të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sipërfaqes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së</w:t>
      </w:r>
      <w:proofErr w:type="spellEnd"/>
      <w:r w:rsidRPr="00D40CD5">
        <w:rPr>
          <w:color w:val="222222"/>
        </w:rPr>
        <w:t xml:space="preserve"> </w:t>
      </w:r>
      <w:proofErr w:type="spellStart"/>
      <w:r>
        <w:rPr>
          <w:color w:val="222222"/>
          <w:lang w:val="en-GB"/>
        </w:rPr>
        <w:t>venddepozitimit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nuk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mund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të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jetë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më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i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ulët</w:t>
      </w:r>
      <w:proofErr w:type="spellEnd"/>
      <w:r w:rsidRPr="00D40CD5">
        <w:rPr>
          <w:color w:val="222222"/>
        </w:rPr>
        <w:t xml:space="preserve"> se 70% </w:t>
      </w:r>
      <w:proofErr w:type="spellStart"/>
      <w:r w:rsidRPr="00D40CD5">
        <w:rPr>
          <w:color w:val="222222"/>
        </w:rPr>
        <w:t>dhe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më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i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lartë</w:t>
      </w:r>
      <w:proofErr w:type="spellEnd"/>
      <w:r w:rsidRPr="00D40CD5">
        <w:rPr>
          <w:color w:val="222222"/>
        </w:rPr>
        <w:t xml:space="preserve"> se 85% e </w:t>
      </w:r>
      <w:proofErr w:type="spellStart"/>
      <w:r w:rsidRPr="00D40CD5">
        <w:rPr>
          <w:color w:val="222222"/>
        </w:rPr>
        <w:t>sipërfaqes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totale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të</w:t>
      </w:r>
      <w:proofErr w:type="spellEnd"/>
      <w:r w:rsidRPr="00D40CD5">
        <w:rPr>
          <w:color w:val="222222"/>
        </w:rPr>
        <w:t xml:space="preserve"> </w:t>
      </w:r>
      <w:proofErr w:type="spellStart"/>
      <w:r w:rsidRPr="00D40CD5">
        <w:rPr>
          <w:color w:val="222222"/>
        </w:rPr>
        <w:t>miratuar</w:t>
      </w:r>
      <w:proofErr w:type="spellEnd"/>
      <w:r w:rsidRPr="00D40CD5">
        <w:rPr>
          <w:color w:val="222222"/>
        </w:rPr>
        <w:t>.</w:t>
      </w:r>
    </w:p>
    <w:p w14:paraId="7C8E91AC" w14:textId="77777777" w:rsidR="00DD0801" w:rsidRPr="00703DB7" w:rsidRDefault="00DD0801" w:rsidP="00DD0801">
      <w:pPr>
        <w:pStyle w:val="NormalWeb"/>
        <w:numPr>
          <w:ilvl w:val="0"/>
          <w:numId w:val="46"/>
        </w:numPr>
        <w:spacing w:line="276" w:lineRule="auto"/>
        <w:jc w:val="both"/>
        <w:rPr>
          <w:color w:val="222222"/>
          <w:lang w:val="it-CH"/>
        </w:rPr>
      </w:pPr>
      <w:r w:rsidRPr="00703DB7">
        <w:rPr>
          <w:color w:val="222222"/>
          <w:lang w:val="it-CH"/>
        </w:rPr>
        <w:t>Rezerva operative e kapacitetit nuk mund të jetë më e ulët se 10% e volumit neto të llogaritur.</w:t>
      </w:r>
    </w:p>
    <w:p w14:paraId="5C39E041" w14:textId="69C6E757" w:rsidR="00C743BC" w:rsidRPr="00C20871" w:rsidRDefault="00DD0801" w:rsidP="000F4844">
      <w:pPr>
        <w:pStyle w:val="NormalWeb"/>
        <w:numPr>
          <w:ilvl w:val="0"/>
          <w:numId w:val="46"/>
        </w:numPr>
        <w:spacing w:line="276" w:lineRule="auto"/>
        <w:jc w:val="both"/>
        <w:rPr>
          <w:lang w:val="it-CH" w:eastAsia="sq-AL"/>
        </w:rPr>
      </w:pPr>
      <w:r w:rsidRPr="00703DB7">
        <w:rPr>
          <w:color w:val="222222"/>
          <w:lang w:val="it-CH"/>
        </w:rPr>
        <w:t>Lartësia e trupit të depozitimit përcaktohet nga projekti teknik, por nuk mund të jetë më e ulët se 2 m dhe më e lartë se 5 m.</w:t>
      </w:r>
    </w:p>
    <w:sectPr w:rsidR="00C743BC" w:rsidRPr="00C20871" w:rsidSect="00C5145C">
      <w:pgSz w:w="11906" w:h="16838"/>
      <w:pgMar w:top="16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C75"/>
    <w:multiLevelType w:val="hybridMultilevel"/>
    <w:tmpl w:val="C4CC37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A4783"/>
    <w:multiLevelType w:val="hybridMultilevel"/>
    <w:tmpl w:val="574696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793"/>
    <w:multiLevelType w:val="hybridMultilevel"/>
    <w:tmpl w:val="723C09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12E"/>
    <w:multiLevelType w:val="hybridMultilevel"/>
    <w:tmpl w:val="84FADB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734EB"/>
    <w:multiLevelType w:val="multilevel"/>
    <w:tmpl w:val="AB989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F032F"/>
    <w:multiLevelType w:val="hybridMultilevel"/>
    <w:tmpl w:val="46C09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1269AF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C3134"/>
    <w:multiLevelType w:val="hybridMultilevel"/>
    <w:tmpl w:val="90548B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02488"/>
    <w:multiLevelType w:val="hybridMultilevel"/>
    <w:tmpl w:val="7A78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00C1C"/>
    <w:multiLevelType w:val="hybridMultilevel"/>
    <w:tmpl w:val="6DF4B4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B05DA"/>
    <w:multiLevelType w:val="hybridMultilevel"/>
    <w:tmpl w:val="EA649B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8C2516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881DAC"/>
    <w:multiLevelType w:val="hybridMultilevel"/>
    <w:tmpl w:val="27CC3A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073228"/>
    <w:multiLevelType w:val="hybridMultilevel"/>
    <w:tmpl w:val="E5243C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CD2315"/>
    <w:multiLevelType w:val="multilevel"/>
    <w:tmpl w:val="41C2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4E593F"/>
    <w:multiLevelType w:val="hybridMultilevel"/>
    <w:tmpl w:val="FED82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F1987"/>
    <w:multiLevelType w:val="hybridMultilevel"/>
    <w:tmpl w:val="21BA34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071C62"/>
    <w:multiLevelType w:val="multilevel"/>
    <w:tmpl w:val="2236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301B8B"/>
    <w:multiLevelType w:val="multilevel"/>
    <w:tmpl w:val="B0229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C433C"/>
    <w:multiLevelType w:val="hybridMultilevel"/>
    <w:tmpl w:val="EEF26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C2A974">
      <w:start w:val="2"/>
      <w:numFmt w:val="bullet"/>
      <w:lvlText w:val="•"/>
      <w:lvlJc w:val="left"/>
      <w:pPr>
        <w:ind w:left="2700" w:hanging="720"/>
      </w:pPr>
      <w:rPr>
        <w:rFonts w:ascii="Times New Roman" w:eastAsia="Times New Roman" w:hAnsi="Times New Roman" w:cs="Times New Roman" w:hint="default"/>
      </w:rPr>
    </w:lvl>
    <w:lvl w:ilvl="3" w:tplc="5FDA8EF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77ED2"/>
    <w:multiLevelType w:val="hybridMultilevel"/>
    <w:tmpl w:val="392EE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44A05"/>
    <w:multiLevelType w:val="multilevel"/>
    <w:tmpl w:val="BF9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CF7B11"/>
    <w:multiLevelType w:val="hybridMultilevel"/>
    <w:tmpl w:val="86088854"/>
    <w:lvl w:ilvl="0" w:tplc="A8AA13D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A502F"/>
    <w:multiLevelType w:val="hybridMultilevel"/>
    <w:tmpl w:val="B69AA34C"/>
    <w:lvl w:ilvl="0" w:tplc="FC7020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34572516"/>
    <w:multiLevelType w:val="hybridMultilevel"/>
    <w:tmpl w:val="D276B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B22CA"/>
    <w:multiLevelType w:val="multilevel"/>
    <w:tmpl w:val="B6FC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156524"/>
    <w:multiLevelType w:val="hybridMultilevel"/>
    <w:tmpl w:val="ECC290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24CD9"/>
    <w:multiLevelType w:val="hybridMultilevel"/>
    <w:tmpl w:val="DE4217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A46B51"/>
    <w:multiLevelType w:val="multilevel"/>
    <w:tmpl w:val="83D8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5C7350"/>
    <w:multiLevelType w:val="hybridMultilevel"/>
    <w:tmpl w:val="0B2E56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83BDC"/>
    <w:multiLevelType w:val="multilevel"/>
    <w:tmpl w:val="4330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D50378"/>
    <w:multiLevelType w:val="multilevel"/>
    <w:tmpl w:val="C47C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344C67"/>
    <w:multiLevelType w:val="hybridMultilevel"/>
    <w:tmpl w:val="C6846670"/>
    <w:lvl w:ilvl="0" w:tplc="0DD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96175"/>
    <w:multiLevelType w:val="multilevel"/>
    <w:tmpl w:val="711237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CF422E"/>
    <w:multiLevelType w:val="multilevel"/>
    <w:tmpl w:val="2EB41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364A95"/>
    <w:multiLevelType w:val="hybridMultilevel"/>
    <w:tmpl w:val="086454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EA21A1"/>
    <w:multiLevelType w:val="hybridMultilevel"/>
    <w:tmpl w:val="C1AC8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5829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A51766"/>
    <w:multiLevelType w:val="hybridMultilevel"/>
    <w:tmpl w:val="CE484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80B4C"/>
    <w:multiLevelType w:val="hybridMultilevel"/>
    <w:tmpl w:val="85E8A654"/>
    <w:lvl w:ilvl="0" w:tplc="EC844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6421F1"/>
    <w:multiLevelType w:val="hybridMultilevel"/>
    <w:tmpl w:val="9DE4AB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EE55F4E"/>
    <w:multiLevelType w:val="multilevel"/>
    <w:tmpl w:val="069CF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1823B7"/>
    <w:multiLevelType w:val="hybridMultilevel"/>
    <w:tmpl w:val="BD887E8A"/>
    <w:lvl w:ilvl="0" w:tplc="FB1638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150F8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0614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06A1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1C73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3E1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00B7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49ACE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FDEFE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549E6C88"/>
    <w:multiLevelType w:val="hybridMultilevel"/>
    <w:tmpl w:val="4D2022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58703B7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9F6723A"/>
    <w:multiLevelType w:val="hybridMultilevel"/>
    <w:tmpl w:val="DB2E2B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4144C"/>
    <w:multiLevelType w:val="multilevel"/>
    <w:tmpl w:val="944C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B3336C"/>
    <w:multiLevelType w:val="hybridMultilevel"/>
    <w:tmpl w:val="F31E8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E1CAE"/>
    <w:multiLevelType w:val="hybridMultilevel"/>
    <w:tmpl w:val="05C24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F1415"/>
    <w:multiLevelType w:val="multilevel"/>
    <w:tmpl w:val="5CA0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1C3BBA"/>
    <w:multiLevelType w:val="hybridMultilevel"/>
    <w:tmpl w:val="0140729E"/>
    <w:lvl w:ilvl="0" w:tplc="852C7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CA048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54CD7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C6A5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03639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604A9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8E447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C1AD4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7A6E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7" w15:restartNumberingAfterBreak="0">
    <w:nsid w:val="69B346A5"/>
    <w:multiLevelType w:val="hybridMultilevel"/>
    <w:tmpl w:val="C870F3C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 w15:restartNumberingAfterBreak="0">
    <w:nsid w:val="6ABB494C"/>
    <w:multiLevelType w:val="hybridMultilevel"/>
    <w:tmpl w:val="59163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683327"/>
    <w:multiLevelType w:val="multilevel"/>
    <w:tmpl w:val="8A80E6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54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B6575E"/>
    <w:multiLevelType w:val="multilevel"/>
    <w:tmpl w:val="CD9E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263088"/>
    <w:multiLevelType w:val="hybridMultilevel"/>
    <w:tmpl w:val="D3482F2E"/>
    <w:lvl w:ilvl="0" w:tplc="FFFFFFFF">
      <w:start w:val="1"/>
      <w:numFmt w:val="lowerLetter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 w15:restartNumberingAfterBreak="0">
    <w:nsid w:val="70900E13"/>
    <w:multiLevelType w:val="multilevel"/>
    <w:tmpl w:val="625C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7A269F"/>
    <w:multiLevelType w:val="hybridMultilevel"/>
    <w:tmpl w:val="8BB89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681A7E"/>
    <w:multiLevelType w:val="multilevel"/>
    <w:tmpl w:val="1932D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89298E"/>
    <w:multiLevelType w:val="hybridMultilevel"/>
    <w:tmpl w:val="D3482F2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 w15:restartNumberingAfterBreak="0">
    <w:nsid w:val="7D6F5CCB"/>
    <w:multiLevelType w:val="hybridMultilevel"/>
    <w:tmpl w:val="4F7A75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E450424"/>
    <w:multiLevelType w:val="hybridMultilevel"/>
    <w:tmpl w:val="1586F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F424E2"/>
    <w:multiLevelType w:val="hybridMultilevel"/>
    <w:tmpl w:val="4C222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624C0"/>
    <w:multiLevelType w:val="hybridMultilevel"/>
    <w:tmpl w:val="452647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0405655">
    <w:abstractNumId w:val="16"/>
  </w:num>
  <w:num w:numId="2" w16cid:durableId="293877002">
    <w:abstractNumId w:val="42"/>
  </w:num>
  <w:num w:numId="3" w16cid:durableId="91978316">
    <w:abstractNumId w:val="26"/>
  </w:num>
  <w:num w:numId="4" w16cid:durableId="346519731">
    <w:abstractNumId w:val="19"/>
  </w:num>
  <w:num w:numId="5" w16cid:durableId="294722398">
    <w:abstractNumId w:val="29"/>
  </w:num>
  <w:num w:numId="6" w16cid:durableId="1507356195">
    <w:abstractNumId w:val="28"/>
  </w:num>
  <w:num w:numId="7" w16cid:durableId="1288009992">
    <w:abstractNumId w:val="45"/>
  </w:num>
  <w:num w:numId="8" w16cid:durableId="1764690581">
    <w:abstractNumId w:val="31"/>
  </w:num>
  <w:num w:numId="9" w16cid:durableId="533202362">
    <w:abstractNumId w:val="52"/>
  </w:num>
  <w:num w:numId="10" w16cid:durableId="1658925040">
    <w:abstractNumId w:val="38"/>
  </w:num>
  <w:num w:numId="11" w16cid:durableId="661274909">
    <w:abstractNumId w:val="15"/>
  </w:num>
  <w:num w:numId="12" w16cid:durableId="2066104469">
    <w:abstractNumId w:val="32"/>
  </w:num>
  <w:num w:numId="13" w16cid:durableId="1799106471">
    <w:abstractNumId w:val="23"/>
  </w:num>
  <w:num w:numId="14" w16cid:durableId="845286550">
    <w:abstractNumId w:val="4"/>
  </w:num>
  <w:num w:numId="15" w16cid:durableId="1178351031">
    <w:abstractNumId w:val="12"/>
  </w:num>
  <w:num w:numId="16" w16cid:durableId="744912810">
    <w:abstractNumId w:val="50"/>
  </w:num>
  <w:num w:numId="17" w16cid:durableId="2100833593">
    <w:abstractNumId w:val="54"/>
  </w:num>
  <w:num w:numId="18" w16cid:durableId="1512841392">
    <w:abstractNumId w:val="58"/>
  </w:num>
  <w:num w:numId="19" w16cid:durableId="1159150488">
    <w:abstractNumId w:val="22"/>
  </w:num>
  <w:num w:numId="20" w16cid:durableId="1315909969">
    <w:abstractNumId w:val="47"/>
  </w:num>
  <w:num w:numId="21" w16cid:durableId="1220826900">
    <w:abstractNumId w:val="36"/>
  </w:num>
  <w:num w:numId="22" w16cid:durableId="1254053037">
    <w:abstractNumId w:val="27"/>
  </w:num>
  <w:num w:numId="23" w16cid:durableId="851605041">
    <w:abstractNumId w:val="56"/>
  </w:num>
  <w:num w:numId="24" w16cid:durableId="1032609963">
    <w:abstractNumId w:val="25"/>
  </w:num>
  <w:num w:numId="25" w16cid:durableId="1503160703">
    <w:abstractNumId w:val="55"/>
  </w:num>
  <w:num w:numId="26" w16cid:durableId="1873955648">
    <w:abstractNumId w:val="10"/>
  </w:num>
  <w:num w:numId="27" w16cid:durableId="731468143">
    <w:abstractNumId w:val="40"/>
  </w:num>
  <w:num w:numId="28" w16cid:durableId="818763027">
    <w:abstractNumId w:val="57"/>
  </w:num>
  <w:num w:numId="29" w16cid:durableId="1671709588">
    <w:abstractNumId w:val="34"/>
  </w:num>
  <w:num w:numId="30" w16cid:durableId="2125687388">
    <w:abstractNumId w:val="14"/>
  </w:num>
  <w:num w:numId="31" w16cid:durableId="1654025288">
    <w:abstractNumId w:val="44"/>
  </w:num>
  <w:num w:numId="32" w16cid:durableId="1650816524">
    <w:abstractNumId w:val="2"/>
  </w:num>
  <w:num w:numId="33" w16cid:durableId="286933069">
    <w:abstractNumId w:val="8"/>
  </w:num>
  <w:num w:numId="34" w16cid:durableId="209003629">
    <w:abstractNumId w:val="9"/>
  </w:num>
  <w:num w:numId="35" w16cid:durableId="87775120">
    <w:abstractNumId w:val="59"/>
  </w:num>
  <w:num w:numId="36" w16cid:durableId="2016108806">
    <w:abstractNumId w:val="43"/>
  </w:num>
  <w:num w:numId="37" w16cid:durableId="1515150595">
    <w:abstractNumId w:val="5"/>
  </w:num>
  <w:num w:numId="38" w16cid:durableId="1576471559">
    <w:abstractNumId w:val="17"/>
  </w:num>
  <w:num w:numId="39" w16cid:durableId="1554779048">
    <w:abstractNumId w:val="37"/>
  </w:num>
  <w:num w:numId="40" w16cid:durableId="244923573">
    <w:abstractNumId w:val="18"/>
  </w:num>
  <w:num w:numId="41" w16cid:durableId="1995335702">
    <w:abstractNumId w:val="41"/>
  </w:num>
  <w:num w:numId="42" w16cid:durableId="1874658493">
    <w:abstractNumId w:val="48"/>
  </w:num>
  <w:num w:numId="43" w16cid:durableId="1116683069">
    <w:abstractNumId w:val="53"/>
  </w:num>
  <w:num w:numId="44" w16cid:durableId="939263698">
    <w:abstractNumId w:val="0"/>
  </w:num>
  <w:num w:numId="45" w16cid:durableId="1218928535">
    <w:abstractNumId w:val="49"/>
  </w:num>
  <w:num w:numId="46" w16cid:durableId="616377911">
    <w:abstractNumId w:val="1"/>
  </w:num>
  <w:num w:numId="47" w16cid:durableId="778993075">
    <w:abstractNumId w:val="3"/>
  </w:num>
  <w:num w:numId="48" w16cid:durableId="375276477">
    <w:abstractNumId w:val="51"/>
  </w:num>
  <w:num w:numId="49" w16cid:durableId="84881784">
    <w:abstractNumId w:val="7"/>
  </w:num>
  <w:num w:numId="50" w16cid:durableId="177542676">
    <w:abstractNumId w:val="20"/>
  </w:num>
  <w:num w:numId="51" w16cid:durableId="1967009062">
    <w:abstractNumId w:val="30"/>
  </w:num>
  <w:num w:numId="52" w16cid:durableId="869686303">
    <w:abstractNumId w:val="39"/>
  </w:num>
  <w:num w:numId="53" w16cid:durableId="943344670">
    <w:abstractNumId w:val="46"/>
  </w:num>
  <w:num w:numId="54" w16cid:durableId="874344236">
    <w:abstractNumId w:val="35"/>
  </w:num>
  <w:num w:numId="55" w16cid:durableId="14120086">
    <w:abstractNumId w:val="21"/>
  </w:num>
  <w:num w:numId="56" w16cid:durableId="740761570">
    <w:abstractNumId w:val="33"/>
  </w:num>
  <w:num w:numId="57" w16cid:durableId="1382945609">
    <w:abstractNumId w:val="6"/>
  </w:num>
  <w:num w:numId="58" w16cid:durableId="1843423539">
    <w:abstractNumId w:val="11"/>
  </w:num>
  <w:num w:numId="59" w16cid:durableId="1654262056">
    <w:abstractNumId w:val="24"/>
  </w:num>
  <w:num w:numId="60" w16cid:durableId="228269415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2D"/>
    <w:rsid w:val="000004BC"/>
    <w:rsid w:val="00002921"/>
    <w:rsid w:val="00002A2A"/>
    <w:rsid w:val="000101E2"/>
    <w:rsid w:val="000116F2"/>
    <w:rsid w:val="00011E77"/>
    <w:rsid w:val="0001292D"/>
    <w:rsid w:val="00013CFA"/>
    <w:rsid w:val="000209EF"/>
    <w:rsid w:val="00023B84"/>
    <w:rsid w:val="00023F7E"/>
    <w:rsid w:val="00026CCF"/>
    <w:rsid w:val="00030BE5"/>
    <w:rsid w:val="00031882"/>
    <w:rsid w:val="000344D1"/>
    <w:rsid w:val="00034EC9"/>
    <w:rsid w:val="00036AE7"/>
    <w:rsid w:val="00043C2E"/>
    <w:rsid w:val="00050D17"/>
    <w:rsid w:val="00051463"/>
    <w:rsid w:val="00053D27"/>
    <w:rsid w:val="00054D2F"/>
    <w:rsid w:val="0006057B"/>
    <w:rsid w:val="00062988"/>
    <w:rsid w:val="0006313A"/>
    <w:rsid w:val="0006551C"/>
    <w:rsid w:val="00067060"/>
    <w:rsid w:val="0006784C"/>
    <w:rsid w:val="000728D7"/>
    <w:rsid w:val="0007535E"/>
    <w:rsid w:val="00076248"/>
    <w:rsid w:val="00076581"/>
    <w:rsid w:val="00076C83"/>
    <w:rsid w:val="00083241"/>
    <w:rsid w:val="000875F9"/>
    <w:rsid w:val="000900AD"/>
    <w:rsid w:val="00091605"/>
    <w:rsid w:val="00095619"/>
    <w:rsid w:val="0009759C"/>
    <w:rsid w:val="000A5E27"/>
    <w:rsid w:val="000A6B35"/>
    <w:rsid w:val="000C1CF5"/>
    <w:rsid w:val="000C3BF2"/>
    <w:rsid w:val="000C3E5F"/>
    <w:rsid w:val="000C7F26"/>
    <w:rsid w:val="000D37D5"/>
    <w:rsid w:val="000D4B7D"/>
    <w:rsid w:val="000D6FFA"/>
    <w:rsid w:val="000E1697"/>
    <w:rsid w:val="000E43E5"/>
    <w:rsid w:val="000E5BEE"/>
    <w:rsid w:val="000F1270"/>
    <w:rsid w:val="000F4844"/>
    <w:rsid w:val="001056C3"/>
    <w:rsid w:val="001056D6"/>
    <w:rsid w:val="00107F71"/>
    <w:rsid w:val="001109C7"/>
    <w:rsid w:val="00112BC1"/>
    <w:rsid w:val="00113D6A"/>
    <w:rsid w:val="00115935"/>
    <w:rsid w:val="00122BBF"/>
    <w:rsid w:val="001303D3"/>
    <w:rsid w:val="00131AFD"/>
    <w:rsid w:val="00135B6B"/>
    <w:rsid w:val="00136434"/>
    <w:rsid w:val="00140B48"/>
    <w:rsid w:val="00142BE0"/>
    <w:rsid w:val="001519AD"/>
    <w:rsid w:val="001575CD"/>
    <w:rsid w:val="0017487D"/>
    <w:rsid w:val="001754FA"/>
    <w:rsid w:val="00175FA2"/>
    <w:rsid w:val="00176D4B"/>
    <w:rsid w:val="00180258"/>
    <w:rsid w:val="00183740"/>
    <w:rsid w:val="00183C35"/>
    <w:rsid w:val="00185820"/>
    <w:rsid w:val="00191420"/>
    <w:rsid w:val="00191CED"/>
    <w:rsid w:val="0019636D"/>
    <w:rsid w:val="00196855"/>
    <w:rsid w:val="001A0DC4"/>
    <w:rsid w:val="001A139A"/>
    <w:rsid w:val="001A5452"/>
    <w:rsid w:val="001B35E0"/>
    <w:rsid w:val="001B4D0A"/>
    <w:rsid w:val="001C448B"/>
    <w:rsid w:val="001C5358"/>
    <w:rsid w:val="001C7F47"/>
    <w:rsid w:val="001D3A2F"/>
    <w:rsid w:val="001D5858"/>
    <w:rsid w:val="001E2DBC"/>
    <w:rsid w:val="001E346C"/>
    <w:rsid w:val="001F46AB"/>
    <w:rsid w:val="00202509"/>
    <w:rsid w:val="00205B34"/>
    <w:rsid w:val="00214C90"/>
    <w:rsid w:val="00221BBF"/>
    <w:rsid w:val="002236CA"/>
    <w:rsid w:val="00224BF2"/>
    <w:rsid w:val="00231D56"/>
    <w:rsid w:val="00236B4D"/>
    <w:rsid w:val="00242AAA"/>
    <w:rsid w:val="00243F69"/>
    <w:rsid w:val="0024507F"/>
    <w:rsid w:val="002461A0"/>
    <w:rsid w:val="00261841"/>
    <w:rsid w:val="0026269A"/>
    <w:rsid w:val="00262A46"/>
    <w:rsid w:val="00262BD3"/>
    <w:rsid w:val="0026321A"/>
    <w:rsid w:val="00263629"/>
    <w:rsid w:val="00271363"/>
    <w:rsid w:val="00276463"/>
    <w:rsid w:val="00276D7C"/>
    <w:rsid w:val="0027747E"/>
    <w:rsid w:val="002778CA"/>
    <w:rsid w:val="0028199C"/>
    <w:rsid w:val="00284B51"/>
    <w:rsid w:val="002902C1"/>
    <w:rsid w:val="00293D91"/>
    <w:rsid w:val="00296651"/>
    <w:rsid w:val="002A24AE"/>
    <w:rsid w:val="002A2833"/>
    <w:rsid w:val="002A52C0"/>
    <w:rsid w:val="002B571A"/>
    <w:rsid w:val="002B586D"/>
    <w:rsid w:val="002B6B6B"/>
    <w:rsid w:val="002C4ED6"/>
    <w:rsid w:val="002E1F4E"/>
    <w:rsid w:val="002E2690"/>
    <w:rsid w:val="002E2F3C"/>
    <w:rsid w:val="002E6CF2"/>
    <w:rsid w:val="002F3A70"/>
    <w:rsid w:val="00317CDA"/>
    <w:rsid w:val="003222A8"/>
    <w:rsid w:val="00324AA3"/>
    <w:rsid w:val="003278FD"/>
    <w:rsid w:val="00333806"/>
    <w:rsid w:val="00333D27"/>
    <w:rsid w:val="00334024"/>
    <w:rsid w:val="00336048"/>
    <w:rsid w:val="003433C8"/>
    <w:rsid w:val="003435EA"/>
    <w:rsid w:val="00343775"/>
    <w:rsid w:val="00363281"/>
    <w:rsid w:val="00365D81"/>
    <w:rsid w:val="00371732"/>
    <w:rsid w:val="0037688C"/>
    <w:rsid w:val="00391AB2"/>
    <w:rsid w:val="003A017A"/>
    <w:rsid w:val="003A3F50"/>
    <w:rsid w:val="003A5173"/>
    <w:rsid w:val="003A64C3"/>
    <w:rsid w:val="003B000A"/>
    <w:rsid w:val="003B4362"/>
    <w:rsid w:val="003B5124"/>
    <w:rsid w:val="003C0FA2"/>
    <w:rsid w:val="003C288B"/>
    <w:rsid w:val="003C2D11"/>
    <w:rsid w:val="003C61E2"/>
    <w:rsid w:val="003D3934"/>
    <w:rsid w:val="003D6069"/>
    <w:rsid w:val="003E39AC"/>
    <w:rsid w:val="003E45DA"/>
    <w:rsid w:val="003E535C"/>
    <w:rsid w:val="003F1E1B"/>
    <w:rsid w:val="003F2B04"/>
    <w:rsid w:val="004073F2"/>
    <w:rsid w:val="004106ED"/>
    <w:rsid w:val="0041144A"/>
    <w:rsid w:val="0041643D"/>
    <w:rsid w:val="004236BB"/>
    <w:rsid w:val="004307E9"/>
    <w:rsid w:val="00432548"/>
    <w:rsid w:val="004356F1"/>
    <w:rsid w:val="00436B53"/>
    <w:rsid w:val="004500DB"/>
    <w:rsid w:val="004528DF"/>
    <w:rsid w:val="00456203"/>
    <w:rsid w:val="00456AD5"/>
    <w:rsid w:val="00456FC2"/>
    <w:rsid w:val="00460EDF"/>
    <w:rsid w:val="004651A7"/>
    <w:rsid w:val="004742CD"/>
    <w:rsid w:val="00483058"/>
    <w:rsid w:val="00484317"/>
    <w:rsid w:val="0048446A"/>
    <w:rsid w:val="00484609"/>
    <w:rsid w:val="00485F16"/>
    <w:rsid w:val="00486540"/>
    <w:rsid w:val="0049071F"/>
    <w:rsid w:val="004A71FD"/>
    <w:rsid w:val="004B3DD6"/>
    <w:rsid w:val="004B4212"/>
    <w:rsid w:val="004B66FA"/>
    <w:rsid w:val="004B6DD6"/>
    <w:rsid w:val="004C5F58"/>
    <w:rsid w:val="004D7C84"/>
    <w:rsid w:val="004E2B75"/>
    <w:rsid w:val="004E45E3"/>
    <w:rsid w:val="004F2308"/>
    <w:rsid w:val="004F7C83"/>
    <w:rsid w:val="005032D3"/>
    <w:rsid w:val="00503323"/>
    <w:rsid w:val="00515989"/>
    <w:rsid w:val="00520D7C"/>
    <w:rsid w:val="005415E6"/>
    <w:rsid w:val="00555DB9"/>
    <w:rsid w:val="0055751A"/>
    <w:rsid w:val="00557D06"/>
    <w:rsid w:val="00557DD0"/>
    <w:rsid w:val="00561D87"/>
    <w:rsid w:val="005622B3"/>
    <w:rsid w:val="00565E89"/>
    <w:rsid w:val="005677B6"/>
    <w:rsid w:val="00576930"/>
    <w:rsid w:val="00586836"/>
    <w:rsid w:val="00586AE4"/>
    <w:rsid w:val="0059158B"/>
    <w:rsid w:val="0059519B"/>
    <w:rsid w:val="005B027C"/>
    <w:rsid w:val="005B21E3"/>
    <w:rsid w:val="005B2367"/>
    <w:rsid w:val="005B491B"/>
    <w:rsid w:val="005B582D"/>
    <w:rsid w:val="005C3CE4"/>
    <w:rsid w:val="005D6040"/>
    <w:rsid w:val="005E7F53"/>
    <w:rsid w:val="005F2987"/>
    <w:rsid w:val="005F39A5"/>
    <w:rsid w:val="005F5165"/>
    <w:rsid w:val="005F5EF8"/>
    <w:rsid w:val="005F7CD5"/>
    <w:rsid w:val="006139E6"/>
    <w:rsid w:val="00613B50"/>
    <w:rsid w:val="006151F0"/>
    <w:rsid w:val="006310B1"/>
    <w:rsid w:val="006377E3"/>
    <w:rsid w:val="00641682"/>
    <w:rsid w:val="00645DA4"/>
    <w:rsid w:val="0065083C"/>
    <w:rsid w:val="006533E4"/>
    <w:rsid w:val="00670F8E"/>
    <w:rsid w:val="0067762E"/>
    <w:rsid w:val="00677CF5"/>
    <w:rsid w:val="00690185"/>
    <w:rsid w:val="00690E36"/>
    <w:rsid w:val="00693869"/>
    <w:rsid w:val="006960F8"/>
    <w:rsid w:val="006961A3"/>
    <w:rsid w:val="006978C2"/>
    <w:rsid w:val="006A670E"/>
    <w:rsid w:val="006B572C"/>
    <w:rsid w:val="006C3F28"/>
    <w:rsid w:val="006C4BDE"/>
    <w:rsid w:val="006D1BEC"/>
    <w:rsid w:val="006D3086"/>
    <w:rsid w:val="006E3B04"/>
    <w:rsid w:val="006E43C6"/>
    <w:rsid w:val="006F5374"/>
    <w:rsid w:val="006F5EAE"/>
    <w:rsid w:val="00700E2C"/>
    <w:rsid w:val="00703DB7"/>
    <w:rsid w:val="00706EF4"/>
    <w:rsid w:val="0071169F"/>
    <w:rsid w:val="00713EB9"/>
    <w:rsid w:val="0071468D"/>
    <w:rsid w:val="007149CD"/>
    <w:rsid w:val="0071608C"/>
    <w:rsid w:val="00722FC5"/>
    <w:rsid w:val="007235AC"/>
    <w:rsid w:val="00734F7C"/>
    <w:rsid w:val="0075632D"/>
    <w:rsid w:val="007638BC"/>
    <w:rsid w:val="00771955"/>
    <w:rsid w:val="007737DA"/>
    <w:rsid w:val="0078069E"/>
    <w:rsid w:val="007806A9"/>
    <w:rsid w:val="00780D93"/>
    <w:rsid w:val="00780EBA"/>
    <w:rsid w:val="00785C06"/>
    <w:rsid w:val="007870CC"/>
    <w:rsid w:val="00794007"/>
    <w:rsid w:val="00794413"/>
    <w:rsid w:val="00794FE6"/>
    <w:rsid w:val="007A14E1"/>
    <w:rsid w:val="007A1A43"/>
    <w:rsid w:val="007A47AF"/>
    <w:rsid w:val="007A4F48"/>
    <w:rsid w:val="007A6F60"/>
    <w:rsid w:val="007B0AA7"/>
    <w:rsid w:val="007B3698"/>
    <w:rsid w:val="007C3243"/>
    <w:rsid w:val="007C4240"/>
    <w:rsid w:val="007C4737"/>
    <w:rsid w:val="007C4B0A"/>
    <w:rsid w:val="007C7DF2"/>
    <w:rsid w:val="007D36AE"/>
    <w:rsid w:val="007D6723"/>
    <w:rsid w:val="007E154E"/>
    <w:rsid w:val="007E4D9A"/>
    <w:rsid w:val="007E7018"/>
    <w:rsid w:val="007F2C55"/>
    <w:rsid w:val="007F313A"/>
    <w:rsid w:val="007F48D3"/>
    <w:rsid w:val="00804C2D"/>
    <w:rsid w:val="00806FAE"/>
    <w:rsid w:val="008100C8"/>
    <w:rsid w:val="00812133"/>
    <w:rsid w:val="00821DC3"/>
    <w:rsid w:val="00846D05"/>
    <w:rsid w:val="00854113"/>
    <w:rsid w:val="008811BE"/>
    <w:rsid w:val="00883EC4"/>
    <w:rsid w:val="00884B4D"/>
    <w:rsid w:val="008876C0"/>
    <w:rsid w:val="008A5CE6"/>
    <w:rsid w:val="008A6C7F"/>
    <w:rsid w:val="008B1082"/>
    <w:rsid w:val="008B279A"/>
    <w:rsid w:val="008B2F62"/>
    <w:rsid w:val="008B55DB"/>
    <w:rsid w:val="008B5AF5"/>
    <w:rsid w:val="008B7129"/>
    <w:rsid w:val="008C1930"/>
    <w:rsid w:val="008C312E"/>
    <w:rsid w:val="008C4D51"/>
    <w:rsid w:val="008C5A32"/>
    <w:rsid w:val="008D34D5"/>
    <w:rsid w:val="008D5496"/>
    <w:rsid w:val="008E2632"/>
    <w:rsid w:val="008E6DA0"/>
    <w:rsid w:val="008F555E"/>
    <w:rsid w:val="008F77D2"/>
    <w:rsid w:val="009042F4"/>
    <w:rsid w:val="009046F9"/>
    <w:rsid w:val="00912190"/>
    <w:rsid w:val="00916162"/>
    <w:rsid w:val="00927869"/>
    <w:rsid w:val="00930408"/>
    <w:rsid w:val="00937689"/>
    <w:rsid w:val="00941111"/>
    <w:rsid w:val="009438D0"/>
    <w:rsid w:val="00943D92"/>
    <w:rsid w:val="00946935"/>
    <w:rsid w:val="00946FEF"/>
    <w:rsid w:val="00947C62"/>
    <w:rsid w:val="0095220B"/>
    <w:rsid w:val="00964B9E"/>
    <w:rsid w:val="00966838"/>
    <w:rsid w:val="0096706F"/>
    <w:rsid w:val="00967B3D"/>
    <w:rsid w:val="00977C8D"/>
    <w:rsid w:val="009804C5"/>
    <w:rsid w:val="00993AB0"/>
    <w:rsid w:val="00994D7B"/>
    <w:rsid w:val="0099597C"/>
    <w:rsid w:val="00995CC7"/>
    <w:rsid w:val="009966CA"/>
    <w:rsid w:val="009A5797"/>
    <w:rsid w:val="009B19D7"/>
    <w:rsid w:val="009B3E4B"/>
    <w:rsid w:val="009C5FB2"/>
    <w:rsid w:val="009D3DE3"/>
    <w:rsid w:val="009D3F9F"/>
    <w:rsid w:val="009D6646"/>
    <w:rsid w:val="009E1F37"/>
    <w:rsid w:val="009E4C97"/>
    <w:rsid w:val="009E6423"/>
    <w:rsid w:val="009F5D86"/>
    <w:rsid w:val="00A00DB3"/>
    <w:rsid w:val="00A16BC0"/>
    <w:rsid w:val="00A25C4A"/>
    <w:rsid w:val="00A31BB5"/>
    <w:rsid w:val="00A42243"/>
    <w:rsid w:val="00A47C84"/>
    <w:rsid w:val="00A528D6"/>
    <w:rsid w:val="00A53917"/>
    <w:rsid w:val="00A571B9"/>
    <w:rsid w:val="00A618A5"/>
    <w:rsid w:val="00A635FD"/>
    <w:rsid w:val="00A74105"/>
    <w:rsid w:val="00A760E7"/>
    <w:rsid w:val="00A80C76"/>
    <w:rsid w:val="00A81C6E"/>
    <w:rsid w:val="00A82EF1"/>
    <w:rsid w:val="00A90B46"/>
    <w:rsid w:val="00AB26B2"/>
    <w:rsid w:val="00AB31BE"/>
    <w:rsid w:val="00AB564A"/>
    <w:rsid w:val="00AC12D3"/>
    <w:rsid w:val="00AC300B"/>
    <w:rsid w:val="00AC73A0"/>
    <w:rsid w:val="00AE079F"/>
    <w:rsid w:val="00AE2963"/>
    <w:rsid w:val="00AE2D58"/>
    <w:rsid w:val="00AE410D"/>
    <w:rsid w:val="00AE4218"/>
    <w:rsid w:val="00AE538A"/>
    <w:rsid w:val="00AE5FEF"/>
    <w:rsid w:val="00AE75CA"/>
    <w:rsid w:val="00AF67EB"/>
    <w:rsid w:val="00B01050"/>
    <w:rsid w:val="00B0286F"/>
    <w:rsid w:val="00B02F88"/>
    <w:rsid w:val="00B059D7"/>
    <w:rsid w:val="00B10D5A"/>
    <w:rsid w:val="00B1541D"/>
    <w:rsid w:val="00B165E4"/>
    <w:rsid w:val="00B17F7C"/>
    <w:rsid w:val="00B22623"/>
    <w:rsid w:val="00B32C79"/>
    <w:rsid w:val="00B34078"/>
    <w:rsid w:val="00B353C1"/>
    <w:rsid w:val="00B36D7B"/>
    <w:rsid w:val="00B40392"/>
    <w:rsid w:val="00B4603F"/>
    <w:rsid w:val="00B46EC0"/>
    <w:rsid w:val="00B5016A"/>
    <w:rsid w:val="00B613DE"/>
    <w:rsid w:val="00B625BC"/>
    <w:rsid w:val="00B66BF4"/>
    <w:rsid w:val="00B7040C"/>
    <w:rsid w:val="00B71146"/>
    <w:rsid w:val="00B711C5"/>
    <w:rsid w:val="00B766DA"/>
    <w:rsid w:val="00B86ADF"/>
    <w:rsid w:val="00B92615"/>
    <w:rsid w:val="00B97386"/>
    <w:rsid w:val="00B979B0"/>
    <w:rsid w:val="00BA319B"/>
    <w:rsid w:val="00BA4731"/>
    <w:rsid w:val="00BB0E77"/>
    <w:rsid w:val="00BB5410"/>
    <w:rsid w:val="00BC1826"/>
    <w:rsid w:val="00BC7CBC"/>
    <w:rsid w:val="00BD00D5"/>
    <w:rsid w:val="00BD0365"/>
    <w:rsid w:val="00BD25C9"/>
    <w:rsid w:val="00BD63A8"/>
    <w:rsid w:val="00BD7D09"/>
    <w:rsid w:val="00BE08CF"/>
    <w:rsid w:val="00BE43B1"/>
    <w:rsid w:val="00BE44EC"/>
    <w:rsid w:val="00BF1CA7"/>
    <w:rsid w:val="00BF458D"/>
    <w:rsid w:val="00BF651E"/>
    <w:rsid w:val="00BF6E3D"/>
    <w:rsid w:val="00C03652"/>
    <w:rsid w:val="00C0616C"/>
    <w:rsid w:val="00C10362"/>
    <w:rsid w:val="00C10AA5"/>
    <w:rsid w:val="00C14843"/>
    <w:rsid w:val="00C20871"/>
    <w:rsid w:val="00C210F0"/>
    <w:rsid w:val="00C253DF"/>
    <w:rsid w:val="00C2744A"/>
    <w:rsid w:val="00C305EA"/>
    <w:rsid w:val="00C346DB"/>
    <w:rsid w:val="00C34F19"/>
    <w:rsid w:val="00C36BCB"/>
    <w:rsid w:val="00C373B9"/>
    <w:rsid w:val="00C40770"/>
    <w:rsid w:val="00C5145C"/>
    <w:rsid w:val="00C51D77"/>
    <w:rsid w:val="00C5483F"/>
    <w:rsid w:val="00C560EA"/>
    <w:rsid w:val="00C730FF"/>
    <w:rsid w:val="00C743BC"/>
    <w:rsid w:val="00C74E33"/>
    <w:rsid w:val="00C7674F"/>
    <w:rsid w:val="00C82677"/>
    <w:rsid w:val="00C82C5B"/>
    <w:rsid w:val="00C93E15"/>
    <w:rsid w:val="00C9642D"/>
    <w:rsid w:val="00CA045D"/>
    <w:rsid w:val="00CA1168"/>
    <w:rsid w:val="00CA2967"/>
    <w:rsid w:val="00CA6792"/>
    <w:rsid w:val="00CA7478"/>
    <w:rsid w:val="00CB41C0"/>
    <w:rsid w:val="00CB5161"/>
    <w:rsid w:val="00CB5577"/>
    <w:rsid w:val="00CB784C"/>
    <w:rsid w:val="00CD2D6D"/>
    <w:rsid w:val="00CD38DB"/>
    <w:rsid w:val="00CD751A"/>
    <w:rsid w:val="00CD7845"/>
    <w:rsid w:val="00CF1F58"/>
    <w:rsid w:val="00D04571"/>
    <w:rsid w:val="00D117FF"/>
    <w:rsid w:val="00D119EA"/>
    <w:rsid w:val="00D1283A"/>
    <w:rsid w:val="00D1294F"/>
    <w:rsid w:val="00D13C71"/>
    <w:rsid w:val="00D17224"/>
    <w:rsid w:val="00D2302E"/>
    <w:rsid w:val="00D26038"/>
    <w:rsid w:val="00D27A49"/>
    <w:rsid w:val="00D27BB8"/>
    <w:rsid w:val="00D27C85"/>
    <w:rsid w:val="00D27F7A"/>
    <w:rsid w:val="00D308BF"/>
    <w:rsid w:val="00D35960"/>
    <w:rsid w:val="00D43AD9"/>
    <w:rsid w:val="00D45CC1"/>
    <w:rsid w:val="00D46CE8"/>
    <w:rsid w:val="00D67C71"/>
    <w:rsid w:val="00D74831"/>
    <w:rsid w:val="00D818FD"/>
    <w:rsid w:val="00D8739B"/>
    <w:rsid w:val="00D87611"/>
    <w:rsid w:val="00D926B4"/>
    <w:rsid w:val="00D92FF8"/>
    <w:rsid w:val="00DA17CA"/>
    <w:rsid w:val="00DA44BC"/>
    <w:rsid w:val="00DA62A5"/>
    <w:rsid w:val="00DB2702"/>
    <w:rsid w:val="00DB2DAE"/>
    <w:rsid w:val="00DB4D6E"/>
    <w:rsid w:val="00DB51AE"/>
    <w:rsid w:val="00DC1CB7"/>
    <w:rsid w:val="00DC2AC9"/>
    <w:rsid w:val="00DC5012"/>
    <w:rsid w:val="00DC6E73"/>
    <w:rsid w:val="00DD0801"/>
    <w:rsid w:val="00DD0955"/>
    <w:rsid w:val="00DD6C3F"/>
    <w:rsid w:val="00DE096C"/>
    <w:rsid w:val="00DE7FB6"/>
    <w:rsid w:val="00DF0511"/>
    <w:rsid w:val="00DF2A79"/>
    <w:rsid w:val="00DF3696"/>
    <w:rsid w:val="00DF417D"/>
    <w:rsid w:val="00E1277C"/>
    <w:rsid w:val="00E12AF0"/>
    <w:rsid w:val="00E20A33"/>
    <w:rsid w:val="00E20EDF"/>
    <w:rsid w:val="00E24E91"/>
    <w:rsid w:val="00E46C66"/>
    <w:rsid w:val="00E51053"/>
    <w:rsid w:val="00E5418E"/>
    <w:rsid w:val="00E549EA"/>
    <w:rsid w:val="00E659F7"/>
    <w:rsid w:val="00E66C7D"/>
    <w:rsid w:val="00E66DEB"/>
    <w:rsid w:val="00E759E0"/>
    <w:rsid w:val="00E805B4"/>
    <w:rsid w:val="00E809E3"/>
    <w:rsid w:val="00E82136"/>
    <w:rsid w:val="00E85B6A"/>
    <w:rsid w:val="00EB33B8"/>
    <w:rsid w:val="00EB4BBA"/>
    <w:rsid w:val="00EB57A9"/>
    <w:rsid w:val="00EC0447"/>
    <w:rsid w:val="00EC0B99"/>
    <w:rsid w:val="00EC7147"/>
    <w:rsid w:val="00ED0AC1"/>
    <w:rsid w:val="00ED2320"/>
    <w:rsid w:val="00ED7528"/>
    <w:rsid w:val="00EE6201"/>
    <w:rsid w:val="00EF35C2"/>
    <w:rsid w:val="00F01A76"/>
    <w:rsid w:val="00F10D8A"/>
    <w:rsid w:val="00F15DE1"/>
    <w:rsid w:val="00F17646"/>
    <w:rsid w:val="00F216E1"/>
    <w:rsid w:val="00F227DE"/>
    <w:rsid w:val="00F26E46"/>
    <w:rsid w:val="00F3310A"/>
    <w:rsid w:val="00F370EC"/>
    <w:rsid w:val="00F40E46"/>
    <w:rsid w:val="00F4681F"/>
    <w:rsid w:val="00F47092"/>
    <w:rsid w:val="00F47CD9"/>
    <w:rsid w:val="00F50A04"/>
    <w:rsid w:val="00F52036"/>
    <w:rsid w:val="00F52718"/>
    <w:rsid w:val="00F557AF"/>
    <w:rsid w:val="00F65DCD"/>
    <w:rsid w:val="00F65F13"/>
    <w:rsid w:val="00F73358"/>
    <w:rsid w:val="00F74CC4"/>
    <w:rsid w:val="00F81DE7"/>
    <w:rsid w:val="00F863DC"/>
    <w:rsid w:val="00F876A9"/>
    <w:rsid w:val="00F92D77"/>
    <w:rsid w:val="00F94196"/>
    <w:rsid w:val="00F97CDB"/>
    <w:rsid w:val="00FA0F6A"/>
    <w:rsid w:val="00FB3749"/>
    <w:rsid w:val="00FB4590"/>
    <w:rsid w:val="00FC06F4"/>
    <w:rsid w:val="00FC08D0"/>
    <w:rsid w:val="00FD6865"/>
    <w:rsid w:val="00FE1C6B"/>
    <w:rsid w:val="00FE4B5D"/>
    <w:rsid w:val="00FE6A30"/>
    <w:rsid w:val="00FE6BA5"/>
    <w:rsid w:val="00FE6C58"/>
    <w:rsid w:val="00FF03BE"/>
    <w:rsid w:val="00FF2AB2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6C67"/>
  <w15:chartTrackingRefBased/>
  <w15:docId w15:val="{3C17A63F-CFD0-4FE4-B6BA-E572E7EC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31D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D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15DE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A2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9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9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9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0D55-2038-45C4-B2BC-46206D02BE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Elvana Ramaj</dc:creator>
  <cp:keywords/>
  <dc:description/>
  <cp:lastModifiedBy>Erjola Duckollari</cp:lastModifiedBy>
  <cp:revision>2</cp:revision>
  <cp:lastPrinted>2026-04-10T12:23:00Z</cp:lastPrinted>
  <dcterms:created xsi:type="dcterms:W3CDTF">2026-05-25T11:07:00Z</dcterms:created>
  <dcterms:modified xsi:type="dcterms:W3CDTF">2026-05-25T11:07:00Z</dcterms:modified>
</cp:coreProperties>
</file>