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D789" w14:textId="77777777" w:rsidR="005B6D2B" w:rsidRPr="00FF518A" w:rsidRDefault="005B6D2B" w:rsidP="00FF518A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bidi="en-GB"/>
        </w:rPr>
      </w:pPr>
      <w:r w:rsidRPr="00FF518A">
        <w:rPr>
          <w:rFonts w:ascii="Times New Roman" w:hAnsi="Times New Roman"/>
          <w:b/>
          <w:bCs/>
          <w:iCs/>
          <w:sz w:val="24"/>
          <w:szCs w:val="24"/>
          <w:lang w:bidi="en-GB"/>
        </w:rPr>
        <w:t>Raport për rezultatet e konsultimeve publike</w:t>
      </w:r>
    </w:p>
    <w:p w14:paraId="7036D78A" w14:textId="77777777" w:rsidR="005B6D2B" w:rsidRPr="00FF518A" w:rsidRDefault="005B6D2B" w:rsidP="00FF518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036D78B" w14:textId="77777777" w:rsidR="005B6D2B" w:rsidRPr="00FF518A" w:rsidRDefault="005B6D2B" w:rsidP="00FF518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518A">
        <w:rPr>
          <w:rFonts w:ascii="Times New Roman" w:hAnsi="Times New Roman"/>
          <w:b/>
          <w:bCs/>
          <w:sz w:val="24"/>
          <w:szCs w:val="24"/>
        </w:rPr>
        <w:t>Titulli i draft aktit</w:t>
      </w:r>
    </w:p>
    <w:p w14:paraId="7036D78C" w14:textId="6BB5A841" w:rsidR="00A121AB" w:rsidRPr="00FF518A" w:rsidRDefault="0038515F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518A">
        <w:rPr>
          <w:rFonts w:ascii="Times New Roman" w:hAnsi="Times New Roman"/>
          <w:sz w:val="24"/>
          <w:szCs w:val="24"/>
        </w:rPr>
        <w:t>Projektligj “Për mbikëqyrjen shtesë të institucioneve të kreditit, shoqërive të sigurimeve dhe shoqërive komisionere, pjesë e konglomerateve financiare”</w:t>
      </w:r>
    </w:p>
    <w:p w14:paraId="63C35F32" w14:textId="77777777" w:rsidR="0038515F" w:rsidRPr="00FF518A" w:rsidRDefault="0038515F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036D78D" w14:textId="77777777" w:rsidR="005B6D2B" w:rsidRPr="00FF518A" w:rsidRDefault="005B6D2B" w:rsidP="00FF518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F518A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7036D78E" w14:textId="77777777" w:rsidR="005B6D2B" w:rsidRPr="00FF518A" w:rsidRDefault="005B6D2B" w:rsidP="00FF518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FF518A">
        <w:rPr>
          <w:rFonts w:ascii="Times New Roman" w:hAnsi="Times New Roman"/>
          <w:i/>
          <w:iCs/>
          <w:sz w:val="24"/>
          <w:szCs w:val="24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7036D78F" w14:textId="77777777" w:rsidR="005B6D2B" w:rsidRPr="00FF518A" w:rsidRDefault="005B6D2B" w:rsidP="00FF518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5438DE8" w14:textId="4A15410A" w:rsidR="00C8521F" w:rsidRPr="00FF518A" w:rsidRDefault="00C8521F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518A">
        <w:rPr>
          <w:rFonts w:ascii="Times New Roman" w:hAnsi="Times New Roman"/>
          <w:sz w:val="24"/>
          <w:szCs w:val="24"/>
        </w:rPr>
        <w:t>Konsulitimi publik i projektligj “Për mbikëqyrjen shtesë të institucioneve të kreditit, shoqërive të sigurimeve dhe shoqërive komisionere, pjesë e  konglomerateve financiare”</w:t>
      </w:r>
      <w:r w:rsidR="00696449" w:rsidRPr="00FF518A">
        <w:rPr>
          <w:rFonts w:ascii="Times New Roman" w:hAnsi="Times New Roman"/>
          <w:sz w:val="24"/>
          <w:szCs w:val="24"/>
        </w:rPr>
        <w:t>,</w:t>
      </w:r>
      <w:r w:rsidRPr="00FF518A">
        <w:rPr>
          <w:rFonts w:ascii="Times New Roman" w:hAnsi="Times New Roman"/>
          <w:sz w:val="24"/>
          <w:szCs w:val="24"/>
        </w:rPr>
        <w:t xml:space="preserve"> </w:t>
      </w:r>
      <w:r w:rsidR="00301ADF" w:rsidRPr="00FF518A">
        <w:rPr>
          <w:rFonts w:ascii="Times New Roman" w:hAnsi="Times New Roman"/>
          <w:sz w:val="24"/>
          <w:szCs w:val="24"/>
        </w:rPr>
        <w:t>ka zgjatur p</w:t>
      </w:r>
      <w:r w:rsidR="004F5027" w:rsidRPr="00FF518A">
        <w:rPr>
          <w:rFonts w:ascii="Times New Roman" w:hAnsi="Times New Roman"/>
          <w:sz w:val="24"/>
          <w:szCs w:val="24"/>
        </w:rPr>
        <w:t>ë</w:t>
      </w:r>
      <w:r w:rsidR="00301ADF" w:rsidRPr="00FF518A">
        <w:rPr>
          <w:rFonts w:ascii="Times New Roman" w:hAnsi="Times New Roman"/>
          <w:sz w:val="24"/>
          <w:szCs w:val="24"/>
        </w:rPr>
        <w:t>r nj</w:t>
      </w:r>
      <w:r w:rsidR="004F5027" w:rsidRPr="00FF518A">
        <w:rPr>
          <w:rFonts w:ascii="Times New Roman" w:hAnsi="Times New Roman"/>
          <w:sz w:val="24"/>
          <w:szCs w:val="24"/>
        </w:rPr>
        <w:t>ë</w:t>
      </w:r>
      <w:r w:rsidR="00301ADF" w:rsidRPr="00FF518A">
        <w:rPr>
          <w:rFonts w:ascii="Times New Roman" w:hAnsi="Times New Roman"/>
          <w:sz w:val="24"/>
          <w:szCs w:val="24"/>
        </w:rPr>
        <w:t xml:space="preserve"> muaj konkretisht nga data </w:t>
      </w:r>
      <w:r w:rsidR="00003EA1" w:rsidRPr="00FF518A">
        <w:rPr>
          <w:rFonts w:ascii="Times New Roman" w:hAnsi="Times New Roman"/>
          <w:sz w:val="24"/>
          <w:szCs w:val="24"/>
        </w:rPr>
        <w:t>25.03.2026 deri m</w:t>
      </w:r>
      <w:r w:rsidR="004F5027" w:rsidRPr="00FF518A">
        <w:rPr>
          <w:rFonts w:ascii="Times New Roman" w:hAnsi="Times New Roman"/>
          <w:sz w:val="24"/>
          <w:szCs w:val="24"/>
        </w:rPr>
        <w:t>ë</w:t>
      </w:r>
      <w:r w:rsidR="00003EA1" w:rsidRPr="00FF518A">
        <w:rPr>
          <w:rFonts w:ascii="Times New Roman" w:hAnsi="Times New Roman"/>
          <w:sz w:val="24"/>
          <w:szCs w:val="24"/>
        </w:rPr>
        <w:t xml:space="preserve"> 22.04.2026</w:t>
      </w:r>
      <w:r w:rsidR="00696449" w:rsidRPr="00FF518A">
        <w:rPr>
          <w:rFonts w:ascii="Times New Roman" w:hAnsi="Times New Roman"/>
          <w:sz w:val="24"/>
          <w:szCs w:val="24"/>
        </w:rPr>
        <w:t>.</w:t>
      </w:r>
    </w:p>
    <w:p w14:paraId="13C051BC" w14:textId="77777777" w:rsidR="00C8521F" w:rsidRPr="00FF518A" w:rsidRDefault="00C8521F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84BA9B1" w14:textId="77777777" w:rsidR="00C8521F" w:rsidRPr="00FF518A" w:rsidRDefault="00C8521F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036D791" w14:textId="72D695CC" w:rsidR="005B6D2B" w:rsidRPr="00FF518A" w:rsidRDefault="005B6D2B" w:rsidP="00FF518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F518A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7036D792" w14:textId="77777777" w:rsidR="005B6D2B" w:rsidRPr="00FF518A" w:rsidRDefault="005B6D2B" w:rsidP="00FF518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FF518A">
        <w:rPr>
          <w:rFonts w:ascii="Times New Roman" w:hAnsi="Times New Roman"/>
          <w:i/>
          <w:iCs/>
          <w:sz w:val="24"/>
          <w:szCs w:val="24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FF518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F518A">
        <w:rPr>
          <w:rFonts w:ascii="Times New Roman" w:hAnsi="Times New Roman"/>
          <w:i/>
          <w:iCs/>
          <w:sz w:val="24"/>
          <w:szCs w:val="24"/>
        </w:rPr>
        <w:t>Shpjegoni se si u shpërnda informacioni mbi konsultimet e hapura, si u ftuan palët e interesuara të kontribuojnë.</w:t>
      </w:r>
      <w:r w:rsidR="00332DB4" w:rsidRPr="00FF518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F518A">
        <w:rPr>
          <w:rFonts w:ascii="Times New Roman" w:hAnsi="Times New Roman"/>
          <w:i/>
          <w:iCs/>
          <w:sz w:val="24"/>
          <w:szCs w:val="24"/>
        </w:rPr>
        <w:t>Përfshini gjithashtu aktivitete nga konsultimet paraprake nëse janë organizuar të tilla).</w:t>
      </w:r>
    </w:p>
    <w:p w14:paraId="6C48FF00" w14:textId="77777777" w:rsidR="00696449" w:rsidRPr="00FF518A" w:rsidRDefault="00696449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8384EA4" w14:textId="49F8E3D3" w:rsidR="00147B74" w:rsidRPr="00FF518A" w:rsidRDefault="00147B74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kuadër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procesit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konsultimit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projektligjit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“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mbikëqyrjen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shtesë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institucioneve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kreditit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shoqërive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sigurimeve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shoqërive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komisionere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pjesë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konglomerateve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financiare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Autoriteti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Mbikëqyrjes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Financiare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ka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përdorur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disa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metoda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konsultimi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siguruar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përfshirjen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publikut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grupeve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interesit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>.</w:t>
      </w:r>
    </w:p>
    <w:p w14:paraId="626702E4" w14:textId="77777777" w:rsidR="00696449" w:rsidRPr="00FF518A" w:rsidRDefault="00696449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32D9D0D" w14:textId="00629E7E" w:rsidR="00147B74" w:rsidRPr="00FF518A" w:rsidRDefault="00147B74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Konsultimi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zhvillua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nëpërmjet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publikimit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projektligjit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Regjistrin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Elektronik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Njoftimet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Konsultimet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Publike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periudhën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nga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data 25 mars 2026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deri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më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22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prill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2026, duke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respektuar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afatin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ligjor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prej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20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ditësh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pune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paraqitjen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komenteve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sugjerimeve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Informacioni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mbi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hapjen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konsultimit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shpërnda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përmes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Regjistrit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Elektronik, duke u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mundësuar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gjitha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palëve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interesuara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akses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tekstin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projektligjit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dokumentacionin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shoqërues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>.</w:t>
      </w:r>
    </w:p>
    <w:p w14:paraId="295015D7" w14:textId="77777777" w:rsidR="00696449" w:rsidRPr="00FF518A" w:rsidRDefault="00696449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7EEF3C2" w14:textId="664612E7" w:rsidR="00147B74" w:rsidRPr="00FF518A" w:rsidRDefault="00147B74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Gjatë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periudhës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konsultimit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projektligji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regjistroi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221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shikime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Regjistrin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Elektronik.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Komente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sugjerime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paraqitën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nga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Dhoma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Amerikane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Tregtisë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shoqata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“Bashkimi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Tregtar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Shqipërisë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”,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cilat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shqyrtuan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nga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Autoriteti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Mbikëqyrjes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Financiare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reflektuan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pjesërisht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versionin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rishikuar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projektligjit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. Nga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publiku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gjerë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nuk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paraqitën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komente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apo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sugjerime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>.</w:t>
      </w:r>
    </w:p>
    <w:p w14:paraId="03DA3C40" w14:textId="77777777" w:rsidR="00696449" w:rsidRPr="00FF518A" w:rsidRDefault="00696449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50A3304" w14:textId="476B8BAD" w:rsidR="00147B74" w:rsidRPr="00FF518A" w:rsidRDefault="00147B74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lastRenderedPageBreak/>
        <w:t>Përveç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konsultimit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publik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elektronik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Autoriteti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Mbikëqyrjes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Financiare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bashkëpunim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me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Bankën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Shqipërisë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zhvilloi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konsultime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drejtpërdrejta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me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grupet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kryesore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interesit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këtë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kuadër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projektligji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iu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dërgua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për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mendim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Shoqatës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Shqiptare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Bankave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Shoqatës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Siguruesve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Shqipërisë,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Shoqatës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Siguruesve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Jetës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Pensioneve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Fondeve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Investimeve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Këto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konsultime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synuan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marrjen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komenteve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teknike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nga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subjektet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që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preken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drejtpërdrejt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nga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zbatimi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kuadrit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ri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ligjor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. Nga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këto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organizata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nuk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u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paraqitën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komente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apo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sugjerime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>.</w:t>
      </w:r>
    </w:p>
    <w:p w14:paraId="7036D794" w14:textId="7FF529C5" w:rsidR="00332DB4" w:rsidRPr="00FF518A" w:rsidRDefault="00147B74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Nëpërmjet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këtyre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metodave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konsultimit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Autoriteti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Mbikëqyrjes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Financiare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ka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synuar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sigurojë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transparencë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pjesëmarrje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gjerë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grupeve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të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interesit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dhe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një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proces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gjithëpërfshirës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në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hartimin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 w:rsidRPr="00FF518A">
        <w:rPr>
          <w:rFonts w:ascii="Times New Roman" w:hAnsi="Times New Roman"/>
          <w:sz w:val="24"/>
          <w:szCs w:val="24"/>
          <w:lang w:val="en-US"/>
        </w:rPr>
        <w:t>projektligjit</w:t>
      </w:r>
      <w:proofErr w:type="spellEnd"/>
      <w:r w:rsidRPr="00FF518A">
        <w:rPr>
          <w:rFonts w:ascii="Times New Roman" w:hAnsi="Times New Roman"/>
          <w:sz w:val="24"/>
          <w:szCs w:val="24"/>
          <w:lang w:val="en-US"/>
        </w:rPr>
        <w:t>.</w:t>
      </w:r>
    </w:p>
    <w:p w14:paraId="7036D795" w14:textId="77777777" w:rsidR="005B6D2B" w:rsidRPr="00FF518A" w:rsidRDefault="005B6D2B" w:rsidP="00FF518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518A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14:paraId="7036D796" w14:textId="77777777" w:rsidR="005B6D2B" w:rsidRPr="00FF518A" w:rsidRDefault="005B6D2B" w:rsidP="00FF518A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F518A">
        <w:rPr>
          <w:rFonts w:ascii="Times New Roman" w:hAnsi="Times New Roman"/>
          <w:i/>
          <w:sz w:val="24"/>
          <w:szCs w:val="24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7036D797" w14:textId="77777777" w:rsidR="008B0269" w:rsidRPr="00FF518A" w:rsidRDefault="008B0269" w:rsidP="00FF518A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7036D798" w14:textId="77777777" w:rsidR="005B6D2B" w:rsidRPr="00FF518A" w:rsidRDefault="005B6D2B" w:rsidP="00FF518A">
      <w:pPr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F518A">
        <w:rPr>
          <w:rFonts w:ascii="Times New Roman" w:hAnsi="Times New Roman"/>
          <w:i/>
          <w:sz w:val="24"/>
          <w:szCs w:val="24"/>
        </w:rPr>
        <w:t>Përmendni gjithashtu numrin dhe strukturën e palëve të interesuara që morën pjesë në takime publike ose seanca të organeve këshilluese.</w:t>
      </w:r>
    </w:p>
    <w:p w14:paraId="7036D799" w14:textId="77777777" w:rsidR="005B6D2B" w:rsidRPr="00FF518A" w:rsidRDefault="005B6D2B" w:rsidP="00FF518A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518A">
        <w:rPr>
          <w:rFonts w:ascii="Times New Roman" w:hAnsi="Times New Roman"/>
          <w:i/>
          <w:sz w:val="24"/>
          <w:szCs w:val="24"/>
        </w:rPr>
        <w:t>Specifikoni palët e interesuara që morën pjesë në grupin e punës për hartimin e aktit.</w:t>
      </w:r>
    </w:p>
    <w:p w14:paraId="7036D79A" w14:textId="4F8E6952" w:rsidR="00332DB4" w:rsidRPr="00FF518A" w:rsidRDefault="00C12398" w:rsidP="00FF518A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F518A">
        <w:rPr>
          <w:rFonts w:ascii="Times New Roman" w:hAnsi="Times New Roman"/>
          <w:i/>
          <w:sz w:val="24"/>
          <w:szCs w:val="24"/>
        </w:rPr>
        <w:t>Autoriteti se bashku me Bank</w:t>
      </w:r>
      <w:r w:rsidR="004F5027" w:rsidRPr="00FF518A">
        <w:rPr>
          <w:rFonts w:ascii="Times New Roman" w:hAnsi="Times New Roman"/>
          <w:i/>
          <w:sz w:val="24"/>
          <w:szCs w:val="24"/>
        </w:rPr>
        <w:t>ë</w:t>
      </w:r>
      <w:r w:rsidRPr="00FF518A">
        <w:rPr>
          <w:rFonts w:ascii="Times New Roman" w:hAnsi="Times New Roman"/>
          <w:i/>
          <w:sz w:val="24"/>
          <w:szCs w:val="24"/>
        </w:rPr>
        <w:t>n e Shqip</w:t>
      </w:r>
      <w:r w:rsidR="004F5027" w:rsidRPr="00FF518A">
        <w:rPr>
          <w:rFonts w:ascii="Times New Roman" w:hAnsi="Times New Roman"/>
          <w:i/>
          <w:sz w:val="24"/>
          <w:szCs w:val="24"/>
        </w:rPr>
        <w:t>ë</w:t>
      </w:r>
      <w:r w:rsidRPr="00FF518A">
        <w:rPr>
          <w:rFonts w:ascii="Times New Roman" w:hAnsi="Times New Roman"/>
          <w:i/>
          <w:sz w:val="24"/>
          <w:szCs w:val="24"/>
        </w:rPr>
        <w:t>rise ka kryer konsulitimin e proj</w:t>
      </w:r>
      <w:r w:rsidR="007A620D" w:rsidRPr="00FF518A">
        <w:rPr>
          <w:rFonts w:ascii="Times New Roman" w:hAnsi="Times New Roman"/>
          <w:i/>
          <w:sz w:val="24"/>
          <w:szCs w:val="24"/>
        </w:rPr>
        <w:t>ektligjit me:</w:t>
      </w:r>
    </w:p>
    <w:p w14:paraId="18C0C901" w14:textId="77777777" w:rsidR="00F31BD2" w:rsidRPr="00FF518A" w:rsidRDefault="00F31BD2" w:rsidP="00FF518A">
      <w:pPr>
        <w:pStyle w:val="ListParagraph"/>
        <w:numPr>
          <w:ilvl w:val="0"/>
          <w:numId w:val="6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FF518A">
        <w:rPr>
          <w:rFonts w:ascii="Times New Roman" w:hAnsi="Times New Roman"/>
          <w:sz w:val="24"/>
          <w:szCs w:val="24"/>
        </w:rPr>
        <w:t xml:space="preserve">Shoqata e Bankave, </w:t>
      </w:r>
    </w:p>
    <w:p w14:paraId="114C75BB" w14:textId="28EFC080" w:rsidR="00F31BD2" w:rsidRPr="00FF518A" w:rsidRDefault="00F31BD2" w:rsidP="00FF518A">
      <w:pPr>
        <w:pStyle w:val="ListParagraph"/>
        <w:numPr>
          <w:ilvl w:val="0"/>
          <w:numId w:val="6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FF518A">
        <w:rPr>
          <w:rFonts w:ascii="Times New Roman" w:hAnsi="Times New Roman"/>
          <w:sz w:val="24"/>
          <w:szCs w:val="24"/>
        </w:rPr>
        <w:t>Shoqata e Siguruesve të Shqipërisë,</w:t>
      </w:r>
    </w:p>
    <w:p w14:paraId="73D859CC" w14:textId="77777777" w:rsidR="00F31BD2" w:rsidRPr="00FF518A" w:rsidRDefault="00F31BD2" w:rsidP="00FF518A">
      <w:pPr>
        <w:pStyle w:val="ListParagraph"/>
        <w:numPr>
          <w:ilvl w:val="0"/>
          <w:numId w:val="6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FF518A">
        <w:rPr>
          <w:rFonts w:ascii="Times New Roman" w:hAnsi="Times New Roman"/>
          <w:sz w:val="24"/>
          <w:szCs w:val="24"/>
        </w:rPr>
        <w:t xml:space="preserve">Shoqata e Siguruesve të Jetës, Pensioneve dhe Fondeve të Investimeve, si dhe </w:t>
      </w:r>
    </w:p>
    <w:p w14:paraId="542C399B" w14:textId="09184961" w:rsidR="00C62162" w:rsidRPr="00FF518A" w:rsidRDefault="00F31BD2" w:rsidP="00FF518A">
      <w:pPr>
        <w:pStyle w:val="ListParagraph"/>
        <w:numPr>
          <w:ilvl w:val="0"/>
          <w:numId w:val="6"/>
        </w:numPr>
        <w:tabs>
          <w:tab w:val="left" w:pos="7552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FF518A">
        <w:rPr>
          <w:rFonts w:ascii="Times New Roman" w:hAnsi="Times New Roman"/>
          <w:sz w:val="24"/>
          <w:szCs w:val="24"/>
        </w:rPr>
        <w:t>Grupe interesi</w:t>
      </w:r>
    </w:p>
    <w:p w14:paraId="19F2DA70" w14:textId="77777777" w:rsidR="00C62162" w:rsidRPr="00FF518A" w:rsidRDefault="00C62162" w:rsidP="00FF518A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2A1A6187" w14:textId="77777777" w:rsidR="00C62162" w:rsidRPr="00FF518A" w:rsidRDefault="00C62162" w:rsidP="00FF518A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7036D79B" w14:textId="77777777" w:rsidR="007755F2" w:rsidRPr="00FF518A" w:rsidRDefault="007755F2" w:rsidP="00FF518A">
      <w:p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036D79C" w14:textId="77777777" w:rsidR="005B6D2B" w:rsidRPr="00FF518A" w:rsidRDefault="005B6D2B" w:rsidP="00FF518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F518A">
        <w:rPr>
          <w:rFonts w:ascii="Times New Roman" w:hAnsi="Times New Roman"/>
          <w:b/>
          <w:bCs/>
          <w:sz w:val="24"/>
          <w:szCs w:val="24"/>
        </w:rPr>
        <w:t xml:space="preserve"> Pasqyra e komenteve të pranuara me arsyetimin e komenteve të pranuara/ refuzuara</w:t>
      </w:r>
    </w:p>
    <w:p w14:paraId="7036D79D" w14:textId="77777777" w:rsidR="005B6D2B" w:rsidRPr="00FF518A" w:rsidRDefault="005B6D2B" w:rsidP="00FF518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FF518A">
        <w:rPr>
          <w:rFonts w:ascii="Times New Roman" w:hAnsi="Times New Roman"/>
          <w:i/>
          <w:iCs/>
          <w:sz w:val="24"/>
          <w:szCs w:val="24"/>
        </w:rPr>
        <w:t>Gruponi komentet/ propozim</w:t>
      </w:r>
      <w:r w:rsidR="00332DB4" w:rsidRPr="00FF518A">
        <w:rPr>
          <w:rFonts w:ascii="Times New Roman" w:hAnsi="Times New Roman"/>
          <w:i/>
          <w:iCs/>
          <w:sz w:val="24"/>
          <w:szCs w:val="24"/>
        </w:rPr>
        <w:t>e</w:t>
      </w:r>
      <w:r w:rsidRPr="00FF518A">
        <w:rPr>
          <w:rFonts w:ascii="Times New Roman" w:hAnsi="Times New Roman"/>
          <w:i/>
          <w:iCs/>
          <w:sz w:val="24"/>
          <w:szCs w:val="24"/>
        </w:rPr>
        <w:t>t e pranuara sipas çështjes që ato ngritën;</w:t>
      </w:r>
    </w:p>
    <w:p w14:paraId="7036D79E" w14:textId="77777777" w:rsidR="005B6D2B" w:rsidRPr="00FF518A" w:rsidRDefault="005B6D2B" w:rsidP="00FF518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FF518A">
        <w:rPr>
          <w:rFonts w:ascii="Times New Roman" w:hAnsi="Times New Roman"/>
          <w:i/>
          <w:iCs/>
          <w:sz w:val="24"/>
          <w:szCs w:val="24"/>
        </w:rPr>
        <w:t>Gruponi komente të ngjashme së bashku dhe renditni palët e interesuara që i ngritën ato;</w:t>
      </w:r>
    </w:p>
    <w:p w14:paraId="7036D79F" w14:textId="77777777" w:rsidR="005B6D2B" w:rsidRPr="00FF518A" w:rsidRDefault="005B6D2B" w:rsidP="00FF518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FF518A">
        <w:rPr>
          <w:rFonts w:ascii="Times New Roman" w:hAnsi="Times New Roman"/>
          <w:i/>
          <w:iCs/>
          <w:sz w:val="24"/>
          <w:szCs w:val="24"/>
        </w:rPr>
        <w:t>Shpjegoni cili ishte vendimi i marrë dhe sqaroni shkurtimisht arsyet për të.</w:t>
      </w:r>
    </w:p>
    <w:p w14:paraId="7036D7A0" w14:textId="77777777" w:rsidR="007755F2" w:rsidRPr="00FF518A" w:rsidRDefault="007755F2" w:rsidP="00FF518A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2228"/>
        <w:gridCol w:w="1951"/>
        <w:gridCol w:w="1283"/>
        <w:gridCol w:w="1945"/>
      </w:tblGrid>
      <w:tr w:rsidR="005B6D2B" w:rsidRPr="00FF518A" w14:paraId="7036D7A8" w14:textId="77777777" w:rsidTr="00902403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D7A1" w14:textId="77777777" w:rsidR="005B6D2B" w:rsidRPr="00FF518A" w:rsidRDefault="005B6D2B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8A">
              <w:rPr>
                <w:rFonts w:ascii="Times New Roman" w:hAnsi="Times New Roman"/>
                <w:sz w:val="24"/>
                <w:szCs w:val="24"/>
              </w:rPr>
              <w:t>Çështja</w:t>
            </w:r>
            <w:r w:rsidR="00765F3C" w:rsidRPr="00FF5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518A">
              <w:rPr>
                <w:rFonts w:ascii="Times New Roman" w:hAnsi="Times New Roman"/>
                <w:sz w:val="24"/>
                <w:szCs w:val="24"/>
              </w:rPr>
              <w:t>e  adresuar</w:t>
            </w:r>
          </w:p>
          <w:p w14:paraId="7036D7A2" w14:textId="77777777" w:rsidR="005B6D2B" w:rsidRPr="00FF518A" w:rsidRDefault="005B6D2B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518A">
              <w:rPr>
                <w:rFonts w:ascii="Times New Roman" w:hAnsi="Times New Roman"/>
                <w:sz w:val="24"/>
                <w:szCs w:val="24"/>
              </w:rPr>
              <w:t>(</w:t>
            </w:r>
            <w:r w:rsidRPr="00FF518A">
              <w:rPr>
                <w:rFonts w:ascii="Times New Roman" w:hAnsi="Times New Roman"/>
                <w:i/>
                <w:sz w:val="24"/>
                <w:szCs w:val="24"/>
              </w:rPr>
              <w:t>psh. përkufizimi i ri i…, kushtet për regjistrimin e…, rregullimi i…, etj.)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D7A3" w14:textId="77777777" w:rsidR="005B6D2B" w:rsidRPr="00FF518A" w:rsidRDefault="005B6D2B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8A">
              <w:rPr>
                <w:rFonts w:ascii="Times New Roman" w:hAnsi="Times New Roman"/>
                <w:sz w:val="24"/>
                <w:szCs w:val="24"/>
              </w:rPr>
              <w:t>Komenti</w:t>
            </w:r>
          </w:p>
          <w:p w14:paraId="7036D7A4" w14:textId="77777777" w:rsidR="005B6D2B" w:rsidRPr="00FF518A" w:rsidRDefault="005B6D2B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518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D7A5" w14:textId="77777777" w:rsidR="005B6D2B" w:rsidRPr="00FF518A" w:rsidRDefault="005B6D2B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8A">
              <w:rPr>
                <w:rFonts w:ascii="Times New Roman" w:hAnsi="Times New Roman"/>
                <w:sz w:val="24"/>
                <w:szCs w:val="24"/>
              </w:rPr>
              <w:t xml:space="preserve">Palët e interesuara </w:t>
            </w:r>
            <w:r w:rsidRPr="00FF518A">
              <w:rPr>
                <w:rFonts w:ascii="Times New Roman" w:hAnsi="Times New Roman"/>
                <w:i/>
                <w:iCs/>
                <w:sz w:val="24"/>
                <w:szCs w:val="24"/>
              </w:rPr>
              <w:t>(renditni të gjithë ata që adresuan çështjen në mënyrë të ngjashme)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D7A6" w14:textId="77777777" w:rsidR="005B6D2B" w:rsidRPr="00FF518A" w:rsidRDefault="005B6D2B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8A">
              <w:rPr>
                <w:rFonts w:ascii="Times New Roman" w:hAnsi="Times New Roman"/>
                <w:sz w:val="24"/>
                <w:szCs w:val="24"/>
              </w:rPr>
              <w:t xml:space="preserve">Vendimi (I pranuar/I pranuar pjesërisht/I refuzuar)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D7A7" w14:textId="77777777" w:rsidR="005B6D2B" w:rsidRPr="00FF518A" w:rsidRDefault="005B6D2B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8A">
              <w:rPr>
                <w:rFonts w:ascii="Times New Roman" w:hAnsi="Times New Roman"/>
                <w:sz w:val="24"/>
                <w:szCs w:val="24"/>
              </w:rPr>
              <w:t>Justifikimi</w:t>
            </w:r>
          </w:p>
        </w:tc>
      </w:tr>
      <w:tr w:rsidR="007A620D" w:rsidRPr="00FF518A" w14:paraId="130F9DCD" w14:textId="77777777" w:rsidTr="00902403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D511" w14:textId="57EAE900" w:rsidR="007A620D" w:rsidRPr="00FF518A" w:rsidRDefault="007A620D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8A"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  <w:r w:rsidR="004F5027" w:rsidRPr="00FF518A">
              <w:rPr>
                <w:rFonts w:ascii="Times New Roman" w:hAnsi="Times New Roman"/>
                <w:sz w:val="24"/>
                <w:szCs w:val="24"/>
              </w:rPr>
              <w:t>ë</w:t>
            </w:r>
            <w:r w:rsidRPr="00FF518A">
              <w:rPr>
                <w:rFonts w:ascii="Times New Roman" w:hAnsi="Times New Roman"/>
                <w:sz w:val="24"/>
                <w:szCs w:val="24"/>
              </w:rPr>
              <w:t xml:space="preserve"> nenin 2 t</w:t>
            </w:r>
            <w:r w:rsidR="004F5027" w:rsidRPr="00FF518A">
              <w:rPr>
                <w:rFonts w:ascii="Times New Roman" w:hAnsi="Times New Roman"/>
                <w:sz w:val="24"/>
                <w:szCs w:val="24"/>
              </w:rPr>
              <w:t>ë</w:t>
            </w:r>
            <w:r w:rsidRPr="00FF518A">
              <w:rPr>
                <w:rFonts w:ascii="Times New Roman" w:hAnsi="Times New Roman"/>
                <w:sz w:val="24"/>
                <w:szCs w:val="24"/>
              </w:rPr>
              <w:t xml:space="preserve"> shtohet togfal</w:t>
            </w:r>
            <w:r w:rsidR="004F5027" w:rsidRPr="00FF518A">
              <w:rPr>
                <w:rFonts w:ascii="Times New Roman" w:hAnsi="Times New Roman"/>
                <w:sz w:val="24"/>
                <w:szCs w:val="24"/>
              </w:rPr>
              <w:t>ë</w:t>
            </w:r>
            <w:r w:rsidRPr="00FF518A">
              <w:rPr>
                <w:rFonts w:ascii="Times New Roman" w:hAnsi="Times New Roman"/>
                <w:sz w:val="24"/>
                <w:szCs w:val="24"/>
              </w:rPr>
              <w:t>shi “T</w:t>
            </w:r>
            <w:r w:rsidR="004F5027" w:rsidRPr="00FF518A">
              <w:rPr>
                <w:rFonts w:ascii="Times New Roman" w:hAnsi="Times New Roman"/>
                <w:sz w:val="24"/>
                <w:szCs w:val="24"/>
              </w:rPr>
              <w:t>ë</w:t>
            </w:r>
            <w:r w:rsidRPr="00FF518A">
              <w:rPr>
                <w:rFonts w:ascii="Times New Roman" w:hAnsi="Times New Roman"/>
                <w:sz w:val="24"/>
                <w:szCs w:val="24"/>
              </w:rPr>
              <w:t xml:space="preserve"> gjitha ”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C5F6" w14:textId="76020F5B" w:rsidR="007A620D" w:rsidRPr="00FF518A" w:rsidRDefault="007A620D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8A">
              <w:rPr>
                <w:rFonts w:ascii="Times New Roman" w:hAnsi="Times New Roman"/>
                <w:sz w:val="24"/>
                <w:szCs w:val="24"/>
              </w:rPr>
              <w:t>N</w:t>
            </w:r>
            <w:r w:rsidR="004F5027" w:rsidRPr="00FF518A">
              <w:rPr>
                <w:rFonts w:ascii="Times New Roman" w:hAnsi="Times New Roman"/>
                <w:sz w:val="24"/>
                <w:szCs w:val="24"/>
              </w:rPr>
              <w:t>ë</w:t>
            </w:r>
            <w:r w:rsidRPr="00FF518A">
              <w:rPr>
                <w:rFonts w:ascii="Times New Roman" w:hAnsi="Times New Roman"/>
                <w:sz w:val="24"/>
                <w:szCs w:val="24"/>
              </w:rPr>
              <w:t xml:space="preserve"> nenin 2 t</w:t>
            </w:r>
            <w:r w:rsidR="004F5027" w:rsidRPr="00FF518A">
              <w:rPr>
                <w:rFonts w:ascii="Times New Roman" w:hAnsi="Times New Roman"/>
                <w:sz w:val="24"/>
                <w:szCs w:val="24"/>
              </w:rPr>
              <w:t>ë</w:t>
            </w:r>
            <w:r w:rsidRPr="00FF518A">
              <w:rPr>
                <w:rFonts w:ascii="Times New Roman" w:hAnsi="Times New Roman"/>
                <w:sz w:val="24"/>
                <w:szCs w:val="24"/>
              </w:rPr>
              <w:t xml:space="preserve"> shtohet togfal</w:t>
            </w:r>
            <w:r w:rsidR="004F5027" w:rsidRPr="00FF518A">
              <w:rPr>
                <w:rFonts w:ascii="Times New Roman" w:hAnsi="Times New Roman"/>
                <w:sz w:val="24"/>
                <w:szCs w:val="24"/>
              </w:rPr>
              <w:t>ë</w:t>
            </w:r>
            <w:r w:rsidRPr="00FF518A">
              <w:rPr>
                <w:rFonts w:ascii="Times New Roman" w:hAnsi="Times New Roman"/>
                <w:sz w:val="24"/>
                <w:szCs w:val="24"/>
              </w:rPr>
              <w:t>shi “T</w:t>
            </w:r>
            <w:r w:rsidR="004F5027" w:rsidRPr="00FF518A">
              <w:rPr>
                <w:rFonts w:ascii="Times New Roman" w:hAnsi="Times New Roman"/>
                <w:sz w:val="24"/>
                <w:szCs w:val="24"/>
              </w:rPr>
              <w:t>ë</w:t>
            </w:r>
            <w:r w:rsidRPr="00FF518A">
              <w:rPr>
                <w:rFonts w:ascii="Times New Roman" w:hAnsi="Times New Roman"/>
                <w:sz w:val="24"/>
                <w:szCs w:val="24"/>
              </w:rPr>
              <w:t xml:space="preserve"> gjitha ”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B58F" w14:textId="2834797D" w:rsidR="007A620D" w:rsidRPr="00FF518A" w:rsidRDefault="007A620D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8A">
              <w:rPr>
                <w:rFonts w:ascii="Times New Roman" w:hAnsi="Times New Roman"/>
                <w:color w:val="000000"/>
                <w:sz w:val="24"/>
                <w:szCs w:val="24"/>
              </w:rPr>
              <w:t>Dhoma Amerikane e Tregëtisë</w:t>
            </w:r>
          </w:p>
          <w:p w14:paraId="7329DDF2" w14:textId="77777777" w:rsidR="007A620D" w:rsidRPr="00FF518A" w:rsidRDefault="007A620D" w:rsidP="00FF518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6177EF" w14:textId="77777777" w:rsidR="007A620D" w:rsidRPr="00FF518A" w:rsidRDefault="007A620D" w:rsidP="00FF518A">
            <w:pPr>
              <w:spacing w:line="276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F88C" w14:textId="4E16B26E" w:rsidR="007A620D" w:rsidRPr="00FF518A" w:rsidRDefault="007A620D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8A">
              <w:rPr>
                <w:rFonts w:ascii="Times New Roman" w:hAnsi="Times New Roman"/>
                <w:sz w:val="24"/>
                <w:szCs w:val="24"/>
              </w:rPr>
              <w:t xml:space="preserve">Koment i pranuar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DBD8" w14:textId="77777777" w:rsidR="007A620D" w:rsidRPr="00FF518A" w:rsidRDefault="007A620D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20D" w:rsidRPr="00FF518A" w14:paraId="4983B69C" w14:textId="77777777" w:rsidTr="00902403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E72" w14:textId="57E8F034" w:rsidR="007A620D" w:rsidRPr="00FF518A" w:rsidRDefault="00902403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8A">
              <w:rPr>
                <w:rFonts w:ascii="Times New Roman" w:hAnsi="Times New Roman"/>
                <w:sz w:val="24"/>
                <w:szCs w:val="24"/>
              </w:rPr>
              <w:t>N</w:t>
            </w:r>
            <w:r w:rsidR="007A620D" w:rsidRPr="00FF518A">
              <w:rPr>
                <w:rFonts w:ascii="Times New Roman" w:hAnsi="Times New Roman"/>
                <w:sz w:val="24"/>
                <w:szCs w:val="24"/>
              </w:rPr>
              <w:t>ë nenin 3 të projektligjit zëvendësimin e 100 milion EUR me vlerën 6 miljard EUR sipas përmbajtjes së direktivës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83A3" w14:textId="15422B80" w:rsidR="007A620D" w:rsidRPr="00FF518A" w:rsidRDefault="00902403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8A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 w:rsidR="007A620D" w:rsidRPr="00FF5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ë nenin 3 të projektligjit zëvendësimin e </w:t>
            </w:r>
            <w:r w:rsidR="007A620D" w:rsidRPr="00FF518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100 milion EUR</w:t>
            </w:r>
            <w:r w:rsidR="007A620D" w:rsidRPr="00FF5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 </w:t>
            </w:r>
            <w:r w:rsidR="007A620D" w:rsidRPr="00FF518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vlerën 6 miljard EUR</w:t>
            </w:r>
            <w:r w:rsidR="007A620D" w:rsidRPr="00FF5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sipas përmbajtjes së direktivës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F774" w14:textId="41502B72" w:rsidR="007A620D" w:rsidRPr="00FF518A" w:rsidRDefault="007A620D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8A">
              <w:rPr>
                <w:rFonts w:ascii="Times New Roman" w:hAnsi="Times New Roman"/>
                <w:color w:val="000000"/>
                <w:sz w:val="24"/>
                <w:szCs w:val="24"/>
              </w:rPr>
              <w:t>Shoqata “Bashkimi Tregtar i Shqipërisë”.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04EA" w14:textId="1D6BB0DB" w:rsidR="007A620D" w:rsidRPr="00FF518A" w:rsidRDefault="007A620D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8A">
              <w:rPr>
                <w:rFonts w:ascii="Times New Roman" w:hAnsi="Times New Roman"/>
                <w:sz w:val="24"/>
                <w:szCs w:val="24"/>
              </w:rPr>
              <w:t>Sqaruar q</w:t>
            </w:r>
            <w:r w:rsidR="004F5027" w:rsidRPr="00FF518A">
              <w:rPr>
                <w:rFonts w:ascii="Times New Roman" w:hAnsi="Times New Roman"/>
                <w:sz w:val="24"/>
                <w:szCs w:val="24"/>
              </w:rPr>
              <w:t>ë</w:t>
            </w:r>
            <w:r w:rsidRPr="00FF518A">
              <w:rPr>
                <w:rFonts w:ascii="Times New Roman" w:hAnsi="Times New Roman"/>
                <w:sz w:val="24"/>
                <w:szCs w:val="24"/>
              </w:rPr>
              <w:t>llimi i dispozit</w:t>
            </w:r>
            <w:r w:rsidR="004F5027" w:rsidRPr="00FF518A">
              <w:rPr>
                <w:rFonts w:ascii="Times New Roman" w:hAnsi="Times New Roman"/>
                <w:sz w:val="24"/>
                <w:szCs w:val="24"/>
              </w:rPr>
              <w:t>ë</w:t>
            </w:r>
            <w:r w:rsidRPr="00FF518A">
              <w:rPr>
                <w:rFonts w:ascii="Times New Roman" w:hAnsi="Times New Roman"/>
                <w:sz w:val="24"/>
                <w:szCs w:val="24"/>
              </w:rPr>
              <w:t xml:space="preserve">s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74CE" w14:textId="4F490A13" w:rsidR="007A620D" w:rsidRPr="00FF518A" w:rsidRDefault="007A620D" w:rsidP="00FF518A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8A">
              <w:rPr>
                <w:rFonts w:ascii="Times New Roman" w:hAnsi="Times New Roman"/>
                <w:sz w:val="24"/>
                <w:szCs w:val="24"/>
              </w:rPr>
              <w:t>për vlerën e 6 miljard  u sqarua, ndër të tjera se “Vlera prej 100 milion euro është parashikuar si një dispozitë tranzitore, e cila do të zbatohet deri në momentin e anëtarësimit të Shqipërisë në Bashkimi Evropian. Kjo vlerë është përcaktuar duke marrë në konsideratë nivelin aktual të zhvillimit të tregjeve financiare shqiptare, si dhe madhësinë e institucioneve që operojnë në to. Gjithashtu, ajo reflekton nevojën për një qasje graduale dhe proporcionale ndaj kërkesave rregullatore të BE-së.</w:t>
            </w:r>
          </w:p>
        </w:tc>
      </w:tr>
    </w:tbl>
    <w:p w14:paraId="7036D7A9" w14:textId="77777777" w:rsidR="005B6D2B" w:rsidRPr="00FF518A" w:rsidRDefault="005B6D2B" w:rsidP="00FF518A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5B6D2B" w:rsidRPr="00FF518A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11033"/>
    <w:multiLevelType w:val="hybridMultilevel"/>
    <w:tmpl w:val="35823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82030"/>
    <w:multiLevelType w:val="hybridMultilevel"/>
    <w:tmpl w:val="5FF0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39426476">
    <w:abstractNumId w:val="0"/>
  </w:num>
  <w:num w:numId="2" w16cid:durableId="182675965">
    <w:abstractNumId w:val="4"/>
  </w:num>
  <w:num w:numId="3" w16cid:durableId="2016296801">
    <w:abstractNumId w:val="5"/>
  </w:num>
  <w:num w:numId="4" w16cid:durableId="1151096947">
    <w:abstractNumId w:val="3"/>
  </w:num>
  <w:num w:numId="5" w16cid:durableId="920716782">
    <w:abstractNumId w:val="2"/>
  </w:num>
  <w:num w:numId="6" w16cid:durableId="2091348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3B62"/>
    <w:rsid w:val="00003EA1"/>
    <w:rsid w:val="0004166D"/>
    <w:rsid w:val="00147B74"/>
    <w:rsid w:val="00196392"/>
    <w:rsid w:val="00260E60"/>
    <w:rsid w:val="002B161B"/>
    <w:rsid w:val="002D7C76"/>
    <w:rsid w:val="00301ADF"/>
    <w:rsid w:val="00332DB4"/>
    <w:rsid w:val="0038515F"/>
    <w:rsid w:val="00435429"/>
    <w:rsid w:val="00445CC3"/>
    <w:rsid w:val="004C711D"/>
    <w:rsid w:val="004F5027"/>
    <w:rsid w:val="005708B1"/>
    <w:rsid w:val="005B1920"/>
    <w:rsid w:val="005B6D2B"/>
    <w:rsid w:val="00656BB0"/>
    <w:rsid w:val="006867DF"/>
    <w:rsid w:val="00696449"/>
    <w:rsid w:val="00741C60"/>
    <w:rsid w:val="00744E40"/>
    <w:rsid w:val="007638FB"/>
    <w:rsid w:val="00765F3C"/>
    <w:rsid w:val="007755F2"/>
    <w:rsid w:val="007A620D"/>
    <w:rsid w:val="008338CA"/>
    <w:rsid w:val="0086030F"/>
    <w:rsid w:val="008B0269"/>
    <w:rsid w:val="008D1665"/>
    <w:rsid w:val="008E65C5"/>
    <w:rsid w:val="008F44B1"/>
    <w:rsid w:val="00902403"/>
    <w:rsid w:val="0091093C"/>
    <w:rsid w:val="009524DB"/>
    <w:rsid w:val="00963283"/>
    <w:rsid w:val="00965584"/>
    <w:rsid w:val="009B696C"/>
    <w:rsid w:val="00A06DA1"/>
    <w:rsid w:val="00A121AB"/>
    <w:rsid w:val="00A3438A"/>
    <w:rsid w:val="00B33196"/>
    <w:rsid w:val="00B43958"/>
    <w:rsid w:val="00C12398"/>
    <w:rsid w:val="00C20DD3"/>
    <w:rsid w:val="00C62162"/>
    <w:rsid w:val="00C8521F"/>
    <w:rsid w:val="00DD5D4E"/>
    <w:rsid w:val="00E60450"/>
    <w:rsid w:val="00EF0386"/>
    <w:rsid w:val="00F03EFF"/>
    <w:rsid w:val="00F31BD2"/>
    <w:rsid w:val="00F34E30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D789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Prende Cubi</cp:lastModifiedBy>
  <cp:revision>2</cp:revision>
  <dcterms:created xsi:type="dcterms:W3CDTF">2026-06-04T08:21:00Z</dcterms:created>
  <dcterms:modified xsi:type="dcterms:W3CDTF">2026-06-04T08:21:00Z</dcterms:modified>
</cp:coreProperties>
</file>