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536B" w14:textId="77777777" w:rsidR="00197D2B" w:rsidRDefault="00197D2B" w:rsidP="00810BB5">
      <w:pPr>
        <w:widowControl w:val="0"/>
        <w:spacing w:after="360" w:line="240" w:lineRule="auto"/>
        <w:jc w:val="center"/>
        <w:rPr>
          <w:rFonts w:ascii="Times New Roman" w:eastAsia="Times New Roman" w:hAnsi="Times New Roman" w:cs="Times New Roman"/>
          <w:b/>
          <w:bCs/>
          <w:kern w:val="0"/>
          <w:sz w:val="28"/>
          <w:szCs w:val="28"/>
          <w:lang w:val="sq-AL"/>
          <w14:ligatures w14:val="none"/>
        </w:rPr>
      </w:pPr>
    </w:p>
    <w:p w14:paraId="6A5A1C40" w14:textId="56F8DD18" w:rsidR="006844F1" w:rsidRPr="006844F1" w:rsidRDefault="00BA3475" w:rsidP="00BA3475">
      <w:pPr>
        <w:spacing w:before="100" w:beforeAutospacing="1" w:after="100" w:afterAutospacing="1" w:line="240" w:lineRule="auto"/>
        <w:ind w:left="2880"/>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     </w:t>
      </w:r>
      <w:r w:rsidR="006844F1" w:rsidRPr="006844F1">
        <w:rPr>
          <w:rFonts w:ascii="Times New Roman" w:eastAsia="Times New Roman" w:hAnsi="Times New Roman" w:cs="Times New Roman"/>
          <w:b/>
          <w:bCs/>
          <w:kern w:val="0"/>
          <w:sz w:val="36"/>
          <w:szCs w:val="36"/>
          <w14:ligatures w14:val="none"/>
        </w:rPr>
        <w:t>DRAFT LAW</w:t>
      </w:r>
    </w:p>
    <w:p w14:paraId="49D9B65E" w14:textId="09D855EE" w:rsidR="006844F1" w:rsidRDefault="006844F1" w:rsidP="006844F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6844F1">
        <w:rPr>
          <w:rFonts w:ascii="Times New Roman" w:eastAsia="Times New Roman" w:hAnsi="Times New Roman" w:cs="Times New Roman"/>
          <w:kern w:val="0"/>
          <w14:ligatures w14:val="none"/>
        </w:rPr>
        <w:t>No.___/202</w:t>
      </w:r>
      <w:r>
        <w:rPr>
          <w:rFonts w:ascii="Times New Roman" w:eastAsia="Times New Roman" w:hAnsi="Times New Roman" w:cs="Times New Roman"/>
          <w:kern w:val="0"/>
          <w14:ligatures w14:val="none"/>
        </w:rPr>
        <w:t>6</w:t>
      </w:r>
    </w:p>
    <w:p w14:paraId="1DFAA050" w14:textId="5DD64A7B" w:rsidR="006844F1" w:rsidRPr="006844F1" w:rsidRDefault="006837BA" w:rsidP="006837BA">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6844F1" w:rsidRPr="006844F1">
        <w:rPr>
          <w:rFonts w:ascii="Times New Roman" w:eastAsia="Times New Roman" w:hAnsi="Times New Roman" w:cs="Times New Roman"/>
          <w:b/>
          <w:bCs/>
          <w:kern w:val="0"/>
          <w14:ligatures w14:val="none"/>
        </w:rPr>
        <w:t xml:space="preserve">ON </w:t>
      </w:r>
      <w:r w:rsidR="004E7962">
        <w:rPr>
          <w:rFonts w:ascii="Times New Roman" w:eastAsia="Times New Roman" w:hAnsi="Times New Roman" w:cs="Times New Roman"/>
          <w:b/>
          <w:bCs/>
          <w:kern w:val="0"/>
          <w14:ligatures w14:val="none"/>
        </w:rPr>
        <w:t>TRANSPARENCY REQUIREMENTS FOR ISSUERS OF SECURITIES</w:t>
      </w:r>
      <w:r w:rsidR="008F1075">
        <w:rPr>
          <w:rStyle w:val="FootnoteReference"/>
          <w:rFonts w:ascii="Times New Roman" w:eastAsia="Times New Roman" w:hAnsi="Times New Roman" w:cs="Times New Roman"/>
          <w:b/>
          <w:bCs/>
          <w:kern w:val="0"/>
          <w14:ligatures w14:val="none"/>
        </w:rPr>
        <w:footnoteReference w:id="1"/>
      </w:r>
    </w:p>
    <w:p w14:paraId="5AB3EFB7" w14:textId="77777777" w:rsidR="006844F1" w:rsidRDefault="006844F1" w:rsidP="006844F1">
      <w:pPr>
        <w:pStyle w:val="NormalWeb"/>
      </w:pPr>
      <w:r>
        <w:rPr>
          <w:rStyle w:val="Strong"/>
          <w:rFonts w:eastAsiaTheme="majorEastAsia"/>
        </w:rPr>
        <w:t>Pursuant to Articles 78 and 83, paragraph 1, of the Constitution, upon the proposal of the Council of Ministers,</w:t>
      </w:r>
    </w:p>
    <w:p w14:paraId="440036D7" w14:textId="77777777" w:rsidR="006844F1" w:rsidRDefault="006844F1" w:rsidP="006844F1">
      <w:pPr>
        <w:pStyle w:val="NormalWeb"/>
        <w:ind w:left="720" w:firstLine="720"/>
      </w:pPr>
      <w:r>
        <w:rPr>
          <w:rStyle w:val="Strong"/>
          <w:rFonts w:eastAsiaTheme="majorEastAsia"/>
        </w:rPr>
        <w:t>THE PARLIAMENT OF THE REPUBLIC OF ALBANIA</w:t>
      </w:r>
    </w:p>
    <w:p w14:paraId="5744BD81" w14:textId="0C2DBE1B" w:rsidR="006844F1" w:rsidRDefault="006844F1" w:rsidP="006844F1">
      <w:pPr>
        <w:pStyle w:val="NormalWeb"/>
        <w:ind w:left="2880"/>
      </w:pPr>
      <w:r>
        <w:rPr>
          <w:rStyle w:val="Strong"/>
          <w:rFonts w:eastAsiaTheme="majorEastAsia"/>
        </w:rPr>
        <w:lastRenderedPageBreak/>
        <w:t xml:space="preserve">                   DECIDES:</w:t>
      </w:r>
    </w:p>
    <w:p w14:paraId="18476313" w14:textId="77777777" w:rsidR="0030090D" w:rsidRPr="005125ED" w:rsidRDefault="0030090D" w:rsidP="0030090D">
      <w:pPr>
        <w:autoSpaceDE w:val="0"/>
        <w:autoSpaceDN w:val="0"/>
        <w:adjustRightInd w:val="0"/>
        <w:spacing w:after="0" w:line="240" w:lineRule="auto"/>
        <w:jc w:val="center"/>
        <w:rPr>
          <w:rFonts w:ascii="Times New Roman" w:eastAsia="Arial Unicode MS" w:hAnsi="Times New Roman" w:cs="Times New Roman"/>
          <w:b/>
          <w:bCs/>
          <w:kern w:val="0"/>
          <w:bdr w:val="nil"/>
          <w:lang w:val="sq-AL"/>
          <w14:ligatures w14:val="none"/>
        </w:rPr>
      </w:pPr>
    </w:p>
    <w:p w14:paraId="150C781E" w14:textId="77777777" w:rsidR="0030090D" w:rsidRPr="005125ED" w:rsidRDefault="0030090D" w:rsidP="0030090D">
      <w:pPr>
        <w:autoSpaceDE w:val="0"/>
        <w:autoSpaceDN w:val="0"/>
        <w:adjustRightInd w:val="0"/>
        <w:spacing w:after="0" w:line="240" w:lineRule="auto"/>
        <w:jc w:val="center"/>
        <w:rPr>
          <w:rFonts w:ascii="Times New Roman" w:eastAsia="Arial Unicode MS" w:hAnsi="Times New Roman" w:cs="Times New Roman"/>
          <w:b/>
          <w:bCs/>
          <w:kern w:val="0"/>
          <w:bdr w:val="nil"/>
          <w:lang w:val="sq-AL"/>
          <w14:ligatures w14:val="none"/>
        </w:rPr>
      </w:pPr>
    </w:p>
    <w:p w14:paraId="16A43F99" w14:textId="77777777" w:rsidR="008E47B6" w:rsidRPr="005125ED" w:rsidRDefault="008E47B6" w:rsidP="003C6860">
      <w:pPr>
        <w:autoSpaceDE w:val="0"/>
        <w:autoSpaceDN w:val="0"/>
        <w:adjustRightInd w:val="0"/>
        <w:spacing w:after="0" w:line="240" w:lineRule="auto"/>
        <w:rPr>
          <w:rFonts w:ascii="Times New Roman" w:eastAsia="Arial Unicode MS" w:hAnsi="Times New Roman" w:cs="Times New Roman"/>
          <w:b/>
          <w:bCs/>
          <w:kern w:val="0"/>
          <w:bdr w:val="nil"/>
          <w:lang w:val="sq-AL"/>
          <w14:ligatures w14:val="none"/>
        </w:rPr>
      </w:pPr>
    </w:p>
    <w:p w14:paraId="67553CD0" w14:textId="3175D609" w:rsidR="00810BB5" w:rsidRPr="005125ED" w:rsidRDefault="006844F1" w:rsidP="00810BB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CHAPTER I</w:t>
      </w:r>
    </w:p>
    <w:p w14:paraId="4C0AF465" w14:textId="620A40D3" w:rsidR="00810BB5" w:rsidRPr="005125ED" w:rsidRDefault="006844F1" w:rsidP="00810BB5">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GENERAL PROVISIONS</w:t>
      </w:r>
    </w:p>
    <w:p w14:paraId="5B4E91B1" w14:textId="77777777" w:rsidR="00810BB5" w:rsidRPr="005125ED" w:rsidRDefault="00810BB5" w:rsidP="00810BB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70382CAF" w14:textId="1435BE2B" w:rsidR="00810BB5" w:rsidRPr="005125ED" w:rsidRDefault="006844F1" w:rsidP="00810BB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Article 1</w:t>
      </w:r>
    </w:p>
    <w:p w14:paraId="3617194E" w14:textId="0EEC5B2C" w:rsidR="00810BB5" w:rsidRPr="005125ED" w:rsidRDefault="006844F1" w:rsidP="00810BB5">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Subject Matter and Scope </w:t>
      </w:r>
    </w:p>
    <w:p w14:paraId="086AC27F" w14:textId="77777777" w:rsidR="007934F3" w:rsidRDefault="007934F3" w:rsidP="007934F3">
      <w:pPr>
        <w:keepNext/>
        <w:keepLines/>
        <w:spacing w:before="480" w:after="240" w:line="240" w:lineRule="auto"/>
        <w:contextualSpacing/>
        <w:rPr>
          <w:rFonts w:ascii="Times New Roman" w:eastAsia="Times New Roman" w:hAnsi="Times New Roman" w:cs="Times New Roman"/>
          <w:b/>
          <w:bCs/>
          <w:kern w:val="0"/>
          <w:szCs w:val="20"/>
          <w:lang w:val="sq-AL"/>
          <w14:ligatures w14:val="none"/>
        </w:rPr>
      </w:pPr>
    </w:p>
    <w:p w14:paraId="1CF3E703" w14:textId="7590D9A0" w:rsidR="007934F3" w:rsidRDefault="007934F3" w:rsidP="007934F3">
      <w:pPr>
        <w:pStyle w:val="NormalWeb"/>
        <w:numPr>
          <w:ilvl w:val="0"/>
          <w:numId w:val="235"/>
        </w:numPr>
        <w:ind w:left="90"/>
        <w:jc w:val="both"/>
      </w:pPr>
      <w:r>
        <w:t xml:space="preserve">This Law </w:t>
      </w:r>
      <w:r w:rsidR="003F005C">
        <w:t>lays down</w:t>
      </w:r>
      <w:r>
        <w:t xml:space="preserve"> the requirements for the disclosure of periodic and ongoing information concerning issuers whose securities are admitted to trading on a regulated market situated or operating in the Republic of Albania or within a Member State of the European Union.</w:t>
      </w:r>
    </w:p>
    <w:p w14:paraId="7ECC768F" w14:textId="77777777" w:rsidR="007934F3" w:rsidRDefault="007934F3" w:rsidP="007934F3">
      <w:pPr>
        <w:pStyle w:val="NormalWeb"/>
        <w:numPr>
          <w:ilvl w:val="0"/>
          <w:numId w:val="235"/>
        </w:numPr>
        <w:ind w:left="90"/>
        <w:jc w:val="both"/>
      </w:pPr>
      <w:r>
        <w:t>The requirements of this Law shall not apply to units issued by collective investment undertakings other than those of the closed-end type, nor to units which are acquired or redeemed in such collective investment undertakings.</w:t>
      </w:r>
    </w:p>
    <w:p w14:paraId="4B036555" w14:textId="77777777" w:rsidR="007934F3" w:rsidRDefault="007934F3" w:rsidP="007934F3">
      <w:pPr>
        <w:pStyle w:val="NormalWeb"/>
        <w:numPr>
          <w:ilvl w:val="0"/>
          <w:numId w:val="235"/>
        </w:numPr>
        <w:ind w:left="90"/>
        <w:jc w:val="both"/>
      </w:pPr>
      <w:r>
        <w:t>The provisions referred to in Article 26, paragraphs 2, 3 and 4 shall not apply to securities admitted to trading on a regulated market that are issued by the Republic of Albania, by a Member State of the EU, or by their regional or local authorities.</w:t>
      </w:r>
    </w:p>
    <w:p w14:paraId="7D538577" w14:textId="77777777" w:rsidR="007934F3" w:rsidRDefault="007934F3" w:rsidP="007934F3">
      <w:pPr>
        <w:pStyle w:val="NormalWeb"/>
        <w:numPr>
          <w:ilvl w:val="0"/>
          <w:numId w:val="235"/>
        </w:numPr>
        <w:ind w:left="90"/>
        <w:jc w:val="both"/>
      </w:pPr>
      <w:r>
        <w:t xml:space="preserve">The provisions of this Law shall apply to an issuer for which the Republic of Albania is the </w:t>
      </w:r>
      <w:r w:rsidRPr="007934F3">
        <w:rPr>
          <w:rStyle w:val="Strong"/>
          <w:rFonts w:eastAsiaTheme="majorEastAsia"/>
          <w:b w:val="0"/>
          <w:bCs w:val="0"/>
        </w:rPr>
        <w:t>home state</w:t>
      </w:r>
      <w:r w:rsidRPr="007934F3">
        <w:rPr>
          <w:b/>
          <w:bCs/>
        </w:rPr>
        <w:t>.</w:t>
      </w:r>
    </w:p>
    <w:p w14:paraId="1DC2F928" w14:textId="590A5B0A" w:rsidR="007934F3" w:rsidRDefault="007934F3" w:rsidP="007934F3">
      <w:pPr>
        <w:pStyle w:val="NormalWeb"/>
        <w:numPr>
          <w:ilvl w:val="0"/>
          <w:numId w:val="235"/>
        </w:numPr>
        <w:ind w:left="90"/>
        <w:jc w:val="both"/>
      </w:pPr>
      <w:r>
        <w:t xml:space="preserve"> The provisions of this Law shall also apply to an issuer whose securities are admitted to trading exclusively on a regulated market in the Republic of Albania.</w:t>
      </w:r>
    </w:p>
    <w:p w14:paraId="08462DD6" w14:textId="5BDD28BB" w:rsidR="007934F3" w:rsidRDefault="007934F3" w:rsidP="007934F3">
      <w:pPr>
        <w:pStyle w:val="NormalWeb"/>
      </w:pPr>
    </w:p>
    <w:p w14:paraId="18FF1E7C" w14:textId="249C1C0F" w:rsidR="004575E7" w:rsidRPr="005125ED" w:rsidRDefault="007934F3" w:rsidP="007934F3">
      <w:pPr>
        <w:spacing w:after="0" w:line="0" w:lineRule="atLeast"/>
        <w:ind w:left="3600"/>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 2</w:t>
      </w:r>
    </w:p>
    <w:p w14:paraId="70CCCB90" w14:textId="7CC4A725" w:rsidR="007B0737" w:rsidRPr="005125ED" w:rsidRDefault="007934F3" w:rsidP="007934F3">
      <w:pPr>
        <w:spacing w:after="0" w:line="0" w:lineRule="atLeast"/>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Definitions</w:t>
      </w:r>
    </w:p>
    <w:p w14:paraId="08838617"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For the purposes of this Law, the following terms shall have the meanings set out below:</w:t>
      </w:r>
    </w:p>
    <w:p w14:paraId="38BBDDDF"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a) “Securities” means transferable securities as defined in the legislation in force on capital markets, which transposes the European Union legislation on markets in financial instruments, excluding money-market instruments having a maturity of less than twelve (12) months;</w:t>
      </w:r>
    </w:p>
    <w:p w14:paraId="1A3B92B9"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b) “Debt securities” means bonds or other forms of securitised debt which are transferable, excluding securities which are equivalent to shares in companies or which, if converted or if the rights conferred by them are exercised, give the right to acquire shares or securities equivalent to shares;</w:t>
      </w:r>
    </w:p>
    <w:p w14:paraId="7A788D75"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c) “Regulated market” means a market as defined under the legislation in force governing capital markets, which transposes the relevant European Union legislation on markets in financial instruments;</w:t>
      </w:r>
    </w:p>
    <w:p w14:paraId="7DD7C1ED"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lastRenderedPageBreak/>
        <w:t>d) “Issuer” means a natural or legal person governed by private or public law, including a State, whose securities are admitted to trading on a regulated market.</w:t>
      </w:r>
      <w:r w:rsidRPr="00EB2988">
        <w:rPr>
          <w:rFonts w:ascii="Times New Roman" w:eastAsia="Times New Roman" w:hAnsi="Times New Roman" w:cs="Times New Roman"/>
          <w:kern w:val="0"/>
          <w14:ligatures w14:val="none"/>
        </w:rPr>
        <w:br/>
        <w:t>In the case of depositary receipts admitted to trading on a regulated market, the issuer shall be the issuer of the underlying securities, whether or not those securities are themselves admitted to trading on a regulated market;</w:t>
      </w:r>
    </w:p>
    <w:p w14:paraId="5937AE30"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e) “Shareholder” means any natural person/individual or legal person who holds, directly or indirectly:</w:t>
      </w:r>
      <w:r w:rsidRPr="00EB2988">
        <w:rPr>
          <w:rFonts w:ascii="Times New Roman" w:eastAsia="Times New Roman" w:hAnsi="Times New Roman" w:cs="Times New Roman"/>
          <w:kern w:val="0"/>
          <w14:ligatures w14:val="none"/>
        </w:rPr>
        <w:br/>
        <w:t>(i) shares of an issuer in his own name and on his own account;</w:t>
      </w:r>
      <w:r w:rsidRPr="00EB2988">
        <w:rPr>
          <w:rFonts w:ascii="Times New Roman" w:eastAsia="Times New Roman" w:hAnsi="Times New Roman" w:cs="Times New Roman"/>
          <w:kern w:val="0"/>
          <w14:ligatures w14:val="none"/>
        </w:rPr>
        <w:br/>
        <w:t>(ii) shares of an issuer in his own name but on behalf of another natural or legal person;</w:t>
      </w:r>
      <w:r w:rsidRPr="00EB2988">
        <w:rPr>
          <w:rFonts w:ascii="Times New Roman" w:eastAsia="Times New Roman" w:hAnsi="Times New Roman" w:cs="Times New Roman"/>
          <w:kern w:val="0"/>
          <w14:ligatures w14:val="none"/>
        </w:rPr>
        <w:br/>
        <w:t>(iii) depositary receipts, in which case the holder of the depositary receipt shall be regarded as the shareholder in respect of the underlying shares represented by the depositary receipts;</w:t>
      </w:r>
    </w:p>
    <w:p w14:paraId="4822427A"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f) “Controlled undertaking” means any undertaking over which:</w:t>
      </w:r>
      <w:r w:rsidRPr="00EB2988">
        <w:rPr>
          <w:rFonts w:ascii="Times New Roman" w:eastAsia="Times New Roman" w:hAnsi="Times New Roman" w:cs="Times New Roman"/>
          <w:kern w:val="0"/>
          <w14:ligatures w14:val="none"/>
        </w:rPr>
        <w:br/>
        <w:t>(i) a natural or legal person holds the majority of the voting rights; or</w:t>
      </w:r>
      <w:r w:rsidRPr="00EB2988">
        <w:rPr>
          <w:rFonts w:ascii="Times New Roman" w:eastAsia="Times New Roman" w:hAnsi="Times New Roman" w:cs="Times New Roman"/>
          <w:kern w:val="0"/>
          <w14:ligatures w14:val="none"/>
        </w:rPr>
        <w:br/>
        <w:t>(ii) a natural or legal person has the right to appoint or remove a majority of the members of the administrative, management or supervisory body and is, at the same time, a shareholder or member of the undertaking in question; or</w:t>
      </w:r>
      <w:r w:rsidRPr="00EB2988">
        <w:rPr>
          <w:rFonts w:ascii="Times New Roman" w:eastAsia="Times New Roman" w:hAnsi="Times New Roman" w:cs="Times New Roman"/>
          <w:kern w:val="0"/>
          <w14:ligatures w14:val="none"/>
        </w:rPr>
        <w:br/>
        <w:t>(iii) a natural or legal person is a shareholder or member and, under an agreement concluded with other shareholders or members of the undertaking in question, controls alone a majority of the voting rights of shareholders or members; or</w:t>
      </w:r>
      <w:r w:rsidRPr="00EB2988">
        <w:rPr>
          <w:rFonts w:ascii="Times New Roman" w:eastAsia="Times New Roman" w:hAnsi="Times New Roman" w:cs="Times New Roman"/>
          <w:kern w:val="0"/>
          <w14:ligatures w14:val="none"/>
        </w:rPr>
        <w:br/>
        <w:t>(iv) a natural or legal person has the powers to exercise, or actually exercises, a dominant influence or control;</w:t>
      </w:r>
    </w:p>
    <w:p w14:paraId="655D1065"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g) “Collective investment undertaking other than the closed-end type” means an investment fund or an investment company:</w:t>
      </w:r>
      <w:r w:rsidRPr="00EB2988">
        <w:rPr>
          <w:rFonts w:ascii="Times New Roman" w:eastAsia="Times New Roman" w:hAnsi="Times New Roman" w:cs="Times New Roman"/>
          <w:kern w:val="0"/>
          <w14:ligatures w14:val="none"/>
        </w:rPr>
        <w:br/>
        <w:t>(i) the object of which is the collective investment of capital raised from the public operating on the principle of risk-spreading; and</w:t>
      </w:r>
      <w:r w:rsidRPr="00EB2988">
        <w:rPr>
          <w:rFonts w:ascii="Times New Roman" w:eastAsia="Times New Roman" w:hAnsi="Times New Roman" w:cs="Times New Roman"/>
          <w:kern w:val="0"/>
          <w14:ligatures w14:val="none"/>
        </w:rPr>
        <w:br/>
        <w:t>(ii) the units of which, at the request of the holders, are repurchased or redeemed, directly or indirectly, out of the assets of the undertaking;</w:t>
      </w:r>
    </w:p>
    <w:p w14:paraId="3E4AD6DF"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h) “Units of a collective investment undertaking” means securities issued by a collective investment undertaking and representing the rights of participants over the assets of such an undertaking;</w:t>
      </w:r>
    </w:p>
    <w:p w14:paraId="5B23550A" w14:textId="77777777" w:rsidR="00F607F6"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i) “Home state” means:</w:t>
      </w:r>
      <w:r w:rsidRPr="00EB2988">
        <w:rPr>
          <w:rFonts w:ascii="Times New Roman" w:eastAsia="Times New Roman" w:hAnsi="Times New Roman" w:cs="Times New Roman"/>
          <w:kern w:val="0"/>
          <w14:ligatures w14:val="none"/>
        </w:rPr>
        <w:br/>
        <w:t>(i) for an issuer of debt securities with a denomination per unit of less than EUR 1,000, or for an issuer of shares:</w:t>
      </w:r>
      <w:r w:rsidRPr="00EB2988">
        <w:rPr>
          <w:rFonts w:ascii="Times New Roman" w:eastAsia="Times New Roman" w:hAnsi="Times New Roman" w:cs="Times New Roman"/>
          <w:kern w:val="0"/>
          <w14:ligatures w14:val="none"/>
        </w:rPr>
        <w:br/>
        <w:t>— where the issuer is incorporated in the Republic of Albania or in a Member State of the European Union, the Republic of Albania or the Member State in which the issuer has its registered office;</w:t>
      </w:r>
      <w:r w:rsidRPr="00EB2988">
        <w:rPr>
          <w:rFonts w:ascii="Times New Roman" w:eastAsia="Times New Roman" w:hAnsi="Times New Roman" w:cs="Times New Roman"/>
          <w:kern w:val="0"/>
          <w14:ligatures w14:val="none"/>
        </w:rPr>
        <w:br/>
        <w:t xml:space="preserve">— where the issuer is incorporated in a third country, the Republic of Albania or the Member State of the European Union chosen by the issuer from among the Member States where its securities are admitted to trading on a regulated market. The choice of home state shall remain valid unless the issuer designates a new home state under point (iii) of this subparagraph and discloses its choice in accordance with the second paragraph of this point </w:t>
      </w:r>
    </w:p>
    <w:p w14:paraId="5821FD3B" w14:textId="412247A5"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lastRenderedPageBreak/>
        <w:br/>
        <w:t>The definition of “home state” also applies to debt securities denominated in a currency other than the euro, provided that the denomination per unit at the date of issue is less than EUR 1,000, unless it is approximately equivalent to EUR 1,000;</w:t>
      </w:r>
    </w:p>
    <w:p w14:paraId="2AFCA091"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(ii) for any issuer not covered by point (i), the Member State chosen by the issuer from among the Member State where it has its registered office, where applicable, and the Member States where its securities are admitted to trading on a regulated market. The issuer may choose only one home state. Its choice shall remain valid for at least three (3) years, unless its securities are no longer admitted to trading on any regulated market in the Union or unless the issuer ceases to fall within point (i) or (iii) during that three-year period;</w:t>
      </w:r>
    </w:p>
    <w:p w14:paraId="38A8B63D"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(iii) for an issuer whose securities are no longer admitted to trading on a regulated market in its home state as determined in point (i) or (ii), but remain admitted to trading in one or more other Member States, the new home state shall be the Member State which the issuer may choose from among the Member States where its securities are admitted to trading on a regulated market and, where applicable, the Member State where the issuer has its registered office;</w:t>
      </w:r>
    </w:p>
    <w:p w14:paraId="3B641AA7"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(iv) an issuer shall disclose its home state as referred to in points (i), (ii) or (iii) in accordance with Articles 27 and 28 of this Law. In addition, an issuer shall disclose its home state to the competent authority of the Republic of Albania or of the Member State where it has its registered office, where applicable, to the competent authority of its home state, and to the competent authorities of all host Member States.</w:t>
      </w:r>
      <w:r w:rsidRPr="00EB2988">
        <w:rPr>
          <w:rFonts w:ascii="Times New Roman" w:eastAsia="Times New Roman" w:hAnsi="Times New Roman" w:cs="Times New Roman"/>
          <w:kern w:val="0"/>
          <w14:ligatures w14:val="none"/>
        </w:rPr>
        <w:br/>
        <w:t>In the absence of disclosure by the issuer of its home state as required under the second paragraph of point (i) or (ii), within a period of three months from the date on which the issuer’s securities are first admitted to trading on a regulated market, the home state shall be the Republic of Albania or the Member State where the issuer’s securities are admitted to trading on a regulated market.</w:t>
      </w:r>
      <w:r w:rsidRPr="00EB2988">
        <w:rPr>
          <w:rFonts w:ascii="Times New Roman" w:eastAsia="Times New Roman" w:hAnsi="Times New Roman" w:cs="Times New Roman"/>
          <w:kern w:val="0"/>
          <w14:ligatures w14:val="none"/>
        </w:rPr>
        <w:br/>
        <w:t>Where the issuer’s securities are admitted to trading on regulated markets situated or operating in the Republic of Albania and in more than one Member State, the Republic of Albania and those Member States shall be deemed to be the issuer’s home states until the issuer discloses the subsequent choice of a single home state.</w:t>
      </w:r>
      <w:r w:rsidRPr="00EB2988">
        <w:rPr>
          <w:rFonts w:ascii="Times New Roman" w:eastAsia="Times New Roman" w:hAnsi="Times New Roman" w:cs="Times New Roman"/>
          <w:kern w:val="0"/>
          <w14:ligatures w14:val="none"/>
        </w:rPr>
        <w:br/>
        <w:t>For the purposes of this Law, the Republic of Albania shall be treated as a “home state” or “host state”, as the case may be, within the meaning of this definition, irrespective of its status as a non-EU country;</w:t>
      </w:r>
    </w:p>
    <w:p w14:paraId="0A5F4001"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j) “Host state” means the Republic of Albania or a Member State of the European Union where the securities are admitted to trading on a regulated market, if different from the home state;</w:t>
      </w:r>
    </w:p>
    <w:p w14:paraId="032716D9"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k) “Regulated information” means all information which the issuer, or any person who has applied for admission of financial instruments to trading on a regulated market without the issuer’s consent, is required to make public under this Law, as well as information required to be made public under the legislation in force on market abuse (market manipulation and insider dealing) and the implementing acts issued thereunder;</w:t>
      </w:r>
    </w:p>
    <w:p w14:paraId="0DA423F4"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lastRenderedPageBreak/>
        <w:t>l) “Electronic means” means electronic equipment used for the processing (including digital compression), storage and transmission of data, employing wire, radio, optical or other electromagnetic means;</w:t>
      </w:r>
    </w:p>
    <w:p w14:paraId="6D04060E"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m) “Management company” means a company as defined under the legislation in force on collective investment undertakings, which transposes European Union law relating to undertakings for collective investment in transferable securities (UCITS);</w:t>
      </w:r>
    </w:p>
    <w:p w14:paraId="4E6943B1"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n) “Market maker” means a person who, on a continuous basis, is present on financial markets as a person willing to trade on own account, using its own funds, by buying and selling financial instruments against its own assets at prices it sets itself;</w:t>
      </w:r>
    </w:p>
    <w:p w14:paraId="3756B9D7"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o) “Credit institution” means an undertaking as defined in the legislation in force governing the activity of credit institutions and transposing the relevant European Union legislation in this field;</w:t>
      </w:r>
    </w:p>
    <w:p w14:paraId="15242D19"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p) “Securities issued in a continuous or repeated manner” means debt securities made available which are issued by the same issuer, or at least two separate issues of securities which are similar in type and/or class;</w:t>
      </w:r>
    </w:p>
    <w:p w14:paraId="27E2D035"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q) “Formal agreement” means a legally binding agreement under the legislation in force;</w:t>
      </w:r>
    </w:p>
    <w:p w14:paraId="435A369A" w14:textId="77777777"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r) “Sustainability reporting” means sustainability reporting as defined in the legislation governing accounting and the application of financial reporting standards, prepared in accordance with Article 2(18) of Directive 2013/34/EU of the European Parliament and of the Council;</w:t>
      </w:r>
    </w:p>
    <w:p w14:paraId="76ED985F" w14:textId="407FC352" w:rsidR="00EB2988" w:rsidRPr="00EB2988" w:rsidRDefault="00EB2988" w:rsidP="00EB2988">
      <w:pPr>
        <w:spacing w:after="0" w:line="240" w:lineRule="auto"/>
        <w:rPr>
          <w:rFonts w:ascii="Times New Roman" w:eastAsia="Times New Roman" w:hAnsi="Times New Roman" w:cs="Times New Roman"/>
          <w:kern w:val="0"/>
          <w14:ligatures w14:val="none"/>
        </w:rPr>
      </w:pPr>
    </w:p>
    <w:p w14:paraId="2CB73079" w14:textId="772C5ED5" w:rsidR="00EB2988" w:rsidRPr="00EB2988" w:rsidRDefault="00EB2988" w:rsidP="00EB2988">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EB2988">
        <w:rPr>
          <w:rFonts w:ascii="Times New Roman" w:eastAsia="Times New Roman" w:hAnsi="Times New Roman" w:cs="Times New Roman"/>
          <w:kern w:val="0"/>
          <w14:ligatures w14:val="none"/>
        </w:rPr>
        <w:t>2.</w:t>
      </w:r>
      <w:r>
        <w:rPr>
          <w:rFonts w:ascii="Times New Roman" w:eastAsia="Times New Roman" w:hAnsi="Times New Roman" w:cs="Times New Roman"/>
          <w:b/>
          <w:bCs/>
          <w:kern w:val="0"/>
          <w:sz w:val="36"/>
          <w:szCs w:val="36"/>
          <w14:ligatures w14:val="none"/>
        </w:rPr>
        <w:t xml:space="preserve"> </w:t>
      </w:r>
      <w:r w:rsidRPr="00EB2988">
        <w:rPr>
          <w:rFonts w:ascii="Times New Roman" w:eastAsia="Times New Roman" w:hAnsi="Times New Roman" w:cs="Times New Roman"/>
          <w:kern w:val="0"/>
          <w14:ligatures w14:val="none"/>
        </w:rPr>
        <w:t>For the purposes of the definition of “controlled undertaking” in subparagraph f), point (ii) of paragraph 1 of this Article, the rights of the holder concerning voting, appointment and removal shall include the rights of any other undertaking controlled by the shareholder, and the rights of any natural or legal person acting, whether in its own name, on behalf of the shareholder or any other undertaking controlled by the latter.</w:t>
      </w:r>
    </w:p>
    <w:p w14:paraId="0ACB6056" w14:textId="63A1959F" w:rsidR="00EB2988" w:rsidRPr="00EB2988" w:rsidRDefault="00EB2988" w:rsidP="00EB2988">
      <w:pPr>
        <w:spacing w:before="100" w:beforeAutospacing="1" w:after="100" w:afterAutospacing="1" w:line="240" w:lineRule="auto"/>
        <w:rPr>
          <w:rFonts w:ascii="Times New Roman" w:eastAsia="Times New Roman" w:hAnsi="Times New Roman" w:cs="Times New Roman"/>
          <w:kern w:val="0"/>
          <w14:ligatures w14:val="none"/>
        </w:rPr>
      </w:pPr>
      <w:r w:rsidRPr="00EB2988">
        <w:rPr>
          <w:rFonts w:ascii="Times New Roman" w:eastAsia="Times New Roman" w:hAnsi="Times New Roman" w:cs="Times New Roman"/>
          <w:kern w:val="0"/>
          <w14:ligatures w14:val="none"/>
        </w:rPr>
        <w:t xml:space="preserve">Any reference to legal persons in this Law shall be understood to </w:t>
      </w:r>
      <w:r w:rsidR="009272B7">
        <w:rPr>
          <w:rFonts w:ascii="Times New Roman" w:eastAsia="Times New Roman" w:hAnsi="Times New Roman" w:cs="Times New Roman"/>
          <w:kern w:val="0"/>
          <w14:ligatures w14:val="none"/>
        </w:rPr>
        <w:t xml:space="preserve">also </w:t>
      </w:r>
      <w:r w:rsidRPr="00EB2988">
        <w:rPr>
          <w:rFonts w:ascii="Times New Roman" w:eastAsia="Times New Roman" w:hAnsi="Times New Roman" w:cs="Times New Roman"/>
          <w:kern w:val="0"/>
          <w14:ligatures w14:val="none"/>
        </w:rPr>
        <w:t>include registered business associations without legal personality and persons acting on behalf of others (trusts).</w:t>
      </w:r>
    </w:p>
    <w:p w14:paraId="35FE509A" w14:textId="77777777" w:rsidR="00902973" w:rsidRPr="005125ED" w:rsidRDefault="004D4F06" w:rsidP="004D4F06">
      <w:pPr>
        <w:spacing w:after="0" w:line="240" w:lineRule="auto"/>
        <w:ind w:left="2160" w:firstLine="720"/>
        <w:rPr>
          <w:rFonts w:ascii="Times New Roman" w:eastAsia="Times New Roman" w:hAnsi="Times New Roman" w:cs="Times New Roman"/>
          <w:b/>
          <w:bCs/>
          <w:kern w:val="0"/>
          <w:lang w:val="sq-AL"/>
          <w14:ligatures w14:val="none"/>
        </w:rPr>
      </w:pPr>
      <w:r w:rsidRPr="005125ED">
        <w:rPr>
          <w:rFonts w:ascii="Times New Roman" w:eastAsia="Times New Roman" w:hAnsi="Times New Roman" w:cs="Times New Roman"/>
          <w:b/>
          <w:bCs/>
          <w:kern w:val="0"/>
          <w:lang w:val="sq-AL"/>
          <w14:ligatures w14:val="none"/>
        </w:rPr>
        <w:tab/>
      </w:r>
      <w:r w:rsidRPr="005125ED">
        <w:rPr>
          <w:rFonts w:ascii="Times New Roman" w:eastAsia="Times New Roman" w:hAnsi="Times New Roman" w:cs="Times New Roman"/>
          <w:b/>
          <w:bCs/>
          <w:kern w:val="0"/>
          <w:lang w:val="sq-AL"/>
          <w14:ligatures w14:val="none"/>
        </w:rPr>
        <w:tab/>
      </w:r>
    </w:p>
    <w:p w14:paraId="673BF8D8" w14:textId="5248861E" w:rsidR="00171243" w:rsidRPr="00171243" w:rsidRDefault="00171243" w:rsidP="00171243">
      <w:pPr>
        <w:pStyle w:val="NormalWeb"/>
        <w:spacing w:before="0" w:beforeAutospacing="0" w:after="0" w:afterAutospacing="0"/>
        <w:ind w:left="2880" w:firstLine="720"/>
        <w:rPr>
          <w:b/>
          <w:bCs/>
        </w:rPr>
      </w:pPr>
      <w:r>
        <w:t xml:space="preserve">       </w:t>
      </w:r>
      <w:r w:rsidRPr="00171243">
        <w:rPr>
          <w:b/>
          <w:bCs/>
        </w:rPr>
        <w:t>Article 3</w:t>
      </w:r>
    </w:p>
    <w:p w14:paraId="5FDAA4EF" w14:textId="38E75156" w:rsidR="00171243" w:rsidRPr="00171243" w:rsidRDefault="00171243" w:rsidP="00171243">
      <w:pPr>
        <w:pStyle w:val="NormalWeb"/>
        <w:spacing w:before="0" w:beforeAutospacing="0" w:after="0" w:afterAutospacing="0"/>
        <w:rPr>
          <w:b/>
          <w:bCs/>
        </w:rPr>
      </w:pPr>
      <w:r w:rsidRPr="00171243">
        <w:rPr>
          <w:b/>
          <w:bCs/>
        </w:rPr>
        <w:t xml:space="preserve"> </w:t>
      </w:r>
      <w:r w:rsidRPr="00171243">
        <w:rPr>
          <w:b/>
          <w:bCs/>
        </w:rPr>
        <w:tab/>
      </w:r>
      <w:r w:rsidRPr="00171243">
        <w:rPr>
          <w:b/>
          <w:bCs/>
        </w:rPr>
        <w:tab/>
      </w:r>
      <w:r w:rsidRPr="00171243">
        <w:rPr>
          <w:b/>
          <w:bCs/>
        </w:rPr>
        <w:tab/>
      </w:r>
      <w:r w:rsidRPr="00171243">
        <w:rPr>
          <w:b/>
          <w:bCs/>
        </w:rPr>
        <w:tab/>
        <w:t xml:space="preserve">       Trading Day Calendar</w:t>
      </w:r>
    </w:p>
    <w:p w14:paraId="61F6439B" w14:textId="77777777" w:rsidR="00171243" w:rsidRDefault="00171243" w:rsidP="00171243">
      <w:pPr>
        <w:pStyle w:val="NormalWeb"/>
        <w:numPr>
          <w:ilvl w:val="0"/>
          <w:numId w:val="236"/>
        </w:numPr>
        <w:jc w:val="both"/>
      </w:pPr>
      <w:r>
        <w:t xml:space="preserve">For the purposes of Article 15, paragraphs 2 and 6, and Article 22 of this Law, </w:t>
      </w:r>
      <w:r w:rsidRPr="00171243">
        <w:rPr>
          <w:rStyle w:val="Strong"/>
          <w:rFonts w:eastAsiaTheme="majorEastAsia"/>
          <w:b w:val="0"/>
          <w:bCs w:val="0"/>
        </w:rPr>
        <w:t>trading days</w:t>
      </w:r>
      <w:r>
        <w:t xml:space="preserve"> shall mean the trading days of the regulated market of the issuer’s home state.</w:t>
      </w:r>
    </w:p>
    <w:p w14:paraId="3F8C88E5" w14:textId="77777777" w:rsidR="00171243" w:rsidRDefault="00171243" w:rsidP="00171243">
      <w:pPr>
        <w:pStyle w:val="NormalWeb"/>
        <w:numPr>
          <w:ilvl w:val="0"/>
          <w:numId w:val="236"/>
        </w:numPr>
        <w:jc w:val="both"/>
      </w:pPr>
      <w:r>
        <w:t>The Authority shall publish on its official website the trading day calendar of each regulated market situated or operating within the territory of the Republic of Albania.</w:t>
      </w:r>
    </w:p>
    <w:p w14:paraId="2A546E0D" w14:textId="77777777" w:rsidR="00654C81" w:rsidRPr="00171243" w:rsidRDefault="00654C81" w:rsidP="00654C81">
      <w:pPr>
        <w:spacing w:before="100" w:beforeAutospacing="1" w:after="100" w:afterAutospacing="1" w:line="240" w:lineRule="auto"/>
        <w:ind w:left="720"/>
        <w:jc w:val="both"/>
        <w:rPr>
          <w:rFonts w:ascii="Times New Roman" w:eastAsia="Times New Roman" w:hAnsi="Times New Roman" w:cs="Times New Roman"/>
          <w:kern w:val="0"/>
          <w14:ligatures w14:val="none"/>
        </w:rPr>
      </w:pPr>
    </w:p>
    <w:p w14:paraId="5E6CCF01" w14:textId="7A7F615A" w:rsidR="00EA362F" w:rsidRPr="005125ED" w:rsidRDefault="00D34AE5" w:rsidP="00EA362F">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CHAPTER</w:t>
      </w:r>
      <w:r w:rsidR="00EA362F" w:rsidRPr="005125ED">
        <w:rPr>
          <w:rFonts w:ascii="Times New Roman" w:eastAsia="Times New Roman" w:hAnsi="Times New Roman" w:cs="Times New Roman"/>
          <w:b/>
          <w:bCs/>
          <w:kern w:val="0"/>
          <w:lang w:val="sq-AL"/>
          <w14:ligatures w14:val="none"/>
        </w:rPr>
        <w:t> II</w:t>
      </w:r>
    </w:p>
    <w:p w14:paraId="0F4E47A9" w14:textId="3E168F09" w:rsidR="00EA362F" w:rsidRPr="005125ED" w:rsidRDefault="00D34AE5" w:rsidP="00EA362F">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PERIODIC INFORMATION</w:t>
      </w:r>
    </w:p>
    <w:p w14:paraId="38CFC6ED" w14:textId="77777777" w:rsidR="00EA362F" w:rsidRPr="005125ED" w:rsidRDefault="00EA362F" w:rsidP="00EA362F">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6A293BF3" w14:textId="77777777" w:rsidR="009E1E4A" w:rsidRPr="005125ED" w:rsidRDefault="009E1E4A" w:rsidP="009E1E4A">
      <w:pPr>
        <w:keepNext/>
        <w:keepLines/>
        <w:spacing w:after="0" w:line="240" w:lineRule="exact"/>
        <w:contextualSpacing/>
        <w:jc w:val="center"/>
        <w:rPr>
          <w:rFonts w:ascii="Times New Roman" w:eastAsia="Times New Roman" w:hAnsi="Times New Roman" w:cs="Times New Roman"/>
          <w:b/>
          <w:bCs/>
          <w:kern w:val="0"/>
          <w:lang w:val="sq-AL"/>
          <w14:ligatures w14:val="none"/>
        </w:rPr>
      </w:pPr>
    </w:p>
    <w:p w14:paraId="491FE042" w14:textId="52B991D4" w:rsidR="00EA362F" w:rsidRPr="005125ED" w:rsidRDefault="00D34AE5" w:rsidP="005B2F4E">
      <w:pPr>
        <w:keepNext/>
        <w:keepLines/>
        <w:spacing w:after="0" w:line="200" w:lineRule="exact"/>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EA362F" w:rsidRPr="005125ED">
        <w:rPr>
          <w:rFonts w:ascii="Times New Roman" w:eastAsia="Times New Roman" w:hAnsi="Times New Roman" w:cs="Times New Roman"/>
          <w:b/>
          <w:bCs/>
          <w:kern w:val="0"/>
          <w:lang w:val="sq-AL"/>
          <w14:ligatures w14:val="none"/>
        </w:rPr>
        <w:t> </w:t>
      </w:r>
      <w:r w:rsidR="00C2496B" w:rsidRPr="005125ED">
        <w:rPr>
          <w:rFonts w:ascii="Times New Roman" w:eastAsia="Times New Roman" w:hAnsi="Times New Roman" w:cs="Times New Roman"/>
          <w:b/>
          <w:bCs/>
          <w:kern w:val="0"/>
          <w:lang w:val="sq-AL"/>
          <w14:ligatures w14:val="none"/>
        </w:rPr>
        <w:t>4</w:t>
      </w:r>
    </w:p>
    <w:p w14:paraId="77BF431D" w14:textId="77777777" w:rsidR="00EA362F" w:rsidRPr="005125ED" w:rsidRDefault="00EA362F" w:rsidP="005B2F4E">
      <w:pPr>
        <w:keepNext/>
        <w:keepLines/>
        <w:spacing w:after="0" w:line="200" w:lineRule="exact"/>
        <w:contextualSpacing/>
        <w:jc w:val="center"/>
        <w:rPr>
          <w:rFonts w:ascii="Times New Roman" w:eastAsia="Times New Roman" w:hAnsi="Times New Roman" w:cs="Times New Roman"/>
          <w:b/>
          <w:bCs/>
          <w:kern w:val="0"/>
          <w:lang w:val="sq-AL"/>
          <w14:ligatures w14:val="none"/>
        </w:rPr>
      </w:pPr>
    </w:p>
    <w:p w14:paraId="66EB10DA" w14:textId="291FE465" w:rsidR="00EA362F" w:rsidRDefault="00312F4E" w:rsidP="005B2F4E">
      <w:pPr>
        <w:keepNext/>
        <w:keepLines/>
        <w:spacing w:after="0" w:line="200" w:lineRule="exact"/>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Annual Financial Reports</w:t>
      </w:r>
    </w:p>
    <w:p w14:paraId="7E2F1490" w14:textId="77777777" w:rsidR="00584FCB" w:rsidRDefault="00584FCB" w:rsidP="005B2F4E">
      <w:pPr>
        <w:keepNext/>
        <w:keepLines/>
        <w:spacing w:after="0" w:line="200" w:lineRule="exact"/>
        <w:contextualSpacing/>
        <w:jc w:val="center"/>
        <w:rPr>
          <w:rFonts w:ascii="Times New Roman" w:eastAsia="Times New Roman" w:hAnsi="Times New Roman" w:cs="Times New Roman"/>
          <w:b/>
          <w:bCs/>
          <w:kern w:val="0"/>
          <w:lang w:val="sq-AL"/>
          <w14:ligatures w14:val="none"/>
        </w:rPr>
      </w:pPr>
    </w:p>
    <w:p w14:paraId="59859026" w14:textId="77777777" w:rsidR="00584FCB" w:rsidRDefault="00584FCB" w:rsidP="005B2F4E">
      <w:pPr>
        <w:keepNext/>
        <w:keepLines/>
        <w:spacing w:after="0" w:line="200" w:lineRule="exact"/>
        <w:contextualSpacing/>
        <w:jc w:val="center"/>
        <w:rPr>
          <w:rFonts w:ascii="Times New Roman" w:eastAsia="Times New Roman" w:hAnsi="Times New Roman" w:cs="Times New Roman"/>
          <w:b/>
          <w:bCs/>
          <w:kern w:val="0"/>
          <w:lang w:val="sq-AL"/>
          <w14:ligatures w14:val="none"/>
        </w:rPr>
      </w:pPr>
    </w:p>
    <w:p w14:paraId="226E55F7" w14:textId="69231427" w:rsidR="00584FCB" w:rsidRDefault="00584FCB" w:rsidP="00584FCB">
      <w:pPr>
        <w:pStyle w:val="NormalWeb"/>
        <w:numPr>
          <w:ilvl w:val="0"/>
          <w:numId w:val="237"/>
        </w:numPr>
        <w:ind w:left="180" w:firstLine="90"/>
      </w:pPr>
      <w:r>
        <w:t xml:space="preserve">The issuer shall publish its annual financial report </w:t>
      </w:r>
      <w:r>
        <w:rPr>
          <w:rStyle w:val="Strong"/>
          <w:rFonts w:eastAsiaTheme="majorEastAsia"/>
        </w:rPr>
        <w:t>no later than four (4) months</w:t>
      </w:r>
      <w:r>
        <w:t xml:space="preserve"> after the end of each financial year and shall ensure that it remains publicly available for at least ten (10) years.</w:t>
      </w:r>
    </w:p>
    <w:p w14:paraId="7DE4BBF2" w14:textId="33616B1D" w:rsidR="00584FCB" w:rsidRDefault="00584FCB" w:rsidP="00D92AC4">
      <w:pPr>
        <w:pStyle w:val="NormalWeb"/>
        <w:numPr>
          <w:ilvl w:val="0"/>
          <w:numId w:val="237"/>
        </w:numPr>
        <w:spacing w:before="0" w:beforeAutospacing="0" w:after="0" w:afterAutospacing="0"/>
        <w:ind w:left="180" w:firstLine="90"/>
        <w:jc w:val="both"/>
      </w:pPr>
      <w:r>
        <w:t xml:space="preserve">The annual financial report shall </w:t>
      </w:r>
      <w:r w:rsidR="00D92AC4">
        <w:tab/>
      </w:r>
      <w:r>
        <w:t>include:</w:t>
      </w:r>
      <w:r>
        <w:br/>
        <w:t xml:space="preserve">(a) </w:t>
      </w:r>
      <w:r w:rsidR="00D92AC4">
        <w:tab/>
      </w:r>
      <w:r>
        <w:t xml:space="preserve">the audited financial </w:t>
      </w:r>
      <w:r w:rsidR="00D92AC4">
        <w:tab/>
      </w:r>
      <w:r>
        <w:t>statements;</w:t>
      </w:r>
      <w:r>
        <w:br/>
        <w:t xml:space="preserve">(b) </w:t>
      </w:r>
      <w:r w:rsidR="00D92AC4">
        <w:tab/>
      </w:r>
      <w:r>
        <w:t xml:space="preserve">the management report; </w:t>
      </w:r>
      <w:r w:rsidR="00D92AC4">
        <w:tab/>
      </w:r>
      <w:r>
        <w:t>and</w:t>
      </w:r>
      <w:r>
        <w:br/>
        <w:t>(c) the statements made by the persons responsible within the issuer, clearly indicating their names and functions, confirming that, to the best of their knowledge, the financial statements prepared in accordance with the applicable accounting standards give a true and fair view of the assets, liabilities, financial position and profit or loss of the issuer and of the undertakings included in the consolidation taken as a whole, and that the management report includes a fair review of the development and performance of the business and the position of the issuer and of the undertakings included in the consolidation taken as a whole, together with a description of the principal risks and uncertainties they face, and, where applicable, that this report has been drawn up in accordance with the sustainability reporting standards referred to in the relevant legislation in force, prepared in accordance with Article 29b of Directive 2013/34/EU and the requirements of Article 8(4) of Regulation (EU) 2020/852 of the European Parliament and of the Council.</w:t>
      </w:r>
    </w:p>
    <w:p w14:paraId="4B0B1D3D" w14:textId="2082BA5C" w:rsidR="00584FCB" w:rsidRDefault="00584FCB" w:rsidP="00584FCB">
      <w:pPr>
        <w:pStyle w:val="NormalWeb"/>
        <w:numPr>
          <w:ilvl w:val="0"/>
          <w:numId w:val="237"/>
        </w:numPr>
        <w:ind w:left="180" w:firstLine="90"/>
        <w:jc w:val="both"/>
      </w:pPr>
      <w:r>
        <w:t>Where the issuer is required to prepare consolidated financial statements, the audited financial statements shall include the consolidated financial statements prepared in accordance with international financial reporting standards, and the annual financial statements of the parent company prepared in accordance with the applicable legislation of the Republic of Albania or of the Member State where the parent company is incorporated.</w:t>
      </w:r>
    </w:p>
    <w:p w14:paraId="046D7D6A" w14:textId="635CCDFA" w:rsidR="00584FCB" w:rsidRDefault="00584FCB" w:rsidP="00584FCB">
      <w:pPr>
        <w:pStyle w:val="NormalWeb"/>
        <w:numPr>
          <w:ilvl w:val="0"/>
          <w:numId w:val="237"/>
        </w:numPr>
        <w:ind w:left="180" w:firstLine="90"/>
        <w:jc w:val="both"/>
      </w:pPr>
      <w:r>
        <w:t>Where the issuer is not required to prepare consolidated financial statements, the audited financial statements shall include the statements prepared in accordance with the applicable national accounting legislation of the Republic of Albania or of the Member State where the company is incorporated.</w:t>
      </w:r>
    </w:p>
    <w:p w14:paraId="7770ED39" w14:textId="304295CC" w:rsidR="00584FCB" w:rsidRDefault="00584FCB" w:rsidP="00584FCB">
      <w:pPr>
        <w:pStyle w:val="NormalWeb"/>
        <w:numPr>
          <w:ilvl w:val="0"/>
          <w:numId w:val="237"/>
        </w:numPr>
        <w:ind w:left="180" w:firstLine="90"/>
        <w:jc w:val="both"/>
      </w:pPr>
      <w:r>
        <w:t>The audit of the issuer’s annual financial statements shall be carried out in accordance with the legislation in force, which transposes Article 34(1), points (1) and (2), of Directive 2013/34/EU.</w:t>
      </w:r>
    </w:p>
    <w:p w14:paraId="424999DE" w14:textId="46D00075" w:rsidR="00584FCB" w:rsidRDefault="00584FCB" w:rsidP="00584FCB">
      <w:pPr>
        <w:pStyle w:val="NormalWeb"/>
        <w:numPr>
          <w:ilvl w:val="0"/>
          <w:numId w:val="237"/>
        </w:numPr>
        <w:ind w:left="180" w:firstLine="90"/>
        <w:jc w:val="both"/>
      </w:pPr>
      <w:r>
        <w:t>The statutory auditor shall prepare an opinion and a statement on the management report in accordance with the legislation in force, which transposes points (a) and (b) of the second subparagraph of Article 34(1) and (2) of Directive 2013/34/EU.</w:t>
      </w:r>
    </w:p>
    <w:p w14:paraId="2B061245" w14:textId="77777777" w:rsidR="00584FCB" w:rsidRDefault="00584FCB" w:rsidP="00584FCB">
      <w:pPr>
        <w:pStyle w:val="NormalWeb"/>
        <w:numPr>
          <w:ilvl w:val="0"/>
          <w:numId w:val="237"/>
        </w:numPr>
        <w:ind w:left="180" w:firstLine="90"/>
        <w:jc w:val="both"/>
      </w:pPr>
      <w:r>
        <w:t xml:space="preserve"> Together with the annual financial report referred to in paragraph 2 of this Article, the issuer shall, in the manner and within the deadline referred to in paragraph 1 of this Article, </w:t>
      </w:r>
      <w:r>
        <w:lastRenderedPageBreak/>
        <w:t>publish the complete audit report signed by the persons responsible for auditing the issuer’s annual financial statements.</w:t>
      </w:r>
    </w:p>
    <w:p w14:paraId="7C099500" w14:textId="77777777" w:rsidR="00584FCB" w:rsidRDefault="00584FCB" w:rsidP="00584FCB">
      <w:pPr>
        <w:pStyle w:val="NormalWeb"/>
        <w:numPr>
          <w:ilvl w:val="0"/>
          <w:numId w:val="237"/>
        </w:numPr>
        <w:ind w:left="180" w:firstLine="90"/>
        <w:jc w:val="both"/>
      </w:pPr>
      <w:r>
        <w:t>Where the issuer is required to report on sustainability, it shall obtain an assurance opinion on the sustainability reporting, prepared in accordance with the applicable legislation, drawn up pursuant to Article 34(1), second subparagraph, point (aa), and paragraphs 2 to 5 of Directive 2013/34/EU.</w:t>
      </w:r>
    </w:p>
    <w:p w14:paraId="464950BC" w14:textId="77777777" w:rsidR="00584FCB" w:rsidRDefault="00584FCB" w:rsidP="00584FCB">
      <w:pPr>
        <w:pStyle w:val="NormalWeb"/>
        <w:numPr>
          <w:ilvl w:val="0"/>
          <w:numId w:val="237"/>
        </w:numPr>
        <w:ind w:left="180" w:firstLine="90"/>
        <w:jc w:val="both"/>
      </w:pPr>
      <w:r>
        <w:t>Together with the annual financial report, the issuer shall publish in full the assurance report on the sustainability reporting referred to in the Albanian legislation transposing Article 28a of Directive 2006/43/EC.</w:t>
      </w:r>
    </w:p>
    <w:p w14:paraId="1D1245D5" w14:textId="77777777" w:rsidR="00584FCB" w:rsidRDefault="00584FCB" w:rsidP="00584FCB">
      <w:pPr>
        <w:pStyle w:val="NormalWeb"/>
        <w:numPr>
          <w:ilvl w:val="0"/>
          <w:numId w:val="237"/>
        </w:numPr>
        <w:ind w:left="180" w:firstLine="90"/>
        <w:jc w:val="both"/>
      </w:pPr>
      <w:r>
        <w:t>Where the issuer is required to prepare consolidated financial statements, the consolidated management report shall be prepared in accordance with the provisions of the legislation in force on accounting and financial statements, which transposes Articles 29, 29a and 29d(2) of Directive 2013/34/EU, and in accordance with the EU regulations/delegated acts adopted under Article 8(4) of Regulation (EU) 2020/852, where drawn up by the companies referred to in those provisions.</w:t>
      </w:r>
    </w:p>
    <w:p w14:paraId="39D6A431" w14:textId="77777777" w:rsidR="00584FCB" w:rsidRDefault="00584FCB" w:rsidP="00584FCB">
      <w:pPr>
        <w:pStyle w:val="NormalWeb"/>
        <w:numPr>
          <w:ilvl w:val="0"/>
          <w:numId w:val="237"/>
        </w:numPr>
        <w:ind w:left="180" w:firstLine="90"/>
        <w:jc w:val="both"/>
      </w:pPr>
      <w:r>
        <w:t>Where the issuer is not required to prepare consolidated financial statements, the management report shall be prepared in accordance with the provisions of the legislation in force on accounting and financial statements, which transposes Articles 19, 19a, 20 and 29d(1) of Directive 2013/34/EU, and with the delegated acts adopted under Article 8(4) of Regulation (EU) 2020/852, where drawn up by the companies referred to in those provisions.</w:t>
      </w:r>
    </w:p>
    <w:p w14:paraId="29C80836" w14:textId="228A972F" w:rsidR="00584FCB" w:rsidRDefault="00584FCB" w:rsidP="00584FCB">
      <w:pPr>
        <w:pStyle w:val="NormalWeb"/>
        <w:numPr>
          <w:ilvl w:val="0"/>
          <w:numId w:val="237"/>
        </w:numPr>
        <w:ind w:left="180" w:firstLine="90"/>
        <w:jc w:val="both"/>
      </w:pPr>
      <w:r>
        <w:t xml:space="preserve">  For financial years beginning after </w:t>
      </w:r>
      <w:r w:rsidRPr="00584FCB">
        <w:rPr>
          <w:rStyle w:val="Strong"/>
          <w:rFonts w:eastAsiaTheme="majorEastAsia"/>
          <w:b w:val="0"/>
          <w:bCs w:val="0"/>
        </w:rPr>
        <w:t>1 January 2028</w:t>
      </w:r>
      <w:r w:rsidRPr="00584FCB">
        <w:rPr>
          <w:b/>
          <w:bCs/>
        </w:rPr>
        <w:t>,</w:t>
      </w:r>
      <w:r>
        <w:t xml:space="preserve"> all annual financial reports shall be prepared in a </w:t>
      </w:r>
      <w:r w:rsidRPr="00584FCB">
        <w:rPr>
          <w:rStyle w:val="Strong"/>
          <w:rFonts w:eastAsiaTheme="majorEastAsia"/>
          <w:b w:val="0"/>
          <w:bCs w:val="0"/>
        </w:rPr>
        <w:t>single electronic reporting format</w:t>
      </w:r>
      <w:r w:rsidRPr="00584FCB">
        <w:rPr>
          <w:b/>
          <w:bCs/>
        </w:rPr>
        <w:t>.</w:t>
      </w:r>
    </w:p>
    <w:p w14:paraId="73B50667" w14:textId="39BDA1FD" w:rsidR="00F25472" w:rsidRPr="00584FCB" w:rsidRDefault="00584FCB" w:rsidP="00584FCB">
      <w:pPr>
        <w:pStyle w:val="NormalWeb"/>
        <w:numPr>
          <w:ilvl w:val="0"/>
          <w:numId w:val="237"/>
        </w:numPr>
        <w:ind w:left="180" w:firstLine="90"/>
        <w:jc w:val="both"/>
      </w:pPr>
      <w:r>
        <w:t>The electronic reporting format referred to in paragraph 12 of this Article shall comply with the regulatory technical standards adopted by the Authority on specifying a single electronic reporting format, fully transposing Delegated Regulation (EU) 2018/815.</w:t>
      </w:r>
    </w:p>
    <w:p w14:paraId="73442CAD" w14:textId="28AACD57" w:rsidR="00EA362F" w:rsidRPr="00165416" w:rsidRDefault="00584FCB" w:rsidP="00EA362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sidRPr="00165416">
        <w:rPr>
          <w:rFonts w:ascii="Times New Roman" w:eastAsia="Times New Roman" w:hAnsi="Times New Roman" w:cs="Times New Roman"/>
          <w:b/>
          <w:bCs/>
          <w:kern w:val="0"/>
          <w:szCs w:val="20"/>
          <w:lang w:val="sq-AL"/>
          <w14:ligatures w14:val="none"/>
        </w:rPr>
        <w:t>Article 5</w:t>
      </w:r>
    </w:p>
    <w:p w14:paraId="2C605F32" w14:textId="70EB8961" w:rsidR="00165416" w:rsidRDefault="00165416" w:rsidP="00165416">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sidRPr="00165416">
        <w:rPr>
          <w:rFonts w:ascii="Times New Roman" w:hAnsi="Times New Roman" w:cs="Times New Roman"/>
          <w:b/>
          <w:bCs/>
        </w:rPr>
        <w:t>Half-Yearly Financial Reports</w:t>
      </w:r>
    </w:p>
    <w:p w14:paraId="15A1B956" w14:textId="6B998E38" w:rsidR="00165416" w:rsidRDefault="00165416" w:rsidP="00165416">
      <w:pPr>
        <w:pStyle w:val="NormalWeb"/>
        <w:numPr>
          <w:ilvl w:val="0"/>
          <w:numId w:val="238"/>
        </w:numPr>
        <w:ind w:left="90"/>
        <w:jc w:val="both"/>
      </w:pPr>
      <w:r>
        <w:t xml:space="preserve">The issuer of shares or debt securities shall publish a half-yearly financial report covering the first six months of the financial year as soon as possible after the end of the relevant period, but </w:t>
      </w:r>
      <w:r w:rsidRPr="00165416">
        <w:rPr>
          <w:rStyle w:val="Strong"/>
          <w:rFonts w:eastAsiaTheme="majorEastAsia"/>
          <w:b w:val="0"/>
          <w:bCs w:val="0"/>
        </w:rPr>
        <w:t>no later than three (3) months</w:t>
      </w:r>
      <w:r>
        <w:t xml:space="preserve"> after the end of that period.</w:t>
      </w:r>
      <w:r>
        <w:br/>
        <w:t>The issuer shall ensure that the half-yearly financial report remains publicly available for at least ten (10) years.</w:t>
      </w:r>
    </w:p>
    <w:p w14:paraId="54841220" w14:textId="77777777" w:rsidR="00165416" w:rsidRDefault="00165416" w:rsidP="00165416">
      <w:pPr>
        <w:pStyle w:val="NormalWeb"/>
        <w:numPr>
          <w:ilvl w:val="0"/>
          <w:numId w:val="238"/>
        </w:numPr>
        <w:ind w:left="90"/>
      </w:pPr>
      <w:r>
        <w:t>The half-yearly financial report shall include:</w:t>
      </w:r>
      <w:r>
        <w:br/>
        <w:t>(a) a set of condensed financial statements;</w:t>
      </w:r>
      <w:r>
        <w:br/>
        <w:t>(b) an interim management report; and</w:t>
      </w:r>
      <w:r>
        <w:br/>
        <w:t>(c) statements made by the persons responsible within the issuer, clearly indicating their names and functions, stating that, to the best of their knowledge, the set of condensed financial statements prepared in accordance with the relevant accounting standards gives a true and fair view of the assets, liabilities, financial position and profit or loss of the issuer, or of the undertakings included in the consolidated summary taken as a whole, as required under paragraph 3 of this Article, and that the interim management report includes a fair review of the information required under paragraph (6) of this Article.</w:t>
      </w:r>
    </w:p>
    <w:p w14:paraId="07A2C21B" w14:textId="77777777" w:rsidR="00165416" w:rsidRDefault="00165416" w:rsidP="00165416">
      <w:pPr>
        <w:pStyle w:val="NormalWeb"/>
        <w:numPr>
          <w:ilvl w:val="0"/>
          <w:numId w:val="238"/>
        </w:numPr>
        <w:ind w:left="90"/>
      </w:pPr>
      <w:r>
        <w:t xml:space="preserve">Where the issuer is required to prepare consolidated accounts, the set of condensed financial statements shall be prepared in accordance with the international accounting standard </w:t>
      </w:r>
      <w:r>
        <w:lastRenderedPageBreak/>
        <w:t>applicable to interim financial reporting, as approved by the competent national authority of the Republic of Albania, taking into account the endorsement procedure for standards pursuant to Regulation (EC) No 1606/2002 of the European Union.</w:t>
      </w:r>
    </w:p>
    <w:p w14:paraId="6B7E8AD4" w14:textId="77777777" w:rsidR="00165416" w:rsidRDefault="00165416" w:rsidP="00165416">
      <w:pPr>
        <w:pStyle w:val="NormalWeb"/>
        <w:numPr>
          <w:ilvl w:val="0"/>
          <w:numId w:val="238"/>
        </w:numPr>
        <w:ind w:left="90"/>
      </w:pPr>
      <w:r>
        <w:t>Where the issuer is not required to prepare consolidated accounts, the condensed financial statements shall include at least a condensed balance sheet, a condensed profit and loss account, and explanatory notes to those statements.</w:t>
      </w:r>
      <w:r>
        <w:br/>
        <w:t>For the preparation of the balance sheet and the profit and loss account, the issuer shall apply the same principles as in the preparation of the annual financial reports.</w:t>
      </w:r>
    </w:p>
    <w:p w14:paraId="510AB09F" w14:textId="77777777" w:rsidR="00165416" w:rsidRDefault="00165416" w:rsidP="00165416">
      <w:pPr>
        <w:pStyle w:val="NormalWeb"/>
        <w:numPr>
          <w:ilvl w:val="0"/>
          <w:numId w:val="238"/>
        </w:numPr>
        <w:ind w:left="90"/>
      </w:pPr>
      <w:r>
        <w:t>The interim management report shall include at least a description of important events that have occurred during the first six months of the financial year and their impact on the condensed financial statements, together with a description of the principal risks and uncertainties for the remaining six months of the financial year.</w:t>
      </w:r>
      <w:r>
        <w:br/>
        <w:t>For issuers of shares, the interim management report shall also include major related-party transactions.</w:t>
      </w:r>
    </w:p>
    <w:p w14:paraId="6A85670E" w14:textId="476D8EC3" w:rsidR="00165416" w:rsidRDefault="00165416" w:rsidP="00165416">
      <w:pPr>
        <w:pStyle w:val="NormalWeb"/>
        <w:numPr>
          <w:ilvl w:val="0"/>
          <w:numId w:val="238"/>
        </w:numPr>
        <w:ind w:left="90"/>
      </w:pPr>
      <w:r>
        <w:t>Where the half-yearly financial report has been audited, the audit report shall be presented in full. The same applies where it has been reviewed by auditors.</w:t>
      </w:r>
      <w:r>
        <w:br/>
        <w:t>If the half-yearly financial report has not been audited or reviewed by auditors, the issuer shall make a statement to that effect in its report.</w:t>
      </w:r>
    </w:p>
    <w:p w14:paraId="2D9ACC30" w14:textId="77777777" w:rsidR="00127132" w:rsidRPr="005125ED" w:rsidRDefault="00127132" w:rsidP="00165416">
      <w:pPr>
        <w:spacing w:before="100" w:beforeAutospacing="1" w:after="100" w:afterAutospacing="1" w:line="240" w:lineRule="auto"/>
        <w:rPr>
          <w:rFonts w:ascii="Times New Roman" w:eastAsia="Times New Roman" w:hAnsi="Times New Roman" w:cs="Times New Roman"/>
          <w:b/>
          <w:bCs/>
          <w:kern w:val="0"/>
          <w:lang w:val="sq-AL"/>
          <w14:ligatures w14:val="none"/>
        </w:rPr>
      </w:pPr>
    </w:p>
    <w:p w14:paraId="4560E787" w14:textId="3A455C99" w:rsidR="00435E31" w:rsidRPr="00165416" w:rsidRDefault="00165416" w:rsidP="00165416">
      <w:pPr>
        <w:spacing w:after="0" w:line="240" w:lineRule="auto"/>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w:t>
      </w:r>
      <w:r>
        <w:rPr>
          <w:rFonts w:ascii="Times New Roman" w:eastAsia="Times New Roman" w:hAnsi="Times New Roman" w:cs="Times New Roman"/>
          <w:b/>
          <w:bCs/>
          <w:kern w:val="0"/>
          <w:lang w:val="sq-AL"/>
          <w14:ligatures w14:val="none"/>
        </w:rPr>
        <w:tab/>
      </w:r>
      <w:r>
        <w:rPr>
          <w:rFonts w:ascii="Times New Roman" w:eastAsia="Times New Roman" w:hAnsi="Times New Roman" w:cs="Times New Roman"/>
          <w:b/>
          <w:bCs/>
          <w:kern w:val="0"/>
          <w:lang w:val="sq-AL"/>
          <w14:ligatures w14:val="none"/>
        </w:rPr>
        <w:tab/>
      </w:r>
      <w:r>
        <w:rPr>
          <w:rFonts w:ascii="Times New Roman" w:eastAsia="Times New Roman" w:hAnsi="Times New Roman" w:cs="Times New Roman"/>
          <w:b/>
          <w:bCs/>
          <w:kern w:val="0"/>
          <w:lang w:val="sq-AL"/>
          <w14:ligatures w14:val="none"/>
        </w:rPr>
        <w:tab/>
      </w:r>
      <w:r>
        <w:rPr>
          <w:rFonts w:ascii="Times New Roman" w:eastAsia="Times New Roman" w:hAnsi="Times New Roman" w:cs="Times New Roman"/>
          <w:b/>
          <w:bCs/>
          <w:kern w:val="0"/>
          <w:lang w:val="sq-AL"/>
          <w14:ligatures w14:val="none"/>
        </w:rPr>
        <w:tab/>
        <w:t xml:space="preserve">                 </w:t>
      </w:r>
      <w:r w:rsidRPr="00165416">
        <w:rPr>
          <w:rFonts w:ascii="Times New Roman" w:eastAsia="Times New Roman" w:hAnsi="Times New Roman" w:cs="Times New Roman"/>
          <w:b/>
          <w:bCs/>
          <w:kern w:val="0"/>
          <w:lang w:val="sq-AL"/>
          <w14:ligatures w14:val="none"/>
        </w:rPr>
        <w:t>Article</w:t>
      </w:r>
      <w:r w:rsidR="00435E31" w:rsidRPr="00165416">
        <w:rPr>
          <w:rFonts w:ascii="Times New Roman" w:eastAsia="Times New Roman" w:hAnsi="Times New Roman" w:cs="Times New Roman"/>
          <w:b/>
          <w:bCs/>
          <w:kern w:val="0"/>
          <w:lang w:val="sq-AL"/>
          <w14:ligatures w14:val="none"/>
        </w:rPr>
        <w:t xml:space="preserve"> 6</w:t>
      </w:r>
    </w:p>
    <w:p w14:paraId="330C6A15" w14:textId="3A542104" w:rsidR="00165416" w:rsidRDefault="00165416" w:rsidP="00165416">
      <w:pPr>
        <w:spacing w:after="0" w:line="240" w:lineRule="auto"/>
        <w:rPr>
          <w:rFonts w:ascii="Times New Roman" w:hAnsi="Times New Roman" w:cs="Times New Roman"/>
          <w:b/>
          <w:bCs/>
        </w:rPr>
      </w:pPr>
      <w:r w:rsidRPr="00165416">
        <w:rPr>
          <w:rFonts w:ascii="Times New Roman" w:hAnsi="Times New Roman" w:cs="Times New Roman"/>
          <w:b/>
          <w:bCs/>
        </w:rPr>
        <w:t>Minimum Content of Non-Consolidated Half-Yearly Financial Statements</w:t>
      </w:r>
    </w:p>
    <w:p w14:paraId="3BBDEC3E" w14:textId="77777777" w:rsidR="00165416" w:rsidRDefault="00165416" w:rsidP="00C51215">
      <w:pPr>
        <w:spacing w:after="0" w:line="240" w:lineRule="auto"/>
        <w:jc w:val="both"/>
        <w:rPr>
          <w:rFonts w:ascii="Times New Roman" w:hAnsi="Times New Roman" w:cs="Times New Roman"/>
          <w:b/>
          <w:bCs/>
        </w:rPr>
      </w:pPr>
    </w:p>
    <w:p w14:paraId="6B0C702B" w14:textId="77777777" w:rsidR="00D92AC4" w:rsidRDefault="00165416" w:rsidP="00D92AC4">
      <w:pPr>
        <w:pStyle w:val="NormalWeb"/>
        <w:numPr>
          <w:ilvl w:val="0"/>
          <w:numId w:val="239"/>
        </w:numPr>
        <w:tabs>
          <w:tab w:val="clear" w:pos="720"/>
        </w:tabs>
        <w:ind w:left="270"/>
        <w:jc w:val="both"/>
      </w:pPr>
      <w:r>
        <w:t>The minimum content of the set of condensed half-yearly financial statements, in cases where these statements are not prepared in accordance with the International Financial Reporting Standards (IFRS) approved by the competent national authority of the Republic of Albania, taking into account the endorsement procedure for standards under Regulation (EC) No 1606/2002 of the European Union, shall comply with paragraphs 2 and 3 of this Article.</w:t>
      </w:r>
    </w:p>
    <w:p w14:paraId="7AD69774" w14:textId="001CC70A" w:rsidR="00165416" w:rsidRDefault="00165416" w:rsidP="00D92AC4">
      <w:pPr>
        <w:pStyle w:val="NormalWeb"/>
        <w:numPr>
          <w:ilvl w:val="0"/>
          <w:numId w:val="239"/>
        </w:numPr>
        <w:tabs>
          <w:tab w:val="clear" w:pos="720"/>
        </w:tabs>
        <w:ind w:left="270"/>
        <w:jc w:val="both"/>
      </w:pPr>
      <w:r>
        <w:t>The condensed balance sheet and the condensed income statement shall include all headings and sub-totals included in the issuer’s most recent annual financial statements.</w:t>
      </w:r>
      <w:r>
        <w:br/>
        <w:t>Additional items shall be included where their omission would lead to a misleading or incomplete presentation of the issuer’s assets, liabilities, financial position, and profit or loss.</w:t>
      </w:r>
    </w:p>
    <w:p w14:paraId="6783D0E0" w14:textId="77777777" w:rsidR="00D92AC4" w:rsidRDefault="00165416" w:rsidP="00D92AC4">
      <w:pPr>
        <w:pStyle w:val="NormalWeb"/>
        <w:jc w:val="both"/>
      </w:pPr>
      <w:r>
        <w:t>The half-yearly financial statements shall also include comparative information as follows:</w:t>
      </w:r>
      <w:r>
        <w:br/>
        <w:t>(a) the balance sheet as at the end of the first six-month period of the current financial year, together with the comparative balance sheet as at the end of the preceding financial year;</w:t>
      </w:r>
      <w:r>
        <w:br/>
        <w:t>(b) the income statement for the first six months of the current financial year, together with the comparative income statement for the corresponding period of the previous financial year.</w:t>
      </w:r>
    </w:p>
    <w:p w14:paraId="255DDD6C" w14:textId="48EE85D5" w:rsidR="00435E31" w:rsidRDefault="00165416" w:rsidP="00D92AC4">
      <w:pPr>
        <w:pStyle w:val="NormalWeb"/>
        <w:numPr>
          <w:ilvl w:val="0"/>
          <w:numId w:val="239"/>
        </w:numPr>
        <w:tabs>
          <w:tab w:val="clear" w:pos="720"/>
        </w:tabs>
        <w:ind w:left="270"/>
        <w:jc w:val="both"/>
      </w:pPr>
      <w:r>
        <w:t>The explanatory notes to the half-yearly financial statements shall include:</w:t>
      </w:r>
      <w:r>
        <w:br/>
        <w:t>(a) sufficient information to ensure comparability between the condensed half-yearly financial statements and the annual financial statements;</w:t>
      </w:r>
      <w:r>
        <w:br/>
      </w:r>
      <w:r>
        <w:lastRenderedPageBreak/>
        <w:t>(b) sufficient information and explanations to enable the user to fully understand significant changes in values and any developments that have occurred during the six-month period in question, which are reflected in the balance sheet and in the profit and loss account.</w:t>
      </w:r>
    </w:p>
    <w:p w14:paraId="28A5B261" w14:textId="77777777" w:rsidR="00ED2993" w:rsidRPr="00ED2993" w:rsidRDefault="00ED2993" w:rsidP="00ED2993">
      <w:pPr>
        <w:pStyle w:val="NormalWeb"/>
        <w:ind w:left="540"/>
        <w:jc w:val="both"/>
      </w:pPr>
    </w:p>
    <w:p w14:paraId="681945D8" w14:textId="600600D7" w:rsidR="00E157C5" w:rsidRPr="000979BB" w:rsidRDefault="000979BB" w:rsidP="00B305EC">
      <w:pPr>
        <w:spacing w:after="0" w:line="240" w:lineRule="exact"/>
        <w:ind w:left="4320"/>
        <w:rPr>
          <w:rFonts w:ascii="Times New Roman" w:eastAsia="Times New Roman" w:hAnsi="Times New Roman" w:cs="Times New Roman"/>
          <w:b/>
          <w:bCs/>
          <w:kern w:val="0"/>
          <w:lang w:val="sq-AL"/>
          <w14:ligatures w14:val="none"/>
        </w:rPr>
      </w:pPr>
      <w:r w:rsidRPr="000979BB">
        <w:rPr>
          <w:rFonts w:ascii="Times New Roman" w:eastAsia="Times New Roman" w:hAnsi="Times New Roman" w:cs="Times New Roman"/>
          <w:b/>
          <w:bCs/>
          <w:kern w:val="0"/>
          <w:lang w:val="sq-AL"/>
          <w14:ligatures w14:val="none"/>
        </w:rPr>
        <w:t xml:space="preserve">Article </w:t>
      </w:r>
      <w:r w:rsidR="00435E31" w:rsidRPr="000979BB">
        <w:rPr>
          <w:rFonts w:ascii="Times New Roman" w:eastAsia="Times New Roman" w:hAnsi="Times New Roman" w:cs="Times New Roman"/>
          <w:b/>
          <w:bCs/>
          <w:kern w:val="0"/>
          <w:lang w:val="sq-AL"/>
          <w14:ligatures w14:val="none"/>
        </w:rPr>
        <w:t>7</w:t>
      </w:r>
    </w:p>
    <w:p w14:paraId="2C994B2F" w14:textId="4A7DCDE8" w:rsidR="00E157C5" w:rsidRPr="000979BB" w:rsidRDefault="0060560D" w:rsidP="00B305EC">
      <w:pPr>
        <w:spacing w:after="0" w:line="240" w:lineRule="exact"/>
        <w:ind w:left="1440" w:firstLine="720"/>
        <w:rPr>
          <w:rFonts w:ascii="Times New Roman" w:eastAsia="Times New Roman" w:hAnsi="Times New Roman" w:cs="Times New Roman"/>
          <w:b/>
          <w:bCs/>
          <w:kern w:val="0"/>
          <w:lang w:val="sq-AL"/>
          <w14:ligatures w14:val="none"/>
        </w:rPr>
      </w:pPr>
      <w:r w:rsidRPr="000979BB">
        <w:rPr>
          <w:rFonts w:ascii="Times New Roman" w:eastAsia="Times New Roman" w:hAnsi="Times New Roman" w:cs="Times New Roman"/>
          <w:b/>
          <w:bCs/>
          <w:kern w:val="0"/>
          <w:lang w:val="sq-AL"/>
          <w14:ligatures w14:val="none"/>
        </w:rPr>
        <w:t xml:space="preserve">  </w:t>
      </w:r>
      <w:r w:rsidR="000979BB" w:rsidRPr="000979BB">
        <w:rPr>
          <w:rFonts w:ascii="Times New Roman" w:eastAsia="Times New Roman" w:hAnsi="Times New Roman" w:cs="Times New Roman"/>
          <w:b/>
          <w:bCs/>
          <w:kern w:val="0"/>
          <w:lang w:val="sq-AL"/>
          <w14:ligatures w14:val="none"/>
        </w:rPr>
        <w:tab/>
      </w:r>
      <w:r w:rsidRPr="000979BB">
        <w:rPr>
          <w:rFonts w:ascii="Times New Roman" w:eastAsia="Times New Roman" w:hAnsi="Times New Roman" w:cs="Times New Roman"/>
          <w:b/>
          <w:bCs/>
          <w:kern w:val="0"/>
          <w:lang w:val="sq-AL"/>
          <w14:ligatures w14:val="none"/>
        </w:rPr>
        <w:t xml:space="preserve"> </w:t>
      </w:r>
      <w:r w:rsidR="000979BB" w:rsidRPr="000979BB">
        <w:rPr>
          <w:rFonts w:ascii="Times New Roman" w:hAnsi="Times New Roman" w:cs="Times New Roman"/>
          <w:b/>
          <w:bCs/>
        </w:rPr>
        <w:t>Major Related-Party Transactions</w:t>
      </w:r>
    </w:p>
    <w:p w14:paraId="5FF82D5F" w14:textId="3140B4EF" w:rsidR="00E975DB" w:rsidRDefault="00E975DB" w:rsidP="00927038">
      <w:pPr>
        <w:pStyle w:val="NormalWeb"/>
        <w:numPr>
          <w:ilvl w:val="0"/>
          <w:numId w:val="243"/>
        </w:numPr>
        <w:ind w:left="180" w:hanging="270"/>
        <w:jc w:val="both"/>
      </w:pPr>
      <w:r>
        <w:t>In their interim management reports, issuers of shares shall disclose, as major related-party transactions, at least the following:</w:t>
      </w:r>
    </w:p>
    <w:p w14:paraId="4EF17A38" w14:textId="77777777" w:rsidR="00E975DB" w:rsidRDefault="00E975DB" w:rsidP="00927038">
      <w:pPr>
        <w:pStyle w:val="NormalWeb"/>
        <w:jc w:val="both"/>
      </w:pPr>
      <w:r>
        <w:t>(a) related-party transactions that have occurred during the first six months of the current financial year and that have materially affected the financial position or performance of the company during that period;</w:t>
      </w:r>
    </w:p>
    <w:p w14:paraId="05E2B869" w14:textId="77777777" w:rsidR="00E975DB" w:rsidRDefault="00E975DB" w:rsidP="00927038">
      <w:pPr>
        <w:pStyle w:val="NormalWeb"/>
        <w:jc w:val="both"/>
      </w:pPr>
      <w:r>
        <w:t>(b) any change in the related-party transactions described in the last annual report which could have a material effect on the financial position or performance of the company during the first six months of the current financial year.</w:t>
      </w:r>
    </w:p>
    <w:p w14:paraId="6014DEFB" w14:textId="6B904C55" w:rsidR="00E975DB" w:rsidRDefault="00E975DB" w:rsidP="00927038">
      <w:pPr>
        <w:pStyle w:val="NormalWeb"/>
        <w:jc w:val="both"/>
      </w:pPr>
      <w:r>
        <w:t>2. Where the issuer of shares is not required to prepare consolidated financial statements, it shall disclose, at a minimum, related-party transactions in accordance with the requirements of the national accounting legislation harmonised with Article 43(1)(7b) of Directive 78/660/EEC.</w:t>
      </w:r>
    </w:p>
    <w:p w14:paraId="0444C939" w14:textId="77777777" w:rsidR="00E975DB" w:rsidRPr="005125ED" w:rsidRDefault="00E975DB" w:rsidP="00012B4C">
      <w:pPr>
        <w:pStyle w:val="NormalWeb"/>
        <w:jc w:val="both"/>
        <w:rPr>
          <w:lang w:val="sq-AL"/>
        </w:rPr>
      </w:pPr>
    </w:p>
    <w:p w14:paraId="65AB49B4" w14:textId="77777777" w:rsidR="00012B4C" w:rsidRPr="00012B4C" w:rsidRDefault="00012B4C" w:rsidP="00012B4C">
      <w:pPr>
        <w:spacing w:after="0" w:line="200" w:lineRule="exact"/>
        <w:ind w:left="3600" w:firstLine="720"/>
        <w:rPr>
          <w:rFonts w:ascii="Times New Roman" w:eastAsia="Times New Roman" w:hAnsi="Times New Roman" w:cs="Times New Roman"/>
          <w:b/>
          <w:bCs/>
          <w:kern w:val="0"/>
          <w14:ligatures w14:val="none"/>
        </w:rPr>
      </w:pPr>
      <w:r w:rsidRPr="00012B4C">
        <w:rPr>
          <w:rFonts w:ascii="Times New Roman" w:eastAsia="Times New Roman" w:hAnsi="Times New Roman" w:cs="Times New Roman"/>
          <w:b/>
          <w:bCs/>
          <w:kern w:val="0"/>
          <w14:ligatures w14:val="none"/>
        </w:rPr>
        <w:t>Article</w:t>
      </w:r>
      <w:r w:rsidR="009C5F0B" w:rsidRPr="00012B4C">
        <w:rPr>
          <w:rFonts w:ascii="Times New Roman" w:eastAsia="Times New Roman" w:hAnsi="Times New Roman" w:cs="Times New Roman"/>
          <w:b/>
          <w:bCs/>
          <w:kern w:val="0"/>
          <w14:ligatures w14:val="none"/>
        </w:rPr>
        <w:t xml:space="preserve"> </w:t>
      </w:r>
      <w:r w:rsidR="00655C91" w:rsidRPr="00012B4C">
        <w:rPr>
          <w:rFonts w:ascii="Times New Roman" w:eastAsia="Times New Roman" w:hAnsi="Times New Roman" w:cs="Times New Roman"/>
          <w:b/>
          <w:bCs/>
          <w:kern w:val="0"/>
          <w14:ligatures w14:val="none"/>
        </w:rPr>
        <w:t>8</w:t>
      </w:r>
    </w:p>
    <w:p w14:paraId="29E7AE62" w14:textId="1049D357" w:rsidR="00012B4C" w:rsidRPr="00012B4C" w:rsidRDefault="00012B4C" w:rsidP="00012B4C">
      <w:pPr>
        <w:spacing w:after="0" w:line="200" w:lineRule="exact"/>
        <w:rPr>
          <w:rFonts w:ascii="Times New Roman" w:eastAsia="Times New Roman" w:hAnsi="Times New Roman" w:cs="Times New Roman"/>
          <w:b/>
          <w:bCs/>
          <w:kern w:val="0"/>
          <w14:ligatures w14:val="none"/>
        </w:rPr>
      </w:pPr>
      <w:r w:rsidRPr="00012B4C">
        <w:rPr>
          <w:rFonts w:ascii="Times New Roman" w:eastAsia="Times New Roman" w:hAnsi="Times New Roman" w:cs="Times New Roman"/>
          <w:b/>
          <w:bCs/>
          <w:kern w:val="0"/>
          <w14:ligatures w14:val="none"/>
        </w:rPr>
        <w:t xml:space="preserve">                                               </w:t>
      </w:r>
      <w:r w:rsidRPr="00012B4C">
        <w:rPr>
          <w:rFonts w:ascii="Times New Roman" w:hAnsi="Times New Roman" w:cs="Times New Roman"/>
          <w:b/>
          <w:bCs/>
        </w:rPr>
        <w:t>Report on Payments to Governments</w:t>
      </w:r>
    </w:p>
    <w:p w14:paraId="1B926F33" w14:textId="5BC0BA49" w:rsidR="007E05D8" w:rsidRDefault="007E05D8" w:rsidP="007E05D8">
      <w:pPr>
        <w:pStyle w:val="NormalWeb"/>
        <w:numPr>
          <w:ilvl w:val="0"/>
          <w:numId w:val="244"/>
        </w:numPr>
        <w:ind w:left="180" w:hanging="180"/>
        <w:jc w:val="both"/>
      </w:pPr>
      <w:r>
        <w:t xml:space="preserve"> </w:t>
      </w:r>
      <w:r w:rsidR="00012B4C">
        <w:t>Issuers active in the extractive industries or in the primary logging of forests, as defined in the national legislation on accounting and financial statements harmonised with the definition in Article 41(1) and (2) of Directive 2013/34/EU of the European Parliament and of the Council on the annual financial statements, consolidated financial statements and related reports of certain types of undertakings, amending Directive 2006/43/EC of the European Parliament and of the Council and repealing Council Directives 78/660/EEC and 83/349/EEC, shall prepare each year a report on payments made to governments.</w:t>
      </w:r>
    </w:p>
    <w:p w14:paraId="58762B4C" w14:textId="77777777" w:rsidR="007E05D8" w:rsidRDefault="00012B4C" w:rsidP="007E05D8">
      <w:pPr>
        <w:pStyle w:val="NormalWeb"/>
        <w:numPr>
          <w:ilvl w:val="0"/>
          <w:numId w:val="244"/>
        </w:numPr>
        <w:ind w:left="180" w:hanging="180"/>
        <w:jc w:val="both"/>
      </w:pPr>
      <w:r>
        <w:t xml:space="preserve">The report referred to in paragraph 1 of this Article shall be prepared in accordance with the requirements of the legislation in force on accounting and financial statements, which transposes </w:t>
      </w:r>
      <w:r w:rsidRPr="007E05D8">
        <w:rPr>
          <w:rStyle w:val="Strong"/>
          <w:rFonts w:eastAsiaTheme="majorEastAsia"/>
          <w:b w:val="0"/>
          <w:bCs w:val="0"/>
        </w:rPr>
        <w:t>Chapter 10 of Directive 2013/34/EU</w:t>
      </w:r>
      <w:r>
        <w:t xml:space="preserve"> of the European Parliament and of the Council.</w:t>
      </w:r>
    </w:p>
    <w:p w14:paraId="5F648194" w14:textId="58373196" w:rsidR="00012B4C" w:rsidRDefault="00012B4C" w:rsidP="007E05D8">
      <w:pPr>
        <w:pStyle w:val="NormalWeb"/>
        <w:numPr>
          <w:ilvl w:val="0"/>
          <w:numId w:val="244"/>
        </w:numPr>
        <w:ind w:left="180" w:hanging="180"/>
        <w:jc w:val="both"/>
      </w:pPr>
      <w:r>
        <w:t>The report shall be made public no later than six months after the end of each financial year and shall remain publicly available for at least ten years.</w:t>
      </w:r>
      <w:r>
        <w:br/>
        <w:t xml:space="preserve">Payments to governments shall be reported at </w:t>
      </w:r>
      <w:r w:rsidRPr="007E05D8">
        <w:rPr>
          <w:rStyle w:val="Strong"/>
          <w:rFonts w:eastAsiaTheme="majorEastAsia"/>
          <w:b w:val="0"/>
          <w:bCs w:val="0"/>
        </w:rPr>
        <w:t>consolidated level</w:t>
      </w:r>
      <w:r w:rsidRPr="00012B4C">
        <w:t>.</w:t>
      </w:r>
    </w:p>
    <w:p w14:paraId="53307D12" w14:textId="77777777" w:rsidR="007E05D8" w:rsidRDefault="007E05D8" w:rsidP="00134F51">
      <w:pPr>
        <w:spacing w:before="100" w:beforeAutospacing="1" w:after="0" w:line="240" w:lineRule="auto"/>
        <w:ind w:left="3600" w:firstLine="720"/>
        <w:rPr>
          <w:rFonts w:ascii="Times New Roman" w:eastAsia="Times New Roman" w:hAnsi="Times New Roman" w:cs="Times New Roman"/>
          <w:b/>
          <w:bCs/>
          <w:kern w:val="0"/>
          <w14:ligatures w14:val="none"/>
        </w:rPr>
      </w:pPr>
    </w:p>
    <w:p w14:paraId="0581BBDC" w14:textId="4867DA5A" w:rsidR="009C5F0B" w:rsidRPr="005125ED" w:rsidRDefault="009C5F0B" w:rsidP="00134F51">
      <w:pPr>
        <w:spacing w:before="100" w:beforeAutospacing="1" w:after="0" w:line="240" w:lineRule="auto"/>
        <w:ind w:left="3600" w:firstLine="720"/>
        <w:rPr>
          <w:rFonts w:ascii="Times New Roman" w:eastAsia="Times New Roman" w:hAnsi="Times New Roman" w:cs="Times New Roman"/>
          <w:b/>
          <w:bCs/>
          <w:kern w:val="0"/>
          <w:lang w:val="sq-AL"/>
          <w14:ligatures w14:val="none"/>
        </w:rPr>
      </w:pPr>
      <w:r w:rsidRPr="005125ED">
        <w:rPr>
          <w:rFonts w:ascii="Times New Roman" w:eastAsia="Times New Roman" w:hAnsi="Times New Roman" w:cs="Times New Roman"/>
          <w:b/>
          <w:bCs/>
          <w:kern w:val="0"/>
          <w:lang w:val="sq-AL"/>
          <w14:ligatures w14:val="none"/>
        </w:rPr>
        <w:lastRenderedPageBreak/>
        <w:t xml:space="preserve">Neni </w:t>
      </w:r>
      <w:r w:rsidR="00655C91" w:rsidRPr="005125ED">
        <w:rPr>
          <w:rFonts w:ascii="Times New Roman" w:eastAsia="Times New Roman" w:hAnsi="Times New Roman" w:cs="Times New Roman"/>
          <w:b/>
          <w:bCs/>
          <w:kern w:val="0"/>
          <w:lang w:val="sq-AL"/>
          <w14:ligatures w14:val="none"/>
        </w:rPr>
        <w:t>9</w:t>
      </w:r>
    </w:p>
    <w:p w14:paraId="6B40A97C" w14:textId="063AF53B" w:rsidR="003E0734" w:rsidRPr="005125ED" w:rsidRDefault="00012B4C" w:rsidP="007E05D8">
      <w:pPr>
        <w:keepNext/>
        <w:keepLines/>
        <w:spacing w:before="480" w:after="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Responsibility and Liability </w:t>
      </w:r>
    </w:p>
    <w:p w14:paraId="448E45BE" w14:textId="048D291B" w:rsidR="00012B4C" w:rsidRDefault="00012B4C" w:rsidP="00012B4C">
      <w:pPr>
        <w:pStyle w:val="NormalWeb"/>
        <w:numPr>
          <w:ilvl w:val="0"/>
          <w:numId w:val="246"/>
        </w:numPr>
        <w:jc w:val="both"/>
      </w:pPr>
      <w:r w:rsidRPr="00012B4C">
        <w:rPr>
          <w:rStyle w:val="Strong"/>
          <w:rFonts w:eastAsiaTheme="majorEastAsia"/>
          <w:b w:val="0"/>
          <w:bCs w:val="0"/>
        </w:rPr>
        <w:t>Responsibility for the information to be drawn up and made public</w:t>
      </w:r>
      <w:r>
        <w:t xml:space="preserve"> in accordance with Articles </w:t>
      </w:r>
      <w:r w:rsidR="00C45A3B">
        <w:t xml:space="preserve">4, </w:t>
      </w:r>
      <w:r>
        <w:t>5, 6, 8 and 24 of this Law shall lie with the issuer or with the administrative, management or supervisory bodies of the issuer.</w:t>
      </w:r>
    </w:p>
    <w:p w14:paraId="3C90FC23" w14:textId="2F4D53A2" w:rsidR="00012B4C" w:rsidRDefault="00012B4C" w:rsidP="00012B4C">
      <w:pPr>
        <w:pStyle w:val="NormalWeb"/>
        <w:numPr>
          <w:ilvl w:val="0"/>
          <w:numId w:val="246"/>
        </w:numPr>
        <w:jc w:val="both"/>
      </w:pPr>
      <w:r>
        <w:t xml:space="preserve">The provisions of the laws, by-laws and administrative acts governing </w:t>
      </w:r>
      <w:r w:rsidRPr="00012B4C">
        <w:rPr>
          <w:rStyle w:val="Strong"/>
          <w:rFonts w:eastAsiaTheme="majorEastAsia"/>
          <w:b w:val="0"/>
          <w:bCs w:val="0"/>
        </w:rPr>
        <w:t>liability</w:t>
      </w:r>
      <w:r>
        <w:t xml:space="preserve"> shall apply to issuers, to the bodies referred to in this Article, or to the persons responsible within the issuer.</w:t>
      </w:r>
    </w:p>
    <w:p w14:paraId="0028539B" w14:textId="70971CF6" w:rsidR="00235B09" w:rsidRPr="00012B4C" w:rsidRDefault="00235B09" w:rsidP="00012B4C">
      <w:pPr>
        <w:pStyle w:val="Gesetzestext"/>
        <w:ind w:left="720"/>
        <w:rPr>
          <w:lang w:val="en-US"/>
        </w:rPr>
      </w:pPr>
    </w:p>
    <w:p w14:paraId="2BACAB59" w14:textId="68D89734" w:rsidR="00C55B28" w:rsidRPr="005125ED" w:rsidRDefault="000C48CE" w:rsidP="000C48CE">
      <w:pPr>
        <w:spacing w:after="0" w:line="240" w:lineRule="auto"/>
        <w:jc w:val="both"/>
        <w:rPr>
          <w:rFonts w:ascii="Times New Roman" w:eastAsia="Times New Roman" w:hAnsi="Times New Roman" w:cs="Times New Roman"/>
          <w:b/>
          <w:bCs/>
          <w:kern w:val="0"/>
          <w:lang w:val="sq-AL"/>
          <w14:ligatures w14:val="none"/>
        </w:rPr>
      </w:pPr>
      <w:r w:rsidRPr="005125ED">
        <w:rPr>
          <w:rFonts w:ascii="Times New Roman" w:eastAsia="Times New Roman" w:hAnsi="Times New Roman" w:cs="Times New Roman"/>
          <w:b/>
          <w:bCs/>
          <w:kern w:val="0"/>
          <w:lang w:val="sq-AL"/>
          <w14:ligatures w14:val="none"/>
        </w:rPr>
        <w:t xml:space="preserve">                                                                   </w:t>
      </w:r>
      <w:r w:rsidR="004D44B3">
        <w:rPr>
          <w:rFonts w:ascii="Times New Roman" w:eastAsia="Times New Roman" w:hAnsi="Times New Roman" w:cs="Times New Roman"/>
          <w:b/>
          <w:bCs/>
          <w:kern w:val="0"/>
          <w:lang w:val="sq-AL"/>
          <w14:ligatures w14:val="none"/>
        </w:rPr>
        <w:t xml:space="preserve">Article </w:t>
      </w:r>
      <w:r w:rsidR="00655C91" w:rsidRPr="005125ED">
        <w:rPr>
          <w:rFonts w:ascii="Times New Roman" w:eastAsia="Times New Roman" w:hAnsi="Times New Roman" w:cs="Times New Roman"/>
          <w:b/>
          <w:bCs/>
          <w:kern w:val="0"/>
          <w:lang w:val="sq-AL"/>
          <w14:ligatures w14:val="none"/>
        </w:rPr>
        <w:t>10</w:t>
      </w:r>
    </w:p>
    <w:p w14:paraId="02E9DC9B" w14:textId="49C3EE24" w:rsidR="00564C83" w:rsidRDefault="004D44B3" w:rsidP="00564C83">
      <w:pPr>
        <w:spacing w:after="0" w:line="240" w:lineRule="auto"/>
        <w:ind w:left="3600"/>
        <w:jc w:val="both"/>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     Exemptions</w:t>
      </w:r>
    </w:p>
    <w:p w14:paraId="100DC731" w14:textId="77777777" w:rsidR="00564C83" w:rsidRDefault="00564C83" w:rsidP="00564C83">
      <w:pPr>
        <w:pStyle w:val="NormalWeb"/>
        <w:numPr>
          <w:ilvl w:val="0"/>
          <w:numId w:val="247"/>
        </w:numPr>
      </w:pPr>
      <w:r>
        <w:t>Articles 4 and 5 of this Law shall not apply to the following issuers:</w:t>
      </w:r>
    </w:p>
    <w:p w14:paraId="7B9F5E37" w14:textId="77777777" w:rsidR="00564C83" w:rsidRDefault="00564C83" w:rsidP="00564C83">
      <w:pPr>
        <w:pStyle w:val="NormalWeb"/>
        <w:jc w:val="both"/>
      </w:pPr>
      <w:r>
        <w:t>a. The Government of the Republic of Albania, the local government units in the Republic of Albania, a Member State of the European Union or any of its regional or local authorities, an international public body of which at least one Member State is a member, the European Central Bank (ECB), the European Financial Stability Facility (EFSF) established by the EFSF Framework Agreement, and any other mechanism established with the objective of preserving the financial stability of the Economic and Monetary Union by providing temporary financial assistance to Member States whose currency is the euro, as well as the Bank of Albania and the national central banks of the Member States, whether or not they issue shares or other securities; and</w:t>
      </w:r>
    </w:p>
    <w:p w14:paraId="6C4D9CEE" w14:textId="77777777" w:rsidR="00564C83" w:rsidRDefault="00564C83" w:rsidP="00564C83">
      <w:pPr>
        <w:pStyle w:val="NormalWeb"/>
        <w:jc w:val="both"/>
      </w:pPr>
      <w:r>
        <w:t>b. an issuer exclusively of debt securities admitted to trading on a regulated market, the denomination per unit of which is at least EUR 100,000 or, in the case of debt securities denominated in a currency other than the euro, the denomination per unit at the date of issue is equivalent to at least EUR 100,000.</w:t>
      </w:r>
    </w:p>
    <w:p w14:paraId="47145AAF" w14:textId="67BAACCC" w:rsidR="00564C83" w:rsidRDefault="00564C83" w:rsidP="00564C83">
      <w:pPr>
        <w:pStyle w:val="NormalWeb"/>
        <w:jc w:val="both"/>
      </w:pPr>
      <w:r>
        <w:t>2. Article 5 of this Law shall not apply to credit institutions whose shares are not admitted to trading on a regulated market and which, on a continuous or repeated basis, have issued only debt securities, provided that the total nominal amount of all their debt securities remains below EUR 100,000</w:t>
      </w:r>
      <w:r w:rsidR="00111AAC">
        <w:t>,000</w:t>
      </w:r>
      <w:r>
        <w:t xml:space="preserve"> and that no prospectus has been published in accordance with the requirements of the national legislation governing capital markets and transposing the European Union legislation on the prospectus to be published when securities are offered to the public or admitted to trading on a regulated market.</w:t>
      </w:r>
    </w:p>
    <w:p w14:paraId="29BDF901" w14:textId="77777777" w:rsidR="00ED3435" w:rsidRDefault="00564C83" w:rsidP="00ED3435">
      <w:pPr>
        <w:pStyle w:val="NormalWeb"/>
        <w:jc w:val="both"/>
      </w:pPr>
      <w:r>
        <w:t>3. Notwithstanding point (b) of paragraph 1 of this Article, Articles 4 and 5 shall not apply only to issuers of debt securities the denomination per unit of which is at least EUR 50,000 or, in the case of debt securities denominated in a currency other than the euro, the denomination per unit at the date of issue is equal to at least EUR 50,000, which were already admitted to trading on a regulated market in the European Union before 31 December 2010, for as long as those debt securities remain outstanding.</w:t>
      </w:r>
    </w:p>
    <w:p w14:paraId="132BE936" w14:textId="71036170" w:rsidR="006B4BEC" w:rsidRPr="00ED3435" w:rsidRDefault="00467513" w:rsidP="00ED3435">
      <w:pPr>
        <w:pStyle w:val="NormalWeb"/>
        <w:ind w:left="3600"/>
        <w:jc w:val="both"/>
      </w:pPr>
      <w:r w:rsidRPr="00467513">
        <w:rPr>
          <w:b/>
          <w:bCs/>
          <w:lang w:val="sq-AL"/>
        </w:rPr>
        <w:lastRenderedPageBreak/>
        <w:t>Article</w:t>
      </w:r>
      <w:r w:rsidR="006B4BEC" w:rsidRPr="00467513">
        <w:rPr>
          <w:b/>
          <w:bCs/>
          <w:lang w:val="sq-AL"/>
        </w:rPr>
        <w:t xml:space="preserve"> 1</w:t>
      </w:r>
      <w:r w:rsidR="00655C91" w:rsidRPr="00467513">
        <w:rPr>
          <w:b/>
          <w:bCs/>
          <w:lang w:val="sq-AL"/>
        </w:rPr>
        <w:t>1</w:t>
      </w:r>
    </w:p>
    <w:p w14:paraId="0E47B9E6" w14:textId="538884F5" w:rsidR="00467513" w:rsidRPr="00467513" w:rsidRDefault="00467513" w:rsidP="00ED3435">
      <w:pPr>
        <w:spacing w:after="0" w:line="240" w:lineRule="exact"/>
        <w:ind w:left="360" w:firstLine="720"/>
        <w:rPr>
          <w:rFonts w:ascii="Times New Roman" w:eastAsia="Times New Roman" w:hAnsi="Times New Roman" w:cs="Times New Roman"/>
          <w:b/>
          <w:bCs/>
          <w:kern w:val="0"/>
          <w:lang w:val="sq-AL"/>
          <w14:ligatures w14:val="none"/>
        </w:rPr>
      </w:pPr>
      <w:r w:rsidRPr="00467513">
        <w:rPr>
          <w:rFonts w:ascii="Times New Roman" w:hAnsi="Times New Roman" w:cs="Times New Roman"/>
          <w:b/>
          <w:bCs/>
        </w:rPr>
        <w:t>Mechanisms of control of the Authority in relation to market makers</w:t>
      </w:r>
    </w:p>
    <w:p w14:paraId="169E65E8" w14:textId="50A101C1" w:rsidR="006B4BEC" w:rsidRPr="00467513" w:rsidRDefault="006B4BEC" w:rsidP="0075051D">
      <w:pPr>
        <w:pStyle w:val="NormalWeb"/>
        <w:spacing w:before="0" w:beforeAutospacing="0" w:after="0" w:afterAutospacing="0" w:line="240" w:lineRule="exact"/>
        <w:ind w:left="360" w:firstLine="720"/>
        <w:rPr>
          <w:lang w:val="sq-AL"/>
        </w:rPr>
      </w:pPr>
      <w:r w:rsidRPr="00467513">
        <w:rPr>
          <w:lang w:val="sq-AL"/>
        </w:rPr>
        <w:br/>
      </w:r>
    </w:p>
    <w:p w14:paraId="104D3F3F" w14:textId="2CC93262" w:rsidR="00467513" w:rsidRDefault="00467513" w:rsidP="00873AA3">
      <w:pPr>
        <w:pStyle w:val="NormalWeb"/>
        <w:numPr>
          <w:ilvl w:val="0"/>
          <w:numId w:val="249"/>
        </w:numPr>
        <w:ind w:left="180" w:firstLine="0"/>
        <w:jc w:val="both"/>
      </w:pPr>
      <w:r>
        <w:t>A market maker wishing to benefit from the exemption provided for in Article 12, paragraph 7 of this Law shall notify the Authority, in its capacity as the competent authority of the Home State of the issuer, within four trading days, that it is conducting or intends to conduct</w:t>
      </w:r>
      <w:r w:rsidR="00873AA3">
        <w:t xml:space="preserve"> </w:t>
      </w:r>
      <w:r>
        <w:t>market-making activities for a specific issuer.</w:t>
      </w:r>
      <w:r>
        <w:br/>
        <w:t>The market maker shall also notify the Authority when it ceases to carry out market-making activities for the relevant issuer.</w:t>
      </w:r>
    </w:p>
    <w:p w14:paraId="1FF1132D" w14:textId="77777777" w:rsidR="00467513" w:rsidRDefault="00467513" w:rsidP="00873AA3">
      <w:pPr>
        <w:pStyle w:val="NormalWeb"/>
        <w:numPr>
          <w:ilvl w:val="0"/>
          <w:numId w:val="249"/>
        </w:numPr>
        <w:ind w:left="180" w:firstLine="0"/>
        <w:jc w:val="both"/>
      </w:pPr>
      <w:r>
        <w:t>Without prejudice to the application of Article 36 of this Law, where the Authority requests the market maker benefiting from the exemption under Article 12, paragraph 7 to identify the shares or other financial instruments held for the purposes of market-making activity, the market maker shall carry out such identification by any verifiable means.</w:t>
      </w:r>
      <w:r>
        <w:br/>
        <w:t>Only where the market maker is unable to identify the relevant shares or financial instruments shall it be required to hold them in a separate account for identification purposes.</w:t>
      </w:r>
    </w:p>
    <w:p w14:paraId="45BD770C" w14:textId="1EC67E2D" w:rsidR="00467513" w:rsidRDefault="00467513" w:rsidP="00873AA3">
      <w:pPr>
        <w:pStyle w:val="NormalWeb"/>
        <w:numPr>
          <w:ilvl w:val="0"/>
          <w:numId w:val="249"/>
        </w:numPr>
        <w:ind w:left="270"/>
        <w:jc w:val="both"/>
      </w:pPr>
      <w:r>
        <w:t>Without prejudice to the application of Article 36, paragraph 2, letter a, of this Law, where national legislation requires the conclusion of a market-making agreement between the market maker and the regulated market and/or the issuer, the market maker shall, upon request of the Authority, make available a copy of the relevant agreement.</w:t>
      </w:r>
    </w:p>
    <w:p w14:paraId="35AB6FB5" w14:textId="77777777" w:rsidR="003F5849" w:rsidRPr="005125ED" w:rsidRDefault="003F5849" w:rsidP="005B47EA">
      <w:pPr>
        <w:widowControl w:val="0"/>
        <w:spacing w:after="240" w:line="240" w:lineRule="auto"/>
        <w:contextualSpacing/>
        <w:jc w:val="both"/>
        <w:rPr>
          <w:rFonts w:ascii="Times New Roman" w:eastAsia="Times New Roman" w:hAnsi="Times New Roman" w:cs="Times New Roman"/>
          <w:b/>
          <w:bCs/>
          <w:kern w:val="0"/>
          <w:szCs w:val="20"/>
          <w:lang w:val="sq-AL"/>
          <w14:ligatures w14:val="none"/>
        </w:rPr>
      </w:pPr>
    </w:p>
    <w:p w14:paraId="6A12D895" w14:textId="77777777" w:rsidR="003F5849" w:rsidRPr="005125ED" w:rsidRDefault="003F5849" w:rsidP="006D7941">
      <w:pPr>
        <w:widowControl w:val="0"/>
        <w:spacing w:after="240" w:line="240" w:lineRule="auto"/>
        <w:ind w:left="3960" w:firstLine="360"/>
        <w:contextualSpacing/>
        <w:jc w:val="both"/>
        <w:rPr>
          <w:rFonts w:ascii="Times New Roman" w:eastAsia="Times New Roman" w:hAnsi="Times New Roman" w:cs="Times New Roman"/>
          <w:b/>
          <w:bCs/>
          <w:kern w:val="0"/>
          <w:szCs w:val="20"/>
          <w:lang w:val="sq-AL"/>
          <w14:ligatures w14:val="none"/>
        </w:rPr>
      </w:pPr>
    </w:p>
    <w:p w14:paraId="03C330E3" w14:textId="6CFB86AF" w:rsidR="00BC0BCD" w:rsidRPr="005125ED" w:rsidRDefault="005B47EA" w:rsidP="005B47EA">
      <w:pPr>
        <w:widowControl w:val="0"/>
        <w:spacing w:after="240" w:line="240" w:lineRule="auto"/>
        <w:ind w:left="2880" w:firstLine="720"/>
        <w:contextualSpacing/>
        <w:jc w:val="both"/>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CHAPTER</w:t>
      </w:r>
      <w:r w:rsidR="00BC0BCD" w:rsidRPr="005125ED">
        <w:rPr>
          <w:rFonts w:ascii="Times New Roman" w:eastAsia="Times New Roman" w:hAnsi="Times New Roman" w:cs="Times New Roman"/>
          <w:b/>
          <w:bCs/>
          <w:kern w:val="0"/>
          <w:szCs w:val="20"/>
          <w:lang w:val="sq-AL"/>
          <w14:ligatures w14:val="none"/>
        </w:rPr>
        <w:t> III</w:t>
      </w:r>
    </w:p>
    <w:p w14:paraId="72371668" w14:textId="1ED4221D" w:rsidR="00BC0BCD" w:rsidRPr="005125ED" w:rsidRDefault="005B47EA" w:rsidP="00BC0BCD">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ONGOING INFORMATION</w:t>
      </w:r>
    </w:p>
    <w:p w14:paraId="4663787C" w14:textId="5E92F2C4" w:rsidR="00BC0BCD" w:rsidRPr="005125ED" w:rsidRDefault="005B47EA" w:rsidP="005B47EA">
      <w:pPr>
        <w:keepNext/>
        <w:keepLines/>
        <w:spacing w:before="840" w:after="480" w:line="240" w:lineRule="auto"/>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PART </w:t>
      </w:r>
      <w:r w:rsidR="00BC0BCD" w:rsidRPr="005125ED">
        <w:rPr>
          <w:rFonts w:ascii="Times New Roman" w:eastAsia="Times New Roman" w:hAnsi="Times New Roman" w:cs="Times New Roman"/>
          <w:b/>
          <w:bCs/>
          <w:kern w:val="0"/>
          <w:szCs w:val="20"/>
          <w:lang w:val="sq-AL"/>
          <w14:ligatures w14:val="none"/>
        </w:rPr>
        <w:t xml:space="preserve">1 </w:t>
      </w:r>
      <w:r w:rsidR="00BC0BCD" w:rsidRPr="005B47EA">
        <w:rPr>
          <w:rFonts w:ascii="Times New Roman" w:eastAsia="Times New Roman" w:hAnsi="Times New Roman" w:cs="Times New Roman"/>
          <w:b/>
          <w:bCs/>
          <w:kern w:val="0"/>
          <w:szCs w:val="20"/>
          <w:lang w:val="sq-AL"/>
          <w14:ligatures w14:val="none"/>
        </w:rPr>
        <w:t xml:space="preserve">– </w:t>
      </w:r>
      <w:r w:rsidRPr="005B47EA">
        <w:rPr>
          <w:rFonts w:ascii="Times New Roman" w:hAnsi="Times New Roman" w:cs="Times New Roman"/>
          <w:b/>
          <w:bCs/>
        </w:rPr>
        <w:t>Information about major holdings</w:t>
      </w:r>
    </w:p>
    <w:p w14:paraId="71120BAE" w14:textId="502E7D15" w:rsidR="00BC0BCD" w:rsidRPr="005125ED" w:rsidRDefault="005B47EA" w:rsidP="00BC0BCD">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BC0BCD" w:rsidRPr="005125ED">
        <w:rPr>
          <w:rFonts w:ascii="Times New Roman" w:eastAsia="Times New Roman" w:hAnsi="Times New Roman" w:cs="Times New Roman"/>
          <w:b/>
          <w:bCs/>
          <w:kern w:val="0"/>
          <w:lang w:val="sq-AL"/>
          <w14:ligatures w14:val="none"/>
        </w:rPr>
        <w:t> </w:t>
      </w:r>
      <w:r w:rsidR="006B1FC1" w:rsidRPr="005125ED">
        <w:rPr>
          <w:rFonts w:ascii="Times New Roman" w:eastAsia="Times New Roman" w:hAnsi="Times New Roman" w:cs="Times New Roman"/>
          <w:b/>
          <w:bCs/>
          <w:kern w:val="0"/>
          <w:lang w:val="sq-AL"/>
          <w14:ligatures w14:val="none"/>
        </w:rPr>
        <w:t>1</w:t>
      </w:r>
      <w:r w:rsidR="00655C91" w:rsidRPr="005125ED">
        <w:rPr>
          <w:rFonts w:ascii="Times New Roman" w:eastAsia="Times New Roman" w:hAnsi="Times New Roman" w:cs="Times New Roman"/>
          <w:b/>
          <w:bCs/>
          <w:kern w:val="0"/>
          <w:lang w:val="sq-AL"/>
          <w14:ligatures w14:val="none"/>
        </w:rPr>
        <w:t>2</w:t>
      </w:r>
    </w:p>
    <w:p w14:paraId="78EBD331" w14:textId="3D9E977E" w:rsidR="005B47EA" w:rsidRDefault="005B47EA" w:rsidP="00873AA3">
      <w:pPr>
        <w:keepNext/>
        <w:keepLines/>
        <w:spacing w:before="480" w:after="240" w:line="240" w:lineRule="auto"/>
        <w:contextualSpacing/>
        <w:jc w:val="center"/>
        <w:rPr>
          <w:rFonts w:ascii="Times New Roman" w:hAnsi="Times New Roman" w:cs="Times New Roman"/>
          <w:b/>
          <w:bCs/>
        </w:rPr>
      </w:pPr>
      <w:r w:rsidRPr="005B47EA">
        <w:rPr>
          <w:rFonts w:ascii="Times New Roman" w:hAnsi="Times New Roman" w:cs="Times New Roman"/>
          <w:b/>
          <w:bCs/>
        </w:rPr>
        <w:t>Notification of the acquisition or disposal of major holdings</w:t>
      </w:r>
    </w:p>
    <w:p w14:paraId="6381F1E8" w14:textId="5F5D7851" w:rsidR="005B47EA" w:rsidRDefault="005B47EA" w:rsidP="00873AA3">
      <w:pPr>
        <w:pStyle w:val="NormalWeb"/>
        <w:numPr>
          <w:ilvl w:val="0"/>
          <w:numId w:val="282"/>
        </w:numPr>
        <w:ind w:left="180" w:hanging="270"/>
        <w:jc w:val="both"/>
      </w:pPr>
      <w:r>
        <w:t>A shareholder who acquires or disposes of shares of an issuer whose shares are admitted to trading on a regulated market and to which voting rights are attached shall notify the issuer of the proportion of voting rights of the issuer held by that shareholder as a result of the acquisition or disposal, where that proportion reaches, exceeds or falls below the thresholds of 5%, 10%, 15%, 20%, 25%, 30%, 50% and 75%.</w:t>
      </w:r>
    </w:p>
    <w:p w14:paraId="3D334543" w14:textId="77777777" w:rsidR="00873AA3" w:rsidRDefault="005B47EA" w:rsidP="00873AA3">
      <w:pPr>
        <w:pStyle w:val="NormalWeb"/>
      </w:pPr>
      <w:r>
        <w:t>Voting rights shall be calculated on the basis of all shares to which voting rights are attached, even if the exercise of such voting rights is suspended. Furthermore, this information shall also be provided in respect of all shares belonging to the same class to which voting rights are attached.</w:t>
      </w:r>
    </w:p>
    <w:p w14:paraId="541BF07E" w14:textId="77777777" w:rsidR="00873AA3" w:rsidRDefault="005B47EA" w:rsidP="00873AA3">
      <w:pPr>
        <w:pStyle w:val="NormalWeb"/>
        <w:numPr>
          <w:ilvl w:val="0"/>
          <w:numId w:val="251"/>
        </w:numPr>
        <w:tabs>
          <w:tab w:val="clear" w:pos="720"/>
        </w:tabs>
        <w:ind w:left="270"/>
      </w:pPr>
      <w:r>
        <w:t xml:space="preserve">A shareholder shall notify the issuer of the proportion of voting rights where that proportion reaches, exceeds or falls below the thresholds referred to in paragraph 1 of this </w:t>
      </w:r>
      <w:r>
        <w:lastRenderedPageBreak/>
        <w:t>Article as a consequence of events changing the breakdown of voting rights and on the basis of information made public in accordance with Article 23 of this Law. Where the issuer is incorporated in a third country, the notification shall be made in respect of equivalent events.</w:t>
      </w:r>
    </w:p>
    <w:p w14:paraId="03C4DDD4" w14:textId="77777777" w:rsidR="00873AA3" w:rsidRDefault="005B47EA" w:rsidP="00873AA3">
      <w:pPr>
        <w:pStyle w:val="NormalWeb"/>
        <w:numPr>
          <w:ilvl w:val="0"/>
          <w:numId w:val="251"/>
        </w:numPr>
        <w:tabs>
          <w:tab w:val="clear" w:pos="720"/>
        </w:tabs>
        <w:ind w:left="270"/>
      </w:pPr>
      <w:r>
        <w:t>In the Republic of Albania, acting as Home State, the following do not apply:</w:t>
      </w:r>
      <w:r>
        <w:br/>
        <w:t>a) the threshold of 30%, in cases where a one-third threshold applies;</w:t>
      </w:r>
      <w:r>
        <w:br/>
        <w:t>b) the threshold of 75%, in cases where a two-thirds threshold applies.</w:t>
      </w:r>
    </w:p>
    <w:p w14:paraId="5DD2C790" w14:textId="77777777" w:rsidR="00873AA3" w:rsidRDefault="005B47EA" w:rsidP="00873AA3">
      <w:pPr>
        <w:pStyle w:val="NormalWeb"/>
        <w:numPr>
          <w:ilvl w:val="0"/>
          <w:numId w:val="251"/>
        </w:numPr>
        <w:tabs>
          <w:tab w:val="clear" w:pos="720"/>
        </w:tabs>
        <w:ind w:left="270"/>
      </w:pPr>
      <w:r>
        <w:t>This Article shall not apply to shares acquired solely for the purposes of clearing and settlement within the short settlement cycle or to custodians holding shares in their capacity as custodians, provided that such custodians can only exercise the voting rights attached to such shares in accordance with instructions given in writing or by electronic means.</w:t>
      </w:r>
      <w:r>
        <w:br/>
        <w:t xml:space="preserve">The maximum duration of the short settlement cycle shall be three trading days </w:t>
      </w:r>
      <w:r w:rsidR="00E02DA8">
        <w:t>following</w:t>
      </w:r>
      <w:r>
        <w:t xml:space="preserve"> the transaction.</w:t>
      </w:r>
    </w:p>
    <w:p w14:paraId="59DAC835" w14:textId="357B7F63" w:rsidR="005B47EA" w:rsidRDefault="005B47EA" w:rsidP="00873AA3">
      <w:pPr>
        <w:pStyle w:val="NormalWeb"/>
        <w:numPr>
          <w:ilvl w:val="0"/>
          <w:numId w:val="251"/>
        </w:numPr>
        <w:tabs>
          <w:tab w:val="clear" w:pos="720"/>
        </w:tabs>
        <w:ind w:left="270"/>
      </w:pPr>
      <w:r>
        <w:t>This Article shall not apply to the acquisition or disposal of major holdings reaching or crossing the 5% threshold by a market maker acting in its capacity as such, provided that:</w:t>
      </w:r>
    </w:p>
    <w:p w14:paraId="0B28D28B" w14:textId="77777777" w:rsidR="00873AA3" w:rsidRDefault="005B47EA" w:rsidP="00873AA3">
      <w:pPr>
        <w:pStyle w:val="NormalWeb"/>
      </w:pPr>
      <w:r>
        <w:t>a) it is authorised by the Authority or by the competent authority of the Home State in accordance with the requirements of the legislation transposing Directive 2014/65/EU on investment services and activities; and</w:t>
      </w:r>
      <w:r>
        <w:br/>
        <w:t>b) it neither intervenes in the management of the issuer concerned nor exerts any influence on the issuer to buy such shares or to support the share price.</w:t>
      </w:r>
    </w:p>
    <w:p w14:paraId="5445D956" w14:textId="65AC468D" w:rsidR="005B47EA" w:rsidRDefault="00873AA3" w:rsidP="00873AA3">
      <w:pPr>
        <w:pStyle w:val="NormalWeb"/>
      </w:pPr>
      <w:r>
        <w:t xml:space="preserve">6. </w:t>
      </w:r>
      <w:r w:rsidR="005B47EA">
        <w:t>This Article shall not apply to voting rights held in the trading book of a credit institution or an investment firm, as defined in accordance with the legislation transposing the capital adequacy rules for credit institutions and investment firms, provided that:</w:t>
      </w:r>
    </w:p>
    <w:p w14:paraId="30F8DF03" w14:textId="77777777" w:rsidR="00873AA3" w:rsidRDefault="005B47EA" w:rsidP="00873AA3">
      <w:pPr>
        <w:pStyle w:val="NormalWeb"/>
      </w:pPr>
      <w:r>
        <w:t>a) the voting rights held in the trading book do not exceed 5%; and</w:t>
      </w:r>
      <w:r>
        <w:br/>
        <w:t>b) the voting rights attached to the shares held in the trading book are not exercised and are not used to intervene in the management of the issuer.</w:t>
      </w:r>
    </w:p>
    <w:p w14:paraId="112874C9" w14:textId="0D405F94" w:rsidR="00DB32E7" w:rsidRDefault="00DB32E7" w:rsidP="00873AA3">
      <w:pPr>
        <w:pStyle w:val="NormalWeb"/>
      </w:pPr>
      <w:r w:rsidRPr="00DB32E7">
        <w:t>The exemption referred to in this paragraph shall apply to financial instruments held by a natural or legal person who executes orders received from clients, responds to a client’s request to trade otherwise than on a proprietary basis, or hedges positions arising from such transactions.</w:t>
      </w:r>
    </w:p>
    <w:p w14:paraId="169355D8" w14:textId="77777777" w:rsidR="00873AA3" w:rsidRDefault="00873AA3" w:rsidP="00873AA3">
      <w:pPr>
        <w:pStyle w:val="NormalWeb"/>
      </w:pPr>
      <w:r>
        <w:t xml:space="preserve">7. </w:t>
      </w:r>
      <w:r w:rsidR="005B47EA">
        <w:t>This Article shall not apply to voting rights attached to shares acquired for the sole purpose of stabilisation, in accordance with the legal and regulatory framework in force regarding exemptions for buy-back programmes and the stabilisation of financial instruments, provided that the voting rights attached to such shares are not exercised or otherwise used to intervene in the management of the issuer.</w:t>
      </w:r>
    </w:p>
    <w:p w14:paraId="1517C798" w14:textId="2EB9E252" w:rsidR="003F6C47" w:rsidRDefault="00873AA3" w:rsidP="00F53476">
      <w:pPr>
        <w:pStyle w:val="NormalWeb"/>
        <w:jc w:val="both"/>
      </w:pPr>
      <w:r>
        <w:t xml:space="preserve">8. </w:t>
      </w:r>
      <w:r w:rsidR="00844195" w:rsidRPr="00844195">
        <w:t>For the purposes of calculating the 5% threshold referred to in points 7 and 8 of this Article, the holdings referred to in Articles 12, 13 and 20 of this Law shall be aggregated. In the case of a group of undertakings, such holdings shall be aggregated at the level of the group, in accordance with the principle laid down in point (e) of Article 13.</w:t>
      </w:r>
    </w:p>
    <w:p w14:paraId="7923C369" w14:textId="77777777" w:rsidR="005B47EA" w:rsidRPr="005B47EA" w:rsidRDefault="005B47EA" w:rsidP="005B47EA">
      <w:pPr>
        <w:pStyle w:val="NormalWeb"/>
        <w:ind w:left="720"/>
      </w:pPr>
    </w:p>
    <w:p w14:paraId="17087F54" w14:textId="437A046B" w:rsidR="00872FDA" w:rsidRPr="005125ED" w:rsidRDefault="005B47EA"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872FDA" w:rsidRPr="005125ED">
        <w:rPr>
          <w:rFonts w:ascii="Times New Roman" w:eastAsia="Times New Roman" w:hAnsi="Times New Roman" w:cs="Times New Roman"/>
          <w:b/>
          <w:bCs/>
          <w:kern w:val="0"/>
          <w:lang w:val="sq-AL"/>
          <w14:ligatures w14:val="none"/>
        </w:rPr>
        <w:t>1</w:t>
      </w:r>
      <w:r w:rsidR="00655C91" w:rsidRPr="005125ED">
        <w:rPr>
          <w:rFonts w:ascii="Times New Roman" w:eastAsia="Times New Roman" w:hAnsi="Times New Roman" w:cs="Times New Roman"/>
          <w:b/>
          <w:bCs/>
          <w:kern w:val="0"/>
          <w:lang w:val="sq-AL"/>
          <w14:ligatures w14:val="none"/>
        </w:rPr>
        <w:t>3</w:t>
      </w:r>
    </w:p>
    <w:p w14:paraId="6DC3800F" w14:textId="77777777" w:rsidR="009F7436" w:rsidRDefault="005B47EA" w:rsidP="009F7436">
      <w:pPr>
        <w:keepNext/>
        <w:keepLines/>
        <w:spacing w:before="480" w:after="240" w:line="240" w:lineRule="auto"/>
        <w:contextualSpacing/>
        <w:jc w:val="center"/>
        <w:rPr>
          <w:rFonts w:ascii="Times New Roman" w:hAnsi="Times New Roman" w:cs="Times New Roman"/>
          <w:b/>
          <w:bCs/>
        </w:rPr>
      </w:pPr>
      <w:r w:rsidRPr="005B47EA">
        <w:rPr>
          <w:rFonts w:ascii="Times New Roman" w:hAnsi="Times New Roman" w:cs="Times New Roman"/>
          <w:b/>
          <w:bCs/>
        </w:rPr>
        <w:t>Acquisition or disposal of major proportions of voting rights</w:t>
      </w:r>
    </w:p>
    <w:p w14:paraId="36C43E85" w14:textId="77777777" w:rsidR="009F7436" w:rsidRDefault="009F7436" w:rsidP="009F7436">
      <w:pPr>
        <w:keepNext/>
        <w:keepLines/>
        <w:spacing w:before="480" w:after="240" w:line="240" w:lineRule="auto"/>
        <w:contextualSpacing/>
        <w:jc w:val="center"/>
        <w:rPr>
          <w:rFonts w:ascii="Times New Roman" w:hAnsi="Times New Roman" w:cs="Times New Roman"/>
          <w:b/>
          <w:bCs/>
        </w:rPr>
      </w:pPr>
    </w:p>
    <w:p w14:paraId="1FB50E04" w14:textId="61043ED8" w:rsidR="00741293" w:rsidRPr="009F7436" w:rsidRDefault="009F7436" w:rsidP="009F7436">
      <w:pPr>
        <w:keepNext/>
        <w:keepLines/>
        <w:spacing w:before="480" w:after="240" w:line="240" w:lineRule="auto"/>
        <w:contextualSpacing/>
        <w:jc w:val="both"/>
        <w:rPr>
          <w:rFonts w:ascii="Times New Roman" w:hAnsi="Times New Roman" w:cs="Times New Roman"/>
          <w:b/>
          <w:bCs/>
        </w:rPr>
      </w:pPr>
      <w:r w:rsidRPr="009F7436">
        <w:rPr>
          <w:rFonts w:ascii="Times New Roman" w:hAnsi="Times New Roman" w:cs="Times New Roman"/>
        </w:rPr>
        <w:t>1.</w:t>
      </w:r>
      <w:r>
        <w:rPr>
          <w:rFonts w:ascii="Times New Roman" w:hAnsi="Times New Roman" w:cs="Times New Roman"/>
          <w:b/>
          <w:bCs/>
        </w:rPr>
        <w:t xml:space="preserve"> </w:t>
      </w:r>
      <w:r w:rsidR="00741293" w:rsidRPr="009F7436">
        <w:rPr>
          <w:rFonts w:ascii="Times New Roman" w:hAnsi="Times New Roman" w:cs="Times New Roman"/>
        </w:rPr>
        <w:t>The notification requirements laid down in paragraphs 1 and 2 of Article 11 of this Law shall also apply to a natural or legal person, as long as that person is entitled to acquire, to dispose of, or to exercise voting rights in any of the following cases, or in a combination of them:</w:t>
      </w:r>
    </w:p>
    <w:p w14:paraId="7FE7829F" w14:textId="77777777" w:rsidR="00741293" w:rsidRPr="009F7436" w:rsidRDefault="00741293" w:rsidP="009F7436">
      <w:pPr>
        <w:pStyle w:val="NormalWeb"/>
        <w:jc w:val="both"/>
      </w:pPr>
      <w:r w:rsidRPr="009F7436">
        <w:t>a) voting rights held by a third party with whom that person has concluded an agreement which obliges them to adopt, by concerted exercise of the voting rights they hold, a lasting common policy towards the management of the issuer in question;</w:t>
      </w:r>
    </w:p>
    <w:p w14:paraId="6F8AFF6D" w14:textId="77777777" w:rsidR="00741293" w:rsidRPr="009F7436" w:rsidRDefault="00741293" w:rsidP="009F7436">
      <w:pPr>
        <w:pStyle w:val="NormalWeb"/>
        <w:jc w:val="both"/>
      </w:pPr>
      <w:r w:rsidRPr="009F7436">
        <w:t>b) voting rights held by a third party, under an agreement concluded with that person which provides for the temporary transfer for consideration of the voting rights in question;</w:t>
      </w:r>
    </w:p>
    <w:p w14:paraId="4275E791" w14:textId="77777777" w:rsidR="00741293" w:rsidRPr="009F7436" w:rsidRDefault="00741293" w:rsidP="009F7436">
      <w:pPr>
        <w:pStyle w:val="NormalWeb"/>
        <w:jc w:val="both"/>
      </w:pPr>
      <w:r w:rsidRPr="009F7436">
        <w:t>c) voting rights attached to shares which have been lodged as collateral with that person, provided that that person controls the voting rights and declares its intention of exercising them;</w:t>
      </w:r>
    </w:p>
    <w:p w14:paraId="40417FF7" w14:textId="77777777" w:rsidR="00741293" w:rsidRPr="009F7436" w:rsidRDefault="00741293" w:rsidP="009F7436">
      <w:pPr>
        <w:pStyle w:val="NormalWeb"/>
        <w:jc w:val="both"/>
      </w:pPr>
      <w:r w:rsidRPr="009F7436">
        <w:t>d) voting rights attached to shares in which that person has a life interest (usufruct);</w:t>
      </w:r>
    </w:p>
    <w:p w14:paraId="2BD6FBDA" w14:textId="77777777" w:rsidR="00741293" w:rsidRPr="009F7436" w:rsidRDefault="00741293" w:rsidP="009F7436">
      <w:pPr>
        <w:pStyle w:val="NormalWeb"/>
        <w:jc w:val="both"/>
      </w:pPr>
      <w:r w:rsidRPr="009F7436">
        <w:t>e) voting rights which are held, or may be exercised, within the meaning of points (a) to (d), by an undertaking controlled by that person;</w:t>
      </w:r>
    </w:p>
    <w:p w14:paraId="71889ADB" w14:textId="77777777" w:rsidR="00741293" w:rsidRPr="009F7436" w:rsidRDefault="00741293" w:rsidP="009F7436">
      <w:pPr>
        <w:pStyle w:val="NormalWeb"/>
        <w:jc w:val="both"/>
      </w:pPr>
      <w:r w:rsidRPr="009F7436">
        <w:t>f) voting rights attached to shares deposited with that person, which that person may exercise at its discretion in the absence of specific instructions from the shareholders;</w:t>
      </w:r>
    </w:p>
    <w:p w14:paraId="20A9BA66" w14:textId="77777777" w:rsidR="00741293" w:rsidRPr="009F7436" w:rsidRDefault="00741293" w:rsidP="009F7436">
      <w:pPr>
        <w:pStyle w:val="NormalWeb"/>
        <w:jc w:val="both"/>
      </w:pPr>
      <w:r w:rsidRPr="009F7436">
        <w:t>g) voting rights held by a third party in that third party’s own name but on behalf of that person;</w:t>
      </w:r>
    </w:p>
    <w:p w14:paraId="71652CB5" w14:textId="1BCF1D11" w:rsidR="002B6582" w:rsidRPr="009F7436" w:rsidRDefault="00741293" w:rsidP="009F7436">
      <w:pPr>
        <w:pStyle w:val="NormalWeb"/>
        <w:jc w:val="both"/>
      </w:pPr>
      <w:r w:rsidRPr="009F7436">
        <w:t>h) voting rights which that person may exercise as a proxy, at its discretion, in the absence of specific instructions from the shareholders.</w:t>
      </w:r>
    </w:p>
    <w:p w14:paraId="06B3E8D2" w14:textId="10B1B85F" w:rsidR="00872FDA" w:rsidRPr="009F7436" w:rsidRDefault="009F7436" w:rsidP="009F7436">
      <w:pPr>
        <w:spacing w:after="0" w:line="240" w:lineRule="auto"/>
        <w:jc w:val="center"/>
        <w:rPr>
          <w:rFonts w:ascii="Times New Roman" w:eastAsia="Times New Roman" w:hAnsi="Times New Roman" w:cs="Times New Roman"/>
          <w:b/>
          <w:bCs/>
          <w:kern w:val="0"/>
          <w:lang w:val="sq-AL" w:eastAsia="de-DE"/>
          <w14:ligatures w14:val="none"/>
        </w:rPr>
      </w:pPr>
      <w:r w:rsidRPr="009F7436">
        <w:rPr>
          <w:rFonts w:ascii="Times New Roman" w:eastAsia="Times New Roman" w:hAnsi="Times New Roman" w:cs="Times New Roman"/>
          <w:b/>
          <w:bCs/>
          <w:kern w:val="0"/>
          <w:lang w:val="sq-AL" w:eastAsia="de-DE"/>
          <w14:ligatures w14:val="none"/>
        </w:rPr>
        <w:t>Article</w:t>
      </w:r>
      <w:r w:rsidR="00872FDA" w:rsidRPr="009F7436">
        <w:rPr>
          <w:rFonts w:ascii="Times New Roman" w:eastAsia="Times New Roman" w:hAnsi="Times New Roman" w:cs="Times New Roman"/>
          <w:b/>
          <w:bCs/>
          <w:kern w:val="0"/>
          <w:lang w:val="sq-AL" w:eastAsia="de-DE"/>
          <w14:ligatures w14:val="none"/>
        </w:rPr>
        <w:t xml:space="preserve"> 1</w:t>
      </w:r>
      <w:r w:rsidR="00655C91" w:rsidRPr="009F7436">
        <w:rPr>
          <w:rFonts w:ascii="Times New Roman" w:eastAsia="Times New Roman" w:hAnsi="Times New Roman" w:cs="Times New Roman"/>
          <w:b/>
          <w:bCs/>
          <w:kern w:val="0"/>
          <w:lang w:val="sq-AL" w:eastAsia="de-DE"/>
          <w14:ligatures w14:val="none"/>
        </w:rPr>
        <w:t>4</w:t>
      </w:r>
    </w:p>
    <w:p w14:paraId="3EF77723" w14:textId="5ED5384F" w:rsidR="00872FDA" w:rsidRPr="009F7436" w:rsidRDefault="009F7436" w:rsidP="009F7436">
      <w:pPr>
        <w:spacing w:after="0" w:line="240" w:lineRule="auto"/>
        <w:jc w:val="center"/>
        <w:rPr>
          <w:rFonts w:ascii="Times New Roman" w:eastAsia="Times New Roman" w:hAnsi="Times New Roman" w:cs="Times New Roman"/>
          <w:b/>
          <w:bCs/>
          <w:kern w:val="0"/>
          <w:lang w:val="sq-AL" w:eastAsia="de-DE"/>
          <w14:ligatures w14:val="none"/>
        </w:rPr>
      </w:pPr>
      <w:r w:rsidRPr="009F7436">
        <w:rPr>
          <w:rFonts w:ascii="Times New Roman" w:hAnsi="Times New Roman" w:cs="Times New Roman"/>
          <w:b/>
          <w:bCs/>
        </w:rPr>
        <w:t>Exemptions for the purposes of monetary policy</w:t>
      </w:r>
    </w:p>
    <w:p w14:paraId="1C2E9577" w14:textId="77777777" w:rsidR="00655D83" w:rsidRPr="00655D83" w:rsidRDefault="00872FDA" w:rsidP="00655D83">
      <w:pPr>
        <w:spacing w:before="240" w:after="240" w:line="240" w:lineRule="auto"/>
        <w:ind w:left="450" w:hanging="450"/>
        <w:jc w:val="both"/>
        <w:rPr>
          <w:rFonts w:ascii="Times New Roman" w:hAnsi="Times New Roman"/>
          <w:lang w:eastAsia="hr-HR"/>
        </w:rPr>
      </w:pPr>
      <w:r w:rsidRPr="005125ED">
        <w:rPr>
          <w:rFonts w:ascii="Times New Roman" w:eastAsia="Times New Roman" w:hAnsi="Times New Roman" w:cs="Times New Roman"/>
          <w:kern w:val="0"/>
          <w:lang w:val="sq-AL" w:eastAsia="de-DE"/>
          <w14:ligatures w14:val="none"/>
        </w:rPr>
        <w:t xml:space="preserve">1.   </w:t>
      </w:r>
      <w:r w:rsidR="00655D83" w:rsidRPr="00655D83">
        <w:rPr>
          <w:rFonts w:ascii="Times New Roman" w:hAnsi="Times New Roman"/>
          <w:lang w:val="sq-AL" w:eastAsia="hr-HR"/>
        </w:rPr>
        <w:t xml:space="preserve">Articles 12 and 13, point 1, letter (c) </w:t>
      </w:r>
      <w:r w:rsidR="00655D83" w:rsidRPr="00655D83">
        <w:rPr>
          <w:rFonts w:ascii="Times New Roman" w:hAnsi="Times New Roman"/>
          <w:lang w:eastAsia="hr-HR"/>
        </w:rPr>
        <w:t>shall not apply to shares provided to or by the members of the ESCB in carrying out their functions as monetary authorities, including shares provided to or by members of the ESCB under a pledge or repurchase or similar agreement for liquidity granted for monetary policy purposes or within a payment system.</w:t>
      </w:r>
    </w:p>
    <w:p w14:paraId="1269B78E" w14:textId="1BDBE45D" w:rsidR="00872FDA" w:rsidRPr="00655D83" w:rsidRDefault="00872FDA" w:rsidP="00655D83">
      <w:pPr>
        <w:spacing w:before="240" w:after="240" w:line="240" w:lineRule="auto"/>
        <w:ind w:left="450" w:hanging="450"/>
        <w:jc w:val="both"/>
        <w:rPr>
          <w:rFonts w:ascii="Times New Roman" w:eastAsia="Times New Roman" w:hAnsi="Times New Roman" w:cs="Times New Roman"/>
          <w:b/>
          <w:bCs/>
          <w:kern w:val="0"/>
          <w:lang w:val="sq-AL"/>
          <w14:ligatures w14:val="none"/>
        </w:rPr>
      </w:pPr>
      <w:r w:rsidRPr="00655D83">
        <w:rPr>
          <w:rFonts w:ascii="Times New Roman" w:eastAsia="Times New Roman" w:hAnsi="Times New Roman" w:cs="Times New Roman"/>
          <w:kern w:val="0"/>
          <w:lang w:val="sq-AL" w:eastAsia="de-DE"/>
          <w14:ligatures w14:val="none"/>
        </w:rPr>
        <w:t>2</w:t>
      </w:r>
      <w:r w:rsidR="00655D83" w:rsidRPr="00655D83">
        <w:rPr>
          <w:rFonts w:ascii="Times New Roman" w:hAnsi="Times New Roman" w:cs="Times New Roman"/>
        </w:rPr>
        <w:t xml:space="preserve"> </w:t>
      </w:r>
      <w:r w:rsidR="00655D83">
        <w:rPr>
          <w:rFonts w:ascii="Times New Roman" w:hAnsi="Times New Roman" w:cs="Times New Roman"/>
        </w:rPr>
        <w:t xml:space="preserve">   </w:t>
      </w:r>
      <w:r w:rsidR="00655D83" w:rsidRPr="00655D83">
        <w:rPr>
          <w:rFonts w:ascii="Times New Roman" w:hAnsi="Times New Roman" w:cs="Times New Roman"/>
        </w:rPr>
        <w:t>The exemption provided for in paragraph 1 shall apply to the above transactions lasting for a short period and provided that the voting rights attaching to such shares are not exercised.</w:t>
      </w:r>
    </w:p>
    <w:p w14:paraId="7CB38951" w14:textId="77777777" w:rsidR="00872FDA" w:rsidRPr="005125ED" w:rsidRDefault="00872FDA"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0EA7D440" w14:textId="04141364" w:rsidR="00872FDA" w:rsidRPr="005125ED" w:rsidRDefault="00F86855"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1</w:t>
      </w:r>
      <w:r w:rsidR="00655C91" w:rsidRPr="005125ED">
        <w:rPr>
          <w:rFonts w:ascii="Times New Roman" w:eastAsia="Times New Roman" w:hAnsi="Times New Roman" w:cs="Times New Roman"/>
          <w:b/>
          <w:bCs/>
          <w:kern w:val="0"/>
          <w:lang w:val="sq-AL"/>
          <w14:ligatures w14:val="none"/>
        </w:rPr>
        <w:t>5</w:t>
      </w:r>
    </w:p>
    <w:p w14:paraId="0C1CB60A" w14:textId="3D4AFD0D" w:rsidR="00B52222" w:rsidRDefault="00F86855" w:rsidP="00872FDA">
      <w:pPr>
        <w:keepNext/>
        <w:keepLines/>
        <w:spacing w:before="480" w:after="240" w:line="240" w:lineRule="auto"/>
        <w:contextualSpacing/>
        <w:jc w:val="center"/>
        <w:rPr>
          <w:rFonts w:ascii="Times New Roman" w:hAnsi="Times New Roman" w:cs="Times New Roman"/>
          <w:b/>
          <w:bCs/>
        </w:rPr>
      </w:pPr>
      <w:r w:rsidRPr="00F86855">
        <w:rPr>
          <w:rFonts w:ascii="Times New Roman" w:hAnsi="Times New Roman" w:cs="Times New Roman"/>
          <w:b/>
          <w:bCs/>
        </w:rPr>
        <w:t>Procedures for the notification and disclosure of major holdings</w:t>
      </w:r>
    </w:p>
    <w:p w14:paraId="04E7DCCC" w14:textId="77777777" w:rsidR="00077955" w:rsidRDefault="00077955" w:rsidP="00872FDA">
      <w:pPr>
        <w:keepNext/>
        <w:keepLines/>
        <w:spacing w:before="480" w:after="240" w:line="240" w:lineRule="auto"/>
        <w:contextualSpacing/>
        <w:jc w:val="center"/>
        <w:rPr>
          <w:rFonts w:ascii="Times New Roman" w:hAnsi="Times New Roman" w:cs="Times New Roman"/>
          <w:b/>
          <w:bCs/>
        </w:rPr>
      </w:pPr>
    </w:p>
    <w:p w14:paraId="1A1D1241" w14:textId="585A4F28" w:rsidR="00077955" w:rsidRDefault="00077955" w:rsidP="00077955">
      <w:pPr>
        <w:pStyle w:val="NormalWeb"/>
        <w:numPr>
          <w:ilvl w:val="0"/>
          <w:numId w:val="257"/>
        </w:numPr>
      </w:pPr>
      <w:r>
        <w:t>The notification required under Articles 12 and 13 of this Law shall contain the following information:</w:t>
      </w:r>
      <w:r>
        <w:br/>
        <w:t>(a) the resulting situation in terms of voting rights;</w:t>
      </w:r>
      <w:r>
        <w:br/>
        <w:t>(b) the chain of controlled undertakings through which the voting rights are effectively held, if applicable;</w:t>
      </w:r>
      <w:r>
        <w:br/>
        <w:t>(c) the date on which the threshold was reached, exceeded or fallen below;</w:t>
      </w:r>
      <w:r>
        <w:br/>
        <w:t>(d) the identity of the shareholder, even if the shareholder is not entitled to exercise the voting rights pursuant to Article 12 of this Law, as well as the identity of the natural or legal person entitled to exercise the voting rights on behalf of that shareholder.</w:t>
      </w:r>
    </w:p>
    <w:p w14:paraId="685217EF" w14:textId="4EC7FB93" w:rsidR="00077955" w:rsidRDefault="00077955" w:rsidP="00077955">
      <w:pPr>
        <w:pStyle w:val="NormalWeb"/>
        <w:numPr>
          <w:ilvl w:val="0"/>
          <w:numId w:val="257"/>
        </w:numPr>
      </w:pPr>
      <w:r>
        <w:t>The issuer shall be notified as soon as possible, but not later than 4 trading days after the date on which the shareholder or the natural or legal person referred to in Article 12 of this Law:</w:t>
      </w:r>
      <w:r>
        <w:br/>
        <w:t>(a) learns of the acquisition or disposal, or of the possibility to exercise the voting rights, or should have learned of it, having regard to the circumstances, regardless of the date on which the acquisition, disposal or possibility to exercise the voting rights takes effect; or</w:t>
      </w:r>
      <w:r>
        <w:br/>
        <w:t xml:space="preserve">(b) is </w:t>
      </w:r>
      <w:r w:rsidR="00132E7C">
        <w:t>informed</w:t>
      </w:r>
      <w:r>
        <w:t xml:space="preserve"> </w:t>
      </w:r>
      <w:r w:rsidR="00132E7C">
        <w:t>about</w:t>
      </w:r>
      <w:r>
        <w:t xml:space="preserve"> the event mentioned in Article 12(2) of this Law.</w:t>
      </w:r>
    </w:p>
    <w:p w14:paraId="306D213D" w14:textId="592C06AE" w:rsidR="00077955" w:rsidRDefault="00077955" w:rsidP="00077955">
      <w:pPr>
        <w:pStyle w:val="NormalWeb"/>
        <w:numPr>
          <w:ilvl w:val="0"/>
          <w:numId w:val="257"/>
        </w:numPr>
      </w:pPr>
      <w:r>
        <w:t xml:space="preserve">An undertaking shall be exempted from the requirement to make the notification referred to in paragraph (2) if the notification is made by its parent undertaking or, where the parent undertaking itself is controlled, by </w:t>
      </w:r>
      <w:r w:rsidR="00E72766">
        <w:t>its own</w:t>
      </w:r>
      <w:r>
        <w:t xml:space="preserve"> parent undertaking.</w:t>
      </w:r>
    </w:p>
    <w:p w14:paraId="65A0ECD6" w14:textId="37047779" w:rsidR="00077955" w:rsidRDefault="00077955" w:rsidP="00077955">
      <w:pPr>
        <w:pStyle w:val="NormalWeb"/>
        <w:numPr>
          <w:ilvl w:val="0"/>
          <w:numId w:val="257"/>
        </w:numPr>
      </w:pPr>
      <w:r>
        <w:t>The parent undertaking of a management company shall not, for the purposes of Articles 12 and 13 of this Law, be required to aggregate its holdings with the holdings managed by that management company under the legislation on investment undertakings, provided that the management company exercises the voting rights independently from the parent undertaking.</w:t>
      </w:r>
      <w:r>
        <w:br/>
        <w:t>However, Articles 12 and 13 shall apply where the parent undertaking or another undertaking controlled by the parent undertaking has invested in holdings managed by that management company and the management company has no discretion to exercise the voting rights attached to such shares and may exercise those rights only under the direct or indirect instructions of the parent undertaking or another undertaking controlled by the parent undertaking.</w:t>
      </w:r>
    </w:p>
    <w:p w14:paraId="69AAB91D" w14:textId="562BF5FA" w:rsidR="00077955" w:rsidRDefault="00077955" w:rsidP="00077955">
      <w:pPr>
        <w:pStyle w:val="NormalWeb"/>
        <w:numPr>
          <w:ilvl w:val="0"/>
          <w:numId w:val="257"/>
        </w:numPr>
      </w:pPr>
      <w:r>
        <w:t xml:space="preserve"> The parent undertaking of an investment firm licensed under the capital markets legislation shall not, for the purposes of Articles 12 and 13 of this Law, be required to aggregate its holdings with the shares which that investment firm manages on a client-by-client basis, provided that:</w:t>
      </w:r>
      <w:r>
        <w:br/>
        <w:t>(a) the investment firm is licensed to provide individual portfolio management;</w:t>
      </w:r>
      <w:r>
        <w:br/>
        <w:t>(b) it may exercise the voting rights attached to such shares only under written or electronic instructions, or ensures that the individual portfolio management services are provided independently from any other services under conditions equivalent to those laid down in the legislation on investment undertakings; and</w:t>
      </w:r>
      <w:r>
        <w:br/>
      </w:r>
      <w:r>
        <w:lastRenderedPageBreak/>
        <w:t>(c) the investment firm exercises its voting rights independently from the parent undertaking.</w:t>
      </w:r>
      <w:r>
        <w:br/>
        <w:t>However, Articles 12 and 13 shall apply where the parent undertaking or another undertaking controlled by the parent undertaking has invested in shares managed by that investment firm and the investment firm has no discretion to exercise the voting rights attached to such shares and may exercise those rights only under the direct or indirect instructions of the parent undertaking or another undertaking controlled by the parent undertaking.</w:t>
      </w:r>
    </w:p>
    <w:p w14:paraId="0EAB11BE" w14:textId="77777777" w:rsidR="00077955" w:rsidRDefault="00077955" w:rsidP="00077955">
      <w:pPr>
        <w:pStyle w:val="NormalWeb"/>
        <w:numPr>
          <w:ilvl w:val="0"/>
          <w:numId w:val="257"/>
        </w:numPr>
      </w:pPr>
      <w:r>
        <w:t>Upon receipt of the notification referred to in paragraph (2), but not later than 3 trading days thereafter, the issuer shall make public all the information contained in the notification.</w:t>
      </w:r>
    </w:p>
    <w:p w14:paraId="3B60E5A0" w14:textId="665BADA9" w:rsidR="00C52B38" w:rsidRPr="00077955" w:rsidRDefault="00077955" w:rsidP="00077955">
      <w:pPr>
        <w:pStyle w:val="NormalWeb"/>
        <w:numPr>
          <w:ilvl w:val="0"/>
          <w:numId w:val="257"/>
        </w:numPr>
      </w:pPr>
      <w:commentRangeStart w:id="0"/>
      <w:r>
        <w:t>The issuer shall be exempted from the requirement in paragraph (6) if the information contained in the notification is made public by the Authority upon receipt of the notification and not later than three trading days, in accordance with Article 22 of this Law.</w:t>
      </w:r>
      <w:commentRangeEnd w:id="0"/>
      <w:r w:rsidR="00E34E37">
        <w:rPr>
          <w:rStyle w:val="CommentReference"/>
          <w:rFonts w:asciiTheme="minorHAnsi" w:eastAsiaTheme="minorHAnsi" w:hAnsiTheme="minorHAnsi" w:cstheme="minorBidi"/>
          <w:kern w:val="2"/>
          <w14:ligatures w14:val="standardContextual"/>
        </w:rPr>
        <w:commentReference w:id="0"/>
      </w:r>
    </w:p>
    <w:p w14:paraId="0F1FCE77" w14:textId="749C2A9E" w:rsidR="00872FDA" w:rsidRPr="005125ED" w:rsidRDefault="00077955"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872FDA" w:rsidRPr="005125ED">
        <w:rPr>
          <w:rFonts w:ascii="Times New Roman" w:eastAsia="Times New Roman" w:hAnsi="Times New Roman" w:cs="Times New Roman"/>
          <w:b/>
          <w:bCs/>
          <w:kern w:val="0"/>
          <w:lang w:val="sq-AL"/>
          <w14:ligatures w14:val="none"/>
        </w:rPr>
        <w:t>1</w:t>
      </w:r>
      <w:r w:rsidR="00655C91" w:rsidRPr="005125ED">
        <w:rPr>
          <w:rFonts w:ascii="Times New Roman" w:eastAsia="Times New Roman" w:hAnsi="Times New Roman" w:cs="Times New Roman"/>
          <w:b/>
          <w:bCs/>
          <w:kern w:val="0"/>
          <w:lang w:val="sq-AL"/>
          <w14:ligatures w14:val="none"/>
        </w:rPr>
        <w:t>6</w:t>
      </w:r>
    </w:p>
    <w:p w14:paraId="0BF3C69E" w14:textId="4E9F0C93" w:rsidR="00872FDA" w:rsidRDefault="00077955" w:rsidP="00872FDA">
      <w:pPr>
        <w:widowControl w:val="0"/>
        <w:spacing w:after="0" w:line="240" w:lineRule="auto"/>
        <w:jc w:val="center"/>
        <w:rPr>
          <w:rFonts w:ascii="Times New Roman" w:hAnsi="Times New Roman" w:cs="Times New Roman"/>
          <w:b/>
          <w:bCs/>
        </w:rPr>
      </w:pPr>
      <w:r w:rsidRPr="00077955">
        <w:rPr>
          <w:rFonts w:ascii="Times New Roman" w:hAnsi="Times New Roman" w:cs="Times New Roman"/>
          <w:b/>
          <w:bCs/>
        </w:rPr>
        <w:t>Shareholders and natural or legal persons entitled to notify the acquisition or disposal of major holdings</w:t>
      </w:r>
    </w:p>
    <w:p w14:paraId="40656D55" w14:textId="77777777" w:rsidR="00077955" w:rsidRDefault="00077955" w:rsidP="00077955">
      <w:pPr>
        <w:pStyle w:val="NormalWeb"/>
      </w:pPr>
    </w:p>
    <w:p w14:paraId="1E886253" w14:textId="77777777" w:rsidR="00077955" w:rsidRDefault="00077955" w:rsidP="0085276E">
      <w:pPr>
        <w:pStyle w:val="NormalWeb"/>
        <w:numPr>
          <w:ilvl w:val="0"/>
          <w:numId w:val="258"/>
        </w:numPr>
        <w:ind w:left="180"/>
        <w:jc w:val="both"/>
      </w:pPr>
      <w:r>
        <w:t>For the purposes of Article 15(2) of this Law, the obligation to notify major holdings which arises where the percentage of voting rights held by each party reaches, exceeds or falls below the applicable threshold as a result of the transactions referred to in Article 13 of this Law is an individual obligation incumbent upon each shareholder, or upon each natural or legal person as referred to in Article 13 of this Law, or upon both where the percentage of voting rights held by each party reaches, exceeds or falls below the applicable threshold. In the circumstances referred to in point (a) of Article 13 of this Law, the notification obligation shall be a collective obligation shared among all parties to the agreement.</w:t>
      </w:r>
    </w:p>
    <w:p w14:paraId="304F3A87" w14:textId="77777777" w:rsidR="00077955" w:rsidRDefault="00077955" w:rsidP="0085276E">
      <w:pPr>
        <w:pStyle w:val="NormalWeb"/>
        <w:numPr>
          <w:ilvl w:val="0"/>
          <w:numId w:val="258"/>
        </w:numPr>
        <w:ind w:left="180"/>
        <w:jc w:val="both"/>
      </w:pPr>
      <w:r>
        <w:t xml:space="preserve"> In the circumstances referred to in point (h) of Article 13 of this Law, where a shareholder grants a proxy in relation to a general meeting of shareholders, a single notification may be made at the moment the proxy is granted, provided that the notification clarifies what the resulting situation in terms of voting rights will be when the proxy holder can no longer exercise the voting rights at his discretion.</w:t>
      </w:r>
    </w:p>
    <w:p w14:paraId="7EFDE207" w14:textId="77777777" w:rsidR="00077955" w:rsidRDefault="00077955" w:rsidP="0085276E">
      <w:pPr>
        <w:pStyle w:val="NormalWeb"/>
        <w:numPr>
          <w:ilvl w:val="0"/>
          <w:numId w:val="258"/>
        </w:numPr>
        <w:ind w:left="180"/>
        <w:jc w:val="both"/>
      </w:pPr>
      <w:r>
        <w:t>Where, in the circumstances referred to in point (h) of Article 13, the proxy holder receives one or more proxies in relation to a general meeting of shareholders, a single notification may be made at the moment the proxies are received, provided that the notification clarifies what the resulting situation in terms of voting rights will be when the proxy holder can no longer exercise the voting rights at his discretion.</w:t>
      </w:r>
    </w:p>
    <w:p w14:paraId="4BFC3F8C" w14:textId="0DD35202" w:rsidR="00077955" w:rsidRDefault="00077955" w:rsidP="0085276E">
      <w:pPr>
        <w:pStyle w:val="NormalWeb"/>
        <w:numPr>
          <w:ilvl w:val="0"/>
          <w:numId w:val="258"/>
        </w:numPr>
        <w:ind w:left="180"/>
        <w:jc w:val="both"/>
      </w:pPr>
      <w:r>
        <w:t>Where the obligation to make a notification is incumbent upon more than one natural or legal person, the notification may be made by means of a single joint notification. However, the use of a single joint notification shall not be considered as releasing any of the natural or legal persons involved from their liability in relation to the notification.</w:t>
      </w:r>
    </w:p>
    <w:p w14:paraId="5A2E0725" w14:textId="77777777" w:rsidR="00872FDA" w:rsidRPr="005125ED" w:rsidRDefault="00872FDA" w:rsidP="00D85CE5">
      <w:pPr>
        <w:widowControl w:val="0"/>
        <w:spacing w:after="0" w:line="240" w:lineRule="auto"/>
        <w:jc w:val="both"/>
        <w:rPr>
          <w:rFonts w:ascii="Times New Roman" w:eastAsia="Times New Roman" w:hAnsi="Times New Roman" w:cs="Times New Roman"/>
          <w:bCs/>
          <w:kern w:val="0"/>
          <w:lang w:val="sq-AL"/>
          <w14:ligatures w14:val="none"/>
        </w:rPr>
      </w:pPr>
    </w:p>
    <w:p w14:paraId="32D50E41" w14:textId="77777777" w:rsidR="00872FDA" w:rsidRPr="005125ED" w:rsidRDefault="00872FDA" w:rsidP="00872FDA">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32909819" w14:textId="65BBAA94" w:rsidR="00872FDA" w:rsidRPr="005125ED" w:rsidRDefault="00D85CE5" w:rsidP="00872FDA">
      <w:pPr>
        <w:widowControl w:val="0"/>
        <w:spacing w:after="0" w:line="240" w:lineRule="auto"/>
        <w:ind w:left="450" w:hanging="450"/>
        <w:jc w:val="center"/>
        <w:rPr>
          <w:rFonts w:ascii="Times New Roman" w:eastAsia="Times New Roman" w:hAnsi="Times New Roman" w:cs="Times New Roman"/>
          <w:b/>
          <w:kern w:val="0"/>
          <w:lang w:val="sq-AL"/>
          <w14:ligatures w14:val="none"/>
        </w:rPr>
      </w:pPr>
      <w:r>
        <w:rPr>
          <w:rFonts w:ascii="Times New Roman" w:eastAsia="Times New Roman" w:hAnsi="Times New Roman" w:cs="Times New Roman"/>
          <w:b/>
          <w:kern w:val="0"/>
          <w:lang w:val="sq-AL"/>
          <w14:ligatures w14:val="none"/>
        </w:rPr>
        <w:t>Article</w:t>
      </w:r>
      <w:r w:rsidR="00872FDA" w:rsidRPr="005125ED">
        <w:rPr>
          <w:rFonts w:ascii="Times New Roman" w:eastAsia="Times New Roman" w:hAnsi="Times New Roman" w:cs="Times New Roman"/>
          <w:b/>
          <w:kern w:val="0"/>
          <w:lang w:val="sq-AL"/>
          <w14:ligatures w14:val="none"/>
        </w:rPr>
        <w:t xml:space="preserve"> 1</w:t>
      </w:r>
      <w:r w:rsidR="00655C91" w:rsidRPr="005125ED">
        <w:rPr>
          <w:rFonts w:ascii="Times New Roman" w:eastAsia="Times New Roman" w:hAnsi="Times New Roman" w:cs="Times New Roman"/>
          <w:b/>
          <w:kern w:val="0"/>
          <w:lang w:val="sq-AL"/>
          <w14:ligatures w14:val="none"/>
        </w:rPr>
        <w:t>7</w:t>
      </w:r>
    </w:p>
    <w:p w14:paraId="42A37E1D" w14:textId="1293AF5C" w:rsidR="00872FDA" w:rsidRPr="00D85CE5" w:rsidRDefault="00D85CE5" w:rsidP="006F4A83">
      <w:pPr>
        <w:widowControl w:val="0"/>
        <w:spacing w:after="0" w:line="240" w:lineRule="auto"/>
        <w:ind w:left="450" w:hanging="450"/>
        <w:jc w:val="center"/>
        <w:rPr>
          <w:rFonts w:ascii="Times New Roman" w:eastAsia="Times New Roman" w:hAnsi="Times New Roman" w:cs="Times New Roman"/>
          <w:b/>
          <w:bCs/>
          <w:kern w:val="0"/>
          <w:lang w:val="sq-AL"/>
          <w14:ligatures w14:val="none"/>
        </w:rPr>
      </w:pPr>
      <w:r w:rsidRPr="00D85CE5">
        <w:rPr>
          <w:rFonts w:ascii="Times New Roman" w:hAnsi="Times New Roman" w:cs="Times New Roman"/>
          <w:b/>
          <w:bCs/>
        </w:rPr>
        <w:t>Circumstances in which the notifying person should have learned of the acquisition or disposal or of the possibility to exercise the voting rights</w:t>
      </w:r>
    </w:p>
    <w:p w14:paraId="1529F515" w14:textId="77777777" w:rsidR="00872FDA" w:rsidRPr="005125ED" w:rsidRDefault="00872FDA" w:rsidP="00872FDA">
      <w:pPr>
        <w:widowControl w:val="0"/>
        <w:spacing w:after="0" w:line="240" w:lineRule="auto"/>
        <w:ind w:left="450" w:hanging="450"/>
        <w:jc w:val="both"/>
        <w:rPr>
          <w:rFonts w:ascii="Times New Roman" w:eastAsia="Times New Roman" w:hAnsi="Times New Roman" w:cs="Times New Roman"/>
          <w:bCs/>
          <w:kern w:val="0"/>
          <w:lang w:val="sq-AL"/>
          <w14:ligatures w14:val="none"/>
        </w:rPr>
      </w:pPr>
    </w:p>
    <w:p w14:paraId="2BAD3D10" w14:textId="7AC3F828" w:rsidR="00872FDA" w:rsidRPr="006F4A83" w:rsidRDefault="006F4A83" w:rsidP="00872FDA">
      <w:pPr>
        <w:widowControl w:val="0"/>
        <w:spacing w:after="0" w:line="240" w:lineRule="auto"/>
        <w:jc w:val="both"/>
        <w:rPr>
          <w:rFonts w:ascii="Times New Roman" w:eastAsia="Times New Roman" w:hAnsi="Times New Roman" w:cs="Times New Roman"/>
          <w:kern w:val="0"/>
          <w:lang w:val="sq-AL"/>
          <w14:ligatures w14:val="none"/>
        </w:rPr>
      </w:pPr>
      <w:r w:rsidRPr="006F4A83">
        <w:rPr>
          <w:rFonts w:ascii="Times New Roman" w:hAnsi="Times New Roman" w:cs="Times New Roman"/>
        </w:rPr>
        <w:t>For the purposes of Article 15(2)(a) of this Law, the shareholder, or the natural or legal person referred to in Article 12 of this Law, shall be deemed to have knowledge of the acquisition, disposal or of the possibility to exercise the voting rights no later than two trading days after the transaction.</w:t>
      </w:r>
    </w:p>
    <w:p w14:paraId="300C4C8E" w14:textId="77777777" w:rsidR="00872FDA" w:rsidRPr="005125ED" w:rsidRDefault="00872FDA"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62E1B0D6" w14:textId="2A7F731F" w:rsidR="00872FDA" w:rsidRPr="005125ED" w:rsidRDefault="006F4A83"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872FDA" w:rsidRPr="005125ED">
        <w:rPr>
          <w:rFonts w:ascii="Times New Roman" w:eastAsia="Times New Roman" w:hAnsi="Times New Roman" w:cs="Times New Roman"/>
          <w:b/>
          <w:bCs/>
          <w:kern w:val="0"/>
          <w:lang w:val="sq-AL"/>
          <w14:ligatures w14:val="none"/>
        </w:rPr>
        <w:t>1</w:t>
      </w:r>
      <w:r w:rsidR="00655C91" w:rsidRPr="005125ED">
        <w:rPr>
          <w:rFonts w:ascii="Times New Roman" w:eastAsia="Times New Roman" w:hAnsi="Times New Roman" w:cs="Times New Roman"/>
          <w:b/>
          <w:bCs/>
          <w:kern w:val="0"/>
          <w:lang w:val="sq-AL"/>
          <w14:ligatures w14:val="none"/>
        </w:rPr>
        <w:t>8</w:t>
      </w:r>
    </w:p>
    <w:p w14:paraId="390942D3" w14:textId="15DBCEFF" w:rsidR="00872FDA" w:rsidRDefault="006F4A83" w:rsidP="006F4A83">
      <w:pPr>
        <w:widowControl w:val="0"/>
        <w:spacing w:after="0" w:line="240" w:lineRule="auto"/>
        <w:jc w:val="both"/>
        <w:rPr>
          <w:rFonts w:ascii="Times New Roman" w:hAnsi="Times New Roman" w:cs="Times New Roman"/>
          <w:b/>
          <w:bCs/>
        </w:rPr>
      </w:pPr>
      <w:r w:rsidRPr="006F4A83">
        <w:rPr>
          <w:rFonts w:ascii="Times New Roman" w:hAnsi="Times New Roman" w:cs="Times New Roman"/>
          <w:b/>
          <w:bCs/>
        </w:rPr>
        <w:t>Conditions of independence to be fulfilled by the management company and the investment firm involved in the provision of individual portfolio management</w:t>
      </w:r>
    </w:p>
    <w:p w14:paraId="4F81F362" w14:textId="5ACEF60F" w:rsidR="006F4A83" w:rsidRDefault="006F4A83" w:rsidP="006F4A83">
      <w:pPr>
        <w:pStyle w:val="NormalWeb"/>
      </w:pPr>
      <w:r>
        <w:t>1. For the purposes of the exemption from the aggregation of holdings provided for in the first subparagraphs of Article 15(4) and (5) of this Law, a parent undertaking of a management company or of an investment firm shall fulfil the following conditions:</w:t>
      </w:r>
    </w:p>
    <w:p w14:paraId="4762D78F" w14:textId="77777777" w:rsidR="006F4A83" w:rsidRDefault="006F4A83" w:rsidP="006F4A83">
      <w:pPr>
        <w:pStyle w:val="NormalWeb"/>
      </w:pPr>
      <w:r>
        <w:t>a. it must not interfere, by giving direct or indirect instructions or in any other manner, in the exercise of the voting rights held by that management company or investment firm;</w:t>
      </w:r>
      <w:r>
        <w:br/>
        <w:t>b. the management company or the investment firm must be free to exercise, independently from the parent undertaking, the voting rights attached to the assets which it manages.</w:t>
      </w:r>
    </w:p>
    <w:p w14:paraId="35F46470" w14:textId="77777777" w:rsidR="006F4A83" w:rsidRDefault="006F4A83" w:rsidP="006F4A83">
      <w:pPr>
        <w:pStyle w:val="NormalWeb"/>
      </w:pPr>
      <w:r w:rsidRPr="006F4A83">
        <w:rPr>
          <w:rStyle w:val="Strong"/>
          <w:rFonts w:eastAsiaTheme="majorEastAsia"/>
          <w:b w:val="0"/>
          <w:bCs w:val="0"/>
        </w:rPr>
        <w:t>2.</w:t>
      </w:r>
      <w:r>
        <w:t xml:space="preserve"> A parent undertaking which chooses to make use of the exemption shall, without delay, notify the Authority, in its capacity as the competent authority of the home Member State of the issuers whose voting rights are attached to the holdings managed by the management companies or investment firms, of the following:</w:t>
      </w:r>
    </w:p>
    <w:p w14:paraId="7BBDEE35" w14:textId="77777777" w:rsidR="006F4A83" w:rsidRDefault="006F4A83" w:rsidP="006F4A83">
      <w:pPr>
        <w:pStyle w:val="NormalWeb"/>
      </w:pPr>
      <w:r>
        <w:t>a. a list of the names of those management companies or investment firms, indicating the competent authorities responsible for their supervision, or stating that no competent authority supervises them, without referring to the relevant issuers;</w:t>
      </w:r>
      <w:r>
        <w:br/>
        <w:t>b. a statement that, in the case of each management company or investment firm, the parent undertaking fulfils the conditions laid down in paragraph 1 of this Article.</w:t>
      </w:r>
    </w:p>
    <w:p w14:paraId="40685912" w14:textId="77777777" w:rsidR="006F4A83" w:rsidRDefault="006F4A83" w:rsidP="006F4A83">
      <w:pPr>
        <w:pStyle w:val="NormalWeb"/>
      </w:pPr>
      <w:r>
        <w:t>The parent undertaking shall continuously update the list referred to in point (a) of paragraph 2 of this Article.</w:t>
      </w:r>
    </w:p>
    <w:p w14:paraId="7E2DDE14" w14:textId="77777777" w:rsidR="006F4A83" w:rsidRDefault="006F4A83" w:rsidP="006F4A83">
      <w:pPr>
        <w:pStyle w:val="NormalWeb"/>
      </w:pPr>
      <w:r w:rsidRPr="006F4A83">
        <w:rPr>
          <w:rStyle w:val="Strong"/>
          <w:rFonts w:eastAsiaTheme="majorEastAsia"/>
          <w:b w:val="0"/>
          <w:bCs w:val="0"/>
        </w:rPr>
        <w:t>3</w:t>
      </w:r>
      <w:r>
        <w:rPr>
          <w:rStyle w:val="Strong"/>
          <w:rFonts w:eastAsiaTheme="majorEastAsia"/>
        </w:rPr>
        <w:t>.</w:t>
      </w:r>
      <w:r>
        <w:t xml:space="preserve"> Where the parent undertaking intends to rely on the exemptions only in respect of the financial instruments referred to in Article 20 of this Law, it shall notify the Authority, in its capacity as the competent authority of the home State of the issuer, only of the list referred to in point (a) of paragraph 2 of this Article.</w:t>
      </w:r>
    </w:p>
    <w:p w14:paraId="40AD9D9A" w14:textId="77777777" w:rsidR="006F4A83" w:rsidRDefault="006F4A83" w:rsidP="006F4A83">
      <w:pPr>
        <w:pStyle w:val="NormalWeb"/>
      </w:pPr>
      <w:r w:rsidRPr="006F4A83">
        <w:rPr>
          <w:rStyle w:val="Strong"/>
          <w:rFonts w:eastAsiaTheme="majorEastAsia"/>
          <w:b w:val="0"/>
          <w:bCs w:val="0"/>
        </w:rPr>
        <w:t>4</w:t>
      </w:r>
      <w:r>
        <w:rPr>
          <w:rStyle w:val="Strong"/>
          <w:rFonts w:eastAsiaTheme="majorEastAsia"/>
        </w:rPr>
        <w:t>.</w:t>
      </w:r>
      <w:r>
        <w:t xml:space="preserve"> Without prejudice to Article 36 of this Law, a parent undertaking of a management company or an investment firm shall be able to demonstrate to the competent authority of the home Member State of the issuer, upon request, that:</w:t>
      </w:r>
    </w:p>
    <w:p w14:paraId="5F83EBFE" w14:textId="77777777" w:rsidR="006F4A83" w:rsidRDefault="006F4A83" w:rsidP="006F4A83">
      <w:pPr>
        <w:pStyle w:val="NormalWeb"/>
        <w:jc w:val="both"/>
      </w:pPr>
      <w:r>
        <w:lastRenderedPageBreak/>
        <w:t>a. the organisational structures of the parent undertaking and of the management company or investment firm are such that the voting rights are exercised independently from the parent undertaking;</w:t>
      </w:r>
      <w:r>
        <w:br/>
        <w:t>b. the persons who take decisions on the exercise of the voting rights act independently;</w:t>
      </w:r>
      <w:r>
        <w:br/>
        <w:t>c. where the parent undertaking is a client of its management company or investment firm, or holds a participation in the assets managed by the management company or investment firm, there is a clear written mandate establishing an independent arm’s-length relationship between the parent undertaking and the management company or investment firm.</w:t>
      </w:r>
    </w:p>
    <w:p w14:paraId="63016150" w14:textId="77777777" w:rsidR="006F4A83" w:rsidRDefault="006F4A83" w:rsidP="006F4A83">
      <w:pPr>
        <w:pStyle w:val="NormalWeb"/>
        <w:jc w:val="both"/>
      </w:pPr>
      <w:r>
        <w:t>The requirement in point (a) of this paragraph shall mean, as a minimum, that the parent undertaking and the management company or investment firm must establish written policies and procedures reasonably designed to prevent the exchange of information between them in relation to the exercise of voting rights.</w:t>
      </w:r>
    </w:p>
    <w:p w14:paraId="59EBADB9" w14:textId="34C77E83" w:rsidR="00070892" w:rsidRPr="006F4A83" w:rsidRDefault="006F4A83" w:rsidP="006F4A83">
      <w:pPr>
        <w:pStyle w:val="NormalWeb"/>
        <w:jc w:val="both"/>
      </w:pPr>
      <w:r w:rsidRPr="006F4A83">
        <w:rPr>
          <w:rStyle w:val="Strong"/>
          <w:rFonts w:eastAsiaTheme="majorEastAsia"/>
          <w:b w:val="0"/>
          <w:bCs w:val="0"/>
        </w:rPr>
        <w:t>5.</w:t>
      </w:r>
      <w:r>
        <w:t xml:space="preserve"> For the purposes of point (a) of paragraph 1, “direct instruction” shall mean any instruction given by the parent undertaking, or by another undertaking controlled by the parent undertaking, specifying how the voting rights are to be exercised by the management company or the investment firm in particular cases. “Indirect instruction” shall mean any general or specific instruction, regardless of form, given by the parent undertaking or by another undertaking controlled by the parent undertaking, which limits the discretion of the management company or of the investment firm in relation to the exercise of the voting rights, with the objective of serving the specific business interests of the parent undertaking or another undertaking controlled by the parent undertaking.</w:t>
      </w:r>
    </w:p>
    <w:p w14:paraId="6D7BF837" w14:textId="77777777" w:rsidR="00070892" w:rsidRPr="005125ED" w:rsidRDefault="00070892" w:rsidP="00872FDA">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20645971" w14:textId="23986CE9" w:rsidR="00070892" w:rsidRPr="005125ED" w:rsidRDefault="006F4A83" w:rsidP="00F30ACD">
      <w:pPr>
        <w:keepNext/>
        <w:keepLines/>
        <w:spacing w:before="480" w:after="240" w:line="240" w:lineRule="auto"/>
        <w:ind w:left="3600"/>
        <w:contextualSpacing/>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070892" w:rsidRPr="005125ED">
        <w:rPr>
          <w:rFonts w:ascii="Times New Roman" w:eastAsia="Times New Roman" w:hAnsi="Times New Roman" w:cs="Times New Roman"/>
          <w:b/>
          <w:bCs/>
          <w:kern w:val="0"/>
          <w:lang w:val="sq-AL"/>
          <w14:ligatures w14:val="none"/>
        </w:rPr>
        <w:t xml:space="preserve"> </w:t>
      </w:r>
      <w:r w:rsidR="00E65E40" w:rsidRPr="005125ED">
        <w:rPr>
          <w:rFonts w:ascii="Times New Roman" w:eastAsia="Times New Roman" w:hAnsi="Times New Roman" w:cs="Times New Roman"/>
          <w:b/>
          <w:bCs/>
          <w:kern w:val="0"/>
          <w:lang w:val="sq-AL"/>
          <w14:ligatures w14:val="none"/>
        </w:rPr>
        <w:t>1</w:t>
      </w:r>
      <w:r w:rsidR="00655C91" w:rsidRPr="005125ED">
        <w:rPr>
          <w:rFonts w:ascii="Times New Roman" w:eastAsia="Times New Roman" w:hAnsi="Times New Roman" w:cs="Times New Roman"/>
          <w:b/>
          <w:bCs/>
          <w:kern w:val="0"/>
          <w:lang w:val="sq-AL"/>
          <w14:ligatures w14:val="none"/>
        </w:rPr>
        <w:t>9</w:t>
      </w:r>
    </w:p>
    <w:p w14:paraId="5DC64CAD" w14:textId="7F6852BA" w:rsidR="00ED59CF" w:rsidRDefault="00ED59CF" w:rsidP="00ED59CF">
      <w:pPr>
        <w:keepNext/>
        <w:keepLines/>
        <w:spacing w:before="480" w:after="240" w:line="240" w:lineRule="auto"/>
        <w:contextualSpacing/>
        <w:jc w:val="center"/>
        <w:rPr>
          <w:rFonts w:ascii="Times New Roman" w:hAnsi="Times New Roman" w:cs="Times New Roman"/>
          <w:b/>
          <w:bCs/>
        </w:rPr>
      </w:pPr>
      <w:r w:rsidRPr="00ED59CF">
        <w:rPr>
          <w:rFonts w:ascii="Times New Roman" w:hAnsi="Times New Roman" w:cs="Times New Roman"/>
          <w:b/>
          <w:bCs/>
        </w:rPr>
        <w:t>Types of financial instruments that confer the right to acquire, on the sole initiative of the holder, shares to which voting rights are attached</w:t>
      </w:r>
    </w:p>
    <w:p w14:paraId="5EA9E1A5" w14:textId="77777777" w:rsidR="00ED59CF" w:rsidRDefault="00ED59CF" w:rsidP="00ED59CF">
      <w:pPr>
        <w:keepNext/>
        <w:keepLines/>
        <w:spacing w:before="480" w:after="240" w:line="240" w:lineRule="auto"/>
        <w:contextualSpacing/>
        <w:jc w:val="center"/>
        <w:rPr>
          <w:rFonts w:ascii="Times New Roman" w:hAnsi="Times New Roman" w:cs="Times New Roman"/>
          <w:b/>
          <w:bCs/>
        </w:rPr>
      </w:pPr>
    </w:p>
    <w:p w14:paraId="28C5DE78" w14:textId="77777777" w:rsidR="00ED59CF" w:rsidRDefault="00ED59CF" w:rsidP="00ED59CF">
      <w:pPr>
        <w:keepNext/>
        <w:keepLines/>
        <w:spacing w:before="480" w:after="240" w:line="240" w:lineRule="auto"/>
        <w:contextualSpacing/>
        <w:jc w:val="center"/>
        <w:rPr>
          <w:rFonts w:ascii="Times New Roman" w:hAnsi="Times New Roman" w:cs="Times New Roman"/>
          <w:b/>
          <w:bCs/>
        </w:rPr>
      </w:pPr>
    </w:p>
    <w:p w14:paraId="485C8B3D" w14:textId="567F1751" w:rsidR="00ED59CF" w:rsidRDefault="00ED59CF" w:rsidP="00ED59CF">
      <w:pPr>
        <w:pStyle w:val="NormalWeb"/>
        <w:numPr>
          <w:ilvl w:val="0"/>
          <w:numId w:val="259"/>
        </w:numPr>
        <w:ind w:left="0"/>
      </w:pPr>
      <w:r>
        <w:t>The notification required under Article 20(1) of this Law shall include the following information:</w:t>
      </w:r>
      <w:r>
        <w:br/>
        <w:t>(a) the resulting situation in terms of voting rights;</w:t>
      </w:r>
      <w:r>
        <w:br/>
        <w:t>(b) where applicable, the chain of controlled undertakings through which the financial instruments are effectively held;</w:t>
      </w:r>
      <w:r>
        <w:br/>
        <w:t>(c) the date on which the relevant threshold was reached or crossed;</w:t>
      </w:r>
      <w:r>
        <w:br/>
        <w:t>(d) for instruments with a period for exercise, an indication of the date or period in which the shares will or can be acquired or exercised, where applicable;</w:t>
      </w:r>
      <w:r>
        <w:br/>
        <w:t>(e) the maturity or expiry date of the instrument;</w:t>
      </w:r>
      <w:r>
        <w:br/>
        <w:t>(f) the identity of the holder;</w:t>
      </w:r>
      <w:r>
        <w:br/>
        <w:t>(g) the name of the issuer of the underlying shares.</w:t>
      </w:r>
    </w:p>
    <w:p w14:paraId="0C5CCDD1" w14:textId="77777777" w:rsidR="00ED59CF" w:rsidRDefault="00ED59CF" w:rsidP="00ED59CF">
      <w:pPr>
        <w:pStyle w:val="NormalWeb"/>
        <w:jc w:val="both"/>
      </w:pPr>
      <w:r>
        <w:t>For the purposes of point (a), the percentage of voting rights shall be calculated in relation to the total number of voting rights and capital as last made public by the issuer in accordance with Article 23 of this Law.</w:t>
      </w:r>
    </w:p>
    <w:p w14:paraId="5F507A0E" w14:textId="77777777" w:rsidR="00ED59CF" w:rsidRDefault="00ED59CF" w:rsidP="00ED59CF">
      <w:pPr>
        <w:pStyle w:val="NormalWeb"/>
      </w:pPr>
      <w:r w:rsidRPr="00ED59CF">
        <w:rPr>
          <w:rStyle w:val="Strong"/>
          <w:rFonts w:eastAsiaTheme="majorEastAsia"/>
          <w:b w:val="0"/>
          <w:bCs w:val="0"/>
        </w:rPr>
        <w:lastRenderedPageBreak/>
        <w:t>2</w:t>
      </w:r>
      <w:r>
        <w:rPr>
          <w:rStyle w:val="Strong"/>
          <w:rFonts w:eastAsiaTheme="majorEastAsia"/>
        </w:rPr>
        <w:t>.</w:t>
      </w:r>
      <w:r>
        <w:t xml:space="preserve"> The deadline for the notification shall be the same as that set out in Article 15(2) of this Law.</w:t>
      </w:r>
    </w:p>
    <w:p w14:paraId="6F3ED915" w14:textId="77777777" w:rsidR="00ED59CF" w:rsidRDefault="00ED59CF" w:rsidP="00ED59CF">
      <w:pPr>
        <w:pStyle w:val="NormalWeb"/>
        <w:jc w:val="both"/>
      </w:pPr>
      <w:r w:rsidRPr="00ED59CF">
        <w:rPr>
          <w:rStyle w:val="Strong"/>
          <w:rFonts w:eastAsiaTheme="majorEastAsia"/>
          <w:b w:val="0"/>
          <w:bCs w:val="0"/>
        </w:rPr>
        <w:t>3</w:t>
      </w:r>
      <w:r>
        <w:rPr>
          <w:rStyle w:val="Strong"/>
          <w:rFonts w:eastAsiaTheme="majorEastAsia"/>
        </w:rPr>
        <w:t>.</w:t>
      </w:r>
      <w:r>
        <w:t xml:space="preserve"> The notification shall be addressed to the issuer of the underlying shares and to the competent authority of the Home State of that issuer.</w:t>
      </w:r>
      <w:r>
        <w:br/>
        <w:t>Where a financial instrument relates to more than one underlying share, a separate notification shall be made for each issuer of the underlying shares.</w:t>
      </w:r>
    </w:p>
    <w:p w14:paraId="61E97B48" w14:textId="77777777" w:rsidR="00070892" w:rsidRPr="005125ED" w:rsidRDefault="00070892"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7C2893C4" w14:textId="77777777" w:rsidR="00070892" w:rsidRPr="005125ED" w:rsidRDefault="00070892" w:rsidP="00F30ACD">
      <w:pPr>
        <w:keepNext/>
        <w:keepLines/>
        <w:spacing w:before="480" w:after="240" w:line="240" w:lineRule="auto"/>
        <w:contextualSpacing/>
        <w:rPr>
          <w:rFonts w:ascii="Times New Roman" w:eastAsia="Times New Roman" w:hAnsi="Times New Roman" w:cs="Times New Roman"/>
          <w:b/>
          <w:bCs/>
          <w:kern w:val="0"/>
          <w:lang w:val="sq-AL"/>
          <w14:ligatures w14:val="none"/>
        </w:rPr>
      </w:pPr>
    </w:p>
    <w:p w14:paraId="5C450BE4" w14:textId="706E0220" w:rsidR="00872FDA" w:rsidRPr="005125ED" w:rsidRDefault="00ED59CF"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655C91" w:rsidRPr="005125ED">
        <w:rPr>
          <w:rFonts w:ascii="Times New Roman" w:eastAsia="Times New Roman" w:hAnsi="Times New Roman" w:cs="Times New Roman"/>
          <w:b/>
          <w:bCs/>
          <w:kern w:val="0"/>
          <w:lang w:val="sq-AL"/>
          <w14:ligatures w14:val="none"/>
        </w:rPr>
        <w:t>20</w:t>
      </w:r>
    </w:p>
    <w:p w14:paraId="39606FF0" w14:textId="747EFCBF" w:rsidR="00EB55D5" w:rsidRDefault="00ED59CF"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Notification Requirements</w:t>
      </w:r>
    </w:p>
    <w:p w14:paraId="62F52DAB" w14:textId="77777777" w:rsidR="00ED59CF" w:rsidRDefault="00ED59CF"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75FA979D" w14:textId="77777777" w:rsidR="00ED59CF" w:rsidRDefault="00ED59CF"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2E86DC95" w14:textId="77777777" w:rsidR="00ED59CF" w:rsidRDefault="00ED59CF"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27E8CDB4" w14:textId="39B4FBAB" w:rsidR="007E7F29" w:rsidRDefault="007E7F29" w:rsidP="007E7F29">
      <w:pPr>
        <w:pStyle w:val="NormalWeb"/>
      </w:pPr>
      <w:r>
        <w:t>1. The notification requirements set out in Article 12 of this Law shall also apply to natural or legal persons who hold, directly or indirectly:</w:t>
      </w:r>
    </w:p>
    <w:p w14:paraId="058098F8" w14:textId="15AA8668" w:rsidR="007E7F29" w:rsidRDefault="007E7F29" w:rsidP="007E7F29">
      <w:pPr>
        <w:pStyle w:val="NormalWeb"/>
      </w:pPr>
      <w:r>
        <w:t>(a) financial instruments which, upon maturity, give the holder, under a formal agreement, either the unconditional right to acquire, or the discretion as to his right to acquire, shares already issued by an issuer whose shares are admitted to trading on a regulated market and to which voting rights are attached;</w:t>
      </w:r>
    </w:p>
    <w:p w14:paraId="0D9C2F72" w14:textId="2F348BA7" w:rsidR="007E7F29" w:rsidRDefault="007E7F29" w:rsidP="007E7F29">
      <w:pPr>
        <w:pStyle w:val="NormalWeb"/>
      </w:pPr>
      <w:r>
        <w:t>(b) financial instruments which are not included in point (a) of this paragraph but which are referenced to the shares referred to in that point and have an economic effect similar to that of the financial instruments referred to therein, whether or not they confer the right to physical settlement.</w:t>
      </w:r>
    </w:p>
    <w:p w14:paraId="72910E24" w14:textId="33622819" w:rsidR="007E7F29" w:rsidRDefault="007E7F29" w:rsidP="007E7F29">
      <w:pPr>
        <w:pStyle w:val="NormalWeb"/>
      </w:pPr>
      <w:r>
        <w:t>The notification required shall include a breakdown by type of financial instrument held in accordance with point (a) and by type of financial instrument held in accordance with point (b) of this paragraph, distinguishing between financial instruments conferring the right to physical settlement and financial instruments providing for cash settlement.</w:t>
      </w:r>
    </w:p>
    <w:p w14:paraId="26B6C515" w14:textId="7392C6F3" w:rsidR="007E7F29" w:rsidRDefault="007E7F29" w:rsidP="007E7F29">
      <w:pPr>
        <w:pStyle w:val="NormalWeb"/>
      </w:pPr>
      <w:r>
        <w:t>2. The number of voting rights shall be calculated by reference to the full nominal amount of the underlying shares of the financial instrument, except where the financial instrument provides exclusively for cash settlement, in which case the number of voting rights shall be calculated on a delta-adjusted basis by multiplying the nominal amount of the underlying shares by the delta of the instrument.</w:t>
      </w:r>
    </w:p>
    <w:p w14:paraId="4CB3889A" w14:textId="77777777" w:rsidR="007E7F29" w:rsidRDefault="007E7F29" w:rsidP="007E7F29">
      <w:pPr>
        <w:pStyle w:val="NormalWeb"/>
      </w:pPr>
      <w:r>
        <w:t>For that purpose, the holder shall aggregate and notify all financial instruments relating to the same underlying issuer. For the calculation of voting rights, only long positions shall be taken into account. Long positions shall not be netted with short positions relating to the same underlying issuer.</w:t>
      </w:r>
    </w:p>
    <w:p w14:paraId="1E8C4AD9" w14:textId="77777777" w:rsidR="007E7F29" w:rsidRDefault="007E7F29" w:rsidP="007E7F29">
      <w:pPr>
        <w:pStyle w:val="NormalWeb"/>
      </w:pPr>
    </w:p>
    <w:p w14:paraId="7727E8A6" w14:textId="60E855D0" w:rsidR="007E7F29" w:rsidRDefault="007E7F29" w:rsidP="007E7F29">
      <w:pPr>
        <w:pStyle w:val="NormalWeb"/>
      </w:pPr>
      <w:r>
        <w:lastRenderedPageBreak/>
        <w:t>The voting rights referred to in this paragraph, in the case of a financial instrument referenced to a basket of shares or an index, shall be calculated on the basis of the weight of the share in the basket or index where one of the following conditions is met:</w:t>
      </w:r>
    </w:p>
    <w:p w14:paraId="354F6313" w14:textId="5F789463" w:rsidR="007E7F29" w:rsidRDefault="007E7F29" w:rsidP="007E7F29">
      <w:pPr>
        <w:pStyle w:val="NormalWeb"/>
      </w:pPr>
      <w:r>
        <w:t>(a) the voting rights in a given issuer held through financial instruments referenced to the basket or index represent 1 % or more of the voting rights attached to the shares of that issuer;</w:t>
      </w:r>
    </w:p>
    <w:p w14:paraId="155EF61C" w14:textId="1686D6B5" w:rsidR="007E7F29" w:rsidRDefault="007E7F29" w:rsidP="007E7F29">
      <w:pPr>
        <w:pStyle w:val="NormalWeb"/>
      </w:pPr>
      <w:r>
        <w:t>(b) the shares in the basket or index represent 20 % or more of the value of the securities in the basket or index.</w:t>
      </w:r>
    </w:p>
    <w:p w14:paraId="5ED5F017" w14:textId="7A660154" w:rsidR="007E7F29" w:rsidRDefault="007E7F29" w:rsidP="007E7F29">
      <w:pPr>
        <w:pStyle w:val="NormalWeb"/>
      </w:pPr>
      <w:r>
        <w:t>Where a financial instrument refers to a series of baskets of shares or indices, the voting rights held through the individual baskets or indices shall not be aggregated for the purposes of the thresholds set out above.</w:t>
      </w:r>
    </w:p>
    <w:p w14:paraId="52DBE28F" w14:textId="63CB6556" w:rsidR="007E7F29" w:rsidRDefault="007E7F29" w:rsidP="007E7F29">
      <w:pPr>
        <w:pStyle w:val="NormalWeb"/>
      </w:pPr>
      <w:r>
        <w:t>3. The number of voting rights relating to financial instruments which provide exclusively for cash settlement and have a linear, symmetric pay-off profile with the underlying share shall be calculated on a delta-adjusted basis, with the cash position being equal to 1.</w:t>
      </w:r>
    </w:p>
    <w:p w14:paraId="12F46E09" w14:textId="23348F22" w:rsidR="007E7F29" w:rsidRDefault="007E7F29" w:rsidP="007E7F29">
      <w:pPr>
        <w:pStyle w:val="NormalWeb"/>
      </w:pPr>
      <w:r>
        <w:t>The number of voting rights relating to a financial instrument which provides exclusively for cash settlement and which does not have a linear, symmetric pay-off profile with the underlying share shall be calculated on a delta-adjusted basis, using a standard pricing model that is widely accepted.</w:t>
      </w:r>
    </w:p>
    <w:p w14:paraId="70821028" w14:textId="5D688C23" w:rsidR="007E7F29" w:rsidRDefault="007E7F29" w:rsidP="007E7F29">
      <w:pPr>
        <w:pStyle w:val="NormalWeb"/>
      </w:pPr>
      <w:r>
        <w:t>A widely accepted standard pricing model shall be a model commonly used in the financial industry for that financial instrument and sufficiently robust to take into account the elements relevant to the valuation of the instrument. Those elements shall include at least:</w:t>
      </w:r>
    </w:p>
    <w:p w14:paraId="48B2C119" w14:textId="77777777" w:rsidR="007E7F29" w:rsidRDefault="007E7F29" w:rsidP="007E7F29">
      <w:pPr>
        <w:pStyle w:val="NormalWeb"/>
      </w:pPr>
      <w:r>
        <w:t>(a) interest rate;</w:t>
      </w:r>
    </w:p>
    <w:p w14:paraId="0CA6AB96" w14:textId="77777777" w:rsidR="007E7F29" w:rsidRDefault="007E7F29" w:rsidP="007E7F29">
      <w:pPr>
        <w:pStyle w:val="NormalWeb"/>
      </w:pPr>
      <w:r>
        <w:t>(b) dividend payments;</w:t>
      </w:r>
    </w:p>
    <w:p w14:paraId="71114240" w14:textId="77777777" w:rsidR="007E7F29" w:rsidRDefault="007E7F29" w:rsidP="007E7F29">
      <w:pPr>
        <w:pStyle w:val="NormalWeb"/>
      </w:pPr>
      <w:r>
        <w:t>(c) time to maturity;</w:t>
      </w:r>
    </w:p>
    <w:p w14:paraId="3E278A42" w14:textId="77777777" w:rsidR="007E7F29" w:rsidRDefault="007E7F29" w:rsidP="007E7F29">
      <w:pPr>
        <w:pStyle w:val="NormalWeb"/>
      </w:pPr>
      <w:r>
        <w:t>(d) volatility;</w:t>
      </w:r>
    </w:p>
    <w:p w14:paraId="486F8F52" w14:textId="4FB8B0F6" w:rsidR="007E7F29" w:rsidRDefault="007E7F29" w:rsidP="007E7F29">
      <w:pPr>
        <w:pStyle w:val="NormalWeb"/>
      </w:pPr>
      <w:r>
        <w:t>(e) the price of the underlying share.</w:t>
      </w:r>
    </w:p>
    <w:p w14:paraId="19A3472F" w14:textId="3EBD2EAA" w:rsidR="007E7F29" w:rsidRDefault="007E7F29" w:rsidP="007E7F29">
      <w:pPr>
        <w:pStyle w:val="NormalWeb"/>
      </w:pPr>
      <w:r>
        <w:t>When determining delta, the holder of the financial instrument shall ensure that:</w:t>
      </w:r>
    </w:p>
    <w:p w14:paraId="27EE8DBF" w14:textId="77777777" w:rsidR="007E7F29" w:rsidRDefault="007E7F29" w:rsidP="007E7F29">
      <w:pPr>
        <w:pStyle w:val="NormalWeb"/>
      </w:pPr>
      <w:r>
        <w:t>(i) the model used captures the complexity and risks of each financial instrument;</w:t>
      </w:r>
    </w:p>
    <w:p w14:paraId="05C0B0A8" w14:textId="77777777" w:rsidR="007E7F29" w:rsidRDefault="007E7F29" w:rsidP="007E7F29">
      <w:pPr>
        <w:pStyle w:val="NormalWeb"/>
      </w:pPr>
      <w:r>
        <w:t>(ii) the same model is used consistently for the calculation of the number of voting rights relating to a given financial instrument.</w:t>
      </w:r>
    </w:p>
    <w:p w14:paraId="4C45CF75" w14:textId="77777777" w:rsidR="007E7F29" w:rsidRDefault="007E7F29" w:rsidP="007E7F29">
      <w:pPr>
        <w:pStyle w:val="NormalWeb"/>
      </w:pPr>
    </w:p>
    <w:p w14:paraId="56B97279" w14:textId="7C3FFBCA" w:rsidR="007E7F29" w:rsidRDefault="007E7F29" w:rsidP="007E7F29">
      <w:pPr>
        <w:pStyle w:val="NormalWeb"/>
      </w:pPr>
      <w:r>
        <w:lastRenderedPageBreak/>
        <w:t>Information technology systems used for the delta calculation shall ensure consistent, accurate and timely reporting of voting rights.</w:t>
      </w:r>
    </w:p>
    <w:p w14:paraId="20AC0FAB" w14:textId="07865D52" w:rsidR="007E7F29" w:rsidRDefault="007E7F29" w:rsidP="007E7F29">
      <w:pPr>
        <w:pStyle w:val="NormalWeb"/>
      </w:pPr>
      <w:r>
        <w:t>The number of voting rights shall be calculated on a daily basis, taking into account the latest closing price of the underlying share. The holder of the financial instrument shall notify the issuer when reaching, exceeding or falling below the thresholds provided for in Article 12(1) of this Law.</w:t>
      </w:r>
    </w:p>
    <w:p w14:paraId="087582C8" w14:textId="326293C2" w:rsidR="007E7F29" w:rsidRDefault="007E7F29" w:rsidP="007E7F29">
      <w:pPr>
        <w:pStyle w:val="NormalWeb"/>
      </w:pPr>
      <w:r>
        <w:t>4. For the purposes of paragraph 1 of this Article, where one of the conditions set out in points (a) or (b) is met, financial instruments shall include:</w:t>
      </w:r>
    </w:p>
    <w:p w14:paraId="1F26F126" w14:textId="77777777" w:rsidR="007E7F29" w:rsidRDefault="007E7F29" w:rsidP="007E7F29">
      <w:pPr>
        <w:pStyle w:val="NormalWeb"/>
      </w:pPr>
      <w:r>
        <w:t>(a) transferable securities;</w:t>
      </w:r>
    </w:p>
    <w:p w14:paraId="33FE0503" w14:textId="77777777" w:rsidR="007E7F29" w:rsidRDefault="007E7F29" w:rsidP="007E7F29">
      <w:pPr>
        <w:pStyle w:val="NormalWeb"/>
      </w:pPr>
      <w:r>
        <w:t>(b) options;</w:t>
      </w:r>
    </w:p>
    <w:p w14:paraId="3313257F" w14:textId="77777777" w:rsidR="007E7F29" w:rsidRDefault="007E7F29" w:rsidP="007E7F29">
      <w:pPr>
        <w:pStyle w:val="NormalWeb"/>
      </w:pPr>
      <w:r>
        <w:t>(c) futures;</w:t>
      </w:r>
    </w:p>
    <w:p w14:paraId="00925813" w14:textId="77777777" w:rsidR="007E7F29" w:rsidRDefault="007E7F29" w:rsidP="007E7F29">
      <w:pPr>
        <w:pStyle w:val="NormalWeb"/>
      </w:pPr>
      <w:r>
        <w:t>(d) swaps;</w:t>
      </w:r>
    </w:p>
    <w:p w14:paraId="094989B4" w14:textId="77777777" w:rsidR="007E7F29" w:rsidRDefault="007E7F29" w:rsidP="007E7F29">
      <w:pPr>
        <w:pStyle w:val="NormalWeb"/>
      </w:pPr>
      <w:r>
        <w:t>(e) forward rate agreements;</w:t>
      </w:r>
    </w:p>
    <w:p w14:paraId="653465BA" w14:textId="77777777" w:rsidR="007E7F29" w:rsidRDefault="007E7F29" w:rsidP="007E7F29">
      <w:pPr>
        <w:pStyle w:val="NormalWeb"/>
      </w:pPr>
      <w:r>
        <w:t>(f) contracts for difference; and</w:t>
      </w:r>
    </w:p>
    <w:p w14:paraId="07DF1401" w14:textId="6B6BADB1" w:rsidR="007E7F29" w:rsidRDefault="007E7F29" w:rsidP="007E7F29">
      <w:pPr>
        <w:pStyle w:val="NormalWeb"/>
      </w:pPr>
      <w:r>
        <w:t>(g) any other contract or agreement with similar economic effects, whether settled physically or in cash.</w:t>
      </w:r>
    </w:p>
    <w:p w14:paraId="260C2F58" w14:textId="6697A820" w:rsidR="007E7F29" w:rsidRDefault="007E7F29" w:rsidP="007E7F29">
      <w:pPr>
        <w:pStyle w:val="NormalWeb"/>
      </w:pPr>
      <w:r>
        <w:t>The Authority shall publish an indicative list of financial instruments subject to the notification requirements referred to in paragraph 1, taking into account technical developments in financial markets, as developed and periodically updated by ESMA.</w:t>
      </w:r>
    </w:p>
    <w:p w14:paraId="3DABA05C" w14:textId="39A36E0E" w:rsidR="007E7F29" w:rsidRDefault="007E7F29" w:rsidP="007E7F29">
      <w:pPr>
        <w:pStyle w:val="NormalWeb"/>
      </w:pPr>
      <w:r>
        <w:t>5. In order to ensure uniform conditions for the application of paragraph 1 of this Article and to take account of technical developments in financial markets, the Authority shall adopt rules in accordance with implementing technical standards developed by ESMA, for the purpose of specifying standard forms, templates and procedures to be used when notifying the information required to the issuer pursuant to paragraph 1 of this Article or when filing information in accordance with Article 27(3) of this Law.</w:t>
      </w:r>
    </w:p>
    <w:p w14:paraId="6A3884CF" w14:textId="35B94DA2" w:rsidR="00ED59CF" w:rsidRPr="00ED59CF" w:rsidRDefault="007E7F29" w:rsidP="00872FDA">
      <w:pPr>
        <w:keepNext/>
        <w:keepLines/>
        <w:spacing w:before="480" w:after="240" w:line="240" w:lineRule="auto"/>
        <w:contextualSpacing/>
        <w:jc w:val="center"/>
        <w:rPr>
          <w:rFonts w:ascii="Times New Roman" w:eastAsia="Times New Roman" w:hAnsi="Times New Roman" w:cs="Times New Roman"/>
          <w:b/>
          <w:bCs/>
          <w:kern w:val="0"/>
          <w14:ligatures w14:val="none"/>
        </w:rPr>
      </w:pPr>
      <w:r>
        <w:t>6. The exemptions provided for in Article 12(4), (5) and (6) and in Article 15(3), (4) and (5) shall apply, on a case-by-case basis, to the notification requirements under this Article.</w:t>
      </w:r>
    </w:p>
    <w:p w14:paraId="313DF008" w14:textId="77777777" w:rsidR="00DA7255" w:rsidRPr="005125ED" w:rsidRDefault="00DA7255" w:rsidP="00ED59CF">
      <w:pPr>
        <w:widowControl w:val="0"/>
        <w:spacing w:after="0" w:line="240" w:lineRule="auto"/>
        <w:rPr>
          <w:rFonts w:ascii="Times New Roman" w:eastAsia="Times New Roman" w:hAnsi="Times New Roman" w:cs="Times New Roman"/>
          <w:b/>
          <w:bCs/>
          <w:kern w:val="0"/>
          <w:lang w:val="sq-AL"/>
          <w14:ligatures w14:val="none"/>
        </w:rPr>
      </w:pPr>
    </w:p>
    <w:p w14:paraId="7D77638B" w14:textId="317A68E6" w:rsidR="00872FDA" w:rsidRPr="005125ED" w:rsidRDefault="00ED59CF" w:rsidP="00872FDA">
      <w:pPr>
        <w:widowControl w:val="0"/>
        <w:spacing w:after="0" w:line="240" w:lineRule="auto"/>
        <w:jc w:val="center"/>
        <w:rPr>
          <w:rFonts w:ascii="Times New Roman" w:eastAsia="Times New Roman" w:hAnsi="Times New Roman" w:cs="Times New Roman"/>
          <w:kern w:val="0"/>
          <w:lang w:val="sq-AL"/>
          <w14:ligatures w14:val="none"/>
        </w:rPr>
      </w:pPr>
      <w:r>
        <w:rPr>
          <w:rFonts w:ascii="Times New Roman" w:eastAsia="Times New Roman" w:hAnsi="Times New Roman" w:cs="Times New Roman"/>
          <w:b/>
          <w:bCs/>
          <w:kern w:val="0"/>
          <w:lang w:val="sq-AL"/>
          <w14:ligatures w14:val="none"/>
        </w:rPr>
        <w:t xml:space="preserve">Article </w:t>
      </w:r>
      <w:r w:rsidR="006B1FC1" w:rsidRPr="005125ED">
        <w:rPr>
          <w:rFonts w:ascii="Times New Roman" w:eastAsia="Times New Roman" w:hAnsi="Times New Roman" w:cs="Times New Roman"/>
          <w:b/>
          <w:bCs/>
          <w:kern w:val="0"/>
          <w:lang w:val="sq-AL"/>
          <w14:ligatures w14:val="none"/>
        </w:rPr>
        <w:t>2</w:t>
      </w:r>
      <w:r w:rsidR="00655C91" w:rsidRPr="005125ED">
        <w:rPr>
          <w:rFonts w:ascii="Times New Roman" w:eastAsia="Times New Roman" w:hAnsi="Times New Roman" w:cs="Times New Roman"/>
          <w:b/>
          <w:bCs/>
          <w:kern w:val="0"/>
          <w:lang w:val="sq-AL"/>
          <w14:ligatures w14:val="none"/>
        </w:rPr>
        <w:t>1</w:t>
      </w:r>
    </w:p>
    <w:p w14:paraId="6832C5DA" w14:textId="6F5C0A64" w:rsidR="00872FDA" w:rsidRDefault="00ED59CF"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Aggregation</w:t>
      </w:r>
    </w:p>
    <w:p w14:paraId="7B97C8BA" w14:textId="42FDE7D0" w:rsidR="00ED59CF" w:rsidRDefault="00ED59CF" w:rsidP="0057226B">
      <w:pPr>
        <w:pStyle w:val="NormalWeb"/>
        <w:numPr>
          <w:ilvl w:val="0"/>
          <w:numId w:val="262"/>
        </w:numPr>
        <w:ind w:left="90" w:hanging="180"/>
        <w:jc w:val="both"/>
      </w:pPr>
      <w:r>
        <w:rPr>
          <w:lang w:val="sq-AL"/>
        </w:rPr>
        <w:t xml:space="preserve"> </w:t>
      </w:r>
      <w:r>
        <w:t xml:space="preserve">The notification requirements laid down in Articles 12, 13 and 20 of this Law shall also apply to natural persons or legal persons where the number of voting rights held directly or indirectly </w:t>
      </w:r>
      <w:r>
        <w:lastRenderedPageBreak/>
        <w:t>by such person pursuant to Articles 12 and 13, together with the number of voting rights relating to financial instruments held directly or indirectly pursuant to Article 20, reaches, exceeds or falls below the thresholds set out in Article 12(1).</w:t>
      </w:r>
    </w:p>
    <w:p w14:paraId="08FC70C6" w14:textId="77777777" w:rsidR="00ED59CF" w:rsidRDefault="00ED59CF" w:rsidP="0057226B">
      <w:pPr>
        <w:pStyle w:val="NormalWeb"/>
        <w:jc w:val="both"/>
      </w:pPr>
      <w:r>
        <w:t>The notification required under the first subparagraph of this paragraph shall include a breakdown of the number of voting rights attached to shares held in accordance with Articles 12 and 13, and of the voting rights relating to financial instruments within the meaning of Article 20.</w:t>
      </w:r>
    </w:p>
    <w:p w14:paraId="440AD240" w14:textId="18A8769C" w:rsidR="00ED59CF" w:rsidRPr="0057226B" w:rsidRDefault="00ED59CF" w:rsidP="0057226B">
      <w:pPr>
        <w:pStyle w:val="NormalWeb"/>
        <w:jc w:val="both"/>
      </w:pPr>
      <w:r w:rsidRPr="00ED59CF">
        <w:rPr>
          <w:rStyle w:val="Strong"/>
          <w:rFonts w:eastAsiaTheme="majorEastAsia"/>
          <w:b w:val="0"/>
          <w:bCs w:val="0"/>
        </w:rPr>
        <w:t>2.</w:t>
      </w:r>
      <w:r>
        <w:t xml:space="preserve"> Voting rights relating to financial instruments that have already been notified in accordance with Article 20 shall be notified again when the natural or legal person acquires the underlying shares and, as a result of such acquisition, the total number of voting rights attached to the shares issued by the same issuer reaches or exceeds the thresholds set out in Article 12(1).</w:t>
      </w:r>
    </w:p>
    <w:p w14:paraId="5E5DF4D6" w14:textId="77777777" w:rsidR="00ED59CF" w:rsidRDefault="00ED59CF"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001C7264" w14:textId="174CC981" w:rsidR="00872FDA" w:rsidRPr="005125ED" w:rsidRDefault="0057226B"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872FDA" w:rsidRPr="005125ED">
        <w:rPr>
          <w:rFonts w:ascii="Times New Roman" w:eastAsia="Times New Roman" w:hAnsi="Times New Roman" w:cs="Times New Roman"/>
          <w:b/>
          <w:bCs/>
          <w:kern w:val="0"/>
          <w:lang w:val="sq-AL"/>
          <w14:ligatures w14:val="none"/>
        </w:rPr>
        <w:t>2</w:t>
      </w:r>
      <w:r w:rsidR="00655C91" w:rsidRPr="005125ED">
        <w:rPr>
          <w:rFonts w:ascii="Times New Roman" w:eastAsia="Times New Roman" w:hAnsi="Times New Roman" w:cs="Times New Roman"/>
          <w:b/>
          <w:bCs/>
          <w:kern w:val="0"/>
          <w:lang w:val="sq-AL"/>
          <w14:ligatures w14:val="none"/>
        </w:rPr>
        <w:t>2</w:t>
      </w:r>
    </w:p>
    <w:p w14:paraId="33C5303F" w14:textId="3C53CF2D" w:rsidR="00872FDA" w:rsidRPr="0057226B" w:rsidRDefault="0057226B" w:rsidP="0057226B">
      <w:pPr>
        <w:widowControl w:val="0"/>
        <w:spacing w:after="0" w:line="240" w:lineRule="auto"/>
        <w:ind w:left="2160"/>
        <w:jc w:val="both"/>
        <w:rPr>
          <w:rFonts w:ascii="Times New Roman" w:hAnsi="Times New Roman" w:cs="Times New Roman"/>
          <w:b/>
          <w:bCs/>
        </w:rPr>
      </w:pPr>
      <w:r w:rsidRPr="0057226B">
        <w:rPr>
          <w:rFonts w:ascii="Times New Roman" w:hAnsi="Times New Roman" w:cs="Times New Roman"/>
          <w:b/>
          <w:bCs/>
        </w:rPr>
        <w:t xml:space="preserve">   </w:t>
      </w:r>
      <w:r>
        <w:rPr>
          <w:rFonts w:ascii="Times New Roman" w:hAnsi="Times New Roman" w:cs="Times New Roman"/>
          <w:b/>
          <w:bCs/>
        </w:rPr>
        <w:t xml:space="preserve">  </w:t>
      </w:r>
      <w:r w:rsidRPr="0057226B">
        <w:rPr>
          <w:rFonts w:ascii="Times New Roman" w:hAnsi="Times New Roman" w:cs="Times New Roman"/>
          <w:b/>
          <w:bCs/>
        </w:rPr>
        <w:t>Obligation of the issuer to disclose</w:t>
      </w:r>
    </w:p>
    <w:p w14:paraId="274A618B" w14:textId="77777777" w:rsidR="0057226B" w:rsidRDefault="0057226B" w:rsidP="00872FDA">
      <w:pPr>
        <w:widowControl w:val="0"/>
        <w:spacing w:after="0" w:line="240" w:lineRule="auto"/>
        <w:jc w:val="both"/>
        <w:rPr>
          <w:rFonts w:ascii="Times New Roman" w:eastAsia="Times New Roman" w:hAnsi="Times New Roman" w:cs="Times New Roman"/>
          <w:kern w:val="0"/>
          <w:lang w:val="sq-AL"/>
          <w14:ligatures w14:val="none"/>
        </w:rPr>
      </w:pPr>
    </w:p>
    <w:p w14:paraId="1DA59E46" w14:textId="77777777" w:rsidR="003A03DA" w:rsidRDefault="0057226B" w:rsidP="003A03DA">
      <w:pPr>
        <w:pStyle w:val="ListParagraph"/>
        <w:widowControl w:val="0"/>
        <w:numPr>
          <w:ilvl w:val="0"/>
          <w:numId w:val="279"/>
        </w:numPr>
        <w:spacing w:after="0" w:line="240" w:lineRule="auto"/>
        <w:jc w:val="both"/>
        <w:rPr>
          <w:rFonts w:ascii="Times New Roman" w:hAnsi="Times New Roman" w:cs="Times New Roman"/>
        </w:rPr>
      </w:pPr>
      <w:r w:rsidRPr="003A03DA">
        <w:rPr>
          <w:rFonts w:ascii="Times New Roman" w:hAnsi="Times New Roman" w:cs="Times New Roman"/>
        </w:rPr>
        <w:t>Where an issuer of shares admitted to trading on a regulated market, for which the Republic of Albania is the Home State, acquires or disposes of its own shares, either itself or through a person acting in his own name but on behalf of the issuer, the issuer shall make public the percentage of its own shares as soon as possible, but not later than four trading days after the acquisition or disposal, where that percentage reaches, exceeds or falls below the thresholds of 5% or 10% of the voting rights. The percentage shall be calculated on the basis of the total number of shares to which voting rights are attached.</w:t>
      </w:r>
    </w:p>
    <w:p w14:paraId="3C9474DC" w14:textId="76F12F04" w:rsidR="003A03DA" w:rsidRPr="003A03DA" w:rsidRDefault="003A03DA" w:rsidP="003A03DA">
      <w:pPr>
        <w:pStyle w:val="ListParagraph"/>
        <w:widowControl w:val="0"/>
        <w:numPr>
          <w:ilvl w:val="0"/>
          <w:numId w:val="279"/>
        </w:numPr>
        <w:spacing w:after="0" w:line="240" w:lineRule="auto"/>
        <w:jc w:val="both"/>
        <w:rPr>
          <w:rFonts w:ascii="Times New Roman" w:hAnsi="Times New Roman" w:cs="Times New Roman"/>
        </w:rPr>
      </w:pPr>
      <w:r w:rsidRPr="003A03DA">
        <w:rPr>
          <w:rFonts w:ascii="Times New Roman" w:hAnsi="Times New Roman" w:cs="Times New Roman"/>
        </w:rPr>
        <w:t>The Authority shall, by secondary legislation, taking into account the delegated acts of the European Commission in the relevant field, lay down detailed rules for the implementation of this Article, having regard to technical developments in financial markets.</w:t>
      </w:r>
    </w:p>
    <w:p w14:paraId="62A57EFF" w14:textId="77777777" w:rsidR="003A03DA" w:rsidRPr="0057226B" w:rsidRDefault="003A03DA" w:rsidP="00872FDA">
      <w:pPr>
        <w:widowControl w:val="0"/>
        <w:spacing w:after="0" w:line="240" w:lineRule="auto"/>
        <w:jc w:val="both"/>
        <w:rPr>
          <w:rFonts w:ascii="Times New Roman" w:eastAsia="Times New Roman" w:hAnsi="Times New Roman" w:cs="Times New Roman"/>
          <w:kern w:val="0"/>
          <w:lang w:val="sq-AL"/>
          <w14:ligatures w14:val="none"/>
        </w:rPr>
      </w:pPr>
    </w:p>
    <w:p w14:paraId="19F3809E" w14:textId="77777777" w:rsidR="0057226B" w:rsidRDefault="0057226B" w:rsidP="00872FDA">
      <w:pPr>
        <w:widowControl w:val="0"/>
        <w:spacing w:after="0" w:line="240" w:lineRule="auto"/>
        <w:jc w:val="both"/>
        <w:rPr>
          <w:rFonts w:ascii="Times New Roman" w:eastAsia="Times New Roman" w:hAnsi="Times New Roman" w:cs="Times New Roman"/>
          <w:kern w:val="0"/>
          <w:lang w:val="sq-AL"/>
          <w14:ligatures w14:val="none"/>
        </w:rPr>
      </w:pPr>
    </w:p>
    <w:p w14:paraId="341A0248" w14:textId="77777777" w:rsidR="00D8402C" w:rsidRPr="005125ED" w:rsidRDefault="00D8402C" w:rsidP="00872FDA">
      <w:pPr>
        <w:widowControl w:val="0"/>
        <w:spacing w:after="240" w:line="240" w:lineRule="auto"/>
        <w:jc w:val="both"/>
        <w:textAlignment w:val="baseline"/>
        <w:rPr>
          <w:rFonts w:ascii="Times New Roman" w:eastAsia="Times New Roman" w:hAnsi="Times New Roman" w:cs="Times New Roman"/>
          <w:kern w:val="0"/>
          <w:lang w:val="sq-AL"/>
          <w14:ligatures w14:val="none"/>
        </w:rPr>
      </w:pPr>
    </w:p>
    <w:p w14:paraId="1F21D943" w14:textId="78F8A105" w:rsidR="00872FDA" w:rsidRPr="005125ED" w:rsidRDefault="0057226B"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xml:space="preserve"> 2</w:t>
      </w:r>
      <w:r w:rsidR="00655C91" w:rsidRPr="005125ED">
        <w:rPr>
          <w:rFonts w:ascii="Times New Roman" w:eastAsia="Times New Roman" w:hAnsi="Times New Roman" w:cs="Times New Roman"/>
          <w:b/>
          <w:bCs/>
          <w:kern w:val="0"/>
          <w:lang w:val="sq-AL"/>
          <w14:ligatures w14:val="none"/>
        </w:rPr>
        <w:t>3</w:t>
      </w:r>
    </w:p>
    <w:p w14:paraId="6A224014" w14:textId="19E28F18" w:rsidR="0057226B" w:rsidRPr="0057226B" w:rsidRDefault="0057226B" w:rsidP="00DD175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sidRPr="0057226B">
        <w:rPr>
          <w:rFonts w:ascii="Times New Roman" w:hAnsi="Times New Roman" w:cs="Times New Roman"/>
          <w:b/>
          <w:bCs/>
        </w:rPr>
        <w:t>Publication of the total voting rights</w:t>
      </w:r>
    </w:p>
    <w:p w14:paraId="2D293910" w14:textId="77777777" w:rsidR="0057226B" w:rsidRDefault="0057226B" w:rsidP="00DD1755">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4ED2D942" w14:textId="77777777" w:rsidR="00F40AEC" w:rsidRDefault="009371FB" w:rsidP="009371FB">
      <w:pPr>
        <w:pStyle w:val="NormalWeb"/>
        <w:jc w:val="both"/>
        <w:rPr>
          <w:sz w:val="20"/>
          <w:szCs w:val="20"/>
          <w:lang w:eastAsia="hr-HR"/>
        </w:rPr>
      </w:pPr>
      <w:r>
        <w:t xml:space="preserve">1. </w:t>
      </w:r>
      <w:r w:rsidRPr="00F40AEC">
        <w:t xml:space="preserve">For the purpose of calculating the thresholds referred to in Article 12 of this Law, the issuer for which the Republic of Albania is the home State shall make public the total number of voting rights and capital at the end of each calendar month during </w:t>
      </w:r>
      <w:r w:rsidR="00F40AEC" w:rsidRPr="00F40AEC">
        <w:rPr>
          <w:lang w:eastAsia="hr-HR"/>
        </w:rPr>
        <w:t>during which increase or decrease of such total number has occurred.</w:t>
      </w:r>
    </w:p>
    <w:p w14:paraId="28732B28" w14:textId="77777777" w:rsidR="00872FDA" w:rsidRPr="005125ED" w:rsidRDefault="00872FDA"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1B408869" w14:textId="50B960A9" w:rsidR="00872FDA" w:rsidRPr="005125ED" w:rsidRDefault="009371FB"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2</w:t>
      </w:r>
      <w:r w:rsidR="00655C91" w:rsidRPr="005125ED">
        <w:rPr>
          <w:rFonts w:ascii="Times New Roman" w:eastAsia="Times New Roman" w:hAnsi="Times New Roman" w:cs="Times New Roman"/>
          <w:b/>
          <w:bCs/>
          <w:kern w:val="0"/>
          <w:lang w:val="sq-AL"/>
          <w14:ligatures w14:val="none"/>
        </w:rPr>
        <w:t>4</w:t>
      </w:r>
    </w:p>
    <w:p w14:paraId="15BDE4D0" w14:textId="359843A0" w:rsidR="00872FDA" w:rsidRDefault="009371FB"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Additional Information</w:t>
      </w:r>
    </w:p>
    <w:p w14:paraId="404457C4" w14:textId="77777777" w:rsidR="009371FB" w:rsidRDefault="009371FB" w:rsidP="005C414A">
      <w:pPr>
        <w:keepNext/>
        <w:keepLines/>
        <w:spacing w:before="480" w:after="240" w:line="240" w:lineRule="auto"/>
        <w:contextualSpacing/>
        <w:rPr>
          <w:rFonts w:ascii="Times New Roman" w:eastAsia="Times New Roman" w:hAnsi="Times New Roman" w:cs="Times New Roman"/>
          <w:b/>
          <w:bCs/>
          <w:kern w:val="0"/>
          <w:lang w:val="sq-AL"/>
          <w14:ligatures w14:val="none"/>
        </w:rPr>
      </w:pPr>
    </w:p>
    <w:p w14:paraId="6304A849" w14:textId="3BC89771" w:rsidR="009371FB" w:rsidRDefault="009371FB" w:rsidP="009371FB">
      <w:pPr>
        <w:pStyle w:val="NormalWeb"/>
      </w:pPr>
      <w:r>
        <w:t>1. The issuer of shares admitted to trading on a regulated market shall make public without delay any change in the rights attached to the different classes of shares, including changes in the rights attached to derivative securities issued by the issuer itself and giving access to its shares.</w:t>
      </w:r>
    </w:p>
    <w:p w14:paraId="0DBA5C18" w14:textId="19669F52" w:rsidR="00E157C5" w:rsidRPr="009371FB" w:rsidRDefault="009371FB" w:rsidP="009371FB">
      <w:pPr>
        <w:pStyle w:val="NormalWeb"/>
      </w:pPr>
      <w:r w:rsidRPr="009371FB">
        <w:rPr>
          <w:rStyle w:val="Strong"/>
          <w:rFonts w:eastAsiaTheme="majorEastAsia"/>
          <w:b w:val="0"/>
          <w:bCs w:val="0"/>
        </w:rPr>
        <w:t>2.</w:t>
      </w:r>
      <w:r>
        <w:t xml:space="preserve"> The issuer of securities other than shares, admitted to trading on a regulated market, shall make public without delay any change in the rights of holders of securities other than shares, including changes in the terms and conditions of those securities which may indirectly affect those rights, arising in particular from any change in loan terms or in interest rates.</w:t>
      </w:r>
    </w:p>
    <w:p w14:paraId="03DACD66" w14:textId="77777777" w:rsidR="00872FDA" w:rsidRPr="005125ED" w:rsidRDefault="00872FDA" w:rsidP="00872FDA">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p>
    <w:p w14:paraId="7C066172" w14:textId="314609EC" w:rsidR="00872FDA" w:rsidRPr="005125ED" w:rsidRDefault="009371FB" w:rsidP="00872FDA">
      <w:pPr>
        <w:keepNext/>
        <w:keepLines/>
        <w:spacing w:before="480" w:after="48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PART</w:t>
      </w:r>
      <w:r w:rsidR="00872FDA" w:rsidRPr="005125ED">
        <w:rPr>
          <w:rFonts w:ascii="Times New Roman" w:eastAsia="Times New Roman" w:hAnsi="Times New Roman" w:cs="Times New Roman"/>
          <w:b/>
          <w:bCs/>
          <w:kern w:val="0"/>
          <w:lang w:val="sq-AL"/>
          <w14:ligatures w14:val="none"/>
        </w:rPr>
        <w:t xml:space="preserve"> 2 – </w:t>
      </w:r>
      <w:r w:rsidRPr="009371FB">
        <w:rPr>
          <w:rFonts w:ascii="Times New Roman" w:hAnsi="Times New Roman" w:cs="Times New Roman"/>
          <w:b/>
          <w:bCs/>
        </w:rPr>
        <w:t>Information for Holders of Securities Admitted to Trading on a Regulated Market</w:t>
      </w:r>
    </w:p>
    <w:p w14:paraId="13310B7A" w14:textId="77777777" w:rsidR="00395003" w:rsidRPr="005125ED" w:rsidRDefault="00395003"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p>
    <w:p w14:paraId="1BD556BD" w14:textId="12C022A4" w:rsidR="00872FDA" w:rsidRPr="005125ED" w:rsidRDefault="009371FB" w:rsidP="00872FDA">
      <w:pPr>
        <w:keepNext/>
        <w:keepLines/>
        <w:spacing w:before="480" w:after="240" w:line="240" w:lineRule="auto"/>
        <w:contextualSpacing/>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872FDA" w:rsidRPr="005125ED">
        <w:rPr>
          <w:rFonts w:ascii="Times New Roman" w:eastAsia="Times New Roman" w:hAnsi="Times New Roman" w:cs="Times New Roman"/>
          <w:b/>
          <w:bCs/>
          <w:kern w:val="0"/>
          <w:lang w:val="sq-AL"/>
          <w14:ligatures w14:val="none"/>
        </w:rPr>
        <w:t>2</w:t>
      </w:r>
      <w:r w:rsidR="00655C91" w:rsidRPr="005125ED">
        <w:rPr>
          <w:rFonts w:ascii="Times New Roman" w:eastAsia="Times New Roman" w:hAnsi="Times New Roman" w:cs="Times New Roman"/>
          <w:b/>
          <w:bCs/>
          <w:kern w:val="0"/>
          <w:lang w:val="sq-AL"/>
          <w14:ligatures w14:val="none"/>
        </w:rPr>
        <w:t>5</w:t>
      </w:r>
    </w:p>
    <w:p w14:paraId="73852050" w14:textId="50D40FEA" w:rsidR="009371FB" w:rsidRDefault="009371FB" w:rsidP="00872FDA">
      <w:pPr>
        <w:keepNext/>
        <w:keepLines/>
        <w:spacing w:before="480" w:after="240" w:line="240" w:lineRule="auto"/>
        <w:contextualSpacing/>
        <w:jc w:val="center"/>
        <w:rPr>
          <w:rFonts w:ascii="Times New Roman" w:hAnsi="Times New Roman" w:cs="Times New Roman"/>
          <w:b/>
          <w:bCs/>
        </w:rPr>
      </w:pPr>
      <w:r w:rsidRPr="009371FB">
        <w:rPr>
          <w:rFonts w:ascii="Times New Roman" w:hAnsi="Times New Roman" w:cs="Times New Roman"/>
          <w:b/>
          <w:bCs/>
        </w:rPr>
        <w:t>Information Requirements for Issuers Whose Shares Are Admitted to Trading on a Regulated Market</w:t>
      </w:r>
    </w:p>
    <w:p w14:paraId="5AB3EA05" w14:textId="77777777" w:rsidR="00725415" w:rsidRDefault="00725415" w:rsidP="00872FDA">
      <w:pPr>
        <w:keepNext/>
        <w:keepLines/>
        <w:spacing w:before="480" w:after="240" w:line="240" w:lineRule="auto"/>
        <w:contextualSpacing/>
        <w:jc w:val="center"/>
        <w:rPr>
          <w:rFonts w:ascii="Times New Roman" w:hAnsi="Times New Roman" w:cs="Times New Roman"/>
          <w:b/>
          <w:bCs/>
        </w:rPr>
      </w:pPr>
    </w:p>
    <w:p w14:paraId="166C5B36" w14:textId="77777777" w:rsidR="00725415" w:rsidRDefault="00725415" w:rsidP="00872FDA">
      <w:pPr>
        <w:keepNext/>
        <w:keepLines/>
        <w:spacing w:before="480" w:after="240" w:line="240" w:lineRule="auto"/>
        <w:contextualSpacing/>
        <w:jc w:val="center"/>
        <w:rPr>
          <w:rFonts w:ascii="Times New Roman" w:hAnsi="Times New Roman" w:cs="Times New Roman"/>
          <w:b/>
          <w:bCs/>
        </w:rPr>
      </w:pPr>
    </w:p>
    <w:p w14:paraId="2ABD3166" w14:textId="77777777" w:rsidR="00725415" w:rsidRDefault="00725415" w:rsidP="00725415">
      <w:pPr>
        <w:pStyle w:val="NormalWeb"/>
        <w:jc w:val="both"/>
      </w:pPr>
      <w:r w:rsidRPr="00725415">
        <w:rPr>
          <w:rStyle w:val="Strong"/>
          <w:rFonts w:eastAsiaTheme="majorEastAsia"/>
          <w:b w:val="0"/>
          <w:bCs w:val="0"/>
        </w:rPr>
        <w:t>1</w:t>
      </w:r>
      <w:r>
        <w:rPr>
          <w:rStyle w:val="Strong"/>
          <w:rFonts w:eastAsiaTheme="majorEastAsia"/>
        </w:rPr>
        <w:t>.</w:t>
      </w:r>
      <w:r>
        <w:t xml:space="preserve"> The issuer of shares admitted to trading on a regulated market shall ensure equal treatment for all holders of shares who are in the same position.</w:t>
      </w:r>
    </w:p>
    <w:p w14:paraId="371CD512" w14:textId="77777777" w:rsidR="00725415" w:rsidRDefault="00725415" w:rsidP="00725415">
      <w:pPr>
        <w:pStyle w:val="NormalWeb"/>
        <w:jc w:val="both"/>
      </w:pPr>
      <w:r w:rsidRPr="00725415">
        <w:rPr>
          <w:rStyle w:val="Strong"/>
          <w:rFonts w:eastAsiaTheme="majorEastAsia"/>
          <w:b w:val="0"/>
          <w:bCs w:val="0"/>
        </w:rPr>
        <w:t>2</w:t>
      </w:r>
      <w:r>
        <w:rPr>
          <w:rStyle w:val="Strong"/>
          <w:rFonts w:eastAsiaTheme="majorEastAsia"/>
        </w:rPr>
        <w:t>.</w:t>
      </w:r>
      <w:r>
        <w:t xml:space="preserve"> The issuer shall ensure the availability of all facilities and information necessary to enable holders of shares to exercise their rights in the Republic of Albania as the home Member State and to ensure the integrity of the data. Shareholders shall not be prevented from exercising their rights through proxy representation in accordance with the legislation in force of the country where the issuer is incorporated. In particular, the issuer shall:</w:t>
      </w:r>
    </w:p>
    <w:p w14:paraId="6826E429" w14:textId="77777777" w:rsidR="00725415" w:rsidRDefault="00725415" w:rsidP="00725415">
      <w:pPr>
        <w:pStyle w:val="NormalWeb"/>
        <w:jc w:val="both"/>
      </w:pPr>
      <w:r>
        <w:t>(a) inform holders of shares of the place, time and agenda of meetings, the total number of shares and voting rights, and the rights of holders to participate in meetings;</w:t>
      </w:r>
    </w:p>
    <w:p w14:paraId="370BE3D1" w14:textId="77777777" w:rsidR="00725415" w:rsidRDefault="00725415" w:rsidP="00725415">
      <w:pPr>
        <w:pStyle w:val="NormalWeb"/>
        <w:jc w:val="both"/>
      </w:pPr>
      <w:r>
        <w:t>(b) make available a proxy form, either in physical form or, where applicable, by electronic means, to every person entitled to vote in the general meeting of shareholders, together with the notice of the meeting or, where required, following the announcement of the meeting;</w:t>
      </w:r>
    </w:p>
    <w:p w14:paraId="5E2FAA7B" w14:textId="77777777" w:rsidR="00725415" w:rsidRDefault="00725415" w:rsidP="00725415">
      <w:pPr>
        <w:pStyle w:val="NormalWeb"/>
        <w:jc w:val="both"/>
      </w:pPr>
      <w:r>
        <w:t>(c) designate as its agent a financial institution through which shareholders may exercise their financial rights; and</w:t>
      </w:r>
    </w:p>
    <w:p w14:paraId="65AC1D8D" w14:textId="77777777" w:rsidR="00725415" w:rsidRDefault="00725415" w:rsidP="00725415">
      <w:pPr>
        <w:pStyle w:val="NormalWeb"/>
        <w:jc w:val="both"/>
      </w:pPr>
      <w:r>
        <w:lastRenderedPageBreak/>
        <w:t>(d) publish notices or distribute information concerning the distribution and payment of dividends and the issue of new shares, including information on the rules for allocation, subscription, cancellation or conversion.</w:t>
      </w:r>
    </w:p>
    <w:p w14:paraId="16F6A781" w14:textId="77777777" w:rsidR="00725415" w:rsidRDefault="00725415" w:rsidP="00725415">
      <w:pPr>
        <w:pStyle w:val="NormalWeb"/>
        <w:jc w:val="both"/>
      </w:pPr>
      <w:r w:rsidRPr="00725415">
        <w:rPr>
          <w:rStyle w:val="Strong"/>
          <w:rFonts w:eastAsiaTheme="majorEastAsia"/>
          <w:b w:val="0"/>
          <w:bCs w:val="0"/>
        </w:rPr>
        <w:t>3.</w:t>
      </w:r>
      <w:r>
        <w:t xml:space="preserve"> For the purpose of communicating information to shareholders, the issuer may use electronic means, provided that the decision is adopted at the general meeting and meets at least the following conditions:</w:t>
      </w:r>
    </w:p>
    <w:p w14:paraId="0F84CE51" w14:textId="77777777" w:rsidR="00725415" w:rsidRDefault="00725415" w:rsidP="00725415">
      <w:pPr>
        <w:pStyle w:val="NormalWeb"/>
        <w:jc w:val="both"/>
      </w:pPr>
      <w:r>
        <w:t>(a) the use of electronic means shall in no way depend on the location of the shareholder’s registered office or domicile or, in the cases referred to in Article 13(1), letters (a) to (h) of this Law, of the natural or legal persons concerned;</w:t>
      </w:r>
    </w:p>
    <w:p w14:paraId="74EBB3B8" w14:textId="77777777" w:rsidR="00725415" w:rsidRDefault="00725415" w:rsidP="00725415">
      <w:pPr>
        <w:pStyle w:val="NormalWeb"/>
        <w:jc w:val="both"/>
      </w:pPr>
      <w:r>
        <w:t>(b) identification arrangements shall be approved to ensure that shareholders or natural or legal persons entitled to acquire, dispose of or exercise voting rights are effectively informed;</w:t>
      </w:r>
    </w:p>
    <w:p w14:paraId="115A7FD3" w14:textId="77777777" w:rsidR="00725415" w:rsidRDefault="00725415" w:rsidP="00725415">
      <w:pPr>
        <w:pStyle w:val="NormalWeb"/>
        <w:jc w:val="both"/>
      </w:pPr>
      <w:r>
        <w:t xml:space="preserve">(c) shareholders or, in the cases referred to in Article 11(1), letters (a) to (e) of this Law, the natural or legal persons entitled to acquire, dispose of or exercise voting rights, shall be contacted in writing to request their consent to the use of electronic means for the transmission of information, and where they do not object within a reasonable period, but not longer than </w:t>
      </w:r>
      <w:r w:rsidRPr="00ED6F8F">
        <w:rPr>
          <w:rStyle w:val="Strong"/>
          <w:rFonts w:eastAsiaTheme="majorEastAsia"/>
          <w:b w:val="0"/>
          <w:bCs w:val="0"/>
        </w:rPr>
        <w:t>two weeks</w:t>
      </w:r>
      <w:r>
        <w:t>, their consent shall be deemed to have been given. They shall be able at any time in the future to request that information be provided to them in writing; and</w:t>
      </w:r>
    </w:p>
    <w:p w14:paraId="57E67D5E" w14:textId="77777777" w:rsidR="00725415" w:rsidRDefault="00725415" w:rsidP="00725415">
      <w:pPr>
        <w:pStyle w:val="NormalWeb"/>
        <w:jc w:val="both"/>
      </w:pPr>
      <w:r>
        <w:t>(d) any apportionment of the cost involved in the transmission of information by electronic means shall be determined by the issuer in accordance with the principle of equal treatment laid down in paragraph (1) of this Article.</w:t>
      </w:r>
    </w:p>
    <w:p w14:paraId="2F5456E0" w14:textId="5CC7A63A" w:rsidR="00725415" w:rsidRPr="00ED6F8F" w:rsidRDefault="00725415" w:rsidP="00ED6F8F">
      <w:pPr>
        <w:pStyle w:val="NormalWeb"/>
        <w:jc w:val="both"/>
      </w:pPr>
      <w:r w:rsidRPr="00725415">
        <w:rPr>
          <w:rStyle w:val="Strong"/>
          <w:rFonts w:eastAsiaTheme="majorEastAsia"/>
          <w:b w:val="0"/>
          <w:bCs w:val="0"/>
        </w:rPr>
        <w:t>4.</w:t>
      </w:r>
      <w:r>
        <w:t xml:space="preserve"> The Authority shall issue rules fully aligned with those adopted by the Commission, taking into account technical developments in financial markets and developments in information and communication technologies, to ensure the implementation of paragraphs 1, 2 and 3 of this Article. In particular, it shall specify the types of financial institutions through which shareholders may exercise the financial rights referred to in paragraph 2, letter “c” of this Article.</w:t>
      </w:r>
    </w:p>
    <w:p w14:paraId="7052347A" w14:textId="57F13D40" w:rsidR="00872FDA" w:rsidRPr="00ED6F8F" w:rsidRDefault="00ED6F8F" w:rsidP="00872FDA">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sidRPr="00ED6F8F">
        <w:rPr>
          <w:rFonts w:ascii="Times New Roman" w:eastAsia="Times New Roman" w:hAnsi="Times New Roman" w:cs="Times New Roman"/>
          <w:b/>
          <w:bCs/>
          <w:kern w:val="0"/>
          <w:szCs w:val="20"/>
          <w:lang w:val="sq-AL"/>
          <w14:ligatures w14:val="none"/>
        </w:rPr>
        <w:t>Article</w:t>
      </w:r>
      <w:r w:rsidR="00872FDA" w:rsidRPr="00ED6F8F">
        <w:rPr>
          <w:rFonts w:ascii="Times New Roman" w:eastAsia="Times New Roman" w:hAnsi="Times New Roman" w:cs="Times New Roman"/>
          <w:b/>
          <w:bCs/>
          <w:kern w:val="0"/>
          <w:szCs w:val="20"/>
          <w:lang w:val="sq-AL"/>
          <w14:ligatures w14:val="none"/>
        </w:rPr>
        <w:t> 2</w:t>
      </w:r>
      <w:r w:rsidR="00655C91" w:rsidRPr="00ED6F8F">
        <w:rPr>
          <w:rFonts w:ascii="Times New Roman" w:eastAsia="Times New Roman" w:hAnsi="Times New Roman" w:cs="Times New Roman"/>
          <w:b/>
          <w:bCs/>
          <w:kern w:val="0"/>
          <w:szCs w:val="20"/>
          <w:lang w:val="sq-AL"/>
          <w14:ligatures w14:val="none"/>
        </w:rPr>
        <w:t>6</w:t>
      </w:r>
    </w:p>
    <w:p w14:paraId="363B0B16" w14:textId="0F216859" w:rsidR="00ED6F8F" w:rsidRPr="003941BF" w:rsidRDefault="00ED6F8F" w:rsidP="003941BF">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sidRPr="00ED6F8F">
        <w:rPr>
          <w:rFonts w:ascii="Times New Roman" w:hAnsi="Times New Roman" w:cs="Times New Roman"/>
          <w:b/>
          <w:bCs/>
        </w:rPr>
        <w:t>Information Requirements for Issuers Whose Debt Securities Are Admitted to Trading on a Regulated Market</w:t>
      </w:r>
      <w:r w:rsidR="00872FDA" w:rsidRPr="00ED6F8F">
        <w:rPr>
          <w:rFonts w:ascii="Times New Roman" w:eastAsia="Times New Roman" w:hAnsi="Times New Roman" w:cs="Times New Roman"/>
          <w:b/>
          <w:bCs/>
          <w:kern w:val="0"/>
          <w:szCs w:val="20"/>
          <w:lang w:val="sq-AL"/>
          <w14:ligatures w14:val="none"/>
        </w:rPr>
        <w:t xml:space="preserve"> </w:t>
      </w:r>
    </w:p>
    <w:p w14:paraId="322FA06A" w14:textId="77777777" w:rsidR="003941BF" w:rsidRDefault="00ED6F8F" w:rsidP="003941BF">
      <w:pPr>
        <w:pStyle w:val="NormalWeb"/>
        <w:numPr>
          <w:ilvl w:val="0"/>
          <w:numId w:val="263"/>
        </w:numPr>
        <w:ind w:left="180" w:hanging="450"/>
        <w:jc w:val="both"/>
      </w:pPr>
      <w:r>
        <w:t>The issuer of debt securities admitted to trading on a regulated market shall ensure that all holders of debt securities ranking pari passu are treated equally with regard to the rights attaching to those debt securities.</w:t>
      </w:r>
    </w:p>
    <w:p w14:paraId="7B81199F" w14:textId="7308C30C" w:rsidR="00ED6F8F" w:rsidRDefault="00ED6F8F" w:rsidP="003941BF">
      <w:pPr>
        <w:pStyle w:val="NormalWeb"/>
        <w:numPr>
          <w:ilvl w:val="0"/>
          <w:numId w:val="263"/>
        </w:numPr>
        <w:ind w:left="180" w:hanging="450"/>
        <w:jc w:val="both"/>
      </w:pPr>
      <w:r>
        <w:t>The issuer shall ensure that all facilities and information necessary to enable the holders of debt securities to exercise their rights in the Republic of Albania as the home State are publicly available and that the integrity of the data is preserved. Holders of debt securities shall not be prevented from exercising their rights through a proxy, in accordance with the legislation in force of the country in which the issuer is incorporated. In particular, the issuer shall:</w:t>
      </w:r>
    </w:p>
    <w:p w14:paraId="22C0E24C" w14:textId="77777777" w:rsidR="00ED6F8F" w:rsidRDefault="00ED6F8F" w:rsidP="00ED6F8F">
      <w:pPr>
        <w:pStyle w:val="NormalWeb"/>
      </w:pPr>
      <w:r>
        <w:lastRenderedPageBreak/>
        <w:t>(a) publish notices or disseminate information concerning the place, time and agenda of meetings of holders of debt securities, the payment of interest, the exercise of the rights of conversion, exchange, subscription or cancellation and redemption, as well as the right of those holders to participate in such meetings;</w:t>
      </w:r>
    </w:p>
    <w:p w14:paraId="5CB64910" w14:textId="77777777" w:rsidR="00ED6F8F" w:rsidRDefault="00ED6F8F" w:rsidP="00ED6F8F">
      <w:pPr>
        <w:pStyle w:val="NormalWeb"/>
      </w:pPr>
      <w:r>
        <w:t>(b) make available a proxy form, in written form or, where applicable, by electronic means, to any person entitled to vote in a meeting of holders of debt securities, together with the notice convening the meeting or, upon request, after the convening notice; and</w:t>
      </w:r>
    </w:p>
    <w:p w14:paraId="581DC147" w14:textId="77777777" w:rsidR="00ED6F8F" w:rsidRDefault="00ED6F8F" w:rsidP="00ED6F8F">
      <w:pPr>
        <w:pStyle w:val="NormalWeb"/>
      </w:pPr>
      <w:r>
        <w:t>(c) appoint as its agent a financial institution through which the holders of debt securities may exercise their financial rights.</w:t>
      </w:r>
    </w:p>
    <w:p w14:paraId="088CB22A" w14:textId="314DFEC4" w:rsidR="00ED6F8F" w:rsidRDefault="00ED6F8F" w:rsidP="00ED6F8F">
      <w:pPr>
        <w:pStyle w:val="NormalWeb"/>
      </w:pPr>
      <w:r>
        <w:br/>
      </w:r>
      <w:r w:rsidR="003941BF">
        <w:t xml:space="preserve">3. </w:t>
      </w:r>
      <w:r>
        <w:t>Where only holders of debt securities the denomination per unit of which amounts to at least EUR 100,000 or, in the case of debt securities denominated in a currency other than euro, whose value per unit at the date of issue is equivalent to at least EUR 100,000, are invited to a meeting, the issuer may choose as the venue of the meeting any Member State, provided that in that Member State all facilities and information necessary to enable such holders to exercise their rights are made available.</w:t>
      </w:r>
    </w:p>
    <w:p w14:paraId="2D7F12AD" w14:textId="535F7EDD" w:rsidR="00E65588" w:rsidRDefault="00E65588" w:rsidP="00A76074">
      <w:pPr>
        <w:pStyle w:val="NormalWeb"/>
        <w:jc w:val="both"/>
      </w:pPr>
      <w:r w:rsidRPr="00E65588">
        <w:t xml:space="preserve">The choice referred to in </w:t>
      </w:r>
      <w:r>
        <w:t xml:space="preserve">this paragraph </w:t>
      </w:r>
      <w:r w:rsidRPr="00E65588">
        <w:t>shall also apply with regard to holders of debt securities whose denomination per unit amounts to at least EUR 50 000 or, in the case of debt securities denominated in a currency other than euro, the value of such denomination per unit is, at the date of the issue, equivalent to at least EUR 50 000, which have already been admitted to trading on a regulated market in the Union before 31 December 2010, for as long as such debt securities are outstanding, provided that all the facilities and information necessary to enable such holders to exercise their rights are made available in the Member State chosen by the issuer</w:t>
      </w:r>
    </w:p>
    <w:p w14:paraId="189BA1EB" w14:textId="04CBA04D" w:rsidR="00ED6F8F" w:rsidRDefault="00ED6F8F" w:rsidP="00A76074">
      <w:pPr>
        <w:pStyle w:val="NormalWeb"/>
        <w:jc w:val="both"/>
      </w:pPr>
      <w:r>
        <w:br/>
      </w:r>
      <w:r w:rsidR="003941BF">
        <w:t xml:space="preserve">4. </w:t>
      </w:r>
      <w:r>
        <w:t>For the purpose of disseminating information to the holders of debt securities, issuers may use electronic means, provided that such use is decided by the general meeting and that at least the following conditions are met:</w:t>
      </w:r>
    </w:p>
    <w:p w14:paraId="259F71BD" w14:textId="77777777" w:rsidR="00ED6F8F" w:rsidRDefault="00ED6F8F" w:rsidP="00ED6F8F">
      <w:pPr>
        <w:pStyle w:val="NormalWeb"/>
      </w:pPr>
      <w:r>
        <w:t>(a) the use of electronic means shall in no way depend on the location of the registered office or habitual residence of the holder of the debt securities or the intermediary representing such holder;</w:t>
      </w:r>
    </w:p>
    <w:p w14:paraId="70DB306E" w14:textId="77777777" w:rsidR="00ED6F8F" w:rsidRDefault="00ED6F8F" w:rsidP="00ED6F8F">
      <w:pPr>
        <w:pStyle w:val="NormalWeb"/>
      </w:pPr>
      <w:r>
        <w:t>(b) identification arrangements shall be established so that the holders of the debt securities can be effectively informed;</w:t>
      </w:r>
    </w:p>
    <w:p w14:paraId="23DDE4D3" w14:textId="77777777" w:rsidR="00ED6F8F" w:rsidRDefault="00ED6F8F" w:rsidP="00ED6F8F">
      <w:pPr>
        <w:pStyle w:val="NormalWeb"/>
      </w:pPr>
      <w:r>
        <w:t>(c) the holders of the debt securities shall be contacted in writing to obtain their consent for the use of electronic means for the dissemination of information and, if they do not object within a reasonable period, their consent shall be deemed to have been given. They shall be able, at any time in the future, to request that the information be provided to them in writing; and</w:t>
      </w:r>
    </w:p>
    <w:p w14:paraId="24D25270" w14:textId="77777777" w:rsidR="00ED6F8F" w:rsidRDefault="00ED6F8F" w:rsidP="00ED6F8F">
      <w:pPr>
        <w:pStyle w:val="NormalWeb"/>
      </w:pPr>
      <w:r>
        <w:lastRenderedPageBreak/>
        <w:t>(d) any allocation of costs associated with the dissemination of information by electronic means shall be established by the issuer in accordance with the principle of equal treatment set out in paragraph (1) of this Article.</w:t>
      </w:r>
    </w:p>
    <w:p w14:paraId="33B15E71" w14:textId="28225D00" w:rsidR="00ED6F8F" w:rsidRDefault="00ED6F8F" w:rsidP="003941BF">
      <w:pPr>
        <w:pStyle w:val="NormalWeb"/>
        <w:jc w:val="both"/>
      </w:pPr>
      <w:r>
        <w:br/>
      </w:r>
      <w:r w:rsidR="003941BF">
        <w:t xml:space="preserve">5. </w:t>
      </w:r>
      <w:r>
        <w:t>The Authority shall adopt rules, in conformity with the delegated acts of the European Commission, taking into account technical developments in financial markets and developments in information and communication technology, in order to ensure the implementation of paragraphs 1 to 4. In particular, it shall specify the types of financial institutions through which the holders of debt securities may exercise the financial rights referred to in paragraph 2, letter “c” of this Article.</w:t>
      </w:r>
    </w:p>
    <w:p w14:paraId="02BAC0FB" w14:textId="77777777" w:rsidR="00ED6F8F" w:rsidRPr="00ED6F8F" w:rsidRDefault="00ED6F8F" w:rsidP="00872FDA">
      <w:pPr>
        <w:keepNext/>
        <w:keepLines/>
        <w:spacing w:before="480" w:after="240" w:line="240" w:lineRule="auto"/>
        <w:contextualSpacing/>
        <w:jc w:val="center"/>
        <w:rPr>
          <w:rFonts w:ascii="Times New Roman" w:eastAsia="Times New Roman" w:hAnsi="Times New Roman" w:cs="Times New Roman"/>
          <w:b/>
          <w:bCs/>
          <w:kern w:val="0"/>
          <w:szCs w:val="20"/>
          <w14:ligatures w14:val="none"/>
        </w:rPr>
      </w:pPr>
    </w:p>
    <w:p w14:paraId="4088B368" w14:textId="7773B1F2" w:rsidR="00872FDA" w:rsidRPr="005125ED" w:rsidRDefault="004407EA" w:rsidP="004407EA">
      <w:pPr>
        <w:keepNext/>
        <w:keepLines/>
        <w:spacing w:before="480" w:after="480" w:line="240" w:lineRule="auto"/>
        <w:ind w:left="2160" w:firstLine="720"/>
        <w:contextualSpacing/>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PART </w:t>
      </w:r>
      <w:r w:rsidR="00D92E34" w:rsidRPr="005125ED">
        <w:rPr>
          <w:rFonts w:ascii="Times New Roman" w:eastAsia="Times New Roman" w:hAnsi="Times New Roman" w:cs="Times New Roman"/>
          <w:b/>
          <w:bCs/>
          <w:kern w:val="0"/>
          <w:szCs w:val="20"/>
          <w:lang w:val="sq-AL"/>
          <w14:ligatures w14:val="none"/>
        </w:rPr>
        <w:t>3</w:t>
      </w:r>
      <w:r w:rsidR="00872FDA" w:rsidRPr="005125ED">
        <w:rPr>
          <w:rFonts w:ascii="Times New Roman" w:eastAsia="Times New Roman" w:hAnsi="Times New Roman" w:cs="Times New Roman"/>
          <w:b/>
          <w:bCs/>
          <w:kern w:val="0"/>
          <w:szCs w:val="20"/>
          <w:lang w:val="sq-AL"/>
          <w14:ligatures w14:val="none"/>
        </w:rPr>
        <w:t xml:space="preserve"> – </w:t>
      </w:r>
      <w:r>
        <w:rPr>
          <w:rFonts w:ascii="Times New Roman" w:eastAsia="Times New Roman" w:hAnsi="Times New Roman" w:cs="Times New Roman"/>
          <w:b/>
          <w:bCs/>
          <w:kern w:val="0"/>
          <w:szCs w:val="20"/>
          <w:lang w:val="sq-AL"/>
          <w14:ligatures w14:val="none"/>
        </w:rPr>
        <w:t>General Obligations</w:t>
      </w:r>
      <w:r w:rsidR="00872FDA" w:rsidRPr="005125ED">
        <w:rPr>
          <w:rFonts w:ascii="Times New Roman" w:eastAsia="Times New Roman" w:hAnsi="Times New Roman" w:cs="Times New Roman"/>
          <w:b/>
          <w:bCs/>
          <w:kern w:val="0"/>
          <w:szCs w:val="20"/>
          <w:lang w:val="sq-AL"/>
          <w14:ligatures w14:val="none"/>
        </w:rPr>
        <w:t xml:space="preserve"> </w:t>
      </w:r>
    </w:p>
    <w:p w14:paraId="5757684F" w14:textId="77777777" w:rsidR="00872FDA" w:rsidRPr="005125ED" w:rsidRDefault="00872FDA" w:rsidP="00872FDA">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4F497C22" w14:textId="3A84363B" w:rsidR="00872FDA" w:rsidRPr="00A76074" w:rsidRDefault="004407EA" w:rsidP="00872FDA">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sidRPr="00A76074">
        <w:rPr>
          <w:rFonts w:ascii="Times New Roman" w:eastAsia="Times New Roman" w:hAnsi="Times New Roman" w:cs="Times New Roman"/>
          <w:b/>
          <w:bCs/>
          <w:kern w:val="0"/>
          <w:szCs w:val="20"/>
          <w:lang w:val="sq-AL"/>
          <w14:ligatures w14:val="none"/>
        </w:rPr>
        <w:t xml:space="preserve">Article </w:t>
      </w:r>
      <w:r w:rsidR="00872FDA" w:rsidRPr="00A76074">
        <w:rPr>
          <w:rFonts w:ascii="Times New Roman" w:eastAsia="Times New Roman" w:hAnsi="Times New Roman" w:cs="Times New Roman"/>
          <w:b/>
          <w:bCs/>
          <w:kern w:val="0"/>
          <w:szCs w:val="20"/>
          <w:lang w:val="sq-AL"/>
          <w14:ligatures w14:val="none"/>
        </w:rPr>
        <w:t>2</w:t>
      </w:r>
      <w:r w:rsidR="00655C91" w:rsidRPr="00A76074">
        <w:rPr>
          <w:rFonts w:ascii="Times New Roman" w:eastAsia="Times New Roman" w:hAnsi="Times New Roman" w:cs="Times New Roman"/>
          <w:b/>
          <w:bCs/>
          <w:kern w:val="0"/>
          <w:szCs w:val="20"/>
          <w:lang w:val="sq-AL"/>
          <w14:ligatures w14:val="none"/>
        </w:rPr>
        <w:t>7</w:t>
      </w:r>
    </w:p>
    <w:p w14:paraId="5857708E" w14:textId="7E9661A0" w:rsidR="00884294" w:rsidRPr="00A76074" w:rsidRDefault="004407EA" w:rsidP="00884294">
      <w:pPr>
        <w:keepNext/>
        <w:keepLines/>
        <w:spacing w:before="480" w:after="480" w:line="240" w:lineRule="auto"/>
        <w:contextualSpacing/>
        <w:jc w:val="center"/>
        <w:rPr>
          <w:rFonts w:ascii="Times New Roman" w:hAnsi="Times New Roman" w:cs="Times New Roman"/>
          <w:b/>
          <w:bCs/>
        </w:rPr>
      </w:pPr>
      <w:r w:rsidRPr="00A76074">
        <w:rPr>
          <w:rFonts w:ascii="Times New Roman" w:hAnsi="Times New Roman" w:cs="Times New Roman"/>
          <w:b/>
          <w:bCs/>
        </w:rPr>
        <w:t>Control by the Authorit</w:t>
      </w:r>
      <w:r w:rsidR="00884294" w:rsidRPr="00A76074">
        <w:rPr>
          <w:rFonts w:ascii="Times New Roman" w:hAnsi="Times New Roman" w:cs="Times New Roman"/>
          <w:b/>
          <w:bCs/>
        </w:rPr>
        <w:t>y</w:t>
      </w:r>
    </w:p>
    <w:p w14:paraId="6DAD642D" w14:textId="7A7CFA3E" w:rsidR="00884294" w:rsidRPr="00884294" w:rsidRDefault="00884294" w:rsidP="00884294">
      <w:pPr>
        <w:pStyle w:val="ListParagraph"/>
        <w:keepNext/>
        <w:keepLines/>
        <w:numPr>
          <w:ilvl w:val="0"/>
          <w:numId w:val="264"/>
        </w:numPr>
        <w:spacing w:before="480" w:after="480" w:line="240" w:lineRule="auto"/>
        <w:jc w:val="both"/>
        <w:rPr>
          <w:rFonts w:ascii="Times New Roman" w:hAnsi="Times New Roman" w:cs="Times New Roman"/>
          <w:b/>
          <w:bCs/>
        </w:rPr>
      </w:pPr>
      <w:r w:rsidRPr="00884294">
        <w:rPr>
          <w:rFonts w:ascii="Times New Roman" w:hAnsi="Times New Roman" w:cs="Times New Roman"/>
        </w:rPr>
        <w:t xml:space="preserve">When the issuer, or any person who has applied, without the issuer’s consent, for the admission of its securities to trading on a regulated market, and for which the Republic of Albania is the home State, makes public regulated information, it shall file such information, at the same time, with </w:t>
      </w:r>
      <w:r w:rsidR="008A4E82">
        <w:rPr>
          <w:rFonts w:ascii="Times New Roman" w:hAnsi="Times New Roman" w:cs="Times New Roman"/>
        </w:rPr>
        <w:t>Albanian Financial Supervisory Authority</w:t>
      </w:r>
      <w:r w:rsidR="00C61B3D">
        <w:rPr>
          <w:rFonts w:ascii="Times New Roman" w:hAnsi="Times New Roman" w:cs="Times New Roman"/>
        </w:rPr>
        <w:t>.</w:t>
      </w:r>
    </w:p>
    <w:p w14:paraId="199FD56D" w14:textId="56E63787" w:rsidR="00884294" w:rsidRPr="00884294" w:rsidRDefault="00884294" w:rsidP="00884294">
      <w:pPr>
        <w:pStyle w:val="ListParagraph"/>
        <w:keepNext/>
        <w:keepLines/>
        <w:numPr>
          <w:ilvl w:val="0"/>
          <w:numId w:val="264"/>
        </w:numPr>
        <w:spacing w:before="480" w:after="480" w:line="240" w:lineRule="auto"/>
        <w:jc w:val="both"/>
        <w:rPr>
          <w:rFonts w:ascii="Times New Roman" w:hAnsi="Times New Roman" w:cs="Times New Roman"/>
          <w:b/>
          <w:bCs/>
        </w:rPr>
      </w:pPr>
      <w:r w:rsidRPr="00884294">
        <w:rPr>
          <w:rFonts w:ascii="Times New Roman" w:hAnsi="Times New Roman" w:cs="Times New Roman"/>
        </w:rPr>
        <w:t xml:space="preserve">The </w:t>
      </w:r>
      <w:r w:rsidR="00C61B3D">
        <w:rPr>
          <w:rFonts w:ascii="Times New Roman" w:hAnsi="Times New Roman" w:cs="Times New Roman"/>
        </w:rPr>
        <w:t>A</w:t>
      </w:r>
      <w:r w:rsidRPr="00884294">
        <w:rPr>
          <w:rFonts w:ascii="Times New Roman" w:hAnsi="Times New Roman" w:cs="Times New Roman"/>
        </w:rPr>
        <w:t>uthority may decide to make available on its website the information filed in accordance with paragraph 1 of this Article.</w:t>
      </w:r>
    </w:p>
    <w:p w14:paraId="5893DECF" w14:textId="3CCA7E63" w:rsidR="00884294" w:rsidRPr="00884294" w:rsidRDefault="00884294" w:rsidP="00884294">
      <w:pPr>
        <w:pStyle w:val="ListParagraph"/>
        <w:keepNext/>
        <w:keepLines/>
        <w:numPr>
          <w:ilvl w:val="0"/>
          <w:numId w:val="264"/>
        </w:numPr>
        <w:spacing w:before="480" w:after="480" w:line="240" w:lineRule="auto"/>
        <w:jc w:val="both"/>
        <w:rPr>
          <w:rFonts w:ascii="Times New Roman" w:hAnsi="Times New Roman" w:cs="Times New Roman"/>
          <w:b/>
          <w:bCs/>
        </w:rPr>
      </w:pPr>
      <w:r w:rsidRPr="00884294">
        <w:rPr>
          <w:rFonts w:ascii="Times New Roman" w:hAnsi="Times New Roman" w:cs="Times New Roman"/>
        </w:rPr>
        <w:t xml:space="preserve">The information to be conveyed to the issuer in accordance with Articles 10, 12, 14 and 15 shall be filed at the same time with the </w:t>
      </w:r>
      <w:r w:rsidR="00C61B3D">
        <w:rPr>
          <w:rFonts w:ascii="Times New Roman" w:hAnsi="Times New Roman" w:cs="Times New Roman"/>
        </w:rPr>
        <w:t>Authority.</w:t>
      </w:r>
    </w:p>
    <w:p w14:paraId="237531CD" w14:textId="77777777" w:rsidR="00884294" w:rsidRDefault="00884294" w:rsidP="00872FDA">
      <w:pPr>
        <w:keepNext/>
        <w:keepLines/>
        <w:spacing w:before="480" w:after="480" w:line="240" w:lineRule="auto"/>
        <w:contextualSpacing/>
        <w:jc w:val="center"/>
        <w:rPr>
          <w:b/>
          <w:bCs/>
        </w:rPr>
      </w:pPr>
    </w:p>
    <w:p w14:paraId="59EC52B6" w14:textId="77777777" w:rsidR="00884294" w:rsidRDefault="00884294" w:rsidP="00872FDA">
      <w:pPr>
        <w:keepNext/>
        <w:keepLines/>
        <w:spacing w:before="480" w:after="480" w:line="240" w:lineRule="auto"/>
        <w:contextualSpacing/>
        <w:jc w:val="center"/>
        <w:rPr>
          <w:b/>
          <w:bCs/>
        </w:rPr>
      </w:pPr>
    </w:p>
    <w:p w14:paraId="7082F91D" w14:textId="2B496F39" w:rsidR="00872FDA" w:rsidRPr="005125ED" w:rsidRDefault="00884294" w:rsidP="00872FDA">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Article</w:t>
      </w:r>
      <w:r w:rsidR="00872FDA" w:rsidRPr="005125ED">
        <w:rPr>
          <w:rFonts w:ascii="Times New Roman" w:eastAsia="Times New Roman" w:hAnsi="Times New Roman" w:cs="Times New Roman"/>
          <w:b/>
          <w:bCs/>
          <w:kern w:val="0"/>
          <w:szCs w:val="20"/>
          <w:lang w:val="sq-AL"/>
          <w14:ligatures w14:val="none"/>
        </w:rPr>
        <w:t> 2</w:t>
      </w:r>
      <w:r w:rsidR="00655C91" w:rsidRPr="005125ED">
        <w:rPr>
          <w:rFonts w:ascii="Times New Roman" w:eastAsia="Times New Roman" w:hAnsi="Times New Roman" w:cs="Times New Roman"/>
          <w:b/>
          <w:bCs/>
          <w:kern w:val="0"/>
          <w:szCs w:val="20"/>
          <w:lang w:val="sq-AL"/>
          <w14:ligatures w14:val="none"/>
        </w:rPr>
        <w:t>8</w:t>
      </w:r>
    </w:p>
    <w:p w14:paraId="7F0EA9B7" w14:textId="0AEC088F" w:rsidR="00884294" w:rsidRPr="00867AB9" w:rsidRDefault="00884294" w:rsidP="00867AB9">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Languages</w:t>
      </w:r>
    </w:p>
    <w:p w14:paraId="269307F9" w14:textId="2BBF3B83"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 xml:space="preserve">Where securities are admitted to trading on a regulated market only in the Republic of Albania, as the </w:t>
      </w:r>
      <w:r w:rsidRPr="007F1D9B">
        <w:rPr>
          <w:rFonts w:ascii="Times New Roman" w:eastAsia="Times New Roman" w:hAnsi="Times New Roman" w:cs="Times New Roman"/>
          <w:kern w:val="0"/>
          <w14:ligatures w14:val="none"/>
        </w:rPr>
        <w:t>home</w:t>
      </w:r>
      <w:r w:rsidRPr="00884294">
        <w:rPr>
          <w:rFonts w:ascii="Times New Roman" w:eastAsia="Times New Roman" w:hAnsi="Times New Roman" w:cs="Times New Roman"/>
          <w:kern w:val="0"/>
          <w14:ligatures w14:val="none"/>
        </w:rPr>
        <w:t xml:space="preserve"> State of the issuer, any regulated information pursuant to this Law shall be disclosed in a language accepted by the Authority, which in this case is the Albanian language.</w:t>
      </w:r>
    </w:p>
    <w:p w14:paraId="71A5AA34" w14:textId="625AE4F5"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Where securities are admitted to trading on a regulated market both in the Republic of Albania, as the home State, and in one or more Member States as host Member States, any regulated information pursuant to this Law shall be disclosed:</w:t>
      </w:r>
      <w:r w:rsidRPr="00884294">
        <w:rPr>
          <w:rFonts w:ascii="Times New Roman" w:eastAsia="Times New Roman" w:hAnsi="Times New Roman" w:cs="Times New Roman"/>
          <w:kern w:val="0"/>
          <w14:ligatures w14:val="none"/>
        </w:rPr>
        <w:br/>
        <w:t>(a) in the Albanian language; and</w:t>
      </w:r>
      <w:r w:rsidRPr="00884294">
        <w:rPr>
          <w:rFonts w:ascii="Times New Roman" w:eastAsia="Times New Roman" w:hAnsi="Times New Roman" w:cs="Times New Roman"/>
          <w:kern w:val="0"/>
          <w14:ligatures w14:val="none"/>
        </w:rPr>
        <w:br/>
        <w:t>(b) at the issuer’s choice, in a language accepted by the competent authorities of those host Member States, or in a language customary in the sphere of international finance and accepted by the Authority.</w:t>
      </w:r>
    </w:p>
    <w:p w14:paraId="7B7F896B"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 xml:space="preserve">Where securities are admitted to trading on a regulated market in one or more Member States, but not on a regulated market in the Republic of Albania, the </w:t>
      </w:r>
      <w:r w:rsidRPr="00884294">
        <w:rPr>
          <w:rFonts w:ascii="Times New Roman" w:eastAsia="Times New Roman" w:hAnsi="Times New Roman" w:cs="Times New Roman"/>
          <w:kern w:val="0"/>
          <w14:ligatures w14:val="none"/>
        </w:rPr>
        <w:lastRenderedPageBreak/>
        <w:t>regulated information, at the issuer’s choice of market, shall be disclosed in a language accepted by the competent authorities of those host Member States, or in a language customary in the sphere of international finance and accepted by the Authority.</w:t>
      </w:r>
    </w:p>
    <w:p w14:paraId="66C7C9E0" w14:textId="77777777" w:rsidR="00884294" w:rsidRPr="00884294" w:rsidRDefault="00884294" w:rsidP="00884294">
      <w:pPr>
        <w:spacing w:before="100" w:beforeAutospacing="1" w:after="100" w:afterAutospacing="1" w:line="240" w:lineRule="auto"/>
        <w:ind w:left="720"/>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In addition, the regulated information referred to in paragraph 3 of this Article, at the issuer’s choice, shall be disclosed within the territory of the Republic of Albania in a language accepted by the Authority, in this case in the Albanian language or in the English language as a language customary in the sphere of international finance.</w:t>
      </w:r>
    </w:p>
    <w:p w14:paraId="199887E5"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Where securities are admitted to trading on a regulated market without the issuer’s consent, the obligation provided for in paragraphs (1), (2) and (3) of this Article shall fall on the person who has applied for admission without the issuer’s consent.</w:t>
      </w:r>
    </w:p>
    <w:p w14:paraId="0BA216CA"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Shareholders and natural or legal persons referred to in Articles 12, 13 and 20 may transmit to issuers the information required under this Law either in the Albanian language or solely in a language customary in the sphere of international finance. When the issuer receives such notification, it shall not be required to provide a translation into the Albanian language.</w:t>
      </w:r>
    </w:p>
    <w:p w14:paraId="6450F881"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By way of derogation from paragraphs (1) to (4) of this Article, where securities having a denomination per unit of at least EUR 100,000, or, in the case of debt securities denominated in a currency other than euro, a denomination per unit equivalent to at least EUR 100,000 at the date of issue, are admitted to trading on a regulated market in one or more Member States, the regulated information shall be disclosed to the public in a language accepted by the competent authorities of the host Member States and by the Authority, or in a language customary in the sphere of international finance, chosen by the issuer or by the person who has applied for admission to trading without the issuer’s consent.</w:t>
      </w:r>
    </w:p>
    <w:p w14:paraId="115A64C0"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The derogation referred to in paragraph 6 of this Article shall also apply to debt securities, the denomination per unit of which is at least EUR 50,000, or, in the case of debt securities denominated in a currency other than euro, the denomination per unit is equivalent to at least EUR 50,000 at the date of issue, which have already been admitted to trading on a regulated market in one or more Member States before 31 December 2010, for as long as such debt securities remain in circulation.</w:t>
      </w:r>
    </w:p>
    <w:p w14:paraId="53D7E534" w14:textId="77777777" w:rsidR="00884294" w:rsidRPr="00884294" w:rsidRDefault="00884294" w:rsidP="00884294">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884294">
        <w:rPr>
          <w:rFonts w:ascii="Times New Roman" w:eastAsia="Times New Roman" w:hAnsi="Times New Roman" w:cs="Times New Roman"/>
          <w:kern w:val="0"/>
          <w14:ligatures w14:val="none"/>
        </w:rPr>
        <w:t>Where, before a court or tribunal of the Republic of Albania or of a Member State, a matter is brought relating to the content of regulated information, responsibility for paying the translation costs of such information for the purposes of proceedings shall be determined in accordance with the legislation of the Republic of Albania or of that Member State.</w:t>
      </w:r>
    </w:p>
    <w:p w14:paraId="6E6F5A92" w14:textId="77777777" w:rsidR="00884294" w:rsidRDefault="00884294" w:rsidP="00884294">
      <w:pPr>
        <w:keepNext/>
        <w:keepLines/>
        <w:spacing w:before="480" w:after="240" w:line="240" w:lineRule="auto"/>
        <w:contextualSpacing/>
        <w:rPr>
          <w:rFonts w:ascii="Times New Roman" w:eastAsia="Times New Roman" w:hAnsi="Times New Roman" w:cs="Times New Roman"/>
          <w:b/>
          <w:bCs/>
          <w:kern w:val="0"/>
          <w:szCs w:val="20"/>
          <w:lang w:val="sq-AL"/>
          <w14:ligatures w14:val="none"/>
        </w:rPr>
      </w:pPr>
    </w:p>
    <w:p w14:paraId="335856AC" w14:textId="77777777" w:rsidR="00884294" w:rsidRDefault="00884294" w:rsidP="00872FDA">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p>
    <w:p w14:paraId="57FC97FA" w14:textId="71C9F8F4" w:rsidR="00872FDA" w:rsidRPr="005125ED" w:rsidRDefault="00884294" w:rsidP="00872FDA">
      <w:pPr>
        <w:keepNext/>
        <w:keepLines/>
        <w:spacing w:before="480" w:after="24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Article</w:t>
      </w:r>
      <w:r w:rsidR="00872FDA" w:rsidRPr="005125ED">
        <w:rPr>
          <w:rFonts w:ascii="Times New Roman" w:eastAsia="Times New Roman" w:hAnsi="Times New Roman" w:cs="Times New Roman"/>
          <w:b/>
          <w:bCs/>
          <w:kern w:val="0"/>
          <w:szCs w:val="20"/>
          <w:lang w:val="sq-AL"/>
          <w14:ligatures w14:val="none"/>
        </w:rPr>
        <w:t> 2</w:t>
      </w:r>
      <w:r w:rsidR="00655C91" w:rsidRPr="005125ED">
        <w:rPr>
          <w:rFonts w:ascii="Times New Roman" w:eastAsia="Times New Roman" w:hAnsi="Times New Roman" w:cs="Times New Roman"/>
          <w:b/>
          <w:bCs/>
          <w:kern w:val="0"/>
          <w:szCs w:val="20"/>
          <w:lang w:val="sq-AL"/>
          <w14:ligatures w14:val="none"/>
        </w:rPr>
        <w:t>9</w:t>
      </w:r>
    </w:p>
    <w:p w14:paraId="6C3224C4" w14:textId="18D5165A" w:rsidR="00922323" w:rsidRDefault="00884294" w:rsidP="00922323">
      <w:pPr>
        <w:keepNext/>
        <w:keepLines/>
        <w:spacing w:before="480" w:after="240" w:line="240" w:lineRule="auto"/>
        <w:contextualSpacing/>
        <w:jc w:val="center"/>
        <w:rPr>
          <w:rFonts w:ascii="Times New Roman" w:hAnsi="Times New Roman" w:cs="Times New Roman"/>
          <w:b/>
          <w:bCs/>
        </w:rPr>
      </w:pPr>
      <w:r w:rsidRPr="00884294">
        <w:rPr>
          <w:rFonts w:ascii="Times New Roman" w:hAnsi="Times New Roman" w:cs="Times New Roman"/>
          <w:b/>
          <w:bCs/>
        </w:rPr>
        <w:t>Access to Regulated Information</w:t>
      </w:r>
    </w:p>
    <w:p w14:paraId="0033EDE5" w14:textId="77777777" w:rsidR="00884294" w:rsidRDefault="00884294" w:rsidP="00884294">
      <w:pPr>
        <w:pStyle w:val="NormalWeb"/>
        <w:numPr>
          <w:ilvl w:val="0"/>
          <w:numId w:val="266"/>
        </w:numPr>
      </w:pPr>
      <w:r>
        <w:t xml:space="preserve">The issuer, or the person who has applied for the admission of its securities to trading on a regulated market without the issuer’s consent, shall disclose regulated </w:t>
      </w:r>
      <w:r>
        <w:lastRenderedPageBreak/>
        <w:t>information in a manner ensuring fast access and on a non-discriminatory basis, and shall file such information with the officially appointed mechanism referred to in paragraph (2).</w:t>
      </w:r>
      <w:r>
        <w:br/>
        <w:t>The issuer, or the person who has applied for the admission to trading on a regulated market without the issuer’s approval, shall not charge investors any specific fee for providing such information. The issuer shall use media that may reasonably be relied upon for the effective dissemination of information to the public in the Republic of Albania and in all Member States. However, there is no obligation to use only media whose operators are established in the territory of the Republic of Albania.</w:t>
      </w:r>
    </w:p>
    <w:p w14:paraId="3CC1736C" w14:textId="77777777" w:rsidR="00884294" w:rsidRDefault="00884294" w:rsidP="00884294">
      <w:pPr>
        <w:pStyle w:val="NormalWeb"/>
        <w:numPr>
          <w:ilvl w:val="0"/>
          <w:numId w:val="266"/>
        </w:numPr>
      </w:pPr>
      <w:r>
        <w:t>The Authority shall designate one or more officially appointed mechanisms for the central storage of regulated information. Such mechanism shall comply with the minimum quality standards concerning security, certainty as to the source of the information, time-recording and ease of access by end-users, and shall be consistent with the filing procedure under Article 27(1).</w:t>
      </w:r>
    </w:p>
    <w:p w14:paraId="6BD67014" w14:textId="77777777" w:rsidR="00884294" w:rsidRDefault="00884294" w:rsidP="00884294">
      <w:pPr>
        <w:pStyle w:val="NormalWeb"/>
        <w:numPr>
          <w:ilvl w:val="0"/>
          <w:numId w:val="266"/>
        </w:numPr>
      </w:pPr>
      <w:r>
        <w:t>The issuer shall file the full regulated information, simultaneously with its disclosure, with the Authority and with the Officially Appointed Central Storage Mechanism designated by the Authority.</w:t>
      </w:r>
    </w:p>
    <w:p w14:paraId="083EF602" w14:textId="77777777" w:rsidR="00884294" w:rsidRDefault="00884294" w:rsidP="00884294">
      <w:pPr>
        <w:pStyle w:val="NormalWeb"/>
        <w:numPr>
          <w:ilvl w:val="0"/>
          <w:numId w:val="266"/>
        </w:numPr>
      </w:pPr>
      <w:r>
        <w:t>The Officially Appointed Mechanism for regulated information in the Republic of Albania shall be maintained by the Authority, which shall publish the regulated information on its official website.</w:t>
      </w:r>
    </w:p>
    <w:p w14:paraId="78F6AF2D" w14:textId="77777777" w:rsidR="00884294" w:rsidRDefault="00884294" w:rsidP="00884294">
      <w:pPr>
        <w:pStyle w:val="NormalWeb"/>
        <w:numPr>
          <w:ilvl w:val="0"/>
          <w:numId w:val="266"/>
        </w:numPr>
      </w:pPr>
      <w:r>
        <w:t>Notwithstanding paragraph 1, the Officially Appointed Mechanism for Regulated Information may also be maintained by another legal person approved by the Authority, provided that such person meets the technical, security, organisational and other requirements for maintaining the Officially Appointed Mechanism for Regulated Information and ensures that access to regulated information at the level of the European Union is not impaired.</w:t>
      </w:r>
    </w:p>
    <w:p w14:paraId="22DC1F7D" w14:textId="77777777" w:rsidR="00884294" w:rsidRDefault="00884294" w:rsidP="00884294">
      <w:pPr>
        <w:pStyle w:val="NormalWeb"/>
        <w:numPr>
          <w:ilvl w:val="0"/>
          <w:numId w:val="266"/>
        </w:numPr>
      </w:pPr>
      <w:r>
        <w:t>Where securities are admitted to trading on a regulated market situated and operating solely in the Republic of Albania as a host State, and not as the home State of the issuer, the issuer, or the person who has applied for admission to trading without the issuer’s consent, shall disclose regulated information in accordance with the requirements laid down in paragraph 1 of this Article.</w:t>
      </w:r>
    </w:p>
    <w:p w14:paraId="21195D31" w14:textId="2DDD6E45" w:rsidR="00884294" w:rsidRDefault="00884294" w:rsidP="00884294">
      <w:pPr>
        <w:pStyle w:val="NormalWeb"/>
        <w:numPr>
          <w:ilvl w:val="0"/>
          <w:numId w:val="266"/>
        </w:numPr>
      </w:pPr>
      <w:r>
        <w:t>The Authority shall adopt and implement regulations, taking into account the delegated acts of the European Commission, specifying:</w:t>
      </w:r>
      <w:r>
        <w:br/>
        <w:t>(a) the minimum standards for the dissemination of regulated information, as referred to in paragraph 1 of this Article;</w:t>
      </w:r>
      <w:r>
        <w:br/>
        <w:t>(b) the minimum standards for the central storage mechanism, as referred to in paragraph 2 of this Article;</w:t>
      </w:r>
      <w:r>
        <w:br/>
        <w:t>(c) the rules ensuring the interoperability of the information and communication technologies used by the mechanisms referred to in paragraph 2, as well as access to regulated information at EU level referred to therein.</w:t>
      </w:r>
    </w:p>
    <w:p w14:paraId="68705C65" w14:textId="77777777" w:rsidR="00EF3EE5" w:rsidRPr="005125ED" w:rsidRDefault="00EF3EE5" w:rsidP="00884294">
      <w:pPr>
        <w:widowControl w:val="0"/>
        <w:spacing w:after="0" w:line="240" w:lineRule="auto"/>
        <w:rPr>
          <w:rFonts w:ascii="Times New Roman" w:eastAsia="Times New Roman" w:hAnsi="Times New Roman" w:cs="Times New Roman"/>
          <w:b/>
          <w:bCs/>
          <w:kern w:val="0"/>
          <w:lang w:val="sq-AL"/>
          <w14:ligatures w14:val="none"/>
        </w:rPr>
      </w:pPr>
    </w:p>
    <w:p w14:paraId="32EE2BD6" w14:textId="360F6854" w:rsidR="00872FDA" w:rsidRPr="005125ED" w:rsidRDefault="00884294"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Article </w:t>
      </w:r>
      <w:r w:rsidR="00655C91" w:rsidRPr="005125ED">
        <w:rPr>
          <w:rFonts w:ascii="Times New Roman" w:eastAsia="Times New Roman" w:hAnsi="Times New Roman" w:cs="Times New Roman"/>
          <w:b/>
          <w:bCs/>
          <w:kern w:val="0"/>
          <w:lang w:val="sq-AL"/>
          <w14:ligatures w14:val="none"/>
        </w:rPr>
        <w:t>30</w:t>
      </w:r>
    </w:p>
    <w:p w14:paraId="7614881B" w14:textId="25FFE70D" w:rsidR="00872FDA" w:rsidRDefault="00884294"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Minimum Standards</w:t>
      </w:r>
    </w:p>
    <w:p w14:paraId="07DBD221" w14:textId="77777777" w:rsidR="00FA1F40" w:rsidRDefault="00FA1F40" w:rsidP="00FA1F40">
      <w:pPr>
        <w:pStyle w:val="NormalWeb"/>
        <w:numPr>
          <w:ilvl w:val="0"/>
          <w:numId w:val="267"/>
        </w:numPr>
      </w:pPr>
      <w:r>
        <w:lastRenderedPageBreak/>
        <w:t>For the purposes of Article 29(1) of this Law, the dissemination of regulated information shall be carried out in accordance with the minimum standards set out in paragraphs 2 to 5 of this Article.</w:t>
      </w:r>
    </w:p>
    <w:p w14:paraId="4475EF0F" w14:textId="77777777" w:rsidR="00FA1F40" w:rsidRDefault="00FA1F40" w:rsidP="00FA1F40">
      <w:pPr>
        <w:pStyle w:val="NormalWeb"/>
        <w:numPr>
          <w:ilvl w:val="0"/>
          <w:numId w:val="267"/>
        </w:numPr>
      </w:pPr>
      <w:r>
        <w:t>Regulated information shall be disseminated in a manner ensuring that it is disseminated to as wide a public as possible, and as close in time as possible, within the territory of the Republic of Albania as the home State, or the Member State referred to in Article 29(6) of this Law, and in the other Member States.</w:t>
      </w:r>
    </w:p>
    <w:p w14:paraId="172CCF0D" w14:textId="77777777" w:rsidR="00FA1F40" w:rsidRDefault="00FA1F40" w:rsidP="00FA1F40">
      <w:pPr>
        <w:pStyle w:val="NormalWeb"/>
        <w:numPr>
          <w:ilvl w:val="0"/>
          <w:numId w:val="267"/>
        </w:numPr>
      </w:pPr>
      <w:r>
        <w:t xml:space="preserve"> Regulated information shall be communicated to the media in unedited full text.</w:t>
      </w:r>
      <w:r>
        <w:br/>
        <w:t>However, in the case of the reports and statements referred to in Articles 4 and 5 of this Law, this requirement shall be deemed to be fulfilled if the announcement relating to the regulated information is communicated to the media and states on which website, in addition to the officially appointed mechanism for the central storage of regulated information referred to in Article 29 of this Law, the relevant documents are available.</w:t>
      </w:r>
    </w:p>
    <w:p w14:paraId="074E004A" w14:textId="77777777" w:rsidR="00FA1F40" w:rsidRDefault="00FA1F40" w:rsidP="00FA1F40">
      <w:pPr>
        <w:pStyle w:val="NormalWeb"/>
        <w:numPr>
          <w:ilvl w:val="0"/>
          <w:numId w:val="267"/>
        </w:numPr>
      </w:pPr>
      <w:r>
        <w:t xml:space="preserve"> Regulated information shall be communicated to the media in a manner that ensures the security of the communication, minimises the risk of data corruption and unauthorised access, and provides certainty as to the source of the regulated information.</w:t>
      </w:r>
      <w:r>
        <w:br/>
        <w:t>The security of receipt shall be ensured by remedying, as soon as reasonably possible, any failure or interruption in the communication of regulated information.</w:t>
      </w:r>
      <w:r>
        <w:br/>
        <w:t>The issuer or the person who has applied for admission to trading on a regulated market without the issuer’s consent shall not be liable for systemic errors or deficiencies in the media to which the regulated information has been communicated.</w:t>
      </w:r>
    </w:p>
    <w:p w14:paraId="3BBED85F" w14:textId="36341673" w:rsidR="00FA1F40" w:rsidRDefault="00FA1F40" w:rsidP="00FA1F40">
      <w:pPr>
        <w:pStyle w:val="NormalWeb"/>
        <w:numPr>
          <w:ilvl w:val="0"/>
          <w:numId w:val="267"/>
        </w:numPr>
      </w:pPr>
      <w:r>
        <w:t xml:space="preserve"> Regulated information shall be communicated to the media in a manner that makes it clear that the information is regulated information, clearly identifies the relevant issuer, the subject matter of the regulated information, and the time and date on which the information was communicated by the issuer or by the person who has applied for admission to trading on a regulated market without the issuer’s consent.</w:t>
      </w:r>
      <w:r>
        <w:br/>
        <w:t>Upon request, the issuer or the person who has applied for admission to trading on a regulated market without the issuer’s consent shall be able to communicate to the Authority, for each publication of regulated information, the following data:</w:t>
      </w:r>
      <w:r>
        <w:br/>
        <w:t>a. the name of the person who communicated the information to the media;</w:t>
      </w:r>
      <w:r>
        <w:br/>
        <w:t>b. the security validation details;</w:t>
      </w:r>
      <w:r>
        <w:br/>
        <w:t>c. the time and date on which the information was communicated to the media;</w:t>
      </w:r>
      <w:r>
        <w:br/>
        <w:t>d. the medium through which the information was communicated;</w:t>
      </w:r>
      <w:r>
        <w:br/>
        <w:t>e. where applicable, details of any embargo placed by the issuer on the regulated information.</w:t>
      </w:r>
    </w:p>
    <w:p w14:paraId="1A169C5C" w14:textId="77777777" w:rsidR="00FA1F40" w:rsidRDefault="00FA1F40" w:rsidP="00FA1F40">
      <w:pPr>
        <w:widowControl w:val="0"/>
        <w:spacing w:after="0" w:line="240" w:lineRule="auto"/>
        <w:rPr>
          <w:rFonts w:ascii="Times New Roman" w:eastAsia="Times New Roman" w:hAnsi="Times New Roman" w:cs="Times New Roman"/>
          <w:b/>
          <w:bCs/>
          <w:kern w:val="0"/>
          <w:lang w:val="sq-AL"/>
          <w14:ligatures w14:val="none"/>
        </w:rPr>
      </w:pPr>
    </w:p>
    <w:p w14:paraId="727C18BA" w14:textId="77777777" w:rsidR="00FA1F40" w:rsidRDefault="00FA1F40"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47D732D1" w14:textId="77777777" w:rsidR="00BE5327" w:rsidRPr="005125ED" w:rsidRDefault="00BE5327" w:rsidP="00872FDA">
      <w:pPr>
        <w:widowControl w:val="0"/>
        <w:spacing w:after="240" w:line="240" w:lineRule="auto"/>
        <w:ind w:left="630"/>
        <w:jc w:val="both"/>
        <w:textAlignment w:val="baseline"/>
        <w:rPr>
          <w:rFonts w:ascii="Times New Roman" w:eastAsia="Times New Roman" w:hAnsi="Times New Roman" w:cs="Times New Roman"/>
          <w:iCs/>
          <w:kern w:val="0"/>
          <w:lang w:val="sq-AL"/>
          <w14:ligatures w14:val="none"/>
        </w:rPr>
      </w:pPr>
    </w:p>
    <w:p w14:paraId="1D1681C9" w14:textId="7F13D134" w:rsidR="00BE5327" w:rsidRPr="005125ED" w:rsidRDefault="00FA1F40" w:rsidP="00D96262">
      <w:pPr>
        <w:widowControl w:val="0"/>
        <w:spacing w:after="0" w:line="240" w:lineRule="auto"/>
        <w:ind w:left="4320"/>
        <w:jc w:val="both"/>
        <w:textAlignment w:val="baseline"/>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Article</w:t>
      </w:r>
      <w:r w:rsidR="00BE5327" w:rsidRPr="005125ED">
        <w:rPr>
          <w:rFonts w:ascii="Times New Roman" w:eastAsia="Times New Roman" w:hAnsi="Times New Roman" w:cs="Times New Roman"/>
          <w:b/>
          <w:bCs/>
          <w:iCs/>
          <w:kern w:val="0"/>
          <w:lang w:val="sq-AL"/>
          <w14:ligatures w14:val="none"/>
        </w:rPr>
        <w:t xml:space="preserve"> </w:t>
      </w:r>
      <w:r w:rsidR="00D96262" w:rsidRPr="005125ED">
        <w:rPr>
          <w:rFonts w:ascii="Times New Roman" w:eastAsia="Times New Roman" w:hAnsi="Times New Roman" w:cs="Times New Roman"/>
          <w:b/>
          <w:bCs/>
          <w:iCs/>
          <w:kern w:val="0"/>
          <w:lang w:val="sq-AL"/>
          <w14:ligatures w14:val="none"/>
        </w:rPr>
        <w:t>3</w:t>
      </w:r>
      <w:r w:rsidR="00655C91" w:rsidRPr="005125ED">
        <w:rPr>
          <w:rFonts w:ascii="Times New Roman" w:eastAsia="Times New Roman" w:hAnsi="Times New Roman" w:cs="Times New Roman"/>
          <w:b/>
          <w:bCs/>
          <w:iCs/>
          <w:kern w:val="0"/>
          <w:lang w:val="sq-AL"/>
          <w14:ligatures w14:val="none"/>
        </w:rPr>
        <w:t>1</w:t>
      </w:r>
    </w:p>
    <w:p w14:paraId="55D607BC" w14:textId="619B63F9" w:rsidR="00D96262" w:rsidRDefault="00FA1F40" w:rsidP="00FA1F40">
      <w:pPr>
        <w:widowControl w:val="0"/>
        <w:spacing w:after="0" w:line="240" w:lineRule="auto"/>
        <w:ind w:left="2880" w:firstLine="720"/>
        <w:jc w:val="both"/>
        <w:textAlignment w:val="baseline"/>
        <w:rPr>
          <w:rFonts w:ascii="Times New Roman" w:hAnsi="Times New Roman" w:cs="Times New Roman"/>
          <w:b/>
          <w:bCs/>
        </w:rPr>
      </w:pPr>
      <w:r w:rsidRPr="00FA1F40">
        <w:rPr>
          <w:rFonts w:ascii="Times New Roman" w:hAnsi="Times New Roman" w:cs="Times New Roman"/>
          <w:b/>
          <w:bCs/>
        </w:rPr>
        <w:t>Electronic Access Point</w:t>
      </w:r>
    </w:p>
    <w:p w14:paraId="18E7C941" w14:textId="77777777" w:rsidR="00FA1F40" w:rsidRDefault="00FA1F40" w:rsidP="00FA1F40">
      <w:pPr>
        <w:pStyle w:val="NormalWeb"/>
        <w:numPr>
          <w:ilvl w:val="0"/>
          <w:numId w:val="268"/>
        </w:numPr>
      </w:pPr>
      <w:r>
        <w:t>The European Securities and Markets Authority (ESMA) shall develop and operate a web portal serving as the European Electronic Access Point.</w:t>
      </w:r>
    </w:p>
    <w:p w14:paraId="4DE3EC35" w14:textId="77777777" w:rsidR="00FA1F40" w:rsidRDefault="00FA1F40" w:rsidP="00FA1F40">
      <w:pPr>
        <w:pStyle w:val="NormalWeb"/>
        <w:numPr>
          <w:ilvl w:val="0"/>
          <w:numId w:val="268"/>
        </w:numPr>
      </w:pPr>
      <w:r>
        <w:lastRenderedPageBreak/>
        <w:t>The system for the interconnection of the officially designated mechanisms/registers shall consist of:</w:t>
      </w:r>
      <w:r>
        <w:br/>
        <w:t>a. the mechanisms referred to in Article 29(2) of this Law;</w:t>
      </w:r>
      <w:r>
        <w:br/>
        <w:t>b. the portal serving as the European Electronic Access Point.</w:t>
      </w:r>
    </w:p>
    <w:p w14:paraId="3EFAEBAC" w14:textId="768B024B" w:rsidR="00FA1F40" w:rsidRDefault="00FA1F40" w:rsidP="00FA1F40">
      <w:pPr>
        <w:pStyle w:val="NormalWeb"/>
        <w:numPr>
          <w:ilvl w:val="0"/>
          <w:numId w:val="268"/>
        </w:numPr>
      </w:pPr>
      <w:r>
        <w:t>The Authority shall ensure access to the central storage mechanism for regulated information through the European Electronic Access Point.</w:t>
      </w:r>
    </w:p>
    <w:p w14:paraId="672052DD" w14:textId="77777777" w:rsidR="00FA1F40" w:rsidRDefault="00FA1F40" w:rsidP="00FA1F40">
      <w:pPr>
        <w:widowControl w:val="0"/>
        <w:spacing w:after="0" w:line="240" w:lineRule="auto"/>
        <w:ind w:left="2880" w:firstLine="720"/>
        <w:jc w:val="both"/>
        <w:textAlignment w:val="baseline"/>
        <w:rPr>
          <w:rFonts w:ascii="Times New Roman" w:hAnsi="Times New Roman" w:cs="Times New Roman"/>
          <w:b/>
          <w:bCs/>
        </w:rPr>
      </w:pPr>
    </w:p>
    <w:p w14:paraId="7EE5CE96" w14:textId="62997EF1" w:rsidR="00872FDA" w:rsidRPr="005125ED" w:rsidRDefault="00FA1F40"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xml:space="preserve"> </w:t>
      </w:r>
      <w:r w:rsidR="004343EE" w:rsidRPr="005125ED">
        <w:rPr>
          <w:rFonts w:ascii="Times New Roman" w:eastAsia="Times New Roman" w:hAnsi="Times New Roman" w:cs="Times New Roman"/>
          <w:b/>
          <w:bCs/>
          <w:kern w:val="0"/>
          <w:lang w:val="sq-AL"/>
          <w14:ligatures w14:val="none"/>
        </w:rPr>
        <w:t>3</w:t>
      </w:r>
      <w:r w:rsidR="00655C91" w:rsidRPr="005125ED">
        <w:rPr>
          <w:rFonts w:ascii="Times New Roman" w:eastAsia="Times New Roman" w:hAnsi="Times New Roman" w:cs="Times New Roman"/>
          <w:b/>
          <w:bCs/>
          <w:kern w:val="0"/>
          <w:lang w:val="sq-AL"/>
          <w14:ligatures w14:val="none"/>
        </w:rPr>
        <w:t>2</w:t>
      </w:r>
    </w:p>
    <w:p w14:paraId="13AA6F45" w14:textId="0BA5169F" w:rsidR="00FA1F40" w:rsidRPr="00FA1F40" w:rsidRDefault="00FA1F40" w:rsidP="00872FDA">
      <w:pPr>
        <w:widowControl w:val="0"/>
        <w:spacing w:after="0" w:line="240" w:lineRule="auto"/>
        <w:jc w:val="center"/>
        <w:rPr>
          <w:rFonts w:ascii="Times New Roman" w:eastAsia="Times New Roman" w:hAnsi="Times New Roman" w:cs="Times New Roman"/>
          <w:b/>
          <w:bCs/>
          <w:kern w:val="0"/>
          <w:lang w:val="sq-AL"/>
          <w14:ligatures w14:val="none"/>
        </w:rPr>
      </w:pPr>
      <w:r w:rsidRPr="00FA1F40">
        <w:rPr>
          <w:rFonts w:ascii="Times New Roman" w:hAnsi="Times New Roman" w:cs="Times New Roman"/>
          <w:b/>
          <w:bCs/>
        </w:rPr>
        <w:t>Access to Information through the European Electronic Access Point</w:t>
      </w:r>
      <w:r w:rsidR="00B024AD">
        <w:rPr>
          <w:rFonts w:ascii="Times New Roman" w:hAnsi="Times New Roman" w:cs="Times New Roman"/>
          <w:b/>
          <w:bCs/>
        </w:rPr>
        <w:t xml:space="preserve"> (ESAP)</w:t>
      </w:r>
    </w:p>
    <w:p w14:paraId="725EDF13" w14:textId="77777777" w:rsidR="00FA1F40" w:rsidRDefault="00FA1F40"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0DE905E0" w14:textId="6C65A4E2" w:rsidR="00FA1F40" w:rsidRDefault="00FA1F40" w:rsidP="00076BDD">
      <w:pPr>
        <w:pStyle w:val="NormalWeb"/>
        <w:numPr>
          <w:ilvl w:val="0"/>
          <w:numId w:val="269"/>
        </w:numPr>
        <w:ind w:left="-180"/>
        <w:jc w:val="both"/>
      </w:pPr>
      <w:r>
        <w:t xml:space="preserve">The Authority shall ensure that, when regulated information referred to in Article 29(1) of this Law is made public, the issuer or the person who has applied for admission to trading on a regulated market without the issuer’s consent submits such regulated information simultaneously to the collection body referred to in paragraph </w:t>
      </w:r>
      <w:r w:rsidR="006D77B6">
        <w:t xml:space="preserve">4 </w:t>
      </w:r>
      <w:r>
        <w:t>of this Article, in order for the information to be made accessible through the European Single Access Point (ESAP) established pursuant to Regulation (EU) 2023/2859 of the European Parliament and of the Council.</w:t>
      </w:r>
    </w:p>
    <w:p w14:paraId="460A80B8" w14:textId="00426353" w:rsidR="00FA1F40" w:rsidRDefault="00FA1F40" w:rsidP="00FA1F40">
      <w:pPr>
        <w:pStyle w:val="NormalWeb"/>
        <w:numPr>
          <w:ilvl w:val="0"/>
          <w:numId w:val="269"/>
        </w:numPr>
        <w:ind w:left="-180"/>
      </w:pPr>
      <w:r>
        <w:t>The regulated information shall comply with the following requirements:</w:t>
      </w:r>
    </w:p>
    <w:p w14:paraId="1BF8E32B" w14:textId="77777777" w:rsidR="00FA1F40" w:rsidRDefault="00FA1F40" w:rsidP="00FA1F40">
      <w:pPr>
        <w:pStyle w:val="NormalWeb"/>
      </w:pPr>
      <w:r>
        <w:t>a. it shall be submitted in an extractable data format as defined in Article 2(3) of Regulation (EU) 2023/2859 or, where required by Union law or national law, in a machine-readable format as defined in Article 2(4) of that Regulation;</w:t>
      </w:r>
    </w:p>
    <w:p w14:paraId="74E63B5A" w14:textId="77777777" w:rsidR="00FA1F40" w:rsidRDefault="00FA1F40" w:rsidP="00FA1F40">
      <w:pPr>
        <w:pStyle w:val="NormalWeb"/>
      </w:pPr>
      <w:r>
        <w:t>b. it shall be accompanied by at least the following data/metadata:</w:t>
      </w:r>
      <w:r>
        <w:br/>
        <w:t>(i) all names of the issuer to which the information relates;</w:t>
      </w:r>
      <w:r>
        <w:br/>
        <w:t>(ii) the legal entity identifier (LEI), as specified in Article 7(4)(b) of Regulation (EU) 2023/2859;</w:t>
      </w:r>
      <w:r>
        <w:br/>
        <w:t>(iii) the size category of the issuer, as specified in Article 7(4)(d) of Regulation (EU) 2023/2859;</w:t>
      </w:r>
      <w:r>
        <w:br/>
        <w:t>(iv) the industry sector(s) of the issuer’s economic activities, as specified in Article 7(4)(e) of Regulation (EU) 2023/2859;</w:t>
      </w:r>
      <w:r>
        <w:br/>
        <w:t>(v) the type of information, as classified pursuant to Article 7(4)(c) of Regulation (EU) 2023/2859;</w:t>
      </w:r>
      <w:r>
        <w:br/>
        <w:t>(vi) an indication of whether the information contains personal data.</w:t>
      </w:r>
    </w:p>
    <w:p w14:paraId="5FA60D29" w14:textId="5FFAC310" w:rsidR="00FA1F40" w:rsidRDefault="00FA1F40" w:rsidP="00FA1F40">
      <w:pPr>
        <w:pStyle w:val="NormalWeb"/>
        <w:ind w:left="-450"/>
      </w:pPr>
      <w:r>
        <w:t>3. For the purposes of paragraph 2(b)(ii), issuers shall ensure that they have a legal entity identifier (LEI).</w:t>
      </w:r>
    </w:p>
    <w:p w14:paraId="0053C945" w14:textId="38ABBA6B" w:rsidR="00FA1F40" w:rsidRDefault="00FA1F40" w:rsidP="00FA1F40">
      <w:pPr>
        <w:pStyle w:val="NormalWeb"/>
        <w:ind w:left="-450"/>
      </w:pPr>
      <w:r>
        <w:rPr>
          <w:rFonts w:hAnsi="Symbol"/>
        </w:rPr>
        <w:t xml:space="preserve">4. </w:t>
      </w:r>
      <w:r>
        <w:t>For the purpose of making accessible through ESAP the information referred to in paragraph 1, the collection body as defined in Article 2(2) of Regulation (EU) 2023/2859 shall be the officially appointed mechanism designated pursuant to Article 29(2) of this Law.</w:t>
      </w:r>
    </w:p>
    <w:p w14:paraId="295D1AB5" w14:textId="73AB06F7" w:rsidR="00FA1F40" w:rsidRDefault="00FA1F40" w:rsidP="00FA1F40">
      <w:pPr>
        <w:pStyle w:val="NormalWeb"/>
        <w:ind w:left="-450"/>
      </w:pPr>
      <w:r>
        <w:rPr>
          <w:rFonts w:hAnsi="Symbol"/>
        </w:rPr>
        <w:t xml:space="preserve">5. </w:t>
      </w:r>
      <w:r>
        <w:t>The Authority shall ensure that the information referred to in Article 43(1) of this Law is made accessible in ESAP. For that purpose, the collection body as defined in Article 2(2) of Regulation (EU) 2023/2859 shall be the Authority.</w:t>
      </w:r>
    </w:p>
    <w:p w14:paraId="77285120" w14:textId="77777777" w:rsidR="00FA1F40" w:rsidRPr="00FA1F40" w:rsidRDefault="00FA1F40" w:rsidP="00872FDA">
      <w:pPr>
        <w:widowControl w:val="0"/>
        <w:spacing w:after="0" w:line="240" w:lineRule="auto"/>
        <w:jc w:val="center"/>
        <w:rPr>
          <w:rFonts w:ascii="Times New Roman" w:eastAsia="Times New Roman" w:hAnsi="Times New Roman" w:cs="Times New Roman"/>
          <w:b/>
          <w:bCs/>
          <w:kern w:val="0"/>
          <w14:ligatures w14:val="none"/>
        </w:rPr>
      </w:pPr>
    </w:p>
    <w:p w14:paraId="53B32BEF" w14:textId="77777777" w:rsidR="00FA1F40" w:rsidRDefault="00FA1F40"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28690440" w14:textId="77777777" w:rsidR="00DA4E30" w:rsidRPr="005125ED" w:rsidRDefault="00DA4E30" w:rsidP="00872FDA">
      <w:pPr>
        <w:widowControl w:val="0"/>
        <w:spacing w:after="0" w:line="240" w:lineRule="auto"/>
        <w:jc w:val="both"/>
        <w:rPr>
          <w:rFonts w:ascii="Times New Roman" w:eastAsia="Times New Roman" w:hAnsi="Times New Roman" w:cs="Times New Roman"/>
          <w:kern w:val="0"/>
          <w:lang w:val="sq-AL"/>
          <w14:ligatures w14:val="none"/>
        </w:rPr>
      </w:pPr>
    </w:p>
    <w:p w14:paraId="31F42CDC" w14:textId="25A990D1" w:rsidR="00872FDA" w:rsidRPr="005125ED" w:rsidRDefault="00FA1F40" w:rsidP="00872FDA">
      <w:pPr>
        <w:widowControl w:val="0"/>
        <w:spacing w:after="0" w:line="240" w:lineRule="auto"/>
        <w:jc w:val="center"/>
        <w:rPr>
          <w:rFonts w:ascii="Times New Roman" w:eastAsia="Times New Roman" w:hAnsi="Times New Roman" w:cs="Times New Roman"/>
          <w:b/>
          <w:bCs/>
          <w:iCs/>
          <w:kern w:val="0"/>
          <w:lang w:val="sq-AL"/>
          <w14:ligatures w14:val="none"/>
        </w:rPr>
      </w:pPr>
      <w:r>
        <w:rPr>
          <w:rFonts w:ascii="Times New Roman" w:eastAsia="Times New Roman" w:hAnsi="Times New Roman" w:cs="Times New Roman"/>
          <w:b/>
          <w:bCs/>
          <w:iCs/>
          <w:kern w:val="0"/>
          <w:lang w:val="sq-AL"/>
          <w14:ligatures w14:val="none"/>
        </w:rPr>
        <w:t>Article</w:t>
      </w:r>
      <w:r w:rsidR="00872FDA" w:rsidRPr="005125ED">
        <w:rPr>
          <w:rFonts w:ascii="Times New Roman" w:eastAsia="Times New Roman" w:hAnsi="Times New Roman" w:cs="Times New Roman"/>
          <w:b/>
          <w:bCs/>
          <w:iCs/>
          <w:kern w:val="0"/>
          <w:lang w:val="sq-AL"/>
          <w14:ligatures w14:val="none"/>
        </w:rPr>
        <w:t xml:space="preserve"> 3</w:t>
      </w:r>
      <w:r w:rsidR="00655C91" w:rsidRPr="005125ED">
        <w:rPr>
          <w:rFonts w:ascii="Times New Roman" w:eastAsia="Times New Roman" w:hAnsi="Times New Roman" w:cs="Times New Roman"/>
          <w:b/>
          <w:bCs/>
          <w:iCs/>
          <w:kern w:val="0"/>
          <w:lang w:val="sq-AL"/>
          <w14:ligatures w14:val="none"/>
        </w:rPr>
        <w:t>3</w:t>
      </w:r>
    </w:p>
    <w:p w14:paraId="39057714" w14:textId="4837FB3C" w:rsidR="009B2868" w:rsidRPr="00FA478A" w:rsidRDefault="00FA478A" w:rsidP="00FA478A">
      <w:pPr>
        <w:widowControl w:val="0"/>
        <w:spacing w:after="0" w:line="240" w:lineRule="auto"/>
        <w:ind w:left="360" w:hanging="360"/>
        <w:jc w:val="center"/>
        <w:rPr>
          <w:rFonts w:ascii="Times New Roman" w:eastAsia="Times New Roman" w:hAnsi="Times New Roman" w:cs="Times New Roman"/>
          <w:b/>
          <w:bCs/>
          <w:kern w:val="0"/>
          <w:lang w:val="sq-AL"/>
          <w14:ligatures w14:val="none"/>
        </w:rPr>
      </w:pPr>
      <w:r w:rsidRPr="00FA478A">
        <w:rPr>
          <w:rFonts w:ascii="Times New Roman" w:hAnsi="Times New Roman" w:cs="Times New Roman"/>
          <w:b/>
          <w:bCs/>
        </w:rPr>
        <w:t>Access to Regulated Information at Union Level</w:t>
      </w:r>
    </w:p>
    <w:p w14:paraId="35FCAF58" w14:textId="77777777" w:rsidR="00FA478A" w:rsidRPr="00FA478A" w:rsidRDefault="00FA478A" w:rsidP="00FA478A">
      <w:pPr>
        <w:widowControl w:val="0"/>
        <w:spacing w:after="0" w:line="240" w:lineRule="auto"/>
        <w:ind w:left="360" w:hanging="360"/>
        <w:jc w:val="center"/>
        <w:rPr>
          <w:rFonts w:ascii="Times New Roman" w:eastAsia="Times New Roman" w:hAnsi="Times New Roman" w:cs="Times New Roman"/>
          <w:b/>
          <w:bCs/>
          <w:kern w:val="0"/>
          <w:lang w:val="sq-AL"/>
          <w14:ligatures w14:val="none"/>
        </w:rPr>
      </w:pPr>
    </w:p>
    <w:p w14:paraId="2623E541" w14:textId="142532B1" w:rsidR="00FA478A" w:rsidRPr="00FA478A" w:rsidRDefault="00FA478A" w:rsidP="00FA478A">
      <w:pPr>
        <w:pStyle w:val="Heading3"/>
        <w:jc w:val="both"/>
        <w:rPr>
          <w:rFonts w:ascii="Times New Roman" w:eastAsia="Times New Roman" w:hAnsi="Times New Roman" w:cs="Times New Roman"/>
          <w:color w:val="auto"/>
          <w:kern w:val="0"/>
          <w:sz w:val="24"/>
          <w:szCs w:val="24"/>
          <w14:ligatures w14:val="none"/>
        </w:rPr>
      </w:pPr>
      <w:r w:rsidRPr="00FA478A">
        <w:rPr>
          <w:rFonts w:ascii="Times New Roman" w:eastAsia="Times New Roman" w:hAnsi="Times New Roman" w:cs="Times New Roman"/>
          <w:color w:val="auto"/>
          <w:kern w:val="0"/>
          <w:sz w:val="24"/>
          <w:szCs w:val="24"/>
          <w14:ligatures w14:val="none"/>
        </w:rPr>
        <w:t>The Authority shall adopt rules in accordance with Commission Delegated Regulation (EU) 2016/1437 of 19 May 2016, which is based on ESMA regulatory technical standards and lays down the technical requirements concerning access to regulated information at Union level, specifying the following:</w:t>
      </w:r>
    </w:p>
    <w:p w14:paraId="4A1EAD1A" w14:textId="77777777" w:rsidR="00FA478A" w:rsidRPr="00FA478A" w:rsidRDefault="00FA478A" w:rsidP="00FA478A">
      <w:pPr>
        <w:spacing w:before="100" w:beforeAutospacing="1" w:after="100" w:afterAutospacing="1" w:line="240" w:lineRule="auto"/>
        <w:rPr>
          <w:rFonts w:ascii="Times New Roman" w:eastAsia="Times New Roman" w:hAnsi="Times New Roman" w:cs="Times New Roman"/>
          <w:kern w:val="0"/>
          <w14:ligatures w14:val="none"/>
        </w:rPr>
      </w:pPr>
      <w:r w:rsidRPr="00FA478A">
        <w:rPr>
          <w:rFonts w:ascii="Times New Roman" w:eastAsia="Times New Roman" w:hAnsi="Times New Roman" w:cs="Times New Roman"/>
          <w:kern w:val="0"/>
          <w14:ligatures w14:val="none"/>
        </w:rPr>
        <w:t>a. the technical requirements relating to the communication technologies used by the mechanisms referred to in Article 29, paragraph 2;</w:t>
      </w:r>
      <w:r w:rsidRPr="00FA478A">
        <w:rPr>
          <w:rFonts w:ascii="Times New Roman" w:eastAsia="Times New Roman" w:hAnsi="Times New Roman" w:cs="Times New Roman"/>
          <w:kern w:val="0"/>
          <w14:ligatures w14:val="none"/>
        </w:rPr>
        <w:br/>
        <w:t>b. the technical requirements for the operation of the central access point for the search of regulated information at Union level;</w:t>
      </w:r>
      <w:r w:rsidRPr="00FA478A">
        <w:rPr>
          <w:rFonts w:ascii="Times New Roman" w:eastAsia="Times New Roman" w:hAnsi="Times New Roman" w:cs="Times New Roman"/>
          <w:kern w:val="0"/>
          <w14:ligatures w14:val="none"/>
        </w:rPr>
        <w:br/>
        <w:t>c. the technical requirements concerning the use of a unique identifier for each legal entity by the mechanisms referred to in Article 29, paragraph 2;</w:t>
      </w:r>
      <w:r w:rsidRPr="00FA478A">
        <w:rPr>
          <w:rFonts w:ascii="Times New Roman" w:eastAsia="Times New Roman" w:hAnsi="Times New Roman" w:cs="Times New Roman"/>
          <w:kern w:val="0"/>
          <w14:ligatures w14:val="none"/>
        </w:rPr>
        <w:br/>
        <w:t>d. the standard format for the submission of regulated information by the mechanisms referred to in Article 29, paragraph 2;</w:t>
      </w:r>
      <w:r w:rsidRPr="00FA478A">
        <w:rPr>
          <w:rFonts w:ascii="Times New Roman" w:eastAsia="Times New Roman" w:hAnsi="Times New Roman" w:cs="Times New Roman"/>
          <w:kern w:val="0"/>
          <w14:ligatures w14:val="none"/>
        </w:rPr>
        <w:br/>
        <w:t>e. the common classification of regulated information by the mechanisms referred to in Article 29, paragraph 2, and the common list of types of regulated information.</w:t>
      </w:r>
    </w:p>
    <w:p w14:paraId="769DE039" w14:textId="15E3AB05" w:rsidR="004343EE" w:rsidRPr="00FA478A" w:rsidRDefault="004343EE" w:rsidP="00FA478A">
      <w:pPr>
        <w:widowControl w:val="0"/>
        <w:spacing w:after="0" w:line="240" w:lineRule="auto"/>
        <w:ind w:left="90" w:hanging="540"/>
        <w:jc w:val="both"/>
        <w:rPr>
          <w:rFonts w:ascii="Times New Roman" w:eastAsia="Times New Roman" w:hAnsi="Times New Roman" w:cs="Times New Roman"/>
          <w:b/>
          <w:bCs/>
          <w:kern w:val="0"/>
          <w14:ligatures w14:val="none"/>
        </w:rPr>
      </w:pPr>
    </w:p>
    <w:p w14:paraId="1FB40A39" w14:textId="71EE89AE" w:rsidR="00872FDA" w:rsidRPr="005125ED" w:rsidRDefault="00FA478A"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xml:space="preserve"> 3</w:t>
      </w:r>
      <w:r w:rsidR="00655C91" w:rsidRPr="005125ED">
        <w:rPr>
          <w:rFonts w:ascii="Times New Roman" w:eastAsia="Times New Roman" w:hAnsi="Times New Roman" w:cs="Times New Roman"/>
          <w:b/>
          <w:bCs/>
          <w:kern w:val="0"/>
          <w:lang w:val="sq-AL"/>
          <w14:ligatures w14:val="none"/>
        </w:rPr>
        <w:t>4</w:t>
      </w:r>
    </w:p>
    <w:p w14:paraId="58F8DF22" w14:textId="7711425E" w:rsidR="00872FDA" w:rsidRDefault="00FA478A"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 xml:space="preserve">Third Countries </w:t>
      </w:r>
    </w:p>
    <w:p w14:paraId="1C80D25C" w14:textId="77777777" w:rsidR="00FA478A" w:rsidRDefault="00FA478A" w:rsidP="00872FDA">
      <w:pPr>
        <w:widowControl w:val="0"/>
        <w:spacing w:after="0" w:line="240" w:lineRule="auto"/>
        <w:jc w:val="center"/>
        <w:rPr>
          <w:rFonts w:ascii="Times New Roman" w:eastAsia="Times New Roman" w:hAnsi="Times New Roman" w:cs="Times New Roman"/>
          <w:b/>
          <w:bCs/>
          <w:kern w:val="0"/>
          <w:lang w:val="sq-AL"/>
          <w14:ligatures w14:val="none"/>
        </w:rPr>
      </w:pPr>
    </w:p>
    <w:p w14:paraId="3458B3D2" w14:textId="04DA06A8" w:rsidR="00FA478A" w:rsidRDefault="00FA478A" w:rsidP="00FA478A">
      <w:pPr>
        <w:pStyle w:val="NormalWeb"/>
        <w:jc w:val="both"/>
      </w:pPr>
      <w:r>
        <w:t>1. Where the registered office of the issuer is located in a third country for which the Republic of Albania is the home country, the Authority may exempt that issuer from the requirements of Articles 4, 5, 6, 8, 9, Article 13(6), Articles 18, 21 and Articles 22 to 24 of this Law, provided that the legislation of the third country concerned lays down requirements equivalent to those of this Law, or that the issuer complies with the requirements of the legislation of a third country which the Authority considers to be equivalent, in accordance with the methodology and criteria for the assessment of equivalence.</w:t>
      </w:r>
    </w:p>
    <w:p w14:paraId="49F743EC" w14:textId="77777777" w:rsidR="00FA478A" w:rsidRDefault="00FA478A" w:rsidP="00FA478A">
      <w:pPr>
        <w:pStyle w:val="NormalWeb"/>
        <w:jc w:val="both"/>
      </w:pPr>
      <w:r w:rsidRPr="00FA478A">
        <w:rPr>
          <w:rStyle w:val="Strong"/>
          <w:rFonts w:eastAsiaTheme="majorEastAsia"/>
          <w:b w:val="0"/>
          <w:bCs w:val="0"/>
        </w:rPr>
        <w:t>2.</w:t>
      </w:r>
      <w:r>
        <w:t xml:space="preserve"> The Authority shall notify ESMA of any exemption granted under paragraph 1 of this Article.</w:t>
      </w:r>
    </w:p>
    <w:p w14:paraId="2DF59D43" w14:textId="77777777" w:rsidR="00FA478A" w:rsidRDefault="00FA478A" w:rsidP="00FA478A">
      <w:pPr>
        <w:pStyle w:val="NormalWeb"/>
        <w:jc w:val="both"/>
      </w:pPr>
      <w:r w:rsidRPr="00FA478A">
        <w:rPr>
          <w:rStyle w:val="Strong"/>
          <w:rFonts w:eastAsiaTheme="majorEastAsia"/>
          <w:b w:val="0"/>
          <w:bCs w:val="0"/>
        </w:rPr>
        <w:t>3.</w:t>
      </w:r>
      <w:r>
        <w:t xml:space="preserve"> Information covered by the requirements laid down in the third country shall be submitted in accordance with Article 27 and published in accordance with Articles 28 and 29 of this Law.</w:t>
      </w:r>
    </w:p>
    <w:p w14:paraId="429ED5BA" w14:textId="77777777" w:rsidR="00FA478A" w:rsidRDefault="00FA478A" w:rsidP="00FA478A">
      <w:pPr>
        <w:pStyle w:val="NormalWeb"/>
        <w:jc w:val="both"/>
      </w:pPr>
      <w:r w:rsidRPr="00FA478A">
        <w:rPr>
          <w:rStyle w:val="Strong"/>
          <w:rFonts w:eastAsiaTheme="majorEastAsia"/>
          <w:b w:val="0"/>
          <w:bCs w:val="0"/>
        </w:rPr>
        <w:t>4.</w:t>
      </w:r>
      <w:r>
        <w:t xml:space="preserve"> By way of derogation from paragraph 1, an issuer whose registered office is located in a third country shall be exempted from drawing up its annual financial reports in accordance with Article 4 or Article 5, prior to the beginning of the financial year, provided that the issuer prepares its annual financial statements in accordance with internationally accepted accounting </w:t>
      </w:r>
      <w:r>
        <w:lastRenderedPageBreak/>
        <w:t>standards, pursuant to national legislation in force, taking into account Article 9 of Regulation (EC) No. 1606/2002.</w:t>
      </w:r>
    </w:p>
    <w:p w14:paraId="627A17DC" w14:textId="77777777" w:rsidR="00FA478A" w:rsidRDefault="00FA478A" w:rsidP="00FA478A">
      <w:pPr>
        <w:pStyle w:val="NormalWeb"/>
        <w:jc w:val="both"/>
      </w:pPr>
      <w:r w:rsidRPr="00FA478A">
        <w:rPr>
          <w:rStyle w:val="Strong"/>
          <w:rFonts w:eastAsiaTheme="majorEastAsia"/>
          <w:b w:val="0"/>
          <w:bCs w:val="0"/>
        </w:rPr>
        <w:t>5.</w:t>
      </w:r>
      <w:r>
        <w:t xml:space="preserve"> The Authority, acting as the competent authority of the home country, shall ensure that information published in a third country which may be significant for the Republic of Albania and for the public in the Union is published in accordance with Articles 28 and 29 of this Law, even if that information does not fall within the definition of regulated information under Article 2(1)(k) of this Law.</w:t>
      </w:r>
    </w:p>
    <w:p w14:paraId="00F24438" w14:textId="77777777" w:rsidR="00FA478A" w:rsidRDefault="00FA478A" w:rsidP="00FA478A">
      <w:pPr>
        <w:pStyle w:val="NormalWeb"/>
        <w:jc w:val="both"/>
      </w:pPr>
      <w:r w:rsidRPr="00FA478A">
        <w:rPr>
          <w:rStyle w:val="Strong"/>
          <w:rFonts w:eastAsiaTheme="majorEastAsia"/>
          <w:b w:val="0"/>
          <w:bCs w:val="0"/>
        </w:rPr>
        <w:t>6.</w:t>
      </w:r>
      <w:r>
        <w:t xml:space="preserve"> Undertakings having their registered office in a third country which would have required authorization under the legislation in force for collective investment undertakings or, as regards portfolio management, under the legislation in force for capital markets, had they had their registered office or, in the case of an investment firm, their head office within the European Union, shall also be exempted from the obligation to aggregate holdings with the holdings of their parent undertaking, as required under Article 15(4) and (5), provided that they meet equivalent conditions of independence as management companies or investment firms.</w:t>
      </w:r>
    </w:p>
    <w:p w14:paraId="692FBE08" w14:textId="77777777" w:rsidR="00FA478A" w:rsidRDefault="00FA478A" w:rsidP="00FA478A">
      <w:pPr>
        <w:pStyle w:val="NormalWeb"/>
        <w:jc w:val="both"/>
      </w:pPr>
      <w:r w:rsidRPr="00FA478A">
        <w:rPr>
          <w:rStyle w:val="Strong"/>
          <w:rFonts w:eastAsiaTheme="majorEastAsia"/>
          <w:b w:val="0"/>
          <w:bCs w:val="0"/>
        </w:rPr>
        <w:t>7.</w:t>
      </w:r>
      <w:r>
        <w:t xml:space="preserve"> In order to ensure uniform conditions for the implementation of paragraph 1, the Authority, in accordance with the rules of the European Commission, shall adopt implementing measures specifying:</w:t>
      </w:r>
    </w:p>
    <w:p w14:paraId="679A20C2" w14:textId="77777777" w:rsidR="00FA478A" w:rsidRPr="00FA478A" w:rsidRDefault="00FA478A" w:rsidP="00FA478A">
      <w:pPr>
        <w:pStyle w:val="NormalWeb"/>
        <w:jc w:val="both"/>
      </w:pPr>
      <w:r>
        <w:t>(i) the mechanism for assessing the equivalence of information requirements under this Law, including financial statements and information required under the laws, regulations or administrative provisions of a third country;</w:t>
      </w:r>
      <w:r>
        <w:br/>
        <w:t xml:space="preserve">(ii) the declaration that, by reason of its domestic law, regulations, administrative provisions, or practices or procedures based on international standards established by international organizations, the third country in which the issuer is registered ensures the equivalence of the </w:t>
      </w:r>
      <w:r w:rsidRPr="00FA478A">
        <w:t>information requirements laid down in this Law.</w:t>
      </w:r>
    </w:p>
    <w:p w14:paraId="1EE78E57" w14:textId="77777777" w:rsidR="00FA478A" w:rsidRDefault="00FA478A" w:rsidP="00FA478A">
      <w:pPr>
        <w:pStyle w:val="NormalWeb"/>
        <w:jc w:val="both"/>
      </w:pPr>
      <w:r w:rsidRPr="00FA478A">
        <w:rPr>
          <w:rStyle w:val="Strong"/>
          <w:rFonts w:eastAsiaTheme="majorEastAsia"/>
          <w:b w:val="0"/>
          <w:bCs w:val="0"/>
        </w:rPr>
        <w:t>8.</w:t>
      </w:r>
      <w:r>
        <w:t xml:space="preserve"> The Authority, in accordance with the rules of the European Commission, shall also adopt measures relating to the assessment of the relevant standards applicable to issuers from more than one country.</w:t>
      </w:r>
    </w:p>
    <w:p w14:paraId="344C6D9B" w14:textId="77777777" w:rsidR="00FA478A" w:rsidRDefault="00FA478A" w:rsidP="00FA478A">
      <w:pPr>
        <w:pStyle w:val="NormalWeb"/>
        <w:jc w:val="both"/>
      </w:pPr>
      <w:r w:rsidRPr="00FA478A">
        <w:rPr>
          <w:rStyle w:val="Strong"/>
          <w:rFonts w:eastAsiaTheme="majorEastAsia"/>
          <w:b w:val="0"/>
          <w:bCs w:val="0"/>
        </w:rPr>
        <w:t>9.</w:t>
      </w:r>
      <w:r>
        <w:t xml:space="preserve"> The Authority, in accordance with the rules of the European Commission, shall take the necessary decisions regarding the equivalence of accounting standards and the equivalence of sustainability reporting standards, as provided for in national legislation transposing Article 29b of Directive 2013/34/EU.</w:t>
      </w:r>
    </w:p>
    <w:p w14:paraId="7315B084" w14:textId="77777777" w:rsidR="00FA478A" w:rsidRPr="00FA478A" w:rsidRDefault="00FA478A" w:rsidP="00FA478A">
      <w:pPr>
        <w:pStyle w:val="NormalWeb"/>
        <w:jc w:val="both"/>
      </w:pPr>
      <w:r w:rsidRPr="00FA478A">
        <w:rPr>
          <w:rStyle w:val="Strong"/>
          <w:rFonts w:eastAsiaTheme="majorEastAsia"/>
          <w:b w:val="0"/>
          <w:bCs w:val="0"/>
        </w:rPr>
        <w:t>10.</w:t>
      </w:r>
      <w:r>
        <w:t xml:space="preserve"> Where the Authority, in accordance with the rules of the European Commission, determines that the accounting standards or sustainability reporting standards of a third country are not equivalent, it may permit the relevant issuers to continue using those standards during an appropriate transitional period. The transitional periods and the conditions for the use of </w:t>
      </w:r>
      <w:r w:rsidRPr="00FA478A">
        <w:t>non-equivalent standards shall be laid down by regulation of the Authority.</w:t>
      </w:r>
    </w:p>
    <w:p w14:paraId="2221B6A9" w14:textId="77777777" w:rsidR="00FA478A" w:rsidRDefault="00FA478A" w:rsidP="00FA478A">
      <w:pPr>
        <w:pStyle w:val="NormalWeb"/>
        <w:jc w:val="both"/>
      </w:pPr>
      <w:r w:rsidRPr="00FA478A">
        <w:rPr>
          <w:rStyle w:val="Strong"/>
          <w:rFonts w:eastAsiaTheme="majorEastAsia"/>
          <w:b w:val="0"/>
          <w:bCs w:val="0"/>
        </w:rPr>
        <w:lastRenderedPageBreak/>
        <w:t>11.</w:t>
      </w:r>
      <w:r>
        <w:t xml:space="preserve"> The Authority, in accordance with the rules of the European Commission, shall also adopt measures aimed at establishing general criteria for equivalence regarding accounting standards and sustainability reporting standards relevant for issuers from more than one country.</w:t>
      </w:r>
    </w:p>
    <w:p w14:paraId="02692ADE" w14:textId="77777777" w:rsidR="00FA478A" w:rsidRDefault="00FA478A" w:rsidP="00FA478A">
      <w:pPr>
        <w:pStyle w:val="NormalWeb"/>
        <w:jc w:val="both"/>
      </w:pPr>
      <w:r w:rsidRPr="00FA478A">
        <w:rPr>
          <w:rStyle w:val="Strong"/>
          <w:rFonts w:eastAsiaTheme="majorEastAsia"/>
          <w:b w:val="0"/>
          <w:bCs w:val="0"/>
        </w:rPr>
        <w:t>12</w:t>
      </w:r>
      <w:r>
        <w:rPr>
          <w:rStyle w:val="Strong"/>
          <w:rFonts w:eastAsiaTheme="majorEastAsia"/>
        </w:rPr>
        <w:t>.</w:t>
      </w:r>
      <w:r>
        <w:t xml:space="preserve"> The minimum criteria applied by the Authority for assessing the equivalence of sustainability reporting standards of issuers from third countries shall ensure at least the following:</w:t>
      </w:r>
    </w:p>
    <w:p w14:paraId="021C488C" w14:textId="4A4EAB33" w:rsidR="00E44D50" w:rsidRPr="00FA478A" w:rsidRDefault="00FA478A" w:rsidP="00FA478A">
      <w:pPr>
        <w:pStyle w:val="NormalWeb"/>
        <w:jc w:val="both"/>
      </w:pPr>
      <w:r>
        <w:t>a. the standards require undertakings to disclose information on environmental, social and governance (ESG) factors;</w:t>
      </w:r>
      <w:r>
        <w:br/>
        <w:t>b. the standards require disclosure of the information necessary to understand the impacts of the undertaking on sustainability matters, and how sustainability matters affect its development, performance and position.</w:t>
      </w:r>
    </w:p>
    <w:p w14:paraId="34D5EF39" w14:textId="77777777" w:rsidR="008A0296" w:rsidRPr="005125ED" w:rsidRDefault="008A0296" w:rsidP="00255FB8">
      <w:pPr>
        <w:widowControl w:val="0"/>
        <w:spacing w:after="0" w:line="240" w:lineRule="auto"/>
        <w:rPr>
          <w:rFonts w:ascii="Times New Roman" w:eastAsia="Times New Roman" w:hAnsi="Times New Roman" w:cs="Times New Roman"/>
          <w:b/>
          <w:bCs/>
          <w:kern w:val="0"/>
          <w:lang w:val="sq-AL"/>
          <w14:ligatures w14:val="none"/>
        </w:rPr>
      </w:pPr>
    </w:p>
    <w:p w14:paraId="792AE85C" w14:textId="7A66AC3C" w:rsidR="00872FDA" w:rsidRPr="005125ED" w:rsidRDefault="00FA478A" w:rsidP="00872FDA">
      <w:pPr>
        <w:widowControl w:val="0"/>
        <w:spacing w:after="0" w:line="240" w:lineRule="auto"/>
        <w:jc w:val="center"/>
        <w:rPr>
          <w:rFonts w:ascii="Times New Roman" w:eastAsia="Times New Roman" w:hAnsi="Times New Roman" w:cs="Times New Roman"/>
          <w:b/>
          <w:bCs/>
          <w:kern w:val="0"/>
          <w:lang w:val="sq-AL"/>
          <w14:ligatures w14:val="none"/>
        </w:rPr>
      </w:pPr>
      <w:r>
        <w:rPr>
          <w:rFonts w:ascii="Times New Roman" w:eastAsia="Times New Roman" w:hAnsi="Times New Roman" w:cs="Times New Roman"/>
          <w:b/>
          <w:bCs/>
          <w:kern w:val="0"/>
          <w:lang w:val="sq-AL"/>
          <w14:ligatures w14:val="none"/>
        </w:rPr>
        <w:t>Article</w:t>
      </w:r>
      <w:r w:rsidR="00872FDA" w:rsidRPr="005125ED">
        <w:rPr>
          <w:rFonts w:ascii="Times New Roman" w:eastAsia="Times New Roman" w:hAnsi="Times New Roman" w:cs="Times New Roman"/>
          <w:b/>
          <w:bCs/>
          <w:kern w:val="0"/>
          <w:lang w:val="sq-AL"/>
          <w14:ligatures w14:val="none"/>
        </w:rPr>
        <w:t xml:space="preserve"> </w:t>
      </w:r>
      <w:r w:rsidR="00EF50D8" w:rsidRPr="005125ED">
        <w:rPr>
          <w:rFonts w:ascii="Times New Roman" w:eastAsia="Times New Roman" w:hAnsi="Times New Roman" w:cs="Times New Roman"/>
          <w:b/>
          <w:bCs/>
          <w:kern w:val="0"/>
          <w:lang w:val="sq-AL"/>
          <w14:ligatures w14:val="none"/>
        </w:rPr>
        <w:t>3</w:t>
      </w:r>
      <w:r w:rsidR="00655C91" w:rsidRPr="005125ED">
        <w:rPr>
          <w:rFonts w:ascii="Times New Roman" w:eastAsia="Times New Roman" w:hAnsi="Times New Roman" w:cs="Times New Roman"/>
          <w:b/>
          <w:bCs/>
          <w:kern w:val="0"/>
          <w:lang w:val="sq-AL"/>
          <w14:ligatures w14:val="none"/>
        </w:rPr>
        <w:t>5</w:t>
      </w:r>
    </w:p>
    <w:p w14:paraId="51B466A7" w14:textId="0646DD27" w:rsidR="00872FDA" w:rsidRDefault="00FA478A" w:rsidP="00872FDA">
      <w:pPr>
        <w:widowControl w:val="0"/>
        <w:spacing w:after="0" w:line="240" w:lineRule="auto"/>
        <w:jc w:val="center"/>
        <w:rPr>
          <w:rFonts w:ascii="Times New Roman" w:hAnsi="Times New Roman" w:cs="Times New Roman"/>
          <w:b/>
          <w:bCs/>
          <w:lang w:val="sq-AL"/>
        </w:rPr>
      </w:pPr>
      <w:r w:rsidRPr="00FA478A">
        <w:rPr>
          <w:rFonts w:ascii="Times New Roman" w:hAnsi="Times New Roman" w:cs="Times New Roman"/>
          <w:b/>
          <w:bCs/>
          <w:lang w:val="sq-AL"/>
        </w:rPr>
        <w:t>Equivalent Requirements</w:t>
      </w:r>
    </w:p>
    <w:p w14:paraId="176CCC10" w14:textId="77777777" w:rsidR="00FA478A" w:rsidRDefault="00FA478A" w:rsidP="00872FDA">
      <w:pPr>
        <w:widowControl w:val="0"/>
        <w:spacing w:after="0" w:line="240" w:lineRule="auto"/>
        <w:jc w:val="center"/>
        <w:rPr>
          <w:rFonts w:ascii="Times New Roman" w:hAnsi="Times New Roman" w:cs="Times New Roman"/>
          <w:b/>
          <w:bCs/>
          <w:lang w:val="sq-AL"/>
        </w:rPr>
      </w:pPr>
    </w:p>
    <w:p w14:paraId="1A3233F6" w14:textId="77777777" w:rsidR="00FA478A" w:rsidRDefault="00FA478A" w:rsidP="00872FDA">
      <w:pPr>
        <w:widowControl w:val="0"/>
        <w:spacing w:after="0" w:line="240" w:lineRule="auto"/>
        <w:jc w:val="center"/>
        <w:rPr>
          <w:rFonts w:ascii="Times New Roman" w:hAnsi="Times New Roman" w:cs="Times New Roman"/>
          <w:b/>
          <w:bCs/>
          <w:lang w:val="sq-AL"/>
        </w:rPr>
      </w:pPr>
    </w:p>
    <w:p w14:paraId="190C22F7" w14:textId="77777777" w:rsidR="00FA478A" w:rsidRDefault="00FA478A" w:rsidP="00FA478A">
      <w:pPr>
        <w:pStyle w:val="NormalWeb"/>
        <w:numPr>
          <w:ilvl w:val="0"/>
          <w:numId w:val="270"/>
        </w:numPr>
      </w:pPr>
      <w:r>
        <w:t>A third country shall be considered to impose requirements equivalent to those laid down in Article 4(2)(b) of this Law where, under the law of that third country, the annual management report is required to include at least the following information:</w:t>
      </w:r>
    </w:p>
    <w:p w14:paraId="01A62331" w14:textId="77777777" w:rsidR="00FA478A" w:rsidRDefault="00FA478A" w:rsidP="00FA478A">
      <w:pPr>
        <w:pStyle w:val="NormalWeb"/>
        <w:ind w:left="720"/>
      </w:pPr>
      <w:r>
        <w:t>(a) a fair review of the development and performance of the issuer’s business and of its position, together with a description of the principal risks and uncertainties it faces, in such a way as to present a balanced and comprehensive analysis of the development and performance of the issuer’s business and of its position, consistent with the size and complexity of the business;</w:t>
      </w:r>
    </w:p>
    <w:p w14:paraId="5DA0D0E3" w14:textId="77777777" w:rsidR="00FA478A" w:rsidRDefault="00FA478A" w:rsidP="00FA478A">
      <w:pPr>
        <w:pStyle w:val="NormalWeb"/>
        <w:ind w:left="720"/>
      </w:pPr>
      <w:r>
        <w:t>(b) an indication of any important events that have occurred since the end of the financial year;</w:t>
      </w:r>
    </w:p>
    <w:p w14:paraId="7D7A763E" w14:textId="77777777" w:rsidR="00FA478A" w:rsidRDefault="00FA478A" w:rsidP="00FA478A">
      <w:pPr>
        <w:pStyle w:val="NormalWeb"/>
        <w:ind w:left="720"/>
      </w:pPr>
      <w:r>
        <w:t>(c) an indication of the issuer’s likely future development.</w:t>
      </w:r>
    </w:p>
    <w:p w14:paraId="5E1735C3" w14:textId="77777777" w:rsidR="00FA478A" w:rsidRDefault="00FA478A" w:rsidP="00FA478A">
      <w:pPr>
        <w:pStyle w:val="NormalWeb"/>
        <w:ind w:left="720"/>
      </w:pPr>
      <w:r>
        <w:t>The analysis referred to in point (a), to the extent necessary for an understanding of the development, performance or position of the issuer, shall include both financial and, where appropriate, non-financial key performance indicators relevant to the particular business.</w:t>
      </w:r>
    </w:p>
    <w:p w14:paraId="3B7662D1" w14:textId="77777777" w:rsidR="00FA478A" w:rsidRDefault="00FA478A" w:rsidP="00FA478A">
      <w:pPr>
        <w:pStyle w:val="NormalWeb"/>
        <w:numPr>
          <w:ilvl w:val="0"/>
          <w:numId w:val="270"/>
        </w:numPr>
      </w:pPr>
      <w:r>
        <w:t>A third country shall be considered to impose requirements equivalent to those laid down in Article 5(4) of this Law where, under the law of that third country, a condensed set of financial statements is required in addition to the interim management report, and the interim management report is required to include at least the following information:</w:t>
      </w:r>
    </w:p>
    <w:p w14:paraId="47B9B1C2" w14:textId="7561F431" w:rsidR="00FA478A" w:rsidRDefault="00FA478A" w:rsidP="00FA478A">
      <w:pPr>
        <w:pStyle w:val="NormalWeb"/>
        <w:ind w:left="720"/>
      </w:pPr>
      <w:r>
        <w:lastRenderedPageBreak/>
        <w:t xml:space="preserve">(a) </w:t>
      </w:r>
      <w:commentRangeStart w:id="1"/>
      <w:r>
        <w:t>a</w:t>
      </w:r>
      <w:r w:rsidR="00E02DA8">
        <w:t xml:space="preserve"> review</w:t>
      </w:r>
      <w:r>
        <w:t xml:space="preserve"> </w:t>
      </w:r>
      <w:commentRangeEnd w:id="1"/>
      <w:r w:rsidR="00BE3028">
        <w:rPr>
          <w:rStyle w:val="CommentReference"/>
          <w:rFonts w:asciiTheme="minorHAnsi" w:eastAsiaTheme="minorHAnsi" w:hAnsiTheme="minorHAnsi" w:cstheme="minorBidi"/>
          <w:kern w:val="2"/>
          <w14:ligatures w14:val="standardContextual"/>
        </w:rPr>
        <w:commentReference w:id="1"/>
      </w:r>
      <w:r>
        <w:t>of the period covered;</w:t>
      </w:r>
    </w:p>
    <w:p w14:paraId="39E54468" w14:textId="77777777" w:rsidR="00FA478A" w:rsidRDefault="00FA478A" w:rsidP="00FA478A">
      <w:pPr>
        <w:pStyle w:val="NormalWeb"/>
        <w:ind w:left="720"/>
      </w:pPr>
      <w:r>
        <w:t>(b) indications of the issuer’s likely future development for the remaining six months of the financial year;</w:t>
      </w:r>
    </w:p>
    <w:p w14:paraId="2B7E16F5" w14:textId="77777777" w:rsidR="00FA478A" w:rsidRDefault="00FA478A" w:rsidP="00FA478A">
      <w:pPr>
        <w:pStyle w:val="NormalWeb"/>
        <w:ind w:left="720"/>
      </w:pPr>
      <w:r>
        <w:t>(c) for issuers of shares, and where they have not yet been publicly disclosed on a continuous basis, major related-party transactions.</w:t>
      </w:r>
    </w:p>
    <w:p w14:paraId="1F43924B" w14:textId="77777777" w:rsidR="00FA478A" w:rsidRDefault="00FA478A" w:rsidP="00FA478A">
      <w:pPr>
        <w:pStyle w:val="NormalWeb"/>
        <w:numPr>
          <w:ilvl w:val="0"/>
          <w:numId w:val="270"/>
        </w:numPr>
      </w:pPr>
      <w:r>
        <w:t>A third country shall be considered to impose requirements equivalent to those laid down in Article 4(2)(c) and Article 5(2)(c) of this Law where, under the law of that third country, a person or persons within the issuer are responsible for the annual and half-yearly financial information and, in particular, for the following:</w:t>
      </w:r>
    </w:p>
    <w:p w14:paraId="7E500030" w14:textId="77777777" w:rsidR="00FA478A" w:rsidRDefault="00FA478A" w:rsidP="00FA478A">
      <w:pPr>
        <w:pStyle w:val="NormalWeb"/>
        <w:ind w:left="720"/>
      </w:pPr>
      <w:r>
        <w:t>(a) ensuring that the financial statements are in compliance with the applicable reporting framework or set of accounting standards in force;</w:t>
      </w:r>
    </w:p>
    <w:p w14:paraId="5E243370" w14:textId="77777777" w:rsidR="00FA478A" w:rsidRDefault="00FA478A" w:rsidP="00FA478A">
      <w:pPr>
        <w:pStyle w:val="NormalWeb"/>
        <w:ind w:left="720"/>
      </w:pPr>
      <w:r>
        <w:t>(b) ensuring the fairness of the management review contained in the annual management report.</w:t>
      </w:r>
    </w:p>
    <w:p w14:paraId="2DD62F39" w14:textId="77777777" w:rsidR="00FA478A" w:rsidRDefault="00FA478A" w:rsidP="00FA478A">
      <w:pPr>
        <w:pStyle w:val="NormalWeb"/>
        <w:numPr>
          <w:ilvl w:val="0"/>
          <w:numId w:val="270"/>
        </w:numPr>
      </w:pPr>
      <w:r>
        <w:t>A third country shall be considered to impose requirements equivalent to those laid down in Article 4(3) of this Law where, under the law of that third country, a parent company is not required to provide individual accounts, but the issuer having its registered office in that third country is required, in the preparation of consolidated accounts, to include the following information:</w:t>
      </w:r>
    </w:p>
    <w:p w14:paraId="0CDE67E4" w14:textId="77777777" w:rsidR="00FA478A" w:rsidRDefault="00FA478A" w:rsidP="00FA478A">
      <w:pPr>
        <w:pStyle w:val="NormalWeb"/>
        <w:ind w:left="720"/>
      </w:pPr>
      <w:r>
        <w:t>(a) for issuers of shares, information on dividend calculation and the ability to pay dividends;</w:t>
      </w:r>
    </w:p>
    <w:p w14:paraId="4B44428F" w14:textId="77777777" w:rsidR="00FA478A" w:rsidRDefault="00FA478A" w:rsidP="00FA478A">
      <w:pPr>
        <w:pStyle w:val="NormalWeb"/>
        <w:ind w:left="720"/>
      </w:pPr>
      <w:r>
        <w:t>(b) for all issuers, where applicable, minimum capital and capital requirements and liquidity issues.</w:t>
      </w:r>
    </w:p>
    <w:p w14:paraId="14BA52A6" w14:textId="77777777" w:rsidR="00FA478A" w:rsidRDefault="00FA478A" w:rsidP="00FA478A">
      <w:pPr>
        <w:pStyle w:val="NormalWeb"/>
        <w:ind w:left="720"/>
      </w:pPr>
      <w:r>
        <w:t>For the purposes of equivalence, the issuer must also be able to provide the Authority with additional audited statements giving information on the individual accounts of the issuer as a single entity, relevant to the elements of information referred to in points (a) and (b). Such statements may be prepared in accordance with the accounting standards of the third country.</w:t>
      </w:r>
    </w:p>
    <w:p w14:paraId="4B0176F5" w14:textId="77777777" w:rsidR="00FA478A" w:rsidRDefault="00FA478A" w:rsidP="00FA478A">
      <w:pPr>
        <w:pStyle w:val="NormalWeb"/>
        <w:numPr>
          <w:ilvl w:val="0"/>
          <w:numId w:val="270"/>
        </w:numPr>
      </w:pPr>
      <w:r>
        <w:t>A third country shall be considered to impose requirements equivalent to those laid down in Article 4(3) of this Law concerning individual accounts, where under the law of that third country, an issuer having its registered office in that third country is not required to prepare consolidated accounts, but is required to prepare its individual accounts in accordance with international accounting standards adopted under the legislation applicable in the field, taking into account Article 3 of Regulation (EC) No 1606/2002 of the European Parliament and of the Council as applied in the Republic of Albania and within the European Community, or in accordance with national accounting standards of third countries equivalent to those standards.</w:t>
      </w:r>
    </w:p>
    <w:p w14:paraId="123D67E1" w14:textId="77777777" w:rsidR="00FA478A" w:rsidRDefault="00FA478A" w:rsidP="00FA478A">
      <w:pPr>
        <w:pStyle w:val="NormalWeb"/>
        <w:ind w:left="720"/>
      </w:pPr>
      <w:r>
        <w:lastRenderedPageBreak/>
        <w:t>For the purposes of equivalence, where such financial information does not comply with those standards, it must be presented in the form of restated financial statements. In addition, individual accounts must be independently audited.</w:t>
      </w:r>
    </w:p>
    <w:p w14:paraId="58C6D22B" w14:textId="77777777" w:rsidR="00FA478A" w:rsidRDefault="00FA478A" w:rsidP="00FA478A">
      <w:pPr>
        <w:pStyle w:val="NormalWeb"/>
        <w:numPr>
          <w:ilvl w:val="0"/>
          <w:numId w:val="270"/>
        </w:numPr>
      </w:pPr>
      <w:r>
        <w:t>A third country shall be considered to impose requirements equivalent to those laid down in Article 15(6) of this Law where, under the law of that third country, the time period within which an issuer having its registered office in that third country must be notified of major holdings, and within which it must disclose those major holdings to the public, is in total no more than seven trading days. The time periods for notification of the issuer and for further public disclosure by the issuer may differ from those laid down in Article 15(2) and Article 15(6) of this Law.</w:t>
      </w:r>
    </w:p>
    <w:p w14:paraId="5E7994A2" w14:textId="77777777" w:rsidR="00FA478A" w:rsidRDefault="00FA478A" w:rsidP="00FA478A">
      <w:pPr>
        <w:pStyle w:val="NormalWeb"/>
        <w:numPr>
          <w:ilvl w:val="0"/>
          <w:numId w:val="270"/>
        </w:numPr>
      </w:pPr>
      <w:r>
        <w:t>A third country shall be considered to impose requirements equivalent to those laid down in Article 22 of this Law where, under the law of that third country, an issuer having its registered office in that third country is required to comply with the following conditions:</w:t>
      </w:r>
    </w:p>
    <w:p w14:paraId="794802F5" w14:textId="77777777" w:rsidR="00FA478A" w:rsidRDefault="00FA478A" w:rsidP="00FA478A">
      <w:pPr>
        <w:pStyle w:val="NormalWeb"/>
        <w:ind w:left="720"/>
      </w:pPr>
      <w:r>
        <w:t>(a) in the case of an issuer permitted to hold up to a maximum of 5% of its own shares carrying voting rights, the issuer must make a notification whenever that threshold is reached or exceeded;</w:t>
      </w:r>
    </w:p>
    <w:p w14:paraId="5AA677B9" w14:textId="77777777" w:rsidR="00FA478A" w:rsidRDefault="00FA478A" w:rsidP="00FA478A">
      <w:pPr>
        <w:pStyle w:val="NormalWeb"/>
        <w:ind w:left="720"/>
      </w:pPr>
      <w:r>
        <w:t>(b) in the case of an issuer permitted to hold up to a maximum of 5% and 10% of its own shares carrying voting rights, the issuer must make a notification whenever the 5% threshold or that maximum threshold is reached or exceeded;</w:t>
      </w:r>
    </w:p>
    <w:p w14:paraId="3F4BE4D3" w14:textId="77777777" w:rsidR="00FA478A" w:rsidRDefault="00FA478A" w:rsidP="00FA478A">
      <w:pPr>
        <w:pStyle w:val="NormalWeb"/>
        <w:ind w:left="720"/>
      </w:pPr>
      <w:r>
        <w:t>(c) in the case of an issuer permitted to hold more than 10% of its own shares carrying voting rights, the issuer must make a notification whenever the 5% or 10% threshold is reached or exceeded.</w:t>
      </w:r>
    </w:p>
    <w:p w14:paraId="5D964CB7" w14:textId="77777777" w:rsidR="00FA478A" w:rsidRDefault="00FA478A" w:rsidP="00FA478A">
      <w:pPr>
        <w:pStyle w:val="NormalWeb"/>
        <w:ind w:left="720"/>
      </w:pPr>
      <w:r>
        <w:t>For the purposes of equivalence, notification at the 10% threshold is not required.</w:t>
      </w:r>
    </w:p>
    <w:p w14:paraId="6A09EF0E" w14:textId="77777777" w:rsidR="00FA478A" w:rsidRDefault="00FA478A" w:rsidP="00FA478A">
      <w:pPr>
        <w:pStyle w:val="NormalWeb"/>
        <w:numPr>
          <w:ilvl w:val="0"/>
          <w:numId w:val="270"/>
        </w:numPr>
      </w:pPr>
      <w:r>
        <w:t>A third country shall be considered to impose requirements equivalent to those laid down in Article 23 of this Law where, under the law of that third country, an issuer having its registered office in that third country is required to disclose to the public the total number of voting rights and capital within 30 calendar days after any increase or decrease in that total number has occurred.</w:t>
      </w:r>
    </w:p>
    <w:p w14:paraId="1A24DF7A" w14:textId="77777777" w:rsidR="00FA478A" w:rsidRDefault="00FA478A" w:rsidP="00FA478A">
      <w:pPr>
        <w:pStyle w:val="NormalWeb"/>
        <w:numPr>
          <w:ilvl w:val="0"/>
          <w:numId w:val="270"/>
        </w:numPr>
      </w:pPr>
      <w:r>
        <w:t>A third country shall be considered to impose requirements equivalent to those laid down in Article 25(2) and Article 26(2) of this Law concerning the content of information relating to meetings where, under the law of that third country, an issuer having its registered office in that third country is required to provide at least information on the place, time and agenda of the meetings.</w:t>
      </w:r>
    </w:p>
    <w:p w14:paraId="139E1AAC" w14:textId="77777777" w:rsidR="00FA478A" w:rsidRDefault="00FA478A" w:rsidP="00FA478A">
      <w:pPr>
        <w:pStyle w:val="NormalWeb"/>
        <w:numPr>
          <w:ilvl w:val="0"/>
          <w:numId w:val="270"/>
        </w:numPr>
      </w:pPr>
      <w:r>
        <w:t>A third country shall be considered to impose independence conditions equivalent to those laid down in Article 15(4) and (5) of this Law where, under the law of that third country, a management company or investment firm is required to meet the following conditions:</w:t>
      </w:r>
    </w:p>
    <w:p w14:paraId="3371F9AC" w14:textId="77777777" w:rsidR="00FA478A" w:rsidRDefault="00FA478A" w:rsidP="00FA478A">
      <w:pPr>
        <w:pStyle w:val="NormalWeb"/>
      </w:pPr>
      <w:r>
        <w:lastRenderedPageBreak/>
        <w:t>(a) the management company or investment firm must be free in all circumstances to exercise, independently of its parent undertaking, the voting rights attached to the assets it manages;</w:t>
      </w:r>
    </w:p>
    <w:p w14:paraId="36841660" w14:textId="77777777" w:rsidR="00FA478A" w:rsidRDefault="00FA478A" w:rsidP="00FA478A">
      <w:pPr>
        <w:pStyle w:val="NormalWeb"/>
      </w:pPr>
      <w:r>
        <w:t>(b) the management company or investment firm must not take into account the interests of the parent undertaking or of any other company controlled by the parent undertaking whenever conflicts of interest arise.</w:t>
      </w:r>
    </w:p>
    <w:p w14:paraId="045B2105" w14:textId="77777777" w:rsidR="00FA478A" w:rsidRDefault="00FA478A" w:rsidP="00FA478A">
      <w:pPr>
        <w:pStyle w:val="NormalWeb"/>
      </w:pPr>
      <w:r>
        <w:t>The parent undertaking must comply with the notification requirements laid down in Article 18(2)(a) and Article 18(3) of this Law. In addition, it must make a statement confirming that, in the case of each management company or investment firm concerned, the parent undertaking fulfils the conditions laid down in this paragraph.</w:t>
      </w:r>
    </w:p>
    <w:p w14:paraId="370E5C83" w14:textId="77777777" w:rsidR="00FA478A" w:rsidRDefault="00FA478A" w:rsidP="00FA478A">
      <w:pPr>
        <w:pStyle w:val="NormalWeb"/>
        <w:numPr>
          <w:ilvl w:val="0"/>
          <w:numId w:val="271"/>
        </w:numPr>
        <w:tabs>
          <w:tab w:val="clear" w:pos="720"/>
        </w:tabs>
        <w:ind w:left="-630" w:firstLine="180"/>
      </w:pPr>
      <w:r>
        <w:t>Without prejudice to Article 36 of this Law, the parent undertaking must be able, upon request, to demonstrate to the Authority, as the competent authority of the home Member State of the issuer, that the requirements laid down in Article 18(4) of this Law have been complied with.</w:t>
      </w:r>
    </w:p>
    <w:p w14:paraId="05E767E9" w14:textId="77777777" w:rsidR="00FA478A" w:rsidRPr="00FA478A" w:rsidRDefault="00FA478A" w:rsidP="00872FDA">
      <w:pPr>
        <w:widowControl w:val="0"/>
        <w:spacing w:after="0" w:line="240" w:lineRule="auto"/>
        <w:jc w:val="center"/>
        <w:rPr>
          <w:rFonts w:ascii="Times New Roman" w:hAnsi="Times New Roman" w:cs="Times New Roman"/>
          <w:b/>
          <w:bCs/>
        </w:rPr>
      </w:pPr>
    </w:p>
    <w:p w14:paraId="614A47E3" w14:textId="77777777" w:rsidR="00FA478A" w:rsidRDefault="00FA478A" w:rsidP="00872FDA">
      <w:pPr>
        <w:widowControl w:val="0"/>
        <w:spacing w:after="0" w:line="240" w:lineRule="auto"/>
        <w:jc w:val="center"/>
        <w:rPr>
          <w:rFonts w:ascii="Times New Roman" w:hAnsi="Times New Roman" w:cs="Times New Roman"/>
          <w:b/>
          <w:bCs/>
          <w:lang w:val="sq-AL"/>
        </w:rPr>
      </w:pPr>
    </w:p>
    <w:p w14:paraId="0D549E45" w14:textId="233AD993" w:rsidR="00872FDA" w:rsidRPr="005125ED" w:rsidRDefault="00872FDA" w:rsidP="00592CF7">
      <w:pPr>
        <w:keepNext/>
        <w:keepLines/>
        <w:spacing w:before="480" w:after="480" w:line="240" w:lineRule="auto"/>
        <w:contextualSpacing/>
        <w:rPr>
          <w:rFonts w:ascii="Times New Roman" w:eastAsia="Times New Roman" w:hAnsi="Times New Roman" w:cs="Times New Roman"/>
          <w:b/>
          <w:bCs/>
          <w:kern w:val="0"/>
          <w:szCs w:val="20"/>
          <w:lang w:val="sq-AL"/>
          <w14:ligatures w14:val="none"/>
        </w:rPr>
      </w:pPr>
    </w:p>
    <w:p w14:paraId="024883E1" w14:textId="77777777" w:rsidR="00872FDA" w:rsidRPr="005125ED" w:rsidRDefault="00872FDA" w:rsidP="00872FDA">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32F7F4CE" w14:textId="58670056" w:rsidR="00872FDA" w:rsidRPr="005125ED" w:rsidRDefault="00727DD8" w:rsidP="00872FDA">
      <w:pPr>
        <w:keepNext/>
        <w:keepLines/>
        <w:spacing w:before="480" w:after="480" w:line="240" w:lineRule="auto"/>
        <w:contextualSpacing/>
        <w:jc w:val="center"/>
        <w:rPr>
          <w:rFonts w:ascii="Times New Roman" w:eastAsia="Times New Roman" w:hAnsi="Times New Roman" w:cs="Times New Roman"/>
          <w:b/>
          <w:bCs/>
          <w:color w:val="010302"/>
          <w:kern w:val="0"/>
          <w:szCs w:val="20"/>
          <w:lang w:val="sq-AL"/>
          <w14:ligatures w14:val="none"/>
        </w:rPr>
      </w:pPr>
      <w:r>
        <w:rPr>
          <w:rFonts w:ascii="Times New Roman" w:eastAsia="Times New Roman" w:hAnsi="Times New Roman" w:cs="Times New Roman"/>
          <w:b/>
          <w:bCs/>
          <w:kern w:val="0"/>
          <w:szCs w:val="20"/>
          <w:lang w:val="sq-AL"/>
          <w14:ligatures w14:val="none"/>
        </w:rPr>
        <w:t xml:space="preserve">CHAPTER </w:t>
      </w:r>
      <w:r w:rsidR="00872FDA" w:rsidRPr="005125ED">
        <w:rPr>
          <w:rFonts w:ascii="Times New Roman" w:eastAsia="Times New Roman" w:hAnsi="Times New Roman" w:cs="Times New Roman"/>
          <w:b/>
          <w:bCs/>
          <w:kern w:val="0"/>
          <w:szCs w:val="20"/>
          <w:lang w:val="sq-AL"/>
          <w14:ligatures w14:val="none"/>
        </w:rPr>
        <w:t>IV</w:t>
      </w:r>
    </w:p>
    <w:p w14:paraId="227022C8" w14:textId="2994EEF1" w:rsidR="008D6BA0" w:rsidRPr="00727DD8" w:rsidRDefault="00727DD8" w:rsidP="00872FDA">
      <w:pPr>
        <w:keepNext/>
        <w:keepLines/>
        <w:spacing w:before="480" w:after="240" w:line="240" w:lineRule="auto"/>
        <w:contextualSpacing/>
        <w:jc w:val="center"/>
        <w:rPr>
          <w:rFonts w:ascii="Times New Roman" w:eastAsia="Times New Roman" w:hAnsi="Times New Roman" w:cs="Times New Roman"/>
          <w:b/>
          <w:bCs/>
          <w:kern w:val="0"/>
          <w:sz w:val="28"/>
          <w:szCs w:val="28"/>
          <w:lang w:val="sq-AL"/>
          <w14:ligatures w14:val="none"/>
        </w:rPr>
      </w:pPr>
      <w:r w:rsidRPr="00727DD8">
        <w:rPr>
          <w:rFonts w:ascii="Times New Roman" w:hAnsi="Times New Roman" w:cs="Times New Roman"/>
          <w:b/>
          <w:bCs/>
          <w:sz w:val="28"/>
          <w:szCs w:val="28"/>
        </w:rPr>
        <w:t>Powers of the Authority</w:t>
      </w:r>
    </w:p>
    <w:p w14:paraId="1590532B" w14:textId="77777777" w:rsidR="00D00C9B" w:rsidRPr="005125ED" w:rsidRDefault="00D00C9B" w:rsidP="00D00C9B">
      <w:pPr>
        <w:keepNext/>
        <w:keepLines/>
        <w:spacing w:before="100" w:beforeAutospacing="1" w:after="100" w:afterAutospacing="1" w:line="240" w:lineRule="exact"/>
        <w:contextualSpacing/>
        <w:jc w:val="center"/>
        <w:rPr>
          <w:rFonts w:ascii="Times New Roman" w:eastAsia="Times New Roman" w:hAnsi="Times New Roman" w:cs="Times New Roman"/>
          <w:b/>
          <w:bCs/>
          <w:kern w:val="0"/>
          <w:szCs w:val="20"/>
          <w:lang w:val="sq-AL"/>
          <w14:ligatures w14:val="none"/>
        </w:rPr>
      </w:pPr>
    </w:p>
    <w:p w14:paraId="12FDF1A3" w14:textId="31A39611" w:rsidR="00872FDA" w:rsidRPr="005125ED" w:rsidRDefault="00727DD8" w:rsidP="00727DD8">
      <w:pPr>
        <w:keepNext/>
        <w:keepLines/>
        <w:spacing w:after="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Article </w:t>
      </w:r>
      <w:r w:rsidR="008C74E3" w:rsidRPr="005125ED">
        <w:rPr>
          <w:rFonts w:ascii="Times New Roman" w:eastAsia="Times New Roman" w:hAnsi="Times New Roman" w:cs="Times New Roman"/>
          <w:b/>
          <w:bCs/>
          <w:kern w:val="0"/>
          <w:szCs w:val="20"/>
          <w:lang w:val="sq-AL"/>
          <w14:ligatures w14:val="none"/>
        </w:rPr>
        <w:t>3</w:t>
      </w:r>
      <w:r w:rsidR="00655C91" w:rsidRPr="005125ED">
        <w:rPr>
          <w:rFonts w:ascii="Times New Roman" w:eastAsia="Times New Roman" w:hAnsi="Times New Roman" w:cs="Times New Roman"/>
          <w:b/>
          <w:bCs/>
          <w:kern w:val="0"/>
          <w:szCs w:val="20"/>
          <w:lang w:val="sq-AL"/>
          <w14:ligatures w14:val="none"/>
        </w:rPr>
        <w:t>6</w:t>
      </w:r>
    </w:p>
    <w:p w14:paraId="57F13D40" w14:textId="1CB7600E" w:rsidR="00AD7FCE" w:rsidRDefault="00727DD8" w:rsidP="00727DD8">
      <w:pPr>
        <w:keepNext/>
        <w:keepLines/>
        <w:spacing w:after="0" w:line="240" w:lineRule="auto"/>
        <w:ind w:left="2160"/>
        <w:contextualSpacing/>
        <w:jc w:val="both"/>
        <w:rPr>
          <w:rFonts w:ascii="Times New Roman" w:hAnsi="Times New Roman" w:cs="Times New Roman"/>
          <w:b/>
          <w:bCs/>
        </w:rPr>
      </w:pPr>
      <w:r w:rsidRPr="00727DD8">
        <w:rPr>
          <w:rFonts w:ascii="Times New Roman" w:eastAsia="Times New Roman" w:hAnsi="Times New Roman" w:cs="Times New Roman"/>
          <w:b/>
          <w:bCs/>
          <w:kern w:val="0"/>
          <w:szCs w:val="20"/>
          <w:lang w:val="sq-AL"/>
          <w14:ligatures w14:val="none"/>
        </w:rPr>
        <w:t xml:space="preserve">   </w:t>
      </w:r>
      <w:r w:rsidRPr="00727DD8">
        <w:rPr>
          <w:rFonts w:ascii="Times New Roman" w:hAnsi="Times New Roman" w:cs="Times New Roman"/>
          <w:b/>
          <w:bCs/>
        </w:rPr>
        <w:t>Competent Authorities and Their Powers</w:t>
      </w:r>
    </w:p>
    <w:p w14:paraId="7B5302D3" w14:textId="77777777" w:rsidR="00727DD8" w:rsidRDefault="00727DD8" w:rsidP="00727DD8">
      <w:pPr>
        <w:keepNext/>
        <w:keepLines/>
        <w:spacing w:after="0" w:line="240" w:lineRule="auto"/>
        <w:ind w:left="2160"/>
        <w:contextualSpacing/>
        <w:jc w:val="both"/>
        <w:rPr>
          <w:rFonts w:ascii="Times New Roman" w:hAnsi="Times New Roman" w:cs="Times New Roman"/>
          <w:b/>
          <w:bCs/>
        </w:rPr>
      </w:pPr>
    </w:p>
    <w:p w14:paraId="797A404D" w14:textId="36EB49A5" w:rsidR="00727DD8" w:rsidRDefault="00727DD8" w:rsidP="00727DD8">
      <w:pPr>
        <w:pStyle w:val="NormalWeb"/>
      </w:pPr>
      <w:r>
        <w:t>1. The Albanian Financial Supervisory Authority shall be the competent authority for the implementation of the requirements of this Law.</w:t>
      </w:r>
    </w:p>
    <w:p w14:paraId="6201B318" w14:textId="77777777" w:rsidR="00727DD8" w:rsidRDefault="00727DD8" w:rsidP="00727DD8">
      <w:pPr>
        <w:pStyle w:val="NormalWeb"/>
      </w:pPr>
      <w:r w:rsidRPr="00994B46">
        <w:rPr>
          <w:rStyle w:val="Strong"/>
          <w:rFonts w:eastAsiaTheme="majorEastAsia"/>
          <w:b w:val="0"/>
          <w:bCs w:val="0"/>
        </w:rPr>
        <w:t>2.</w:t>
      </w:r>
      <w:r>
        <w:t xml:space="preserve"> For the purpose of carrying out its functions, the Authority shall have the power:</w:t>
      </w:r>
    </w:p>
    <w:p w14:paraId="764099EC" w14:textId="77777777" w:rsidR="00727DD8" w:rsidRDefault="00727DD8" w:rsidP="00727DD8">
      <w:pPr>
        <w:pStyle w:val="NormalWeb"/>
      </w:pPr>
      <w:r>
        <w:t>(a) to require auditors, issuers, holders of shares or other financial instruments, or the persons or entities referred to in Articles 13, 14, 15 and 20, and the persons who control them or are controlled by them, to provide information and documents;</w:t>
      </w:r>
    </w:p>
    <w:p w14:paraId="275DFCC1" w14:textId="77777777" w:rsidR="00727DD8" w:rsidRDefault="00727DD8" w:rsidP="00727DD8">
      <w:pPr>
        <w:pStyle w:val="NormalWeb"/>
      </w:pPr>
      <w:r>
        <w:t>(b) to require the issuer to disclose the information required under point (a) by the means and within the time limits the Authority considers necessary. The Authority may itself disclose such information where the issuer or the persons who control it or are controlled by it fail to do so, after having heard the issuer;</w:t>
      </w:r>
    </w:p>
    <w:p w14:paraId="5BB64211" w14:textId="77777777" w:rsidR="00727DD8" w:rsidRDefault="00727DD8" w:rsidP="00727DD8">
      <w:pPr>
        <w:pStyle w:val="NormalWeb"/>
      </w:pPr>
      <w:r>
        <w:t>(c) to require the managers of issuers and of holders of shares or other financial instruments, or of the persons or entities referred to in Articles 13, 14, 15 and 20 of this Law, to transmit the information required under this Law and, where necessary, to provide additional information and documents;</w:t>
      </w:r>
    </w:p>
    <w:p w14:paraId="7A116ABA" w14:textId="77777777" w:rsidR="00727DD8" w:rsidRDefault="00727DD8" w:rsidP="00727DD8">
      <w:pPr>
        <w:pStyle w:val="NormalWeb"/>
      </w:pPr>
      <w:r>
        <w:lastRenderedPageBreak/>
        <w:t>(d) to suspend, or to require the relevant regulated market to suspend, trading in securities for a maximum of ten consecutive days, where there are reasonable grounds for suspecting that the provisions of this Law have been infringed by the issuer;</w:t>
      </w:r>
    </w:p>
    <w:p w14:paraId="093858A3" w14:textId="77777777" w:rsidR="00727DD8" w:rsidRDefault="00727DD8" w:rsidP="00727DD8">
      <w:pPr>
        <w:pStyle w:val="NormalWeb"/>
      </w:pPr>
      <w:r>
        <w:t>(e) to prohibit trading on a regulated market where it finds that the provisions of this Law have been infringed, or where there are reasonable grounds for suspecting that the provisions of this Law have been infringed;</w:t>
      </w:r>
    </w:p>
    <w:p w14:paraId="51AD0A74" w14:textId="77777777" w:rsidR="00727DD8" w:rsidRDefault="00727DD8" w:rsidP="00727DD8">
      <w:pPr>
        <w:pStyle w:val="NormalWeb"/>
      </w:pPr>
      <w:r>
        <w:t>(f) to monitor that the issuer discloses information in a timely manner with a view to ensuring efficient and equal access by the public in all Member States where the securities are admitted to trading, and to take appropriate measures otherwise;</w:t>
      </w:r>
    </w:p>
    <w:p w14:paraId="7676E88B" w14:textId="77777777" w:rsidR="00727DD8" w:rsidRDefault="00727DD8" w:rsidP="00727DD8">
      <w:pPr>
        <w:pStyle w:val="NormalWeb"/>
      </w:pPr>
      <w:r>
        <w:t>(g) to make public the fact that an issuer, a holder of shares or other financial instruments or a person or entity referred to in Articles 11 to 14 is failing to comply with its obligations;</w:t>
      </w:r>
    </w:p>
    <w:p w14:paraId="4AC4059F" w14:textId="77777777" w:rsidR="00727DD8" w:rsidRDefault="00727DD8" w:rsidP="00727DD8">
      <w:pPr>
        <w:pStyle w:val="NormalWeb"/>
      </w:pPr>
      <w:r>
        <w:t>(h) to assess that the information referred to in this Law has been drawn up in accordance with the relevant reporting framework and to take appropriate measures where infringements are detected; and</w:t>
      </w:r>
    </w:p>
    <w:p w14:paraId="5D18789B" w14:textId="77777777" w:rsidR="00727DD8" w:rsidRDefault="00727DD8" w:rsidP="00727DD8">
      <w:pPr>
        <w:pStyle w:val="NormalWeb"/>
      </w:pPr>
      <w:r>
        <w:t>(i) to carry out on-site inspections within its territory, in accordance with national legislation, for the purpose of verifying compliance with the provisions of this Law and its implementing measures.</w:t>
      </w:r>
    </w:p>
    <w:p w14:paraId="0ED7B5F7" w14:textId="77777777" w:rsidR="00727DD8" w:rsidRDefault="00727DD8" w:rsidP="00727DD8">
      <w:pPr>
        <w:pStyle w:val="NormalWeb"/>
      </w:pPr>
      <w:r w:rsidRPr="00946BA4">
        <w:rPr>
          <w:rStyle w:val="Strong"/>
          <w:rFonts w:eastAsiaTheme="majorEastAsia"/>
          <w:b w:val="0"/>
          <w:bCs w:val="0"/>
        </w:rPr>
        <w:t>3.</w:t>
      </w:r>
      <w:r>
        <w:t xml:space="preserve"> Without prejudice to paragraph 2, the Authority shall have all investigatory powers necessary for the exercise of its functions. Such powers shall be exercised in accordance with national legislation.</w:t>
      </w:r>
    </w:p>
    <w:p w14:paraId="046C8E8A" w14:textId="77777777" w:rsidR="00727DD8" w:rsidRDefault="00727DD8" w:rsidP="00727DD8">
      <w:pPr>
        <w:pStyle w:val="NormalWeb"/>
      </w:pPr>
      <w:r w:rsidRPr="00946BA4">
        <w:rPr>
          <w:rStyle w:val="Strong"/>
          <w:rFonts w:eastAsiaTheme="majorEastAsia"/>
          <w:b w:val="0"/>
          <w:bCs w:val="0"/>
        </w:rPr>
        <w:t>4.</w:t>
      </w:r>
      <w:r>
        <w:t xml:space="preserve"> The Authority shall exercise its sanctioning powers pursuant to this Law in one of the following ways:</w:t>
      </w:r>
      <w:r>
        <w:br/>
        <w:t>— directly,</w:t>
      </w:r>
      <w:r>
        <w:br/>
        <w:t>— in cooperation with other authorities,</w:t>
      </w:r>
      <w:r>
        <w:br/>
        <w:t>— under its responsibility by delegation to such authorities,</w:t>
      </w:r>
      <w:r>
        <w:br/>
        <w:t>— by application to the competent judicial authorities.</w:t>
      </w:r>
    </w:p>
    <w:p w14:paraId="53A4F463" w14:textId="77777777" w:rsidR="00727DD8" w:rsidRDefault="00727DD8" w:rsidP="00727DD8">
      <w:pPr>
        <w:pStyle w:val="NormalWeb"/>
      </w:pPr>
      <w:r w:rsidRPr="00766AD5">
        <w:rPr>
          <w:rStyle w:val="Strong"/>
          <w:rFonts w:eastAsiaTheme="majorEastAsia"/>
          <w:b w:val="0"/>
          <w:bCs w:val="0"/>
        </w:rPr>
        <w:t>5.</w:t>
      </w:r>
      <w:r>
        <w:t xml:space="preserve"> Paragraphs 1 to 4 shall not prejudice the possibility for a Member State to lay down specific legal and administrative arrangements for its European territories situated outside the Union, for which it retains external relations responsibility.</w:t>
      </w:r>
    </w:p>
    <w:p w14:paraId="7A4052E7" w14:textId="77777777" w:rsidR="00727DD8" w:rsidRDefault="00727DD8" w:rsidP="00727DD8">
      <w:pPr>
        <w:pStyle w:val="NormalWeb"/>
      </w:pPr>
      <w:r w:rsidRPr="00766AD5">
        <w:rPr>
          <w:rStyle w:val="Strong"/>
          <w:rFonts w:eastAsiaTheme="majorEastAsia"/>
          <w:b w:val="0"/>
          <w:bCs w:val="0"/>
        </w:rPr>
        <w:t>6.</w:t>
      </w:r>
      <w:r>
        <w:t xml:space="preserve"> The provision of information to the Authority by auditors regarding any fact or decision in connection with requests made by the Authority under paragraph 3 of this Article shall not constitute a breach of any contractual or statutory restriction on the disclosure of information, and shall not render such auditors liable in any manner.</w:t>
      </w:r>
    </w:p>
    <w:p w14:paraId="2D674E98" w14:textId="75A957AD" w:rsidR="0038672F" w:rsidRPr="005125ED" w:rsidRDefault="0038672F" w:rsidP="0012434A">
      <w:pPr>
        <w:pStyle w:val="NormalWeb"/>
        <w:rPr>
          <w:b/>
          <w:bCs/>
          <w:lang w:val="sq-AL"/>
        </w:rPr>
      </w:pPr>
    </w:p>
    <w:p w14:paraId="2F35B4F7" w14:textId="1B9FC1D3" w:rsidR="0038672F" w:rsidRPr="0053175A" w:rsidRDefault="00727DD8" w:rsidP="00727DD8">
      <w:pPr>
        <w:pStyle w:val="NormalWeb"/>
        <w:spacing w:before="0" w:beforeAutospacing="0" w:after="0" w:afterAutospacing="0" w:line="240" w:lineRule="exact"/>
        <w:ind w:left="2880" w:firstLine="720"/>
        <w:rPr>
          <w:b/>
          <w:bCs/>
          <w:lang w:val="sq-AL"/>
        </w:rPr>
      </w:pPr>
      <w:r w:rsidRPr="0053175A">
        <w:rPr>
          <w:b/>
          <w:bCs/>
          <w:lang w:val="sq-AL"/>
        </w:rPr>
        <w:t xml:space="preserve">Article </w:t>
      </w:r>
      <w:r w:rsidR="008C74E3" w:rsidRPr="0053175A">
        <w:rPr>
          <w:b/>
          <w:bCs/>
          <w:lang w:val="sq-AL"/>
        </w:rPr>
        <w:t>3</w:t>
      </w:r>
      <w:r w:rsidR="00655C91" w:rsidRPr="0053175A">
        <w:rPr>
          <w:b/>
          <w:bCs/>
          <w:lang w:val="sq-AL"/>
        </w:rPr>
        <w:t>7</w:t>
      </w:r>
    </w:p>
    <w:p w14:paraId="47692D7C" w14:textId="168B6CDB" w:rsidR="0053175A" w:rsidRPr="0053175A" w:rsidRDefault="0053175A" w:rsidP="0053175A">
      <w:pPr>
        <w:pStyle w:val="NormalWeb"/>
        <w:spacing w:before="0" w:beforeAutospacing="0" w:after="0" w:afterAutospacing="0" w:line="240" w:lineRule="exact"/>
        <w:rPr>
          <w:b/>
          <w:bCs/>
          <w:lang w:val="sq-AL"/>
        </w:rPr>
      </w:pPr>
      <w:r w:rsidRPr="0053175A">
        <w:rPr>
          <w:b/>
          <w:bCs/>
        </w:rPr>
        <w:lastRenderedPageBreak/>
        <w:t>Professional secrecy and cooperation between the Republic of Albania and the Member States</w:t>
      </w:r>
    </w:p>
    <w:p w14:paraId="6B565A27" w14:textId="77777777" w:rsidR="0053175A" w:rsidRPr="0053175A" w:rsidRDefault="0053175A" w:rsidP="00BF678F">
      <w:pPr>
        <w:pStyle w:val="NormalWeb"/>
        <w:spacing w:before="0" w:beforeAutospacing="0" w:after="0" w:afterAutospacing="0" w:line="240" w:lineRule="exact"/>
        <w:ind w:left="720"/>
        <w:rPr>
          <w:b/>
          <w:bCs/>
          <w:lang w:val="sq-AL"/>
        </w:rPr>
      </w:pPr>
    </w:p>
    <w:p w14:paraId="6596660E" w14:textId="77777777" w:rsidR="0053175A" w:rsidRDefault="0053175A" w:rsidP="00BF678F">
      <w:pPr>
        <w:pStyle w:val="NormalWeb"/>
        <w:spacing w:before="0" w:beforeAutospacing="0" w:after="0" w:afterAutospacing="0" w:line="240" w:lineRule="exact"/>
        <w:ind w:left="720"/>
        <w:rPr>
          <w:b/>
          <w:bCs/>
          <w:lang w:val="sq-AL"/>
        </w:rPr>
      </w:pPr>
    </w:p>
    <w:p w14:paraId="6FDF7C2F" w14:textId="77777777" w:rsidR="00956089" w:rsidRDefault="00956089" w:rsidP="0078308E">
      <w:pPr>
        <w:pStyle w:val="NormalWeb"/>
        <w:numPr>
          <w:ilvl w:val="0"/>
          <w:numId w:val="272"/>
        </w:numPr>
        <w:jc w:val="both"/>
      </w:pPr>
      <w:r>
        <w:t>Persons who work or have worked for the Financial Supervisory Authority, as well as entities to which the Authority may have delegated certain tasks, shall be subject to the obligation of professional secrecy. Confidential information obtained in this manner may not be disclosed to any person or other authority, except in cases provided for in law, regulations or administrative provisions.</w:t>
      </w:r>
    </w:p>
    <w:p w14:paraId="6BAC0D62" w14:textId="77777777" w:rsidR="00956089" w:rsidRDefault="00956089" w:rsidP="0078308E">
      <w:pPr>
        <w:pStyle w:val="NormalWeb"/>
        <w:numPr>
          <w:ilvl w:val="0"/>
          <w:numId w:val="272"/>
        </w:numPr>
        <w:jc w:val="both"/>
      </w:pPr>
      <w:r>
        <w:t>The Financial Supervisory Authority shall cooperate with the competent authorities of the Member States whenever necessary for the purpose of fulfilling its duties and exercising the powers laid down in this Law. The Authority shall provide assistance to the competent authorities of other Member States.</w:t>
      </w:r>
    </w:p>
    <w:p w14:paraId="428A619C" w14:textId="77777777" w:rsidR="00956089" w:rsidRDefault="00956089" w:rsidP="0078308E">
      <w:pPr>
        <w:pStyle w:val="NormalWeb"/>
        <w:numPr>
          <w:ilvl w:val="0"/>
          <w:numId w:val="272"/>
        </w:numPr>
        <w:jc w:val="both"/>
      </w:pPr>
      <w:r>
        <w:t>When exercising investigative and sanctioning powers, the Authority shall cooperate with the competent authorities of the Member States in order to ensure that sanctions and measures produce the desired results, and shall coordinate their actions when dealing with cross-border cases.</w:t>
      </w:r>
    </w:p>
    <w:p w14:paraId="51CF84FF" w14:textId="77777777" w:rsidR="00956089" w:rsidRDefault="00956089" w:rsidP="0078308E">
      <w:pPr>
        <w:pStyle w:val="NormalWeb"/>
        <w:numPr>
          <w:ilvl w:val="0"/>
          <w:numId w:val="272"/>
        </w:numPr>
        <w:jc w:val="both"/>
      </w:pPr>
      <w:r>
        <w:t>The Authority and other competent authorities may refer the matter to ESMA where a request for cooperation has been refused or has not been resolved within a reasonable timeframe, in accordance with the powers laid down in Regulation (EU) No 1095/2010. Without prejudice to Article 258 of the Treaty on the Functioning of the European Union, ESMA may act in accordance with the powers conferred upon it under Article 19 of Regulation (EU) No 1095/2010.</w:t>
      </w:r>
    </w:p>
    <w:p w14:paraId="212E16FC" w14:textId="77777777" w:rsidR="00956089" w:rsidRDefault="00956089" w:rsidP="00956089">
      <w:pPr>
        <w:pStyle w:val="NormalWeb"/>
        <w:numPr>
          <w:ilvl w:val="0"/>
          <w:numId w:val="272"/>
        </w:numPr>
      </w:pPr>
      <w:r>
        <w:t>The Authority shall cooperate with ESMA for the purposes of this Law, in accordance with Regulation (EU) No 1095/2010.</w:t>
      </w:r>
    </w:p>
    <w:p w14:paraId="46DBA1DF" w14:textId="77777777" w:rsidR="0078308E" w:rsidRDefault="00956089" w:rsidP="00956089">
      <w:pPr>
        <w:pStyle w:val="NormalWeb"/>
        <w:numPr>
          <w:ilvl w:val="0"/>
          <w:numId w:val="272"/>
        </w:numPr>
      </w:pPr>
      <w:r>
        <w:t xml:space="preserve">The Authority shall, without delay, provide ESMA with all information necessary for the performance of its duties pursuant to this Law and Regulation (EU) No 1095/2010. </w:t>
      </w:r>
    </w:p>
    <w:p w14:paraId="00348E0E" w14:textId="5DC0C1E7" w:rsidR="00956089" w:rsidRDefault="00956089" w:rsidP="00956089">
      <w:pPr>
        <w:pStyle w:val="NormalWeb"/>
        <w:numPr>
          <w:ilvl w:val="0"/>
          <w:numId w:val="272"/>
        </w:numPr>
      </w:pPr>
      <w:r>
        <w:t>Paragraph 1 shall not prevent the Authority from exchanging or transmitting confidential information to other competent authorities, ESMA, and the European Systemic Risk Board (ESRB). Any information exchanged in this manner shall be subject to the obligation of professional secrecy, binding upon the current or former employees of the competent authorities receiving the information.</w:t>
      </w:r>
    </w:p>
    <w:p w14:paraId="4D4A848B" w14:textId="77777777" w:rsidR="0078308E" w:rsidRDefault="00956089" w:rsidP="00956089">
      <w:pPr>
        <w:pStyle w:val="NormalWeb"/>
        <w:numPr>
          <w:ilvl w:val="0"/>
          <w:numId w:val="272"/>
        </w:numPr>
      </w:pPr>
      <w:r>
        <w:t>The Authority may conclude cooperation agreements on the exchange of information with the competent authorities or bodies of third countries, empowered under their respective legislation, for the fulfilment of any task under this Law, in accordance with Article 36. The exchange of information shall aim at enabling the supervisory functions of the competent authorities or bodies concerned and shall be subject to professional secrecy requirements at least equivalent to those laid down in this Article.</w:t>
      </w:r>
    </w:p>
    <w:p w14:paraId="06C20412" w14:textId="7649E642" w:rsidR="00956089" w:rsidRDefault="0078308E" w:rsidP="0078308E">
      <w:pPr>
        <w:pStyle w:val="NormalWeb"/>
      </w:pPr>
      <w:r>
        <w:t xml:space="preserve">a. </w:t>
      </w:r>
      <w:r w:rsidR="00956089">
        <w:t>When concluding cooperation agreements on the exchange of information with the competent authorities or bodies of third countries, the Authority shall notify ESMA.</w:t>
      </w:r>
    </w:p>
    <w:p w14:paraId="1DDC415C" w14:textId="104FB38C" w:rsidR="00304715" w:rsidRDefault="00956089" w:rsidP="00956089">
      <w:pPr>
        <w:pStyle w:val="NormalWeb"/>
      </w:pPr>
      <w:r>
        <w:lastRenderedPageBreak/>
        <w:t>b. Where information originates from another Member State, it may not be disclosed without the express consent of the competent authorities that disclosed it and, where appropriate, only for the purposes for which those authorities have given their consent.</w:t>
      </w:r>
    </w:p>
    <w:p w14:paraId="28CA9714" w14:textId="77777777" w:rsidR="00956089" w:rsidRPr="00956089" w:rsidRDefault="00956089" w:rsidP="00956089">
      <w:pPr>
        <w:pStyle w:val="NormalWeb"/>
      </w:pPr>
    </w:p>
    <w:p w14:paraId="62B1C491" w14:textId="4DE3EC35" w:rsidR="00304715" w:rsidRPr="005125ED" w:rsidRDefault="00956089" w:rsidP="00FD6A26">
      <w:pPr>
        <w:spacing w:after="0" w:line="276" w:lineRule="auto"/>
        <w:jc w:val="center"/>
        <w:rPr>
          <w:rFonts w:ascii="Times New Roman" w:eastAsia="Aptos" w:hAnsi="Times New Roman" w:cs="Times New Roman"/>
          <w:b/>
          <w:bCs/>
          <w:kern w:val="0"/>
          <w:lang w:val="en"/>
          <w14:ligatures w14:val="none"/>
        </w:rPr>
      </w:pPr>
      <w:r>
        <w:rPr>
          <w:rFonts w:ascii="Times New Roman" w:eastAsia="Aptos" w:hAnsi="Times New Roman" w:cs="Times New Roman"/>
          <w:b/>
          <w:bCs/>
          <w:kern w:val="0"/>
          <w:lang w:val="en"/>
          <w14:ligatures w14:val="none"/>
        </w:rPr>
        <w:t xml:space="preserve">Article </w:t>
      </w:r>
      <w:r w:rsidR="008C74E3" w:rsidRPr="005125ED">
        <w:rPr>
          <w:rFonts w:ascii="Times New Roman" w:eastAsia="Aptos" w:hAnsi="Times New Roman" w:cs="Times New Roman"/>
          <w:b/>
          <w:bCs/>
          <w:kern w:val="0"/>
          <w:lang w:val="en"/>
          <w14:ligatures w14:val="none"/>
        </w:rPr>
        <w:t>3</w:t>
      </w:r>
      <w:r w:rsidR="00655C91" w:rsidRPr="005125ED">
        <w:rPr>
          <w:rFonts w:ascii="Times New Roman" w:eastAsia="Aptos" w:hAnsi="Times New Roman" w:cs="Times New Roman"/>
          <w:b/>
          <w:bCs/>
          <w:kern w:val="0"/>
          <w:lang w:val="en"/>
          <w14:ligatures w14:val="none"/>
        </w:rPr>
        <w:t>8</w:t>
      </w:r>
    </w:p>
    <w:p w14:paraId="5F8ABD1B" w14:textId="4B922D12" w:rsidR="00956089" w:rsidRPr="00956089" w:rsidRDefault="00956089" w:rsidP="00956089">
      <w:pPr>
        <w:spacing w:after="0" w:line="276" w:lineRule="auto"/>
        <w:ind w:left="2880"/>
        <w:rPr>
          <w:rFonts w:ascii="Times New Roman" w:eastAsia="Aptos" w:hAnsi="Times New Roman" w:cs="Times New Roman"/>
          <w:b/>
          <w:bCs/>
          <w:kern w:val="0"/>
          <w:lang w:val="en"/>
          <w14:ligatures w14:val="none"/>
        </w:rPr>
      </w:pPr>
      <w:r w:rsidRPr="00956089">
        <w:rPr>
          <w:rFonts w:ascii="Times New Roman" w:hAnsi="Times New Roman" w:cs="Times New Roman"/>
          <w:b/>
          <w:bCs/>
          <w:color w:val="211D1E"/>
        </w:rPr>
        <w:t xml:space="preserve">        Precautionary measures</w:t>
      </w:r>
    </w:p>
    <w:p w14:paraId="6A0B61F4" w14:textId="77777777" w:rsidR="00956089" w:rsidRDefault="00956089" w:rsidP="00FD6A26">
      <w:pPr>
        <w:spacing w:after="0" w:line="276" w:lineRule="auto"/>
        <w:jc w:val="center"/>
        <w:rPr>
          <w:rFonts w:ascii="Times New Roman" w:eastAsia="Aptos" w:hAnsi="Times New Roman" w:cs="Times New Roman"/>
          <w:b/>
          <w:bCs/>
          <w:kern w:val="0"/>
          <w:lang w:val="en"/>
          <w14:ligatures w14:val="none"/>
        </w:rPr>
      </w:pPr>
    </w:p>
    <w:p w14:paraId="47AA0939" w14:textId="2AB20660" w:rsidR="00956089" w:rsidRDefault="00956089" w:rsidP="00E03379">
      <w:pPr>
        <w:pStyle w:val="NormalWeb"/>
        <w:numPr>
          <w:ilvl w:val="0"/>
          <w:numId w:val="273"/>
        </w:numPr>
        <w:jc w:val="both"/>
      </w:pPr>
      <w:r>
        <w:t>Wh</w:t>
      </w:r>
      <w:r w:rsidRPr="00095160">
        <w:t>e</w:t>
      </w:r>
      <w:r w:rsidR="0014588C" w:rsidRPr="00095160">
        <w:t>re</w:t>
      </w:r>
      <w:r>
        <w:t xml:space="preserve"> the Authority, acting as the competent authority of the host State, discovers that an issuer or a holder of its shares or other financial instruments, or any person or entity referred to in Article 13, has committed irregularities or has breached its obligations, it shall refer its findings to the competent authority of the home Member State and to ESMA.</w:t>
      </w:r>
    </w:p>
    <w:p w14:paraId="36D0977E" w14:textId="37836AEE" w:rsidR="00956089" w:rsidRDefault="00956089" w:rsidP="00B30E01">
      <w:pPr>
        <w:pStyle w:val="NormalWeb"/>
        <w:numPr>
          <w:ilvl w:val="0"/>
          <w:numId w:val="273"/>
        </w:numPr>
        <w:jc w:val="both"/>
      </w:pPr>
      <w:r>
        <w:t>If, despite the measures taken by the competent authority of the home Member State, or because such measures prove to be insufficient, the issuer or the holder of securities continues to infringe the relevant legal or regulatory provisions, the Authority shall take all appropriate measures for the protection of investors and shall inform the European Commission and ESMA as soon as possible.</w:t>
      </w:r>
    </w:p>
    <w:p w14:paraId="5CB0D074" w14:textId="77777777" w:rsidR="00956089" w:rsidRDefault="00956089" w:rsidP="00FD6A26">
      <w:pPr>
        <w:spacing w:after="0" w:line="276" w:lineRule="auto"/>
        <w:jc w:val="center"/>
        <w:rPr>
          <w:rFonts w:ascii="Times New Roman" w:eastAsia="Times New Roman" w:hAnsi="Times New Roman" w:cs="Times New Roman"/>
          <w:kern w:val="0"/>
          <w14:ligatures w14:val="none"/>
        </w:rPr>
      </w:pPr>
    </w:p>
    <w:p w14:paraId="5BA32133" w14:textId="77777777" w:rsidR="00BE241C" w:rsidRDefault="00BE241C" w:rsidP="000B37BF">
      <w:pPr>
        <w:keepNext/>
        <w:keepLines/>
        <w:spacing w:before="480" w:after="480" w:line="240" w:lineRule="auto"/>
        <w:contextualSpacing/>
        <w:jc w:val="center"/>
        <w:rPr>
          <w:rFonts w:ascii="Times New Roman" w:eastAsia="Times New Roman" w:hAnsi="Times New Roman" w:cs="Times New Roman"/>
          <w:kern w:val="0"/>
          <w14:ligatures w14:val="none"/>
        </w:rPr>
      </w:pPr>
    </w:p>
    <w:p w14:paraId="49687341" w14:textId="77777777" w:rsidR="007C2FD3" w:rsidRDefault="007C2FD3" w:rsidP="000B37BF">
      <w:pPr>
        <w:keepNext/>
        <w:keepLines/>
        <w:spacing w:before="480" w:after="480" w:line="240" w:lineRule="auto"/>
        <w:contextualSpacing/>
        <w:jc w:val="center"/>
        <w:rPr>
          <w:rFonts w:ascii="Times New Roman" w:eastAsia="Times New Roman" w:hAnsi="Times New Roman" w:cs="Times New Roman"/>
          <w:kern w:val="0"/>
          <w14:ligatures w14:val="none"/>
        </w:rPr>
      </w:pPr>
    </w:p>
    <w:p w14:paraId="21A08FA6" w14:textId="77777777" w:rsidR="007C2FD3" w:rsidRPr="007C2FD3" w:rsidRDefault="007C2FD3" w:rsidP="00457469">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sidRPr="007C2FD3">
        <w:rPr>
          <w:rFonts w:ascii="Times New Roman" w:eastAsia="Times New Roman" w:hAnsi="Times New Roman" w:cs="Times New Roman"/>
          <w:b/>
          <w:bCs/>
          <w:kern w:val="36"/>
          <w:sz w:val="28"/>
          <w:szCs w:val="28"/>
          <w14:ligatures w14:val="none"/>
        </w:rPr>
        <w:t>CHAPTER V</w:t>
      </w:r>
    </w:p>
    <w:p w14:paraId="27B3A6B4" w14:textId="77777777" w:rsidR="007C2FD3" w:rsidRPr="007C2FD3" w:rsidRDefault="007C2FD3" w:rsidP="00457469">
      <w:pPr>
        <w:spacing w:before="100" w:beforeAutospacing="1" w:after="100" w:afterAutospacing="1" w:line="240" w:lineRule="auto"/>
        <w:jc w:val="center"/>
        <w:rPr>
          <w:rFonts w:ascii="Times New Roman" w:eastAsia="Times New Roman" w:hAnsi="Times New Roman" w:cs="Times New Roman"/>
          <w:kern w:val="0"/>
          <w14:ligatures w14:val="none"/>
        </w:rPr>
      </w:pPr>
      <w:r w:rsidRPr="007C2FD3">
        <w:rPr>
          <w:rFonts w:ascii="Times New Roman" w:eastAsia="Times New Roman" w:hAnsi="Times New Roman" w:cs="Times New Roman"/>
          <w:b/>
          <w:bCs/>
          <w:kern w:val="0"/>
          <w14:ligatures w14:val="none"/>
        </w:rPr>
        <w:t>INFRINGEMENTS OF PROVISIONS</w:t>
      </w:r>
    </w:p>
    <w:p w14:paraId="320F013D" w14:textId="77777777" w:rsidR="007C2FD3" w:rsidRPr="007C2FD3" w:rsidRDefault="007C2FD3" w:rsidP="00457469">
      <w:pPr>
        <w:spacing w:before="100" w:beforeAutospacing="1" w:after="100" w:afterAutospacing="1" w:line="240" w:lineRule="auto"/>
        <w:jc w:val="center"/>
        <w:outlineLvl w:val="1"/>
        <w:rPr>
          <w:rFonts w:ascii="Times New Roman" w:eastAsia="Times New Roman" w:hAnsi="Times New Roman" w:cs="Times New Roman"/>
          <w:b/>
          <w:bCs/>
          <w:kern w:val="0"/>
          <w14:ligatures w14:val="none"/>
        </w:rPr>
      </w:pPr>
      <w:r w:rsidRPr="007C2FD3">
        <w:rPr>
          <w:rFonts w:ascii="Times New Roman" w:eastAsia="Times New Roman" w:hAnsi="Times New Roman" w:cs="Times New Roman"/>
          <w:b/>
          <w:bCs/>
          <w:kern w:val="0"/>
          <w14:ligatures w14:val="none"/>
        </w:rPr>
        <w:t>Article 39</w:t>
      </w:r>
    </w:p>
    <w:p w14:paraId="04AF3D55" w14:textId="322F612D" w:rsidR="007C2FD3" w:rsidRPr="007C2FD3" w:rsidRDefault="007C2FD3" w:rsidP="00457469">
      <w:pPr>
        <w:spacing w:before="100" w:beforeAutospacing="1" w:after="100" w:afterAutospacing="1" w:line="240" w:lineRule="auto"/>
        <w:jc w:val="center"/>
        <w:rPr>
          <w:rFonts w:ascii="Times New Roman" w:eastAsia="Times New Roman" w:hAnsi="Times New Roman" w:cs="Times New Roman"/>
          <w:kern w:val="0"/>
          <w14:ligatures w14:val="none"/>
        </w:rPr>
      </w:pPr>
      <w:r w:rsidRPr="007C2FD3">
        <w:rPr>
          <w:rFonts w:ascii="Times New Roman" w:eastAsia="Times New Roman" w:hAnsi="Times New Roman" w:cs="Times New Roman"/>
          <w:b/>
          <w:bCs/>
          <w:kern w:val="0"/>
          <w14:ligatures w14:val="none"/>
        </w:rPr>
        <w:t xml:space="preserve">Administrative </w:t>
      </w:r>
      <w:r w:rsidR="00457469" w:rsidRPr="00457469">
        <w:rPr>
          <w:rFonts w:ascii="Times New Roman" w:eastAsia="Times New Roman" w:hAnsi="Times New Roman" w:cs="Times New Roman"/>
          <w:b/>
          <w:bCs/>
          <w:kern w:val="0"/>
          <w14:ligatures w14:val="none"/>
        </w:rPr>
        <w:t>Measures and Sanctions</w:t>
      </w:r>
    </w:p>
    <w:p w14:paraId="51D093E2" w14:textId="77777777" w:rsidR="007C2FD3" w:rsidRPr="007C2FD3" w:rsidRDefault="007C2FD3" w:rsidP="007C2FD3">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In the event of infringements of the provisions provided for in Article 40 of this Law, the Authority shall have the power to impose the following measures and sanctions:</w:t>
      </w:r>
    </w:p>
    <w:p w14:paraId="49C6332C"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publish a statement identifying the natural or legal person responsible and the nature of the infringement;</w:t>
      </w:r>
    </w:p>
    <w:p w14:paraId="53A5F24E"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order the natural or legal person responsible to cease the conduct constituting the infringement and to refrain from repeating that conduct;</w:t>
      </w:r>
    </w:p>
    <w:p w14:paraId="204D7394"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c. impose administrative pecuniary sanctions.</w:t>
      </w:r>
    </w:p>
    <w:p w14:paraId="5657B50E" w14:textId="77777777" w:rsidR="007C2FD3" w:rsidRPr="007C2FD3" w:rsidRDefault="007C2FD3" w:rsidP="007C2FD3">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Administrative measures and sanctions referred to in paragraph 1 of this Article shall be effective, proportionate and dissuasive.</w:t>
      </w:r>
    </w:p>
    <w:p w14:paraId="7DC9AE14" w14:textId="77777777" w:rsidR="007C2FD3" w:rsidRPr="007C2FD3" w:rsidRDefault="007C2FD3" w:rsidP="007C2FD3">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lastRenderedPageBreak/>
        <w:t>Without prejudice to Article 9 of this Law, the Authority shall ensure that where the obligations laid down in this Law apply to legal persons, in the event of an infringement, sanctions in accordance with the legislation in force may be applied to the members of the administrative, management or supervisory bodies of the legal person concerned, as well as to other individuals who are responsible for the infringement.</w:t>
      </w:r>
    </w:p>
    <w:p w14:paraId="3D2826DB" w14:textId="77777777" w:rsidR="007C2FD3" w:rsidRPr="007C2FD3" w:rsidRDefault="007C2FD3" w:rsidP="007C2FD3">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Without prejudice to the powers of the Authority under Article 36 and to the right of the Republic of Albania to impose criminal sanctions, the Authority may suspend the exercise of the voting rights attached to shares in the event of the infringements referred to in Article 40 of this Law where such infringements are considered serious.</w:t>
      </w:r>
    </w:p>
    <w:p w14:paraId="4867877C" w14:textId="77751A3E" w:rsidR="007C2FD3" w:rsidRPr="007C2FD3" w:rsidRDefault="007C2FD3" w:rsidP="007C2FD3">
      <w:pPr>
        <w:spacing w:after="0" w:line="240" w:lineRule="auto"/>
        <w:rPr>
          <w:rFonts w:ascii="Times New Roman" w:eastAsia="Times New Roman" w:hAnsi="Times New Roman" w:cs="Times New Roman"/>
          <w:kern w:val="0"/>
          <w14:ligatures w14:val="none"/>
        </w:rPr>
      </w:pPr>
    </w:p>
    <w:p w14:paraId="46C5776A" w14:textId="77777777" w:rsidR="007C2FD3" w:rsidRPr="007C2FD3" w:rsidRDefault="007C2FD3" w:rsidP="00457469">
      <w:pPr>
        <w:spacing w:before="100" w:beforeAutospacing="1" w:after="0" w:line="120" w:lineRule="auto"/>
        <w:jc w:val="center"/>
        <w:outlineLvl w:val="0"/>
        <w:rPr>
          <w:rFonts w:ascii="Times New Roman" w:eastAsia="Times New Roman" w:hAnsi="Times New Roman" w:cs="Times New Roman"/>
          <w:b/>
          <w:bCs/>
          <w:kern w:val="36"/>
          <w14:ligatures w14:val="none"/>
        </w:rPr>
      </w:pPr>
      <w:r w:rsidRPr="007C2FD3">
        <w:rPr>
          <w:rFonts w:ascii="Times New Roman" w:eastAsia="Times New Roman" w:hAnsi="Times New Roman" w:cs="Times New Roman"/>
          <w:b/>
          <w:bCs/>
          <w:kern w:val="36"/>
          <w14:ligatures w14:val="none"/>
        </w:rPr>
        <w:t>Article 40</w:t>
      </w:r>
    </w:p>
    <w:p w14:paraId="2082EF68" w14:textId="77777777" w:rsidR="007C2FD3" w:rsidRPr="007C2FD3" w:rsidRDefault="007C2FD3" w:rsidP="00457469">
      <w:pPr>
        <w:spacing w:before="100" w:beforeAutospacing="1" w:after="0" w:line="120" w:lineRule="auto"/>
        <w:jc w:val="center"/>
        <w:rPr>
          <w:rFonts w:ascii="Times New Roman" w:eastAsia="Times New Roman" w:hAnsi="Times New Roman" w:cs="Times New Roman"/>
          <w:kern w:val="0"/>
          <w14:ligatures w14:val="none"/>
        </w:rPr>
      </w:pPr>
      <w:r w:rsidRPr="007C2FD3">
        <w:rPr>
          <w:rFonts w:ascii="Times New Roman" w:eastAsia="Times New Roman" w:hAnsi="Times New Roman" w:cs="Times New Roman"/>
          <w:b/>
          <w:bCs/>
          <w:kern w:val="0"/>
          <w14:ligatures w14:val="none"/>
        </w:rPr>
        <w:t>Pecuniary sanctions</w:t>
      </w:r>
    </w:p>
    <w:p w14:paraId="5A2730B6" w14:textId="77777777" w:rsidR="007C2FD3" w:rsidRPr="007C2FD3" w:rsidRDefault="007C2FD3" w:rsidP="007C2FD3">
      <w:pPr>
        <w:numPr>
          <w:ilvl w:val="0"/>
          <w:numId w:val="287"/>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The Authority shall impose a pecuniary sanction ranging from ALL 500,000 to ALL 4,000,000 on the legal person if:</w:t>
      </w:r>
    </w:p>
    <w:p w14:paraId="2C849E58"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contrary to Article 4 of this Law, it does not publish the annual financial report within the statutory deadline and/or does not submit it to the Financial Supervisory Authority, and does not ensure that the annual financial report remains publicly available for at least 10 (ten) years;</w:t>
      </w:r>
    </w:p>
    <w:p w14:paraId="76BB62D8"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contrary to Article 4(2) of this Law, the annual financial report does not contain the information required by that Article;</w:t>
      </w:r>
    </w:p>
    <w:p w14:paraId="0DCBE03F"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c. contrary to Article 5 of this Law, it does not publish the half-yearly financial report within the statutory deadline and/or does not submit it to the Authority, and does not ensure that the half-yearly financial report remains publicly available for at least 10 (ten) years;</w:t>
      </w:r>
    </w:p>
    <w:p w14:paraId="61669A64"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ç. contrary to Article 5(2) of this Law, the half-yearly financial report does not contain the required information;</w:t>
      </w:r>
    </w:p>
    <w:p w14:paraId="383DCF70"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d. contrary to Article 12(1) of this Law, it does not notify the issuer of the percentage of voting rights it holds where, as a result of the acquisition or disposal of shares, that percentage reaches, exceeds or falls below the thresholds of 5 %, 10 %, 15 %, 20 %, 25 %, 30 %, 50 % and 75 % for shares of an issuer whose securities are admitted to trading on a regulated market;</w:t>
      </w:r>
    </w:p>
    <w:p w14:paraId="364BBEC0"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dh. contrary to Article 12(2) of this Law, it does not notify the issuer of the percentage of voting rights it holds where that percentage reaches, exceeds or falls below the thresholds of 5 %, 10 %, 15 %, 20 %, 25 %, 30 %, 50 % and 75 % as a result of events changing the breakdown of voting rights or the number of voting rights attached to shares;</w:t>
      </w:r>
    </w:p>
    <w:p w14:paraId="12E19508"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e. contrary to Article 8(1) of this Law, it does not prepare the report on payments made to government when operating in the extractive industry or in the primary forest logging industry;</w:t>
      </w:r>
    </w:p>
    <w:p w14:paraId="731F201B"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lastRenderedPageBreak/>
        <w:t>ë. contrary to Article 8(3) of this Law, it does not make public the report on payments made to government within the statutory deadline and does not ensure that it remains publicly available for at least 10 (ten) years;</w:t>
      </w:r>
    </w:p>
    <w:p w14:paraId="0C1FA199"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f. contrary to Article 11(1) of this Law, it does not notify the Financial Supervisory Authority that it acts or intends to act as a market maker for a particular issuer within the statutory deadline and does not comply with the obligations set out in Article 13 of this Law;</w:t>
      </w:r>
    </w:p>
    <w:p w14:paraId="348732BD"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g. contrary to Article 11(4) of this Law, upon request of the Authority, it does not make available the market-making agreement concluded with the market operator and/or the issuer;</w:t>
      </w:r>
    </w:p>
    <w:p w14:paraId="41B2536D"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gj. contrary to Articles 20 and 21 of this Law, it does not notify the Authority;</w:t>
      </w:r>
    </w:p>
    <w:p w14:paraId="71376379"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h. contrary to Article 23 of this Law, it does not publish on its official website information on changes and the new total number of shares with voting rights within the prescribed deadline;</w:t>
      </w:r>
    </w:p>
    <w:p w14:paraId="74F001DB"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i. contrary to Article 15(6) of this Law, it does not make public, within the statutory deadline, the information included in the notification received regarding major holdings or significant shareholdings;</w:t>
      </w:r>
    </w:p>
    <w:p w14:paraId="368413CA"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j. contrary to Article 22 of this Law, it does not submit to the Financial Supervisory Authority the regulated information submitted to the issuer;</w:t>
      </w:r>
    </w:p>
    <w:p w14:paraId="03F7EF26"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k. contrary to Article 18(2) of this Law, it does not submit to the Financial Supervisory Authority the list of management companies and/or brokerage firms together with the declaration on the fulfilment of independence conditions;</w:t>
      </w:r>
    </w:p>
    <w:p w14:paraId="599E3236"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l. contrary to Article 18(3) of this Law, it does not continuously update the list referred to in that Article;</w:t>
      </w:r>
    </w:p>
    <w:p w14:paraId="24F91E4E"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ll. contrary to Article 24 of this Law, in the case of acquisition or disposal of its own shares, it does not publish the percentage of its own shares within the statutory deadline;</w:t>
      </w:r>
    </w:p>
    <w:p w14:paraId="040C6444"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m. contrary to Article 25(3)(1) of this Law, it does not publish information on the place, time and agenda of shareholders’ meetings;</w:t>
      </w:r>
    </w:p>
    <w:p w14:paraId="6A6F3494"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n. contrary to Article 25(3)(2) of this Law, it does not make available the proxy form for shareholders;</w:t>
      </w:r>
    </w:p>
    <w:p w14:paraId="47411497"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nj. contrary to Article 25(3)(3) of this Law, it does not designate a financial institution as agent for the exercise of the financial rights of shareholders;</w:t>
      </w:r>
    </w:p>
    <w:p w14:paraId="26BFC43E"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o. contrary to Article 25(3)(4) of this Law, it does not publish notices concerning dividends and the issuance of new shares;</w:t>
      </w:r>
    </w:p>
    <w:p w14:paraId="25D83AC5"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lastRenderedPageBreak/>
        <w:t>p. contrary to Article 26(1) of this Law, it does not ensure equal treatment for holders of debt securities ranking pari passu;</w:t>
      </w:r>
    </w:p>
    <w:p w14:paraId="73534C8A"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q. contrary to Article 26(3)(1) of this Law, it does not publish the information required for meetings and rights of debt securities holders;</w:t>
      </w:r>
    </w:p>
    <w:p w14:paraId="5DAC3414"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r. contrary to Article 26(3)(2) of this Law, it does not make available the proxy form for holders of debt securities;</w:t>
      </w:r>
    </w:p>
    <w:p w14:paraId="3256DD7A"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rr. contrary to Article 26(3)(3) of this Law, it does not designate a financial institution as agent for the exercise of the financial rights of debt securities holders;</w:t>
      </w:r>
    </w:p>
    <w:p w14:paraId="497B4E9D"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s. contrary to Article 22(1) of this Law, it does not submit regulated information to the Financial Supervisory Authority for publication;</w:t>
      </w:r>
    </w:p>
    <w:p w14:paraId="1A83A6D8"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sh. contrary to Article 22(2) of this Law, it does not submit regulated information in the Albanian language where the securities are admitted to trading only in the Republic of Albania;</w:t>
      </w:r>
    </w:p>
    <w:p w14:paraId="47A45CB9"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t. contrary to Article 27 of this Law, it does not make public without delay any change in the rights attached to shares or derivative instruments giving access to shares;</w:t>
      </w:r>
    </w:p>
    <w:p w14:paraId="2310E2F4" w14:textId="77777777" w:rsidR="00425BD2" w:rsidRDefault="007C2FD3" w:rsidP="00425BD2">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th. contrary to Articles 22 and 28 of this Law, it does not publish regulated information in a manner ensuring fast, equal and non-discriminatory access and does not make it available to the officially appointed mechanism for the central storage of regulated information.</w:t>
      </w:r>
    </w:p>
    <w:p w14:paraId="3A73C295" w14:textId="3A55A407" w:rsidR="007C2FD3" w:rsidRPr="007C2FD3" w:rsidRDefault="00425BD2" w:rsidP="00425BD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 </w:t>
      </w:r>
      <w:r w:rsidR="007C2FD3" w:rsidRPr="007C2FD3">
        <w:rPr>
          <w:rFonts w:ascii="Times New Roman" w:eastAsia="Times New Roman" w:hAnsi="Times New Roman" w:cs="Times New Roman"/>
          <w:kern w:val="0"/>
          <w14:ligatures w14:val="none"/>
        </w:rPr>
        <w:t>Notwithstanding paragraph 1 of this Article, in cases of very serious infringements which seriously undermine or threaten the integrity of the financial market, cause significant market disruption or have resulted in substantial material benefit while undermining investor protection, market transparency or the orderly functioning of the market, the Authority may, with justification, impose a pecuniary sanction:</w:t>
      </w:r>
    </w:p>
    <w:p w14:paraId="05FCB29D"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up to the equivalent in lek of EUR 10 000 000 or up to 5 % of the total annual turnover according to the latest available financial statements approved by the management body, or of the annual turnover according to the consolidated financial statements approved by the management body of the parent undertaking; or</w:t>
      </w:r>
    </w:p>
    <w:p w14:paraId="4A5CD467"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up to twice the amount of the profits gained or losses avoided as a result of the infringement, where those can be determined, whichever is higher pursuant to points (a) and (b) of this paragraph.</w:t>
      </w:r>
    </w:p>
    <w:p w14:paraId="664D4311" w14:textId="77777777" w:rsidR="007C2FD3" w:rsidRPr="007C2FD3" w:rsidRDefault="007C2FD3" w:rsidP="007C2FD3">
      <w:pPr>
        <w:numPr>
          <w:ilvl w:val="0"/>
          <w:numId w:val="289"/>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For the infringements defined in paragraph 1 of this Article, the Authority shall impose a pecuniary sanction ranging from ALL 100,000 to ALL 500,000 on the natural person or the responsible person of the entity.</w:t>
      </w:r>
    </w:p>
    <w:p w14:paraId="3D12C03D" w14:textId="77777777" w:rsidR="007C2FD3" w:rsidRPr="007C2FD3" w:rsidRDefault="007C2FD3" w:rsidP="007C2FD3">
      <w:pPr>
        <w:numPr>
          <w:ilvl w:val="0"/>
          <w:numId w:val="289"/>
        </w:num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 xml:space="preserve">Notwithstanding paragraph 3 of this Article, in cases of very serious infringements which seriously undermine or threaten the integrity of the financial market, cause </w:t>
      </w:r>
      <w:r w:rsidRPr="007C2FD3">
        <w:rPr>
          <w:rFonts w:ascii="Times New Roman" w:eastAsia="Times New Roman" w:hAnsi="Times New Roman" w:cs="Times New Roman"/>
          <w:kern w:val="0"/>
          <w14:ligatures w14:val="none"/>
        </w:rPr>
        <w:lastRenderedPageBreak/>
        <w:t>significant market disruption or have resulted in substantial material benefit while undermining investor protection, market transparency or the orderly functioning of the market, the Authority may, with justification, impose a pecuniary sanction:</w:t>
      </w:r>
    </w:p>
    <w:p w14:paraId="1365AE91" w14:textId="4415BF96"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up</w:t>
      </w:r>
      <w:r w:rsidR="008655AD" w:rsidRPr="008655AD">
        <w:rPr>
          <w:rFonts w:ascii="Times New Roman" w:eastAsia="Times New Roman" w:hAnsi="Times New Roman" w:cs="Times New Roman"/>
          <w:kern w:val="0"/>
          <w14:ligatures w14:val="none"/>
        </w:rPr>
        <w:t xml:space="preserve"> </w:t>
      </w:r>
      <w:r w:rsidR="008655AD" w:rsidRPr="007C2FD3">
        <w:rPr>
          <w:rFonts w:ascii="Times New Roman" w:eastAsia="Times New Roman" w:hAnsi="Times New Roman" w:cs="Times New Roman"/>
          <w:kern w:val="0"/>
          <w14:ligatures w14:val="none"/>
        </w:rPr>
        <w:t xml:space="preserve">to the equivalent in lek </w:t>
      </w:r>
      <w:r w:rsidR="008655AD">
        <w:rPr>
          <w:rFonts w:ascii="Times New Roman" w:eastAsia="Times New Roman" w:hAnsi="Times New Roman" w:cs="Times New Roman"/>
          <w:kern w:val="0"/>
          <w14:ligatures w14:val="none"/>
        </w:rPr>
        <w:t xml:space="preserve">of </w:t>
      </w:r>
      <w:r w:rsidRPr="007C2FD3">
        <w:rPr>
          <w:rFonts w:ascii="Times New Roman" w:eastAsia="Times New Roman" w:hAnsi="Times New Roman" w:cs="Times New Roman"/>
          <w:kern w:val="0"/>
          <w14:ligatures w14:val="none"/>
        </w:rPr>
        <w:t>EUR 2,000,000; or</w:t>
      </w:r>
    </w:p>
    <w:p w14:paraId="3EE6B250" w14:textId="77777777" w:rsidR="007C2FD3" w:rsidRPr="007C2FD3" w:rsidRDefault="007C2FD3" w:rsidP="007C2FD3">
      <w:pPr>
        <w:spacing w:before="100" w:beforeAutospacing="1" w:after="100" w:afterAutospacing="1" w:line="240" w:lineRule="auto"/>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up to twice the amount of the profits gained or losses avoided as a result of the infringement, where those can be determined, whichever is higher pursuant to points (a) and (b) of this paragraph.</w:t>
      </w:r>
    </w:p>
    <w:p w14:paraId="33538566" w14:textId="2B59A7DC" w:rsidR="007C2FD3" w:rsidRPr="007C2FD3" w:rsidRDefault="007C2FD3" w:rsidP="007C2FD3">
      <w:pPr>
        <w:spacing w:after="0" w:line="240" w:lineRule="auto"/>
        <w:rPr>
          <w:rFonts w:ascii="Times New Roman" w:eastAsia="Times New Roman" w:hAnsi="Times New Roman" w:cs="Times New Roman"/>
          <w:kern w:val="0"/>
          <w14:ligatures w14:val="none"/>
        </w:rPr>
      </w:pPr>
    </w:p>
    <w:p w14:paraId="263167D5" w14:textId="77777777" w:rsidR="007C2FD3" w:rsidRPr="007C2FD3" w:rsidRDefault="007C2FD3" w:rsidP="00457469">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7C2FD3">
        <w:rPr>
          <w:rFonts w:ascii="Times New Roman" w:eastAsia="Times New Roman" w:hAnsi="Times New Roman" w:cs="Times New Roman"/>
          <w:b/>
          <w:bCs/>
          <w:kern w:val="36"/>
          <w14:ligatures w14:val="none"/>
        </w:rPr>
        <w:t>Article 41</w:t>
      </w:r>
    </w:p>
    <w:p w14:paraId="50691EAF" w14:textId="77777777" w:rsidR="007C2FD3" w:rsidRPr="007C2FD3" w:rsidRDefault="007C2FD3" w:rsidP="00457469">
      <w:pPr>
        <w:spacing w:before="100" w:beforeAutospacing="1" w:after="100" w:afterAutospacing="1" w:line="240" w:lineRule="auto"/>
        <w:jc w:val="center"/>
        <w:rPr>
          <w:rFonts w:ascii="Times New Roman" w:eastAsia="Times New Roman" w:hAnsi="Times New Roman" w:cs="Times New Roman"/>
          <w:kern w:val="0"/>
          <w14:ligatures w14:val="none"/>
        </w:rPr>
      </w:pPr>
      <w:r w:rsidRPr="007C2FD3">
        <w:rPr>
          <w:rFonts w:ascii="Times New Roman" w:eastAsia="Times New Roman" w:hAnsi="Times New Roman" w:cs="Times New Roman"/>
          <w:b/>
          <w:bCs/>
          <w:kern w:val="0"/>
          <w14:ligatures w14:val="none"/>
        </w:rPr>
        <w:t>Exercise of sanctioning powers</w:t>
      </w:r>
    </w:p>
    <w:p w14:paraId="6BCB0447" w14:textId="77777777" w:rsidR="007C2FD3" w:rsidRPr="007C2FD3" w:rsidRDefault="007C2FD3" w:rsidP="00425BD2">
      <w:pPr>
        <w:numPr>
          <w:ilvl w:val="0"/>
          <w:numId w:val="290"/>
        </w:num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When determining the type and level of administrative sanctions, the Authority shall take into account all relevant circumstances, including where appropriate:</w:t>
      </w:r>
    </w:p>
    <w:p w14:paraId="666FF66D"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the gravity and duration of the infringement;</w:t>
      </w:r>
    </w:p>
    <w:p w14:paraId="704D9D52"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the degree of responsibility of the natural person or legal entity responsible;</w:t>
      </w:r>
    </w:p>
    <w:p w14:paraId="6C9937F1"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c. the financial strength of the natural or legal person responsible, as indicated, for example, by the total annual turnover of the legal person responsible or by the annual income of the natural person responsible;</w:t>
      </w:r>
    </w:p>
    <w:p w14:paraId="4D03FAC8"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d. the importance of the profits gained or losses avoided by the natural or legal person responsible, insofar as they can be determined;</w:t>
      </w:r>
    </w:p>
    <w:p w14:paraId="2CB8A998"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e. the losses caused to third parties by the infringement, insofar as they can be determined;</w:t>
      </w:r>
    </w:p>
    <w:p w14:paraId="434EE504"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f. the level of cooperation of the natural or legal person responsible with the Authority;</w:t>
      </w:r>
    </w:p>
    <w:p w14:paraId="44B49827" w14:textId="77777777" w:rsidR="007C2FD3" w:rsidRPr="007C2FD3" w:rsidRDefault="007C2FD3" w:rsidP="00425BD2">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g. previous infringements committed by the natural or legal person responsible.</w:t>
      </w:r>
    </w:p>
    <w:p w14:paraId="5F3DF7DE" w14:textId="5C1A6AE5" w:rsidR="007C2FD3" w:rsidRPr="00C3716B" w:rsidRDefault="00C3716B" w:rsidP="00C3716B">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7C2FD3" w:rsidRPr="00C3716B">
        <w:rPr>
          <w:rFonts w:ascii="Times New Roman" w:eastAsia="Times New Roman" w:hAnsi="Times New Roman" w:cs="Times New Roman"/>
          <w:kern w:val="0"/>
          <w14:ligatures w14:val="none"/>
        </w:rPr>
        <w:t>The processing of personal data collected for the exercise of supervisory and administrative investigative powers under this Law shall be carried out in accordance with the legislation in force transposing Directives 95/46/EC and, where applicable, Regulation (EC) No 45/2001.</w:t>
      </w:r>
    </w:p>
    <w:p w14:paraId="675AE879" w14:textId="0663235B" w:rsidR="007C2FD3" w:rsidRPr="007C2FD3" w:rsidRDefault="007C2FD3" w:rsidP="007C2FD3">
      <w:pPr>
        <w:spacing w:after="0" w:line="240" w:lineRule="auto"/>
        <w:rPr>
          <w:rFonts w:ascii="Times New Roman" w:eastAsia="Times New Roman" w:hAnsi="Times New Roman" w:cs="Times New Roman"/>
          <w:kern w:val="0"/>
          <w14:ligatures w14:val="none"/>
        </w:rPr>
      </w:pPr>
    </w:p>
    <w:p w14:paraId="25954838" w14:textId="77777777" w:rsidR="007C2FD3" w:rsidRPr="007C2FD3" w:rsidRDefault="007C2FD3" w:rsidP="007C2FD3">
      <w:pPr>
        <w:spacing w:before="100" w:beforeAutospacing="1" w:after="100" w:afterAutospacing="1" w:line="240" w:lineRule="auto"/>
        <w:jc w:val="center"/>
        <w:outlineLvl w:val="0"/>
        <w:rPr>
          <w:rFonts w:ascii="Times New Roman" w:eastAsia="Times New Roman" w:hAnsi="Times New Roman" w:cs="Times New Roman"/>
          <w:b/>
          <w:bCs/>
          <w:kern w:val="36"/>
          <w14:ligatures w14:val="none"/>
        </w:rPr>
      </w:pPr>
      <w:r w:rsidRPr="007C2FD3">
        <w:rPr>
          <w:rFonts w:ascii="Times New Roman" w:eastAsia="Times New Roman" w:hAnsi="Times New Roman" w:cs="Times New Roman"/>
          <w:b/>
          <w:bCs/>
          <w:kern w:val="36"/>
          <w14:ligatures w14:val="none"/>
        </w:rPr>
        <w:t>Article 42</w:t>
      </w:r>
    </w:p>
    <w:p w14:paraId="6B005326" w14:textId="77777777" w:rsidR="007C2FD3" w:rsidRPr="007C2FD3" w:rsidRDefault="007C2FD3" w:rsidP="007C2FD3">
      <w:pPr>
        <w:spacing w:before="100" w:beforeAutospacing="1" w:after="100" w:afterAutospacing="1" w:line="240" w:lineRule="auto"/>
        <w:jc w:val="center"/>
        <w:rPr>
          <w:rFonts w:ascii="Times New Roman" w:eastAsia="Times New Roman" w:hAnsi="Times New Roman" w:cs="Times New Roman"/>
          <w:kern w:val="0"/>
          <w14:ligatures w14:val="none"/>
        </w:rPr>
      </w:pPr>
      <w:r w:rsidRPr="007C2FD3">
        <w:rPr>
          <w:rFonts w:ascii="Times New Roman" w:eastAsia="Times New Roman" w:hAnsi="Times New Roman" w:cs="Times New Roman"/>
          <w:b/>
          <w:bCs/>
          <w:kern w:val="0"/>
          <w14:ligatures w14:val="none"/>
        </w:rPr>
        <w:t>Publication of decisions</w:t>
      </w:r>
    </w:p>
    <w:p w14:paraId="0682CB99" w14:textId="77777777" w:rsidR="007C2FD3" w:rsidRPr="007C2FD3" w:rsidRDefault="007C2FD3" w:rsidP="007C2FD3">
      <w:pPr>
        <w:numPr>
          <w:ilvl w:val="0"/>
          <w:numId w:val="292"/>
        </w:num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lastRenderedPageBreak/>
        <w:t>The Authority shall publish without delay on its official website any decision imposing administrative sanctions for infringements of this Law, including at least information on the type and nature of the infringement and the identity of the natural or legal persons responsible.</w:t>
      </w:r>
    </w:p>
    <w:p w14:paraId="62C96A8C" w14:textId="77777777" w:rsidR="007C2FD3" w:rsidRPr="007C2FD3" w:rsidRDefault="007C2FD3" w:rsidP="007C2FD3">
      <w:pPr>
        <w:numPr>
          <w:ilvl w:val="0"/>
          <w:numId w:val="292"/>
        </w:num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The Authority may delay publication or publish the decision on an anonymous basis in any of the following circumstances:</w:t>
      </w:r>
    </w:p>
    <w:p w14:paraId="64095F03" w14:textId="77777777" w:rsidR="007C2FD3" w:rsidRPr="007C2FD3" w:rsidRDefault="007C2FD3" w:rsidP="007C2FD3">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a. where, in the case of a sanction imposed on a natural person, publication of personal data would be disproportionate following a mandatory prior assessment of the proportionality of such publication;</w:t>
      </w:r>
    </w:p>
    <w:p w14:paraId="568EF458" w14:textId="77777777" w:rsidR="007C2FD3" w:rsidRPr="007C2FD3" w:rsidRDefault="007C2FD3" w:rsidP="007C2FD3">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b. where publication would seriously jeopardise the stability of the financial system or an ongoing official investigation;</w:t>
      </w:r>
    </w:p>
    <w:p w14:paraId="4540B048" w14:textId="77777777" w:rsidR="007C2FD3" w:rsidRPr="007C2FD3" w:rsidRDefault="007C2FD3" w:rsidP="007C2FD3">
      <w:pPr>
        <w:spacing w:before="100" w:beforeAutospacing="1" w:after="100" w:afterAutospacing="1" w:line="240" w:lineRule="auto"/>
        <w:jc w:val="both"/>
        <w:rPr>
          <w:rFonts w:ascii="Times New Roman" w:eastAsia="Times New Roman" w:hAnsi="Times New Roman" w:cs="Times New Roman"/>
          <w:kern w:val="0"/>
          <w14:ligatures w14:val="none"/>
        </w:rPr>
      </w:pPr>
      <w:r w:rsidRPr="007C2FD3">
        <w:rPr>
          <w:rFonts w:ascii="Times New Roman" w:eastAsia="Times New Roman" w:hAnsi="Times New Roman" w:cs="Times New Roman"/>
          <w:kern w:val="0"/>
          <w14:ligatures w14:val="none"/>
        </w:rPr>
        <w:t>c. where publication would, insofar as it can be determined, cause disproportionate and serious damage to the institutions or natural persons involved.</w:t>
      </w:r>
    </w:p>
    <w:p w14:paraId="5DB78B9A" w14:textId="58E01616" w:rsidR="007C2FD3" w:rsidRPr="007C2FD3" w:rsidRDefault="0063176F" w:rsidP="007C2FD3">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 </w:t>
      </w:r>
      <w:r w:rsidR="007C2FD3" w:rsidRPr="007C2FD3">
        <w:rPr>
          <w:rFonts w:ascii="Times New Roman" w:eastAsia="Times New Roman" w:hAnsi="Times New Roman" w:cs="Times New Roman"/>
          <w:kern w:val="0"/>
          <w14:ligatures w14:val="none"/>
        </w:rPr>
        <w:t>Where an appeal is lodged against the decision published in accordance with paragraph 1, the Authority shall either include information about this in the publication at the time of publication or amend the publication if the appeal is lodged after the initial publication.</w:t>
      </w:r>
    </w:p>
    <w:p w14:paraId="59B4B92A" w14:textId="77777777" w:rsidR="007C2FD3" w:rsidRDefault="007C2FD3" w:rsidP="000B37BF">
      <w:pPr>
        <w:keepNext/>
        <w:keepLines/>
        <w:spacing w:before="480" w:after="480" w:line="240" w:lineRule="auto"/>
        <w:contextualSpacing/>
        <w:jc w:val="center"/>
        <w:rPr>
          <w:rFonts w:ascii="Times New Roman" w:eastAsia="Times New Roman" w:hAnsi="Times New Roman" w:cs="Times New Roman"/>
          <w:kern w:val="0"/>
          <w14:ligatures w14:val="none"/>
        </w:rPr>
      </w:pPr>
    </w:p>
    <w:p w14:paraId="2D9544E2" w14:textId="77777777" w:rsidR="007C2FD3" w:rsidRDefault="007C2FD3" w:rsidP="000B37BF">
      <w:pPr>
        <w:keepNext/>
        <w:keepLines/>
        <w:spacing w:before="480" w:after="480" w:line="240" w:lineRule="auto"/>
        <w:contextualSpacing/>
        <w:jc w:val="center"/>
        <w:rPr>
          <w:rFonts w:ascii="Times New Roman" w:eastAsia="Times New Roman" w:hAnsi="Times New Roman" w:cs="Times New Roman"/>
          <w:kern w:val="0"/>
          <w14:ligatures w14:val="none"/>
        </w:rPr>
      </w:pPr>
    </w:p>
    <w:p w14:paraId="1EF9E4EE" w14:textId="77777777" w:rsidR="007C2FD3" w:rsidRDefault="007C2FD3" w:rsidP="000B37BF">
      <w:pPr>
        <w:keepNext/>
        <w:keepLines/>
        <w:spacing w:before="480" w:after="480" w:line="240" w:lineRule="auto"/>
        <w:contextualSpacing/>
        <w:jc w:val="center"/>
        <w:rPr>
          <w:rFonts w:ascii="Times New Roman" w:eastAsia="Times New Roman" w:hAnsi="Times New Roman" w:cs="Times New Roman"/>
          <w:kern w:val="0"/>
          <w14:ligatures w14:val="none"/>
        </w:rPr>
      </w:pPr>
    </w:p>
    <w:p w14:paraId="178E198A" w14:textId="77777777" w:rsidR="007C2FD3" w:rsidRPr="005125ED" w:rsidRDefault="007C2FD3" w:rsidP="000B37B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068AC353" w14:textId="3A761C8C" w:rsidR="000B37BF" w:rsidRPr="005125ED" w:rsidRDefault="003B0807" w:rsidP="000B37B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CHAPTER</w:t>
      </w:r>
      <w:r w:rsidR="000B37BF" w:rsidRPr="005125ED">
        <w:rPr>
          <w:rFonts w:ascii="Times New Roman" w:eastAsia="Times New Roman" w:hAnsi="Times New Roman" w:cs="Times New Roman"/>
          <w:b/>
          <w:bCs/>
          <w:spacing w:val="22"/>
          <w:kern w:val="0"/>
          <w:szCs w:val="20"/>
          <w:lang w:val="sq-AL"/>
          <w14:ligatures w14:val="none"/>
        </w:rPr>
        <w:t> </w:t>
      </w:r>
      <w:r w:rsidR="000B37BF" w:rsidRPr="005125ED">
        <w:rPr>
          <w:rFonts w:ascii="Times New Roman" w:eastAsia="Times New Roman" w:hAnsi="Times New Roman" w:cs="Times New Roman"/>
          <w:b/>
          <w:bCs/>
          <w:kern w:val="0"/>
          <w:szCs w:val="20"/>
          <w:lang w:val="sq-AL"/>
          <w14:ligatures w14:val="none"/>
        </w:rPr>
        <w:t>VI</w:t>
      </w:r>
    </w:p>
    <w:p w14:paraId="1473FAA2" w14:textId="77777777" w:rsidR="000B37BF" w:rsidRPr="005125ED" w:rsidRDefault="000B37BF" w:rsidP="000B37BF">
      <w:pPr>
        <w:keepNext/>
        <w:keepLines/>
        <w:spacing w:before="480" w:after="480" w:line="240" w:lineRule="auto"/>
        <w:contextualSpacing/>
        <w:jc w:val="center"/>
        <w:rPr>
          <w:rFonts w:ascii="Times New Roman" w:eastAsia="Times New Roman" w:hAnsi="Times New Roman" w:cs="Times New Roman"/>
          <w:b/>
          <w:bCs/>
          <w:color w:val="010302"/>
          <w:kern w:val="0"/>
          <w:szCs w:val="20"/>
          <w:lang w:val="sq-AL"/>
          <w14:ligatures w14:val="none"/>
        </w:rPr>
      </w:pPr>
    </w:p>
    <w:p w14:paraId="4062C429" w14:textId="190F0CBF" w:rsidR="000B37BF" w:rsidRPr="005125ED" w:rsidRDefault="003B0807" w:rsidP="000B37BF">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r>
        <w:rPr>
          <w:rFonts w:ascii="Times New Roman" w:eastAsia="Times New Roman" w:hAnsi="Times New Roman" w:cs="Times New Roman"/>
          <w:b/>
          <w:bCs/>
          <w:kern w:val="0"/>
          <w:szCs w:val="20"/>
          <w:lang w:val="sq-AL"/>
          <w14:ligatures w14:val="none"/>
        </w:rPr>
        <w:t xml:space="preserve">FINAL </w:t>
      </w:r>
      <w:r w:rsidR="00903DB2">
        <w:rPr>
          <w:rFonts w:ascii="Times New Roman" w:eastAsia="Times New Roman" w:hAnsi="Times New Roman" w:cs="Times New Roman"/>
          <w:b/>
          <w:bCs/>
          <w:kern w:val="0"/>
          <w:szCs w:val="20"/>
          <w:lang w:val="sq-AL"/>
          <w14:ligatures w14:val="none"/>
        </w:rPr>
        <w:t>PROVISIONS</w:t>
      </w:r>
    </w:p>
    <w:p w14:paraId="14578820" w14:textId="77777777" w:rsidR="00BA6E56" w:rsidRPr="005125ED" w:rsidRDefault="00BA6E56" w:rsidP="000B37BF">
      <w:pPr>
        <w:keepNext/>
        <w:keepLines/>
        <w:spacing w:before="480" w:after="480" w:line="240" w:lineRule="auto"/>
        <w:contextualSpacing/>
        <w:rPr>
          <w:rFonts w:ascii="Times New Roman" w:eastAsia="Times New Roman" w:hAnsi="Times New Roman" w:cs="Times New Roman"/>
          <w:b/>
          <w:bCs/>
          <w:kern w:val="0"/>
          <w:szCs w:val="20"/>
          <w:lang w:val="sq-AL"/>
          <w14:ligatures w14:val="none"/>
        </w:rPr>
      </w:pPr>
    </w:p>
    <w:p w14:paraId="185C867E" w14:textId="77777777" w:rsidR="00BA6E56" w:rsidRPr="005125ED" w:rsidRDefault="00BA6E56" w:rsidP="00872FDA">
      <w:pPr>
        <w:keepNext/>
        <w:keepLines/>
        <w:spacing w:before="480" w:after="480" w:line="240" w:lineRule="auto"/>
        <w:contextualSpacing/>
        <w:jc w:val="center"/>
        <w:rPr>
          <w:rFonts w:ascii="Times New Roman" w:eastAsia="Times New Roman" w:hAnsi="Times New Roman" w:cs="Times New Roman"/>
          <w:b/>
          <w:bCs/>
          <w:kern w:val="0"/>
          <w:szCs w:val="20"/>
          <w:lang w:val="sq-AL"/>
          <w14:ligatures w14:val="none"/>
        </w:rPr>
      </w:pPr>
    </w:p>
    <w:p w14:paraId="501EE75A" w14:textId="187855F1" w:rsidR="00BA6E56" w:rsidRDefault="003B0807" w:rsidP="0004156F">
      <w:pPr>
        <w:spacing w:after="0" w:line="240" w:lineRule="auto"/>
        <w:jc w:val="center"/>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b/>
          <w:bCs/>
          <w:kern w:val="0"/>
          <w:lang w:val="sq-AL" w:eastAsia="en-GB"/>
          <w14:ligatures w14:val="none"/>
        </w:rPr>
        <w:t>Article</w:t>
      </w:r>
      <w:r w:rsidR="00BA6E56" w:rsidRPr="005125ED">
        <w:rPr>
          <w:rFonts w:ascii="Times New Roman" w:eastAsia="Times New Roman" w:hAnsi="Times New Roman" w:cs="Times New Roman"/>
          <w:b/>
          <w:bCs/>
          <w:kern w:val="0"/>
          <w:lang w:val="sq-AL" w:eastAsia="en-GB"/>
          <w14:ligatures w14:val="none"/>
        </w:rPr>
        <w:t xml:space="preserve"> </w:t>
      </w:r>
      <w:r w:rsidR="00BD19E5" w:rsidRPr="005125ED">
        <w:rPr>
          <w:rFonts w:ascii="Times New Roman" w:eastAsia="Times New Roman" w:hAnsi="Times New Roman" w:cs="Times New Roman"/>
          <w:b/>
          <w:bCs/>
          <w:kern w:val="0"/>
          <w:lang w:val="sq-AL" w:eastAsia="en-GB"/>
          <w14:ligatures w14:val="none"/>
        </w:rPr>
        <w:t>4</w:t>
      </w:r>
      <w:r w:rsidR="00322F80">
        <w:rPr>
          <w:rFonts w:ascii="Times New Roman" w:eastAsia="Times New Roman" w:hAnsi="Times New Roman" w:cs="Times New Roman"/>
          <w:b/>
          <w:bCs/>
          <w:kern w:val="0"/>
          <w:lang w:val="sq-AL" w:eastAsia="en-GB"/>
          <w14:ligatures w14:val="none"/>
        </w:rPr>
        <w:t>3</w:t>
      </w:r>
    </w:p>
    <w:p w14:paraId="7B7DA68B" w14:textId="0FE09335" w:rsidR="003B0807" w:rsidRPr="005125ED" w:rsidRDefault="003B0807" w:rsidP="0004156F">
      <w:pPr>
        <w:spacing w:after="0" w:line="240" w:lineRule="auto"/>
        <w:jc w:val="center"/>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b/>
          <w:bCs/>
          <w:kern w:val="0"/>
          <w:lang w:val="sq-AL" w:eastAsia="en-GB"/>
          <w14:ligatures w14:val="none"/>
        </w:rPr>
        <w:t>By-Laws</w:t>
      </w:r>
    </w:p>
    <w:p w14:paraId="66D08159" w14:textId="77777777" w:rsidR="003B0807" w:rsidRPr="003B0807" w:rsidRDefault="003B0807" w:rsidP="0004156F">
      <w:pPr>
        <w:spacing w:after="0" w:line="240" w:lineRule="auto"/>
        <w:jc w:val="both"/>
        <w:rPr>
          <w:rFonts w:ascii="Times New Roman" w:eastAsia="Times New Roman" w:hAnsi="Times New Roman" w:cs="Times New Roman"/>
          <w:b/>
          <w:bCs/>
          <w:kern w:val="0"/>
          <w:lang w:val="sq-AL" w:eastAsia="en-GB"/>
          <w14:ligatures w14:val="none"/>
        </w:rPr>
      </w:pPr>
      <w:r w:rsidRPr="003B0807">
        <w:rPr>
          <w:rFonts w:ascii="Times New Roman" w:hAnsi="Times New Roman" w:cs="Times New Roman"/>
        </w:rPr>
        <w:t xml:space="preserve">The Albanian Financial Supervisory Authority shall be entrusted with the adoption of the necessary by-laws for the implementation of this Law within </w:t>
      </w:r>
      <w:r w:rsidRPr="007F30DB">
        <w:rPr>
          <w:rStyle w:val="Strong"/>
          <w:rFonts w:ascii="Times New Roman" w:hAnsi="Times New Roman" w:cs="Times New Roman"/>
          <w:b w:val="0"/>
          <w:bCs w:val="0"/>
        </w:rPr>
        <w:t>12 months</w:t>
      </w:r>
      <w:r w:rsidRPr="003B0807">
        <w:rPr>
          <w:rFonts w:ascii="Times New Roman" w:hAnsi="Times New Roman" w:cs="Times New Roman"/>
        </w:rPr>
        <w:t xml:space="preserve"> from its entry into force.</w:t>
      </w:r>
      <w:r w:rsidR="00BE241C" w:rsidRPr="003B0807">
        <w:rPr>
          <w:rFonts w:ascii="Times New Roman" w:eastAsia="Times New Roman" w:hAnsi="Times New Roman" w:cs="Times New Roman"/>
          <w:kern w:val="0"/>
          <w:lang w:val="sq-AL" w:eastAsia="en-GB"/>
          <w14:ligatures w14:val="none"/>
        </w:rPr>
        <w:tab/>
      </w:r>
      <w:r w:rsidR="00BE241C" w:rsidRPr="003B0807">
        <w:rPr>
          <w:rFonts w:ascii="Times New Roman" w:eastAsia="Times New Roman" w:hAnsi="Times New Roman" w:cs="Times New Roman"/>
          <w:kern w:val="0"/>
          <w:lang w:val="sq-AL" w:eastAsia="en-GB"/>
          <w14:ligatures w14:val="none"/>
        </w:rPr>
        <w:tab/>
      </w:r>
      <w:r w:rsidR="00BE241C" w:rsidRPr="003B0807">
        <w:rPr>
          <w:rFonts w:ascii="Times New Roman" w:eastAsia="Times New Roman" w:hAnsi="Times New Roman" w:cs="Times New Roman"/>
          <w:kern w:val="0"/>
          <w:lang w:val="sq-AL" w:eastAsia="en-GB"/>
          <w14:ligatures w14:val="none"/>
        </w:rPr>
        <w:tab/>
      </w:r>
      <w:r w:rsidR="00BE241C" w:rsidRPr="003B0807">
        <w:rPr>
          <w:rFonts w:ascii="Times New Roman" w:eastAsia="Times New Roman" w:hAnsi="Times New Roman" w:cs="Times New Roman"/>
          <w:kern w:val="0"/>
          <w:lang w:val="sq-AL" w:eastAsia="en-GB"/>
          <w14:ligatures w14:val="none"/>
        </w:rPr>
        <w:tab/>
      </w:r>
      <w:r w:rsidR="00BE241C" w:rsidRPr="003B0807">
        <w:rPr>
          <w:rFonts w:ascii="Times New Roman" w:eastAsia="Times New Roman" w:hAnsi="Times New Roman" w:cs="Times New Roman"/>
          <w:kern w:val="0"/>
          <w:lang w:val="sq-AL" w:eastAsia="en-GB"/>
          <w14:ligatures w14:val="none"/>
        </w:rPr>
        <w:tab/>
      </w:r>
    </w:p>
    <w:p w14:paraId="429FD501" w14:textId="77777777" w:rsidR="003B0807" w:rsidRDefault="003B0807" w:rsidP="0004156F">
      <w:pPr>
        <w:spacing w:after="0" w:line="240" w:lineRule="auto"/>
        <w:jc w:val="both"/>
        <w:rPr>
          <w:rFonts w:ascii="Times New Roman" w:eastAsia="Times New Roman" w:hAnsi="Times New Roman" w:cs="Times New Roman"/>
          <w:b/>
          <w:bCs/>
          <w:kern w:val="0"/>
          <w:lang w:val="sq-AL" w:eastAsia="en-GB"/>
          <w14:ligatures w14:val="none"/>
        </w:rPr>
      </w:pPr>
    </w:p>
    <w:p w14:paraId="3B7CCC08" w14:textId="77777777" w:rsidR="007F30DB" w:rsidRDefault="007F30DB" w:rsidP="0004156F">
      <w:pPr>
        <w:spacing w:after="0" w:line="240" w:lineRule="auto"/>
        <w:jc w:val="both"/>
        <w:rPr>
          <w:rFonts w:ascii="Times New Roman" w:eastAsia="Times New Roman" w:hAnsi="Times New Roman" w:cs="Times New Roman"/>
          <w:b/>
          <w:bCs/>
          <w:kern w:val="0"/>
          <w:lang w:val="sq-AL" w:eastAsia="en-GB"/>
          <w14:ligatures w14:val="none"/>
        </w:rPr>
      </w:pPr>
    </w:p>
    <w:p w14:paraId="10A9B8CE" w14:textId="77777777" w:rsidR="007F30DB" w:rsidRDefault="007F30DB" w:rsidP="0004156F">
      <w:pPr>
        <w:spacing w:after="0" w:line="240" w:lineRule="auto"/>
        <w:jc w:val="both"/>
        <w:rPr>
          <w:rFonts w:ascii="Times New Roman" w:eastAsia="Times New Roman" w:hAnsi="Times New Roman" w:cs="Times New Roman"/>
          <w:b/>
          <w:bCs/>
          <w:kern w:val="0"/>
          <w:lang w:val="sq-AL" w:eastAsia="en-GB"/>
          <w14:ligatures w14:val="none"/>
        </w:rPr>
      </w:pPr>
    </w:p>
    <w:p w14:paraId="1A64DFBD" w14:textId="77777777" w:rsidR="007F30DB" w:rsidRDefault="007F30DB" w:rsidP="0004156F">
      <w:pPr>
        <w:spacing w:after="0" w:line="240" w:lineRule="auto"/>
        <w:jc w:val="both"/>
        <w:rPr>
          <w:rFonts w:ascii="Times New Roman" w:eastAsia="Times New Roman" w:hAnsi="Times New Roman" w:cs="Times New Roman"/>
          <w:b/>
          <w:bCs/>
          <w:kern w:val="0"/>
          <w:lang w:val="sq-AL" w:eastAsia="en-GB"/>
          <w14:ligatures w14:val="none"/>
        </w:rPr>
      </w:pPr>
    </w:p>
    <w:p w14:paraId="254877A5" w14:textId="77777777" w:rsidR="007F30DB" w:rsidRDefault="007F30DB" w:rsidP="0004156F">
      <w:pPr>
        <w:spacing w:after="0" w:line="240" w:lineRule="auto"/>
        <w:jc w:val="both"/>
        <w:rPr>
          <w:rFonts w:ascii="Times New Roman" w:eastAsia="Times New Roman" w:hAnsi="Times New Roman" w:cs="Times New Roman"/>
          <w:b/>
          <w:bCs/>
          <w:kern w:val="0"/>
          <w:lang w:val="sq-AL" w:eastAsia="en-GB"/>
          <w14:ligatures w14:val="none"/>
        </w:rPr>
      </w:pPr>
    </w:p>
    <w:p w14:paraId="1641CFEC" w14:textId="77777777" w:rsidR="007F30DB" w:rsidRDefault="007F30DB" w:rsidP="0004156F">
      <w:pPr>
        <w:spacing w:after="0" w:line="240" w:lineRule="auto"/>
        <w:jc w:val="both"/>
        <w:rPr>
          <w:rFonts w:ascii="Times New Roman" w:eastAsia="Times New Roman" w:hAnsi="Times New Roman" w:cs="Times New Roman"/>
          <w:b/>
          <w:bCs/>
          <w:kern w:val="0"/>
          <w:lang w:val="sq-AL" w:eastAsia="en-GB"/>
          <w14:ligatures w14:val="none"/>
        </w:rPr>
      </w:pPr>
    </w:p>
    <w:p w14:paraId="6F7F02F9" w14:textId="33D4BF2A" w:rsidR="007614BE" w:rsidRPr="005125ED" w:rsidRDefault="007F30DB" w:rsidP="007F30DB">
      <w:pPr>
        <w:spacing w:after="0" w:line="240" w:lineRule="auto"/>
        <w:rPr>
          <w:rFonts w:ascii="Times New Roman" w:eastAsia="Times New Roman" w:hAnsi="Times New Roman" w:cs="Times New Roman"/>
          <w:b/>
          <w:bCs/>
          <w:kern w:val="0"/>
          <w:lang w:val="sq-AL" w:eastAsia="en-GB"/>
          <w14:ligatures w14:val="none"/>
        </w:rPr>
      </w:pPr>
      <w:r>
        <w:rPr>
          <w:rFonts w:ascii="Times New Roman" w:eastAsia="Times New Roman" w:hAnsi="Times New Roman" w:cs="Times New Roman"/>
          <w:b/>
          <w:bCs/>
          <w:kern w:val="0"/>
          <w:lang w:val="sq-AL" w:eastAsia="en-GB"/>
          <w14:ligatures w14:val="none"/>
        </w:rPr>
        <w:t xml:space="preserve">                                                                </w:t>
      </w:r>
      <w:r w:rsidR="003B0807">
        <w:rPr>
          <w:rFonts w:ascii="Times New Roman" w:eastAsia="Times New Roman" w:hAnsi="Times New Roman" w:cs="Times New Roman"/>
          <w:b/>
          <w:bCs/>
          <w:kern w:val="0"/>
          <w:lang w:val="sq-AL" w:eastAsia="en-GB"/>
          <w14:ligatures w14:val="none"/>
        </w:rPr>
        <w:t>Article</w:t>
      </w:r>
      <w:r w:rsidR="005125ED">
        <w:rPr>
          <w:rFonts w:ascii="Times New Roman" w:eastAsia="Times New Roman" w:hAnsi="Times New Roman" w:cs="Times New Roman"/>
          <w:b/>
          <w:bCs/>
          <w:kern w:val="0"/>
          <w:lang w:val="sq-AL" w:eastAsia="en-GB"/>
          <w14:ligatures w14:val="none"/>
        </w:rPr>
        <w:t xml:space="preserve"> 4</w:t>
      </w:r>
      <w:r w:rsidR="00322F80">
        <w:rPr>
          <w:rFonts w:ascii="Times New Roman" w:eastAsia="Times New Roman" w:hAnsi="Times New Roman" w:cs="Times New Roman"/>
          <w:b/>
          <w:bCs/>
          <w:kern w:val="0"/>
          <w:lang w:val="sq-AL" w:eastAsia="en-GB"/>
          <w14:ligatures w14:val="none"/>
        </w:rPr>
        <w:t>4</w:t>
      </w:r>
    </w:p>
    <w:p w14:paraId="24B4563B" w14:textId="7CC63514" w:rsidR="00903DB2" w:rsidRDefault="003B0807" w:rsidP="007F30DB">
      <w:pPr>
        <w:pStyle w:val="NormalWeb"/>
        <w:spacing w:before="0" w:beforeAutospacing="0" w:after="0" w:afterAutospacing="0"/>
        <w:jc w:val="center"/>
        <w:rPr>
          <w:rStyle w:val="Strong"/>
          <w:rFonts w:eastAsiaTheme="majorEastAsia"/>
          <w:lang w:val="sq-AL"/>
        </w:rPr>
      </w:pPr>
      <w:r>
        <w:rPr>
          <w:rStyle w:val="Strong"/>
          <w:rFonts w:eastAsiaTheme="majorEastAsia"/>
          <w:lang w:val="sq-AL"/>
        </w:rPr>
        <w:t xml:space="preserve">Transitional </w:t>
      </w:r>
      <w:r w:rsidR="00903DB2">
        <w:rPr>
          <w:rStyle w:val="Strong"/>
          <w:rFonts w:eastAsiaTheme="majorEastAsia"/>
          <w:lang w:val="sq-AL"/>
        </w:rPr>
        <w:t>Provisions</w:t>
      </w:r>
    </w:p>
    <w:p w14:paraId="45C4E0EA" w14:textId="77777777" w:rsidR="007F30DB" w:rsidRDefault="007F30DB" w:rsidP="007F30DB">
      <w:pPr>
        <w:pStyle w:val="NormalWeb"/>
        <w:spacing w:before="0" w:beforeAutospacing="0" w:after="0" w:afterAutospacing="0"/>
        <w:jc w:val="center"/>
        <w:rPr>
          <w:rStyle w:val="Strong"/>
          <w:rFonts w:eastAsiaTheme="majorEastAsia"/>
          <w:lang w:val="sq-AL"/>
        </w:rPr>
      </w:pPr>
    </w:p>
    <w:p w14:paraId="58A43FBF" w14:textId="77777777" w:rsidR="007F30DB" w:rsidRDefault="007F30DB" w:rsidP="007F30DB">
      <w:pPr>
        <w:pStyle w:val="NormalWeb"/>
        <w:spacing w:before="0" w:beforeAutospacing="0" w:after="0" w:afterAutospacing="0"/>
        <w:jc w:val="center"/>
        <w:rPr>
          <w:rStyle w:val="Strong"/>
          <w:rFonts w:eastAsiaTheme="majorEastAsia"/>
          <w:lang w:val="sq-AL"/>
        </w:rPr>
      </w:pPr>
    </w:p>
    <w:p w14:paraId="083C6C4A" w14:textId="77777777" w:rsidR="007F30DB" w:rsidRDefault="007F30DB" w:rsidP="007F30DB">
      <w:pPr>
        <w:pStyle w:val="NormalWeb"/>
        <w:numPr>
          <w:ilvl w:val="0"/>
          <w:numId w:val="280"/>
        </w:numPr>
        <w:ind w:left="90"/>
      </w:pPr>
      <w:r>
        <w:lastRenderedPageBreak/>
        <w:t>The provisions of this Law which are directly related to the functioning of the mechanisms and infrastructure of the European Union shall be fully applicable from the date of accession of the Republic of Albania to the European Union, as follows:</w:t>
      </w:r>
      <w:r>
        <w:br/>
        <w:t>a) Article 31;</w:t>
      </w:r>
      <w:r>
        <w:br/>
        <w:t>b) Article 32, paragraphs 1, 4 and 5;</w:t>
      </w:r>
      <w:r>
        <w:br/>
        <w:t>c) Article 33;</w:t>
      </w:r>
      <w:r>
        <w:br/>
        <w:t>d) Article 37, paragraphs 4, 5, 6, 7 and 8, point (a);</w:t>
      </w:r>
      <w:r>
        <w:br/>
        <w:t>e) any other provision of this Law that establishes obligations for the Authority in relation to notifications or reporting to the European Securities and Markets Authority (ESMA); the consolidation, interoperability or integration of the official mechanism for the central storage of regulated information with the European Single Access Point (ESAP); or the direct application of procedures determined by the European Commission at European Union level.</w:t>
      </w:r>
    </w:p>
    <w:p w14:paraId="3FB38F9F" w14:textId="2B311990" w:rsidR="007F30DB" w:rsidRDefault="007F30DB" w:rsidP="007F30DB">
      <w:pPr>
        <w:pStyle w:val="NormalWeb"/>
        <w:numPr>
          <w:ilvl w:val="0"/>
          <w:numId w:val="280"/>
        </w:numPr>
        <w:ind w:left="90"/>
      </w:pPr>
      <w:r>
        <w:t>The provisions relating to ESMA, notifications thereto, and EU-level equivalence mechanisms, as provided for in Article 34 of this Law, shall apply from the date of accession of the Republic of Albania to the European Union.</w:t>
      </w:r>
    </w:p>
    <w:p w14:paraId="05550B05" w14:textId="259422E6" w:rsidR="00903DB2" w:rsidRDefault="007F30DB" w:rsidP="009E384A">
      <w:pPr>
        <w:pStyle w:val="NormalWeb"/>
        <w:numPr>
          <w:ilvl w:val="0"/>
          <w:numId w:val="280"/>
        </w:numPr>
        <w:ind w:left="90"/>
      </w:pPr>
      <w:r>
        <w:t>Without prejudice to paragraph 2 of this Article, all obligations of issuers and other persons under this Law, including publication requirements and the filing of regulated information with the official mechanism for the central storage of information, shall apply in full from the date of entry into force of this Law.</w:t>
      </w:r>
    </w:p>
    <w:p w14:paraId="3870FC01" w14:textId="233BACC1" w:rsidR="00095160" w:rsidRDefault="00095160" w:rsidP="009E384A">
      <w:pPr>
        <w:pStyle w:val="NormalWeb"/>
        <w:numPr>
          <w:ilvl w:val="0"/>
          <w:numId w:val="280"/>
        </w:numPr>
        <w:ind w:left="90"/>
      </w:pPr>
      <w:r w:rsidRPr="00095160">
        <w:t>The provisions of this Law shall prevail over the provisions of Law No. 62/2020, dated 14 May 2020, “On Capital Markets”, in respect of any matter governed by this Law.</w:t>
      </w:r>
    </w:p>
    <w:p w14:paraId="3E7F7B07" w14:textId="77777777" w:rsidR="00903DB2" w:rsidRDefault="00903DB2" w:rsidP="00903DB2">
      <w:pPr>
        <w:pStyle w:val="NormalWeb"/>
        <w:spacing w:before="0" w:beforeAutospacing="0" w:after="0" w:afterAutospacing="0"/>
        <w:jc w:val="both"/>
        <w:rPr>
          <w:rStyle w:val="Strong"/>
          <w:rFonts w:eastAsiaTheme="majorEastAsia"/>
          <w:lang w:val="sq-AL"/>
        </w:rPr>
      </w:pPr>
    </w:p>
    <w:p w14:paraId="719AA025" w14:textId="77777777" w:rsidR="00903DB2" w:rsidRDefault="00903DB2" w:rsidP="00903DB2">
      <w:pPr>
        <w:pStyle w:val="NormalWeb"/>
        <w:spacing w:before="0" w:beforeAutospacing="0" w:after="0" w:afterAutospacing="0"/>
        <w:jc w:val="both"/>
        <w:rPr>
          <w:rStyle w:val="Strong"/>
          <w:rFonts w:eastAsiaTheme="majorEastAsia"/>
          <w:lang w:val="sq-AL"/>
        </w:rPr>
      </w:pPr>
    </w:p>
    <w:p w14:paraId="6AE957D3" w14:textId="09821BEF" w:rsidR="00903DB2" w:rsidRDefault="00FB5459" w:rsidP="00CF2DAB">
      <w:pPr>
        <w:pStyle w:val="NormalWeb"/>
        <w:spacing w:before="0" w:beforeAutospacing="0" w:after="0" w:afterAutospacing="0"/>
        <w:jc w:val="center"/>
        <w:rPr>
          <w:rStyle w:val="Strong"/>
          <w:rFonts w:eastAsiaTheme="majorEastAsia"/>
          <w:lang w:val="sq-AL"/>
        </w:rPr>
      </w:pPr>
      <w:r>
        <w:rPr>
          <w:rStyle w:val="Strong"/>
          <w:rFonts w:eastAsiaTheme="majorEastAsia"/>
          <w:lang w:val="sq-AL"/>
        </w:rPr>
        <w:t>Article 4</w:t>
      </w:r>
      <w:r w:rsidR="00322F80">
        <w:rPr>
          <w:rStyle w:val="Strong"/>
          <w:rFonts w:eastAsiaTheme="majorEastAsia"/>
          <w:lang w:val="sq-AL"/>
        </w:rPr>
        <w:t>5</w:t>
      </w:r>
    </w:p>
    <w:p w14:paraId="0C2BDDDF" w14:textId="1CB03555" w:rsidR="00FB5459" w:rsidRDefault="00FB5459" w:rsidP="00CF2DAB">
      <w:pPr>
        <w:pStyle w:val="NormalWeb"/>
        <w:spacing w:before="0" w:beforeAutospacing="0" w:after="0" w:afterAutospacing="0"/>
        <w:jc w:val="center"/>
        <w:rPr>
          <w:rStyle w:val="Strong"/>
          <w:rFonts w:eastAsiaTheme="majorEastAsia"/>
          <w:lang w:val="sq-AL"/>
        </w:rPr>
      </w:pPr>
      <w:r>
        <w:rPr>
          <w:rStyle w:val="Strong"/>
          <w:rFonts w:eastAsiaTheme="majorEastAsia"/>
          <w:lang w:val="sq-AL"/>
        </w:rPr>
        <w:t>Repeals</w:t>
      </w:r>
    </w:p>
    <w:p w14:paraId="34AFAD47" w14:textId="77777777" w:rsidR="00903DB2" w:rsidRDefault="00903DB2" w:rsidP="00CF2DAB">
      <w:pPr>
        <w:pStyle w:val="NormalWeb"/>
        <w:spacing w:before="0" w:beforeAutospacing="0" w:after="0" w:afterAutospacing="0"/>
        <w:jc w:val="center"/>
        <w:rPr>
          <w:rStyle w:val="Strong"/>
          <w:rFonts w:eastAsiaTheme="majorEastAsia"/>
          <w:lang w:val="sq-AL"/>
        </w:rPr>
      </w:pPr>
    </w:p>
    <w:p w14:paraId="0ECA25BB" w14:textId="4CA49FFD" w:rsidR="00903DB2" w:rsidRDefault="00FB5459" w:rsidP="00903DB2">
      <w:pPr>
        <w:pStyle w:val="NormalWeb"/>
        <w:spacing w:before="0" w:beforeAutospacing="0" w:after="0" w:afterAutospacing="0"/>
        <w:jc w:val="both"/>
        <w:rPr>
          <w:rStyle w:val="Strong"/>
          <w:rFonts w:eastAsiaTheme="majorEastAsia"/>
          <w:lang w:val="sq-AL"/>
        </w:rPr>
      </w:pPr>
      <w:r>
        <w:t>The Regulation “On Transparency Requirements Relating to Information of Listed Companies,” approved by Decision No. 5, dated 26 January 2023, of the Board of the Financial Supervisory Authority, is hereby repealed.</w:t>
      </w:r>
    </w:p>
    <w:p w14:paraId="7A8822C0" w14:textId="77777777" w:rsidR="00903DB2" w:rsidRDefault="00903DB2" w:rsidP="00903DB2">
      <w:pPr>
        <w:pStyle w:val="NormalWeb"/>
        <w:spacing w:before="0" w:beforeAutospacing="0" w:after="0" w:afterAutospacing="0"/>
        <w:jc w:val="both"/>
        <w:rPr>
          <w:rStyle w:val="Strong"/>
          <w:rFonts w:eastAsiaTheme="majorEastAsia"/>
          <w:lang w:val="sq-AL"/>
        </w:rPr>
      </w:pPr>
    </w:p>
    <w:p w14:paraId="41679C13" w14:textId="77777777" w:rsidR="00903DB2" w:rsidRPr="005125ED" w:rsidRDefault="00903DB2" w:rsidP="00903DB2">
      <w:pPr>
        <w:pStyle w:val="NormalWeb"/>
        <w:spacing w:before="0" w:beforeAutospacing="0" w:after="0" w:afterAutospacing="0"/>
        <w:jc w:val="both"/>
        <w:rPr>
          <w:rStyle w:val="Strong"/>
          <w:rFonts w:eastAsiaTheme="majorEastAsia"/>
          <w:lang w:val="sq-AL"/>
        </w:rPr>
      </w:pPr>
    </w:p>
    <w:p w14:paraId="1FD33892" w14:textId="77777777" w:rsidR="00BE241C" w:rsidRPr="005125ED" w:rsidRDefault="00BE241C" w:rsidP="00BE241C">
      <w:pPr>
        <w:pStyle w:val="NormalWeb"/>
        <w:rPr>
          <w:rStyle w:val="Strong"/>
          <w:rFonts w:eastAsiaTheme="majorEastAsia"/>
          <w:lang w:val="sq-AL"/>
        </w:rPr>
      </w:pPr>
    </w:p>
    <w:p w14:paraId="05129FED" w14:textId="46A13999" w:rsidR="00BE241C" w:rsidRPr="00737B51" w:rsidRDefault="00903DB2" w:rsidP="00BE241C">
      <w:pPr>
        <w:autoSpaceDE w:val="0"/>
        <w:autoSpaceDN w:val="0"/>
        <w:adjustRightInd w:val="0"/>
        <w:spacing w:after="0" w:line="240" w:lineRule="auto"/>
        <w:jc w:val="center"/>
        <w:rPr>
          <w:rFonts w:ascii="Times New Roman" w:eastAsia="Calibri" w:hAnsi="Times New Roman" w:cs="Times New Roman"/>
          <w:b/>
          <w:bCs/>
          <w:lang w:val="sq-AL"/>
        </w:rPr>
      </w:pPr>
      <w:r w:rsidRPr="00737B51">
        <w:rPr>
          <w:rStyle w:val="Strong"/>
          <w:rFonts w:ascii="Times New Roman" w:eastAsiaTheme="majorEastAsia" w:hAnsi="Times New Roman" w:cs="Times New Roman"/>
          <w:lang w:val="sq-AL"/>
        </w:rPr>
        <w:t>Article</w:t>
      </w:r>
      <w:r w:rsidR="00BE241C" w:rsidRPr="00737B51">
        <w:rPr>
          <w:rFonts w:ascii="Times New Roman" w:eastAsia="Calibri" w:hAnsi="Times New Roman" w:cs="Times New Roman"/>
          <w:b/>
          <w:bCs/>
          <w:lang w:val="sq-AL"/>
        </w:rPr>
        <w:t xml:space="preserve"> 4</w:t>
      </w:r>
      <w:r w:rsidR="00322F80">
        <w:rPr>
          <w:rFonts w:ascii="Times New Roman" w:eastAsia="Calibri" w:hAnsi="Times New Roman" w:cs="Times New Roman"/>
          <w:b/>
          <w:bCs/>
          <w:lang w:val="sq-AL"/>
        </w:rPr>
        <w:t>6</w:t>
      </w:r>
    </w:p>
    <w:p w14:paraId="3F268067" w14:textId="08809093" w:rsidR="00BE241C" w:rsidRPr="00737B51" w:rsidRDefault="00903DB2" w:rsidP="00BE241C">
      <w:pPr>
        <w:autoSpaceDE w:val="0"/>
        <w:autoSpaceDN w:val="0"/>
        <w:adjustRightInd w:val="0"/>
        <w:spacing w:after="0" w:line="240" w:lineRule="auto"/>
        <w:jc w:val="center"/>
        <w:rPr>
          <w:rFonts w:ascii="Times New Roman" w:eastAsia="Calibri" w:hAnsi="Times New Roman" w:cs="Times New Roman"/>
          <w:b/>
          <w:bCs/>
          <w:lang w:val="sq-AL"/>
        </w:rPr>
      </w:pPr>
      <w:r w:rsidRPr="00737B51">
        <w:rPr>
          <w:rFonts w:ascii="Times New Roman" w:eastAsia="Calibri" w:hAnsi="Times New Roman" w:cs="Times New Roman"/>
          <w:b/>
          <w:bCs/>
          <w:lang w:val="sq-AL"/>
        </w:rPr>
        <w:t>Entry into Force</w:t>
      </w:r>
    </w:p>
    <w:p w14:paraId="25922C72" w14:textId="77777777" w:rsidR="00903DB2" w:rsidRDefault="00903DB2" w:rsidP="00BE241C">
      <w:pPr>
        <w:autoSpaceDE w:val="0"/>
        <w:autoSpaceDN w:val="0"/>
        <w:adjustRightInd w:val="0"/>
        <w:spacing w:after="0" w:line="240" w:lineRule="auto"/>
        <w:jc w:val="center"/>
        <w:rPr>
          <w:rFonts w:ascii="Times New Roman" w:eastAsia="Calibri" w:hAnsi="Times New Roman" w:cs="Times New Roman"/>
          <w:b/>
          <w:bCs/>
          <w:lang w:val="sq-AL"/>
        </w:rPr>
      </w:pPr>
    </w:p>
    <w:p w14:paraId="7A0A2C0D" w14:textId="6F08AD6C" w:rsidR="00903DB2" w:rsidRPr="00FE0192" w:rsidRDefault="00FE0192" w:rsidP="00FE0192">
      <w:pPr>
        <w:autoSpaceDE w:val="0"/>
        <w:autoSpaceDN w:val="0"/>
        <w:adjustRightInd w:val="0"/>
        <w:spacing w:after="0" w:line="240" w:lineRule="auto"/>
        <w:jc w:val="both"/>
        <w:rPr>
          <w:rFonts w:ascii="Times New Roman" w:eastAsia="Calibri" w:hAnsi="Times New Roman" w:cs="Times New Roman"/>
          <w:b/>
          <w:bCs/>
          <w:lang w:val="sq-AL"/>
        </w:rPr>
      </w:pPr>
      <w:r w:rsidRPr="00FE0192">
        <w:rPr>
          <w:rFonts w:ascii="Times New Roman" w:hAnsi="Times New Roman" w:cs="Times New Roman"/>
        </w:rPr>
        <w:t xml:space="preserve">This Law shall enter into force fifteen (15) days after its publication in the Official Gazette, </w:t>
      </w:r>
      <w:r w:rsidR="00737B51" w:rsidRPr="00FE0192">
        <w:rPr>
          <w:rFonts w:ascii="Times New Roman" w:hAnsi="Times New Roman" w:cs="Times New Roman"/>
        </w:rPr>
        <w:t>except for</w:t>
      </w:r>
      <w:r w:rsidRPr="00FE0192">
        <w:rPr>
          <w:rFonts w:ascii="Times New Roman" w:hAnsi="Times New Roman" w:cs="Times New Roman"/>
        </w:rPr>
        <w:t xml:space="preserve"> the provisions under Article 45 of this Law, which shall extend their legal effects upon accession to the European Union.</w:t>
      </w:r>
    </w:p>
    <w:p w14:paraId="1E2135C0" w14:textId="77777777" w:rsidR="00792FBB" w:rsidRPr="005125ED" w:rsidRDefault="00792FBB" w:rsidP="00BA6E56">
      <w:pPr>
        <w:autoSpaceDE w:val="0"/>
        <w:autoSpaceDN w:val="0"/>
        <w:adjustRightInd w:val="0"/>
        <w:jc w:val="center"/>
        <w:rPr>
          <w:rFonts w:ascii="Times New Roman" w:eastAsia="Calibri" w:hAnsi="Times New Roman" w:cs="Times New Roman"/>
          <w:b/>
          <w:bCs/>
          <w:lang w:val="sq-AL"/>
        </w:rPr>
      </w:pPr>
    </w:p>
    <w:p w14:paraId="10014E11" w14:textId="77777777" w:rsidR="0048702C" w:rsidRDefault="0048702C" w:rsidP="00BA6E56">
      <w:pPr>
        <w:autoSpaceDE w:val="0"/>
        <w:autoSpaceDN w:val="0"/>
        <w:adjustRightInd w:val="0"/>
        <w:jc w:val="center"/>
        <w:rPr>
          <w:rFonts w:ascii="Times New Roman" w:eastAsia="Calibri" w:hAnsi="Times New Roman" w:cs="Times New Roman"/>
          <w:b/>
          <w:bCs/>
          <w:lang w:val="sq-AL"/>
        </w:rPr>
      </w:pPr>
    </w:p>
    <w:p w14:paraId="6D4F91B5" w14:textId="77777777" w:rsidR="0048702C" w:rsidRDefault="0048702C" w:rsidP="00BA6E56">
      <w:pPr>
        <w:autoSpaceDE w:val="0"/>
        <w:autoSpaceDN w:val="0"/>
        <w:adjustRightInd w:val="0"/>
        <w:jc w:val="center"/>
        <w:rPr>
          <w:rFonts w:ascii="Times New Roman" w:eastAsia="Calibri" w:hAnsi="Times New Roman" w:cs="Times New Roman"/>
          <w:b/>
          <w:bCs/>
          <w:lang w:val="sq-AL"/>
        </w:rPr>
      </w:pPr>
    </w:p>
    <w:p w14:paraId="2BE21BD4" w14:textId="77777777" w:rsidR="0048702C" w:rsidRDefault="0048702C" w:rsidP="00BA6E56">
      <w:pPr>
        <w:autoSpaceDE w:val="0"/>
        <w:autoSpaceDN w:val="0"/>
        <w:adjustRightInd w:val="0"/>
        <w:jc w:val="center"/>
        <w:rPr>
          <w:rFonts w:ascii="Times New Roman" w:eastAsia="Calibri" w:hAnsi="Times New Roman" w:cs="Times New Roman"/>
          <w:b/>
          <w:bCs/>
          <w:lang w:val="sq-AL"/>
        </w:rPr>
      </w:pPr>
    </w:p>
    <w:p w14:paraId="30FFCD03" w14:textId="2095BF8C" w:rsidR="00BA6E56" w:rsidRPr="005125ED" w:rsidRDefault="00903DB2" w:rsidP="00BA6E56">
      <w:pPr>
        <w:autoSpaceDE w:val="0"/>
        <w:autoSpaceDN w:val="0"/>
        <w:adjustRightInd w:val="0"/>
        <w:jc w:val="center"/>
        <w:rPr>
          <w:rFonts w:ascii="Times New Roman" w:eastAsia="Calibri" w:hAnsi="Times New Roman" w:cs="Times New Roman"/>
          <w:b/>
          <w:bCs/>
          <w:lang w:val="sq-AL"/>
        </w:rPr>
      </w:pPr>
      <w:r>
        <w:rPr>
          <w:rFonts w:ascii="Times New Roman" w:eastAsia="Calibri" w:hAnsi="Times New Roman" w:cs="Times New Roman"/>
          <w:b/>
          <w:bCs/>
          <w:lang w:val="sq-AL"/>
        </w:rPr>
        <w:t>CHAIRPERSON OF THE ALBANIAN PARLIAMENT</w:t>
      </w:r>
    </w:p>
    <w:p w14:paraId="6068A901" w14:textId="77777777" w:rsidR="00BA6E56" w:rsidRPr="005125ED" w:rsidRDefault="00BA6E56" w:rsidP="00BA6E56">
      <w:pPr>
        <w:autoSpaceDE w:val="0"/>
        <w:autoSpaceDN w:val="0"/>
        <w:adjustRightInd w:val="0"/>
        <w:jc w:val="center"/>
        <w:rPr>
          <w:rFonts w:ascii="Times New Roman" w:eastAsia="Calibri" w:hAnsi="Times New Roman" w:cs="Times New Roman"/>
          <w:b/>
          <w:bCs/>
          <w:lang w:val="sq-AL"/>
        </w:rPr>
      </w:pPr>
    </w:p>
    <w:p w14:paraId="2A287F0E" w14:textId="001DBEC2" w:rsidR="00BA6E56" w:rsidRPr="00BA6E56" w:rsidRDefault="00902496" w:rsidP="00902496">
      <w:pPr>
        <w:tabs>
          <w:tab w:val="center" w:pos="4500"/>
          <w:tab w:val="left" w:pos="7656"/>
        </w:tabs>
        <w:autoSpaceDE w:val="0"/>
        <w:autoSpaceDN w:val="0"/>
        <w:adjustRightInd w:val="0"/>
        <w:rPr>
          <w:rFonts w:ascii="Times New Roman" w:eastAsia="Calibri" w:hAnsi="Times New Roman" w:cs="Times New Roman"/>
          <w:b/>
          <w:bCs/>
          <w:lang w:val="sq-AL"/>
        </w:rPr>
      </w:pPr>
      <w:r w:rsidRPr="005125ED">
        <w:rPr>
          <w:rFonts w:ascii="Times New Roman" w:eastAsia="Calibri" w:hAnsi="Times New Roman" w:cs="Times New Roman"/>
          <w:b/>
          <w:bCs/>
          <w:lang w:val="sq-AL"/>
        </w:rPr>
        <w:tab/>
      </w:r>
      <w:r w:rsidR="00BA6E56" w:rsidRPr="005125ED">
        <w:rPr>
          <w:rFonts w:ascii="Times New Roman" w:eastAsia="Calibri" w:hAnsi="Times New Roman" w:cs="Times New Roman"/>
          <w:b/>
          <w:bCs/>
          <w:lang w:val="sq-AL"/>
        </w:rPr>
        <w:t>NIKO PELESHI</w:t>
      </w:r>
      <w:r>
        <w:rPr>
          <w:rFonts w:ascii="Times New Roman" w:eastAsia="Calibri" w:hAnsi="Times New Roman" w:cs="Times New Roman"/>
          <w:b/>
          <w:bCs/>
          <w:lang w:val="sq-AL"/>
        </w:rPr>
        <w:tab/>
      </w:r>
    </w:p>
    <w:sectPr w:rsidR="00BA6E56" w:rsidRPr="00BA6E56" w:rsidSect="00136952">
      <w:pgSz w:w="12240" w:h="15840"/>
      <w:pgMar w:top="1440" w:right="144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s_Poshnjari" w:date="2025-12-01T15:44:00Z" w:initials="P">
    <w:p w14:paraId="48F33E27" w14:textId="20E73742" w:rsidR="00E34E37" w:rsidRDefault="00E34E37">
      <w:pPr>
        <w:pStyle w:val="CommentText"/>
      </w:pPr>
      <w:r>
        <w:rPr>
          <w:rStyle w:val="CommentReference"/>
        </w:rPr>
        <w:annotationRef/>
      </w:r>
      <w:r>
        <w:t>Per tu pare nese duhen future rregullore</w:t>
      </w:r>
    </w:p>
  </w:comment>
  <w:comment w:id="1" w:author="Patris Poshnjari" w:date="2025-12-02T16:20:00Z" w:initials="PP">
    <w:p w14:paraId="36D12ECF" w14:textId="77777777" w:rsidR="00BE3028" w:rsidRDefault="00BE3028" w:rsidP="00BE3028">
      <w:pPr>
        <w:pStyle w:val="CommentText"/>
      </w:pPr>
      <w:r>
        <w:rPr>
          <w:rStyle w:val="CommentReference"/>
        </w:rPr>
        <w:annotationRef/>
      </w:r>
      <w:r>
        <w:t>Zevendesuar overview me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F33E27" w15:done="0"/>
  <w15:commentEx w15:paraId="36D12E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9BDC27" w16cex:dateUtc="2025-12-01T14:44:00Z"/>
  <w16cex:commentExtensible w16cex:durableId="3949F766" w16cex:dateUtc="2025-12-02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33E27" w16cid:durableId="249BDC27"/>
  <w16cid:commentId w16cid:paraId="36D12ECF" w16cid:durableId="3949F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F144" w14:textId="77777777" w:rsidR="00FC6759" w:rsidRDefault="00FC6759" w:rsidP="00123F42">
      <w:pPr>
        <w:spacing w:after="0" w:line="240" w:lineRule="auto"/>
      </w:pPr>
      <w:r>
        <w:separator/>
      </w:r>
    </w:p>
  </w:endnote>
  <w:endnote w:type="continuationSeparator" w:id="0">
    <w:p w14:paraId="06326849" w14:textId="77777777" w:rsidR="00FC6759" w:rsidRDefault="00FC6759" w:rsidP="0012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10B2" w14:textId="77777777" w:rsidR="00FC6759" w:rsidRDefault="00FC6759" w:rsidP="00123F42">
      <w:pPr>
        <w:spacing w:after="0" w:line="240" w:lineRule="auto"/>
      </w:pPr>
      <w:r>
        <w:separator/>
      </w:r>
    </w:p>
  </w:footnote>
  <w:footnote w:type="continuationSeparator" w:id="0">
    <w:p w14:paraId="7672F484" w14:textId="77777777" w:rsidR="00FC6759" w:rsidRDefault="00FC6759" w:rsidP="00123F42">
      <w:pPr>
        <w:spacing w:after="0" w:line="240" w:lineRule="auto"/>
      </w:pPr>
      <w:r>
        <w:continuationSeparator/>
      </w:r>
    </w:p>
  </w:footnote>
  <w:footnote w:id="1">
    <w:p w14:paraId="1411FC13" w14:textId="77777777" w:rsidR="008F1075" w:rsidRPr="00A30C17" w:rsidRDefault="008F1075" w:rsidP="008F1075">
      <w:pPr>
        <w:pStyle w:val="FootnoteText"/>
        <w:rPr>
          <w:rFonts w:ascii="Times New Roman" w:hAnsi="Times New Roman" w:cs="Times New Roman"/>
        </w:rPr>
      </w:pPr>
      <w:r w:rsidRPr="00A30C17">
        <w:rPr>
          <w:rStyle w:val="FootnoteReference"/>
          <w:rFonts w:ascii="Times New Roman" w:hAnsi="Times New Roman" w:cs="Times New Roman"/>
        </w:rPr>
        <w:footnoteRef/>
      </w:r>
      <w:r w:rsidRPr="00A30C17">
        <w:rPr>
          <w:rFonts w:ascii="Times New Roman" w:hAnsi="Times New Roman" w:cs="Times New Roman"/>
        </w:rPr>
        <w:t xml:space="preserve"> This Law is fully aligned with:</w:t>
      </w:r>
    </w:p>
    <w:p w14:paraId="11001BE7"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rPr>
        <w:t xml:space="preserve">– </w:t>
      </w:r>
      <w:r w:rsidRPr="00A30C17">
        <w:rPr>
          <w:rFonts w:ascii="Times New Roman" w:hAnsi="Times New Roman" w:cs="Times New Roman"/>
          <w:i/>
          <w:iCs/>
        </w:rPr>
        <w:t>Directive 2004/109/EC of the European Parliament and of the Council of 15 December 2004 on the harmonisation of transparency requirements in relation to information about issuers whose securities are admitted to trading on a regulated market, and amending Directive 2001/34/EC;</w:t>
      </w:r>
    </w:p>
    <w:p w14:paraId="4C3B2CD5"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Commission Directive 2007/14/EC of 8 March 2007 laying down detailed rules for the implementation of certain provisions of Directive 2004/109/EC of the European Parliament and of the Council of 15 December 2004 on the harmonisation of transparency requirements in relation to information about issuers whose securities are admitted to trading on a regulated market;</w:t>
      </w:r>
    </w:p>
    <w:p w14:paraId="1533BEE6"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Directive 2008/22/EC of the European Parliament and of the Council of 11 March 2008 amending Directive 2004/109/EC on the harmonisation of transparency requirements in relation to information about issuers whose securities are admitted to trading on a regulated market, as regards the implementing powers conferred on the Commission;</w:t>
      </w:r>
    </w:p>
    <w:p w14:paraId="7D2F3705"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Directive 2010/73/EU of the European Parliament and of the Council of 24 November 2010 amending Directives 98/26/EC, 2002/87/EC, 2003/6/EC, 2003/41/EC, 2003/71/EC, 2004/39/EC, 2004/109/EC, 2005/60/EC, 2006/48/EC, 2006/49/EC and 2009/65/EC in respect of the powers of the European Supervisory Authority;</w:t>
      </w:r>
    </w:p>
    <w:p w14:paraId="175EC73C"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Directive 2013/50/EU of the European Parliament and of the Council of 22 October 2013 amending Directive 2004/109/EC of the European Parliament and of the Council on the harmonisation of transparency requirements in relation to information about issuers whose securities are admitted to trading on a regulated market, Directive 2003/71/EC of the European Parliament and of the Council on the prospectus to be published when securities are offered to the public or admitted to trading, and Commission Directive 2007/14/EC laying down detailed rules for the implementation of certain provisions of Directive 2004/109/EC;</w:t>
      </w:r>
    </w:p>
    <w:p w14:paraId="215CF70E" w14:textId="0992E238" w:rsidR="00A30C17" w:rsidRPr="00A30C17" w:rsidRDefault="00A30C17" w:rsidP="008F1075">
      <w:pPr>
        <w:pStyle w:val="FootnoteText"/>
        <w:rPr>
          <w:rFonts w:ascii="Times New Roman" w:hAnsi="Times New Roman" w:cs="Times New Roman"/>
          <w:i/>
          <w:iCs/>
        </w:rPr>
      </w:pPr>
      <w:r w:rsidRPr="00A30C17">
        <w:rPr>
          <w:rFonts w:ascii="Times New Roman" w:hAnsi="Times New Roman" w:cs="Times New Roman"/>
          <w:i/>
          <w:iCs/>
        </w:rPr>
        <w:t xml:space="preserve">– </w:t>
      </w:r>
      <w:r w:rsidRPr="00A30C17">
        <w:rPr>
          <w:rFonts w:ascii="Times New Roman" w:hAnsi="Times New Roman" w:cs="Times New Roman"/>
        </w:rPr>
        <w:t>Commission Delegated Regulation (EU) 2015/761 of 17 December 2014 supplementing Directive 2004/109/EC of the European Parliament and of the Council with regard to certain regulatory technical standards on major holdings</w:t>
      </w:r>
    </w:p>
    <w:p w14:paraId="2A0E0B8F" w14:textId="77777777" w:rsidR="008F1075"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Regulation (EU) 2021/337 of the European Parliament and of the Council of 16 February 2021, amending Regulation (EU) 2017/1129 as regards the EU Recovery Prospectus and targeted adjustments for financial intermediaries, and amending Directive 2004/109/EC as regards the use of the single electronic reporting format for annual financial reports, in order to support recovery from the COVID-19 crisis;</w:t>
      </w:r>
    </w:p>
    <w:p w14:paraId="31076A9E" w14:textId="77777777" w:rsidR="00A30C17" w:rsidRPr="00A30C17" w:rsidRDefault="008F1075" w:rsidP="008F1075">
      <w:pPr>
        <w:pStyle w:val="FootnoteText"/>
        <w:rPr>
          <w:rFonts w:ascii="Times New Roman" w:hAnsi="Times New Roman" w:cs="Times New Roman"/>
          <w:i/>
          <w:iCs/>
        </w:rPr>
      </w:pPr>
      <w:r w:rsidRPr="00A30C17">
        <w:rPr>
          <w:rFonts w:ascii="Times New Roman" w:hAnsi="Times New Roman" w:cs="Times New Roman"/>
          <w:i/>
          <w:iCs/>
        </w:rPr>
        <w:t>– Directive (EU) 2022/2464 of the European Parliament and of the Council of 14 December 2022, amending Regulation (EU) No 537/2014, Directive 2004/109/EC, Directive 2006/43/EC and Directive 2013/34/EU as regards corporate sustainability reporting.</w:t>
      </w:r>
    </w:p>
    <w:p w14:paraId="0D0E4FA3" w14:textId="62FD2514" w:rsidR="00A30C17" w:rsidRPr="00A30C17" w:rsidRDefault="00A30C17" w:rsidP="008F1075">
      <w:pPr>
        <w:pStyle w:val="FootnoteText"/>
        <w:rPr>
          <w:rFonts w:ascii="Times New Roman" w:hAnsi="Times New Roman" w:cs="Times New Roman"/>
        </w:rPr>
      </w:pPr>
      <w:r w:rsidRPr="00A30C17">
        <w:rPr>
          <w:rFonts w:ascii="Times New Roman" w:hAnsi="Times New Roman" w:cs="Times New Roman"/>
          <w:i/>
          <w:iCs/>
        </w:rPr>
        <w:t xml:space="preserve">– </w:t>
      </w:r>
      <w:r w:rsidRPr="00A30C17">
        <w:rPr>
          <w:rStyle w:val="Strong"/>
          <w:rFonts w:ascii="Times New Roman" w:hAnsi="Times New Roman" w:cs="Times New Roman"/>
          <w:b w:val="0"/>
          <w:bCs w:val="0"/>
          <w:i/>
          <w:iCs/>
        </w:rPr>
        <w:t>Directive (EU) 2023/2864 of the European Parliament and of the Council of 13 December 2023 amending certain Directives as regards the establishment and functioning of the European single access point</w:t>
      </w:r>
      <w:r w:rsidRPr="00A30C17">
        <w:rPr>
          <w:rFonts w:ascii="Times New Roman" w:hAnsi="Times New Roman" w:cs="Times New Roman"/>
        </w:rPr>
        <w:t>.</w:t>
      </w:r>
    </w:p>
    <w:p w14:paraId="13F60F72" w14:textId="24846CF3" w:rsidR="00A30C17" w:rsidRPr="00A30C17" w:rsidRDefault="00A30C17" w:rsidP="008F1075">
      <w:pPr>
        <w:pStyle w:val="FootnoteText"/>
        <w:rPr>
          <w:rFonts w:ascii="Times New Roman" w:hAnsi="Times New Roman" w:cs="Times New Roman"/>
          <w:i/>
          <w:iCs/>
          <w:lang w:val="en-US"/>
        </w:rPr>
      </w:pPr>
      <w:r w:rsidRPr="00A30C17">
        <w:rPr>
          <w:rFonts w:ascii="Times New Roman" w:hAnsi="Times New Roman" w:cs="Times New Roman"/>
          <w:i/>
          <w:iCs/>
        </w:rPr>
        <w:t xml:space="preserve">– </w:t>
      </w:r>
      <w:r w:rsidRPr="00A30C17">
        <w:rPr>
          <w:rStyle w:val="Strong"/>
          <w:rFonts w:ascii="Times New Roman" w:hAnsi="Times New Roman" w:cs="Times New Roman"/>
          <w:b w:val="0"/>
          <w:bCs w:val="0"/>
          <w:i/>
          <w:iCs/>
        </w:rPr>
        <w:t>Regulation (EU) 2023/2859 of the European Parliament and of the Council of 13 December 2023 establishing a European single access point providing centralised access to publicly available information of relevance to financial services, capital markets and sustainability</w:t>
      </w:r>
      <w:r w:rsidRPr="00A30C17">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F90"/>
    <w:multiLevelType w:val="multilevel"/>
    <w:tmpl w:val="23DE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7D0B"/>
    <w:multiLevelType w:val="multilevel"/>
    <w:tmpl w:val="9F9EE4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F1568"/>
    <w:multiLevelType w:val="multilevel"/>
    <w:tmpl w:val="FC84E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EB52D0"/>
    <w:multiLevelType w:val="multilevel"/>
    <w:tmpl w:val="6C322F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A53536"/>
    <w:multiLevelType w:val="multilevel"/>
    <w:tmpl w:val="4FDE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53E33"/>
    <w:multiLevelType w:val="hybridMultilevel"/>
    <w:tmpl w:val="FA6A6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6A4373"/>
    <w:multiLevelType w:val="hybridMultilevel"/>
    <w:tmpl w:val="BBC28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27564A4"/>
    <w:multiLevelType w:val="multilevel"/>
    <w:tmpl w:val="76C87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1620B3"/>
    <w:multiLevelType w:val="hybridMultilevel"/>
    <w:tmpl w:val="C11CC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881EF7"/>
    <w:multiLevelType w:val="hybridMultilevel"/>
    <w:tmpl w:val="3D94DD4C"/>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A62D32"/>
    <w:multiLevelType w:val="hybridMultilevel"/>
    <w:tmpl w:val="34BA0C4A"/>
    <w:lvl w:ilvl="0" w:tplc="9CC84C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AD2349"/>
    <w:multiLevelType w:val="multilevel"/>
    <w:tmpl w:val="D8F48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01537B"/>
    <w:multiLevelType w:val="hybridMultilevel"/>
    <w:tmpl w:val="ADD0A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0572D0"/>
    <w:multiLevelType w:val="hybridMultilevel"/>
    <w:tmpl w:val="D9DC792E"/>
    <w:lvl w:ilvl="0" w:tplc="396AE88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33587A"/>
    <w:multiLevelType w:val="multilevel"/>
    <w:tmpl w:val="1BC4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6A0A86"/>
    <w:multiLevelType w:val="multilevel"/>
    <w:tmpl w:val="AA4A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55E81"/>
    <w:multiLevelType w:val="multilevel"/>
    <w:tmpl w:val="9DC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13577F"/>
    <w:multiLevelType w:val="multilevel"/>
    <w:tmpl w:val="B0F42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623350"/>
    <w:multiLevelType w:val="hybridMultilevel"/>
    <w:tmpl w:val="48B80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A0078A"/>
    <w:multiLevelType w:val="multilevel"/>
    <w:tmpl w:val="E504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E97DC6"/>
    <w:multiLevelType w:val="multilevel"/>
    <w:tmpl w:val="EE2A6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FF2B06"/>
    <w:multiLevelType w:val="multilevel"/>
    <w:tmpl w:val="882C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023390"/>
    <w:multiLevelType w:val="hybridMultilevel"/>
    <w:tmpl w:val="4C3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9355B7"/>
    <w:multiLevelType w:val="multilevel"/>
    <w:tmpl w:val="1F02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FF24A0"/>
    <w:multiLevelType w:val="multilevel"/>
    <w:tmpl w:val="A996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7074AE4"/>
    <w:multiLevelType w:val="hybridMultilevel"/>
    <w:tmpl w:val="721AC524"/>
    <w:lvl w:ilvl="0" w:tplc="5DCCF948">
      <w:start w:val="1"/>
      <w:numFmt w:val="decimal"/>
      <w:lvlText w:val="%1."/>
      <w:lvlJc w:val="right"/>
      <w:pPr>
        <w:ind w:left="720" w:hanging="360"/>
      </w:pPr>
      <w:rPr>
        <w:rFonts w:ascii="Times New Roman" w:hAnsi="Times New Roman" w:hint="default"/>
        <w:b w:val="0"/>
        <w:i w:val="0"/>
        <w:caps w:val="0"/>
        <w:strike w:val="0"/>
        <w:dstrike w:val="0"/>
        <w:vanish w:val="0"/>
        <w:sz w:val="20"/>
        <w:vertAlign w:val="baseline"/>
      </w:rPr>
    </w:lvl>
    <w:lvl w:ilvl="1" w:tplc="5DCCF948">
      <w:start w:val="1"/>
      <w:numFmt w:val="decimal"/>
      <w:lvlText w:val="%2."/>
      <w:lvlJc w:val="right"/>
      <w:pPr>
        <w:ind w:left="1440" w:hanging="360"/>
      </w:pPr>
      <w:rPr>
        <w:rFonts w:ascii="Times New Roman" w:hAnsi="Times New Roman" w:hint="default"/>
        <w:b w:val="0"/>
        <w:i w:val="0"/>
        <w:caps w:val="0"/>
        <w:strike w:val="0"/>
        <w:dstrike w:val="0"/>
        <w:vanish w:val="0"/>
        <w:sz w:val="20"/>
        <w:vertAlign w:val="baseline"/>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09896C1B"/>
    <w:multiLevelType w:val="multilevel"/>
    <w:tmpl w:val="1B36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1F0780"/>
    <w:multiLevelType w:val="hybridMultilevel"/>
    <w:tmpl w:val="7706A1F4"/>
    <w:lvl w:ilvl="0" w:tplc="626EB3BA">
      <w:start w:val="1"/>
      <w:numFmt w:val="lowerLetter"/>
      <w:lvlText w:val="%1."/>
      <w:lvlJc w:val="left"/>
      <w:pPr>
        <w:ind w:left="720" w:hanging="360"/>
      </w:pPr>
      <w:rPr>
        <w:rFonts w:eastAsia="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80789B"/>
    <w:multiLevelType w:val="hybridMultilevel"/>
    <w:tmpl w:val="1A6E2BFC"/>
    <w:lvl w:ilvl="0" w:tplc="36747E8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0AA62E12"/>
    <w:multiLevelType w:val="hybridMultilevel"/>
    <w:tmpl w:val="6360B626"/>
    <w:lvl w:ilvl="0" w:tplc="3D2296B4">
      <w:start w:val="1"/>
      <w:numFmt w:val="decimal"/>
      <w:lvlText w:val="%1."/>
      <w:lvlJc w:val="left"/>
      <w:pPr>
        <w:ind w:left="360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30" w15:restartNumberingAfterBreak="0">
    <w:nsid w:val="0ACD1BBD"/>
    <w:multiLevelType w:val="multilevel"/>
    <w:tmpl w:val="9820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AE65914"/>
    <w:multiLevelType w:val="multilevel"/>
    <w:tmpl w:val="FDAEAE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AEB1C93"/>
    <w:multiLevelType w:val="hybridMultilevel"/>
    <w:tmpl w:val="8A1CEE40"/>
    <w:lvl w:ilvl="0" w:tplc="B9FC7B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515F52"/>
    <w:multiLevelType w:val="multilevel"/>
    <w:tmpl w:val="233E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2A4D52"/>
    <w:multiLevelType w:val="multilevel"/>
    <w:tmpl w:val="F6C8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D861D9"/>
    <w:multiLevelType w:val="multilevel"/>
    <w:tmpl w:val="103E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F076DA"/>
    <w:multiLevelType w:val="multilevel"/>
    <w:tmpl w:val="A288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544DD2"/>
    <w:multiLevelType w:val="hybridMultilevel"/>
    <w:tmpl w:val="FE02321C"/>
    <w:lvl w:ilvl="0" w:tplc="B9B03F1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0EE35D67"/>
    <w:multiLevelType w:val="hybridMultilevel"/>
    <w:tmpl w:val="B914C61A"/>
    <w:lvl w:ilvl="0" w:tplc="21CE553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0EF3208B"/>
    <w:multiLevelType w:val="multilevel"/>
    <w:tmpl w:val="3730A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F5A1BBA"/>
    <w:multiLevelType w:val="hybridMultilevel"/>
    <w:tmpl w:val="128A899A"/>
    <w:lvl w:ilvl="0" w:tplc="E0D008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FD4600F"/>
    <w:multiLevelType w:val="hybridMultilevel"/>
    <w:tmpl w:val="A476BB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0FE440FE"/>
    <w:multiLevelType w:val="hybridMultilevel"/>
    <w:tmpl w:val="57F0E914"/>
    <w:lvl w:ilvl="0" w:tplc="B0401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8B5B63"/>
    <w:multiLevelType w:val="multilevel"/>
    <w:tmpl w:val="4BE60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E97DF3"/>
    <w:multiLevelType w:val="hybridMultilevel"/>
    <w:tmpl w:val="D000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1052350"/>
    <w:multiLevelType w:val="hybridMultilevel"/>
    <w:tmpl w:val="E0FCB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D133CE"/>
    <w:multiLevelType w:val="multilevel"/>
    <w:tmpl w:val="5C5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550784"/>
    <w:multiLevelType w:val="hybridMultilevel"/>
    <w:tmpl w:val="EC4CE786"/>
    <w:lvl w:ilvl="0" w:tplc="9872C9D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2E476C1"/>
    <w:multiLevelType w:val="multilevel"/>
    <w:tmpl w:val="38D6B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1711ED"/>
    <w:multiLevelType w:val="multilevel"/>
    <w:tmpl w:val="BEAA0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46D4472"/>
    <w:multiLevelType w:val="multilevel"/>
    <w:tmpl w:val="0134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5214E83"/>
    <w:multiLevelType w:val="hybridMultilevel"/>
    <w:tmpl w:val="EA24E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5702406"/>
    <w:multiLevelType w:val="multilevel"/>
    <w:tmpl w:val="C9E8637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7271AD"/>
    <w:multiLevelType w:val="multilevel"/>
    <w:tmpl w:val="8538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62D6356"/>
    <w:multiLevelType w:val="hybridMultilevel"/>
    <w:tmpl w:val="CD782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7C4C9B"/>
    <w:multiLevelType w:val="hybridMultilevel"/>
    <w:tmpl w:val="433CAAFA"/>
    <w:lvl w:ilvl="0" w:tplc="5DCCF948">
      <w:start w:val="1"/>
      <w:numFmt w:val="decimal"/>
      <w:lvlText w:val="%1."/>
      <w:lvlJc w:val="right"/>
      <w:pPr>
        <w:ind w:left="720" w:hanging="360"/>
      </w:pPr>
      <w:rPr>
        <w:rFonts w:ascii="Times New Roman" w:hAnsi="Times New Roman" w:hint="default"/>
        <w:b w:val="0"/>
        <w:i w:val="0"/>
        <w:caps w:val="0"/>
        <w:strike w:val="0"/>
        <w:dstrike w:val="0"/>
        <w:vanish w:val="0"/>
        <w:sz w:val="2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16805366"/>
    <w:multiLevelType w:val="multilevel"/>
    <w:tmpl w:val="7E4A4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74E3865"/>
    <w:multiLevelType w:val="hybridMultilevel"/>
    <w:tmpl w:val="54E068F8"/>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15:restartNumberingAfterBreak="0">
    <w:nsid w:val="17FB4026"/>
    <w:multiLevelType w:val="multilevel"/>
    <w:tmpl w:val="6CCA1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7FF51AB"/>
    <w:multiLevelType w:val="multilevel"/>
    <w:tmpl w:val="BD9E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80C4C56"/>
    <w:multiLevelType w:val="multilevel"/>
    <w:tmpl w:val="AD5AE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83260B4"/>
    <w:multiLevelType w:val="hybridMultilevel"/>
    <w:tmpl w:val="2C006CD2"/>
    <w:lvl w:ilvl="0" w:tplc="55AC16A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8A7071A"/>
    <w:multiLevelType w:val="multilevel"/>
    <w:tmpl w:val="29F6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8D9724F"/>
    <w:multiLevelType w:val="hybridMultilevel"/>
    <w:tmpl w:val="CA303422"/>
    <w:lvl w:ilvl="0" w:tplc="F66E660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9017B17"/>
    <w:multiLevelType w:val="hybridMultilevel"/>
    <w:tmpl w:val="148470AC"/>
    <w:lvl w:ilvl="0" w:tplc="6DC8303A">
      <w:start w:val="1"/>
      <w:numFmt w:val="lowerLetter"/>
      <w:lvlText w:val="(%1)"/>
      <w:lvlJc w:val="left"/>
      <w:pPr>
        <w:ind w:left="720" w:hanging="360"/>
      </w:pPr>
      <w:rPr>
        <w:rFonts w:hint="default"/>
      </w:rPr>
    </w:lvl>
    <w:lvl w:ilvl="1" w:tplc="D32A99F6">
      <w:start w:val="1"/>
      <w:numFmt w:val="decimal"/>
      <w:lvlText w:val="%2."/>
      <w:lvlJc w:val="left"/>
      <w:pPr>
        <w:ind w:left="1485" w:hanging="405"/>
      </w:pPr>
      <w:rPr>
        <w:rFonts w:hint="default"/>
        <w:b w:val="0"/>
        <w:bCs w:val="0"/>
      </w:rPr>
    </w:lvl>
    <w:lvl w:ilvl="2" w:tplc="08B684D8">
      <w:start w:val="2"/>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1931235A"/>
    <w:multiLevelType w:val="hybridMultilevel"/>
    <w:tmpl w:val="29ACF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98824FB"/>
    <w:multiLevelType w:val="hybridMultilevel"/>
    <w:tmpl w:val="3C4CB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B901CB"/>
    <w:multiLevelType w:val="multilevel"/>
    <w:tmpl w:val="D15AE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A707795"/>
    <w:multiLevelType w:val="multilevel"/>
    <w:tmpl w:val="CEBE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AAA32B2"/>
    <w:multiLevelType w:val="hybridMultilevel"/>
    <w:tmpl w:val="8348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BC51BD"/>
    <w:multiLevelType w:val="hybridMultilevel"/>
    <w:tmpl w:val="3612B108"/>
    <w:lvl w:ilvl="0" w:tplc="9A228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AC651E3"/>
    <w:multiLevelType w:val="hybridMultilevel"/>
    <w:tmpl w:val="54BC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5A562F"/>
    <w:multiLevelType w:val="hybridMultilevel"/>
    <w:tmpl w:val="9C3C15F4"/>
    <w:lvl w:ilvl="0" w:tplc="9C0E53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D1203DA"/>
    <w:multiLevelType w:val="hybridMultilevel"/>
    <w:tmpl w:val="D7BE0B60"/>
    <w:lvl w:ilvl="0" w:tplc="9D262934">
      <w:start w:val="2"/>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D1A17B7"/>
    <w:multiLevelType w:val="hybridMultilevel"/>
    <w:tmpl w:val="E0FCB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D3B0696"/>
    <w:multiLevelType w:val="hybridMultilevel"/>
    <w:tmpl w:val="EC4CE786"/>
    <w:lvl w:ilvl="0" w:tplc="9872C9D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1D4E685F"/>
    <w:multiLevelType w:val="multilevel"/>
    <w:tmpl w:val="9648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E69596B"/>
    <w:multiLevelType w:val="hybridMultilevel"/>
    <w:tmpl w:val="EC4CE786"/>
    <w:lvl w:ilvl="0" w:tplc="9872C9D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1F466A2C"/>
    <w:multiLevelType w:val="multilevel"/>
    <w:tmpl w:val="E0907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797386"/>
    <w:multiLevelType w:val="hybridMultilevel"/>
    <w:tmpl w:val="FC38A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0C73060"/>
    <w:multiLevelType w:val="multilevel"/>
    <w:tmpl w:val="2A0A0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0FF132B"/>
    <w:multiLevelType w:val="hybridMultilevel"/>
    <w:tmpl w:val="7236E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123D5F2"/>
    <w:multiLevelType w:val="hybridMultilevel"/>
    <w:tmpl w:val="80F0F1BE"/>
    <w:lvl w:ilvl="0" w:tplc="B3F44086">
      <w:start w:val="18"/>
      <w:numFmt w:val="lowerLetter"/>
      <w:lvlText w:val="(%1)"/>
      <w:lvlJc w:val="left"/>
    </w:lvl>
    <w:lvl w:ilvl="1" w:tplc="DE5E3802">
      <w:numFmt w:val="decimal"/>
      <w:lvlText w:val=""/>
      <w:lvlJc w:val="left"/>
    </w:lvl>
    <w:lvl w:ilvl="2" w:tplc="13F6072E">
      <w:numFmt w:val="decimal"/>
      <w:lvlText w:val=""/>
      <w:lvlJc w:val="left"/>
    </w:lvl>
    <w:lvl w:ilvl="3" w:tplc="E8CA2632">
      <w:numFmt w:val="decimal"/>
      <w:lvlText w:val=""/>
      <w:lvlJc w:val="left"/>
    </w:lvl>
    <w:lvl w:ilvl="4" w:tplc="C9F2D928">
      <w:numFmt w:val="decimal"/>
      <w:lvlText w:val=""/>
      <w:lvlJc w:val="left"/>
    </w:lvl>
    <w:lvl w:ilvl="5" w:tplc="82B01B46">
      <w:numFmt w:val="decimal"/>
      <w:lvlText w:val=""/>
      <w:lvlJc w:val="left"/>
    </w:lvl>
    <w:lvl w:ilvl="6" w:tplc="9F2A8828">
      <w:numFmt w:val="decimal"/>
      <w:lvlText w:val=""/>
      <w:lvlJc w:val="left"/>
    </w:lvl>
    <w:lvl w:ilvl="7" w:tplc="F7E81EA6">
      <w:numFmt w:val="decimal"/>
      <w:lvlText w:val=""/>
      <w:lvlJc w:val="left"/>
    </w:lvl>
    <w:lvl w:ilvl="8" w:tplc="4E3A6096">
      <w:numFmt w:val="decimal"/>
      <w:lvlText w:val=""/>
      <w:lvlJc w:val="left"/>
    </w:lvl>
  </w:abstractNum>
  <w:abstractNum w:abstractNumId="83" w15:restartNumberingAfterBreak="0">
    <w:nsid w:val="214B6453"/>
    <w:multiLevelType w:val="multilevel"/>
    <w:tmpl w:val="0DCA6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1627628"/>
    <w:multiLevelType w:val="hybridMultilevel"/>
    <w:tmpl w:val="EC4CE786"/>
    <w:lvl w:ilvl="0" w:tplc="9872C9DC">
      <w:start w:val="1"/>
      <w:numFmt w:val="low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2152A07"/>
    <w:multiLevelType w:val="hybridMultilevel"/>
    <w:tmpl w:val="44F4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2333F5B"/>
    <w:multiLevelType w:val="hybridMultilevel"/>
    <w:tmpl w:val="21123910"/>
    <w:lvl w:ilvl="0" w:tplc="D30C26D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274797E"/>
    <w:multiLevelType w:val="hybridMultilevel"/>
    <w:tmpl w:val="8CFE63AA"/>
    <w:lvl w:ilvl="0" w:tplc="7D9659DA">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8" w15:restartNumberingAfterBreak="0">
    <w:nsid w:val="23094471"/>
    <w:multiLevelType w:val="hybridMultilevel"/>
    <w:tmpl w:val="4234449C"/>
    <w:lvl w:ilvl="0" w:tplc="7F708B36">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3B214FB"/>
    <w:multiLevelType w:val="multilevel"/>
    <w:tmpl w:val="084A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4143CF2"/>
    <w:multiLevelType w:val="multilevel"/>
    <w:tmpl w:val="B6A6A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4481E04"/>
    <w:multiLevelType w:val="hybridMultilevel"/>
    <w:tmpl w:val="DBB2E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44A61F8"/>
    <w:multiLevelType w:val="multilevel"/>
    <w:tmpl w:val="5FE8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48A77F7"/>
    <w:multiLevelType w:val="hybridMultilevel"/>
    <w:tmpl w:val="2024722A"/>
    <w:lvl w:ilvl="0" w:tplc="1F0A170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4FE4FBA"/>
    <w:multiLevelType w:val="hybridMultilevel"/>
    <w:tmpl w:val="CB9A72FA"/>
    <w:lvl w:ilvl="0" w:tplc="E0F8225C">
      <w:start w:val="1"/>
      <w:numFmt w:val="decimal"/>
      <w:lvlText w:val="%1."/>
      <w:lvlJc w:val="right"/>
      <w:pPr>
        <w:ind w:left="720" w:hanging="360"/>
      </w:pPr>
      <w:rPr>
        <w:rFonts w:ascii="Times New Roman" w:hAnsi="Times New Roman" w:hint="default"/>
        <w:b w:val="0"/>
        <w:i w:val="0"/>
        <w:caps w:val="0"/>
        <w:strike w:val="0"/>
        <w:dstrike w:val="0"/>
        <w:vanish w:val="0"/>
        <w:sz w:val="22"/>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2585191C"/>
    <w:multiLevelType w:val="multilevel"/>
    <w:tmpl w:val="F3C0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659593D"/>
    <w:multiLevelType w:val="hybridMultilevel"/>
    <w:tmpl w:val="BA24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6CE6E82"/>
    <w:multiLevelType w:val="multilevel"/>
    <w:tmpl w:val="60CA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7314D9F"/>
    <w:multiLevelType w:val="hybridMultilevel"/>
    <w:tmpl w:val="977E67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7CF7650"/>
    <w:multiLevelType w:val="multilevel"/>
    <w:tmpl w:val="4ADE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8A57903"/>
    <w:multiLevelType w:val="hybridMultilevel"/>
    <w:tmpl w:val="94B453AC"/>
    <w:lvl w:ilvl="0" w:tplc="3E524B8E">
      <w:start w:val="1"/>
      <w:numFmt w:val="lowerLetter"/>
      <w:pStyle w:val="a"/>
      <w:lvlText w:val="(%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A9048A22">
      <w:start w:val="1"/>
      <w:numFmt w:val="lowerRoman"/>
      <w:lvlText w:val="%2."/>
      <w:lvlJc w:val="righ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01" w15:restartNumberingAfterBreak="0">
    <w:nsid w:val="28B96929"/>
    <w:multiLevelType w:val="multilevel"/>
    <w:tmpl w:val="459E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8CE30E3"/>
    <w:multiLevelType w:val="hybridMultilevel"/>
    <w:tmpl w:val="D560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8F62A1D"/>
    <w:multiLevelType w:val="multilevel"/>
    <w:tmpl w:val="9C282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9AF4BB7"/>
    <w:multiLevelType w:val="hybridMultilevel"/>
    <w:tmpl w:val="5658E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9EC09EA"/>
    <w:multiLevelType w:val="multilevel"/>
    <w:tmpl w:val="EDD2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AB10524"/>
    <w:multiLevelType w:val="hybridMultilevel"/>
    <w:tmpl w:val="E7F43504"/>
    <w:lvl w:ilvl="0" w:tplc="C8A025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C1E47DA"/>
    <w:multiLevelType w:val="multilevel"/>
    <w:tmpl w:val="92CC2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D8F0BD1"/>
    <w:multiLevelType w:val="multilevel"/>
    <w:tmpl w:val="1F124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E814CD8"/>
    <w:multiLevelType w:val="hybridMultilevel"/>
    <w:tmpl w:val="D3969E26"/>
    <w:lvl w:ilvl="0" w:tplc="4620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EBF047F"/>
    <w:multiLevelType w:val="hybridMultilevel"/>
    <w:tmpl w:val="3EE6473C"/>
    <w:lvl w:ilvl="0" w:tplc="173EFFBE">
      <w:start w:val="1"/>
      <w:numFmt w:val="decimal"/>
      <w:lvlText w:val="%1."/>
      <w:lvlJc w:val="left"/>
      <w:pPr>
        <w:ind w:left="1020" w:hanging="360"/>
      </w:pPr>
    </w:lvl>
    <w:lvl w:ilvl="1" w:tplc="E98C43AC">
      <w:start w:val="1"/>
      <w:numFmt w:val="decimal"/>
      <w:lvlText w:val="%2."/>
      <w:lvlJc w:val="left"/>
      <w:pPr>
        <w:ind w:left="1020" w:hanging="360"/>
      </w:pPr>
    </w:lvl>
    <w:lvl w:ilvl="2" w:tplc="A28AF2C4">
      <w:start w:val="1"/>
      <w:numFmt w:val="decimal"/>
      <w:lvlText w:val="%3."/>
      <w:lvlJc w:val="left"/>
      <w:pPr>
        <w:ind w:left="1020" w:hanging="360"/>
      </w:pPr>
    </w:lvl>
    <w:lvl w:ilvl="3" w:tplc="CDBC4556">
      <w:start w:val="1"/>
      <w:numFmt w:val="decimal"/>
      <w:lvlText w:val="%4."/>
      <w:lvlJc w:val="left"/>
      <w:pPr>
        <w:ind w:left="1020" w:hanging="360"/>
      </w:pPr>
    </w:lvl>
    <w:lvl w:ilvl="4" w:tplc="8766C574">
      <w:start w:val="1"/>
      <w:numFmt w:val="decimal"/>
      <w:lvlText w:val="%5."/>
      <w:lvlJc w:val="left"/>
      <w:pPr>
        <w:ind w:left="1020" w:hanging="360"/>
      </w:pPr>
    </w:lvl>
    <w:lvl w:ilvl="5" w:tplc="8EC839B0">
      <w:start w:val="1"/>
      <w:numFmt w:val="decimal"/>
      <w:lvlText w:val="%6."/>
      <w:lvlJc w:val="left"/>
      <w:pPr>
        <w:ind w:left="1020" w:hanging="360"/>
      </w:pPr>
    </w:lvl>
    <w:lvl w:ilvl="6" w:tplc="659A5E44">
      <w:start w:val="1"/>
      <w:numFmt w:val="decimal"/>
      <w:lvlText w:val="%7."/>
      <w:lvlJc w:val="left"/>
      <w:pPr>
        <w:ind w:left="1020" w:hanging="360"/>
      </w:pPr>
    </w:lvl>
    <w:lvl w:ilvl="7" w:tplc="CFAEC690">
      <w:start w:val="1"/>
      <w:numFmt w:val="decimal"/>
      <w:lvlText w:val="%8."/>
      <w:lvlJc w:val="left"/>
      <w:pPr>
        <w:ind w:left="1020" w:hanging="360"/>
      </w:pPr>
    </w:lvl>
    <w:lvl w:ilvl="8" w:tplc="08C84C1C">
      <w:start w:val="1"/>
      <w:numFmt w:val="decimal"/>
      <w:lvlText w:val="%9."/>
      <w:lvlJc w:val="left"/>
      <w:pPr>
        <w:ind w:left="1020" w:hanging="360"/>
      </w:pPr>
    </w:lvl>
  </w:abstractNum>
  <w:abstractNum w:abstractNumId="111" w15:restartNumberingAfterBreak="0">
    <w:nsid w:val="2ED3094E"/>
    <w:multiLevelType w:val="hybridMultilevel"/>
    <w:tmpl w:val="49C6A1E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2F005CD1"/>
    <w:multiLevelType w:val="hybridMultilevel"/>
    <w:tmpl w:val="6DACD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F546DAD"/>
    <w:multiLevelType w:val="multilevel"/>
    <w:tmpl w:val="C966C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0572336"/>
    <w:multiLevelType w:val="hybridMultilevel"/>
    <w:tmpl w:val="57E67F5C"/>
    <w:lvl w:ilvl="0" w:tplc="1D8600C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10717D8"/>
    <w:multiLevelType w:val="hybridMultilevel"/>
    <w:tmpl w:val="7EA62108"/>
    <w:lvl w:ilvl="0" w:tplc="6304134A">
      <w:start w:val="1"/>
      <w:numFmt w:val="decimal"/>
      <w:pStyle w:val="Gesetzestext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C61231A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31165C1D"/>
    <w:multiLevelType w:val="multilevel"/>
    <w:tmpl w:val="F7CE3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20063A3"/>
    <w:multiLevelType w:val="multilevel"/>
    <w:tmpl w:val="5AC48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2871540"/>
    <w:multiLevelType w:val="multilevel"/>
    <w:tmpl w:val="E68E5C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2D974E5"/>
    <w:multiLevelType w:val="hybridMultilevel"/>
    <w:tmpl w:val="540CE91C"/>
    <w:lvl w:ilvl="0" w:tplc="9B50ED72">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9B50ED72">
      <w:start w:val="1"/>
      <w:numFmt w:val="decimal"/>
      <w:lvlText w:val="%2."/>
      <w:lvlJc w:val="left"/>
      <w:pPr>
        <w:ind w:left="8157" w:hanging="360"/>
      </w:pPr>
      <w:rPr>
        <w:rFonts w:ascii="Times New Roman" w:hAnsi="Times New Roman" w:hint="default"/>
        <w:b w:val="0"/>
        <w:i w:val="0"/>
        <w:caps w:val="0"/>
        <w:strike w:val="0"/>
        <w:dstrike w:val="0"/>
        <w:vanish w:val="0"/>
        <w:sz w:val="24"/>
        <w:vertAlign w:val="baseline"/>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352D4D18"/>
    <w:multiLevelType w:val="multilevel"/>
    <w:tmpl w:val="BCB0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EE2F01"/>
    <w:multiLevelType w:val="multilevel"/>
    <w:tmpl w:val="D06C4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6231DCE"/>
    <w:multiLevelType w:val="multilevel"/>
    <w:tmpl w:val="438E29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8C51AD6"/>
    <w:multiLevelType w:val="multilevel"/>
    <w:tmpl w:val="6D107AC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8F965C7"/>
    <w:multiLevelType w:val="hybridMultilevel"/>
    <w:tmpl w:val="357E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B6C3024">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B3802E8"/>
    <w:multiLevelType w:val="hybridMultilevel"/>
    <w:tmpl w:val="A3BAA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B6722B1"/>
    <w:multiLevelType w:val="hybridMultilevel"/>
    <w:tmpl w:val="C5F0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B6D0A9D"/>
    <w:multiLevelType w:val="hybridMultilevel"/>
    <w:tmpl w:val="9DD80E7C"/>
    <w:lvl w:ilvl="0" w:tplc="0B46C41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BD64ED0"/>
    <w:multiLevelType w:val="multilevel"/>
    <w:tmpl w:val="800A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C392478"/>
    <w:multiLevelType w:val="hybridMultilevel"/>
    <w:tmpl w:val="977E67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C431F68"/>
    <w:multiLevelType w:val="hybridMultilevel"/>
    <w:tmpl w:val="A6E67464"/>
    <w:lvl w:ilvl="0" w:tplc="A1C81FAE">
      <w:start w:val="1"/>
      <w:numFmt w:val="decimal"/>
      <w:lvlText w:val="%1."/>
      <w:lvlJc w:val="left"/>
      <w:pPr>
        <w:ind w:left="720" w:hanging="360"/>
      </w:pPr>
      <w:rPr>
        <w:rFonts w:ascii="Times New Roman" w:eastAsia="Aptos"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CE605F5"/>
    <w:multiLevelType w:val="hybridMultilevel"/>
    <w:tmpl w:val="A3A0A6C0"/>
    <w:lvl w:ilvl="0" w:tplc="C0309DEA">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D39036C"/>
    <w:multiLevelType w:val="hybridMultilevel"/>
    <w:tmpl w:val="E396ADF0"/>
    <w:lvl w:ilvl="0" w:tplc="7AB27C48">
      <w:start w:val="1"/>
      <w:numFmt w:val="upperRoman"/>
      <w:pStyle w:val="I"/>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3" w15:restartNumberingAfterBreak="0">
    <w:nsid w:val="3E3237AC"/>
    <w:multiLevelType w:val="multilevel"/>
    <w:tmpl w:val="19B8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EFF0209"/>
    <w:multiLevelType w:val="multilevel"/>
    <w:tmpl w:val="69C8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FA437AA"/>
    <w:multiLevelType w:val="multilevel"/>
    <w:tmpl w:val="7E90B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14C4DCF"/>
    <w:multiLevelType w:val="multilevel"/>
    <w:tmpl w:val="7002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21C5E74"/>
    <w:multiLevelType w:val="multilevel"/>
    <w:tmpl w:val="8640D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2380F3B"/>
    <w:multiLevelType w:val="multilevel"/>
    <w:tmpl w:val="314C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4110F78"/>
    <w:multiLevelType w:val="hybridMultilevel"/>
    <w:tmpl w:val="FE0232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4662D45"/>
    <w:multiLevelType w:val="multilevel"/>
    <w:tmpl w:val="EEF8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6100AB4"/>
    <w:multiLevelType w:val="hybridMultilevel"/>
    <w:tmpl w:val="5EBA981E"/>
    <w:lvl w:ilvl="0" w:tplc="14148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6365A9D"/>
    <w:multiLevelType w:val="multilevel"/>
    <w:tmpl w:val="EE5E0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6876C8B"/>
    <w:multiLevelType w:val="hybridMultilevel"/>
    <w:tmpl w:val="441684BE"/>
    <w:lvl w:ilvl="0" w:tplc="1158CB1A">
      <w:start w:val="1"/>
      <w:numFmt w:val="lowerLetter"/>
      <w:lvlText w:val="%1)"/>
      <w:lvlJc w:val="left"/>
      <w:pPr>
        <w:ind w:left="938" w:hanging="360"/>
      </w:pPr>
      <w:rPr>
        <w:rFonts w:eastAsia="Arial" w:hint="default"/>
        <w:color w:val="231F20"/>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4" w15:restartNumberingAfterBreak="0">
    <w:nsid w:val="47153C04"/>
    <w:multiLevelType w:val="multilevel"/>
    <w:tmpl w:val="71B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5259CA"/>
    <w:multiLevelType w:val="multilevel"/>
    <w:tmpl w:val="D89EB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7E721D6"/>
    <w:multiLevelType w:val="hybridMultilevel"/>
    <w:tmpl w:val="6360B626"/>
    <w:lvl w:ilvl="0" w:tplc="3D2296B4">
      <w:start w:val="1"/>
      <w:numFmt w:val="decimal"/>
      <w:lvlText w:val="%1."/>
      <w:lvlJc w:val="left"/>
      <w:pPr>
        <w:ind w:left="144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7" w15:restartNumberingAfterBreak="0">
    <w:nsid w:val="48F229B5"/>
    <w:multiLevelType w:val="multilevel"/>
    <w:tmpl w:val="7386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90C0760"/>
    <w:multiLevelType w:val="multilevel"/>
    <w:tmpl w:val="4B4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C96ABD"/>
    <w:multiLevelType w:val="multilevel"/>
    <w:tmpl w:val="314C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9D81E8C"/>
    <w:multiLevelType w:val="multilevel"/>
    <w:tmpl w:val="4342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A4578D2"/>
    <w:multiLevelType w:val="multilevel"/>
    <w:tmpl w:val="E652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AA9048A"/>
    <w:multiLevelType w:val="multilevel"/>
    <w:tmpl w:val="A3F0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D87C2C"/>
    <w:multiLevelType w:val="multilevel"/>
    <w:tmpl w:val="097C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B373A82"/>
    <w:multiLevelType w:val="hybridMultilevel"/>
    <w:tmpl w:val="6360B626"/>
    <w:lvl w:ilvl="0" w:tplc="3D2296B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5" w15:restartNumberingAfterBreak="0">
    <w:nsid w:val="4BE437B3"/>
    <w:multiLevelType w:val="multilevel"/>
    <w:tmpl w:val="227C4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CA51F83"/>
    <w:multiLevelType w:val="hybridMultilevel"/>
    <w:tmpl w:val="A5923F66"/>
    <w:lvl w:ilvl="0" w:tplc="8C7E1FA6">
      <w:start w:val="1"/>
      <w:numFmt w:val="upperLetter"/>
      <w:pStyle w:val="A0"/>
      <w:lvlText w:val="%1."/>
      <w:lvlJc w:val="left"/>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effect w:val="none"/>
        <w:vertAlign w:val="baseline"/>
        <w:em w:val="none"/>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7" w15:restartNumberingAfterBreak="0">
    <w:nsid w:val="4D5631E1"/>
    <w:multiLevelType w:val="hybridMultilevel"/>
    <w:tmpl w:val="565ED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D7D0800"/>
    <w:multiLevelType w:val="multilevel"/>
    <w:tmpl w:val="2B108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9340A9"/>
    <w:multiLevelType w:val="hybridMultilevel"/>
    <w:tmpl w:val="E0BE8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DD6B9D"/>
    <w:multiLevelType w:val="hybridMultilevel"/>
    <w:tmpl w:val="BD2E1BA8"/>
    <w:lvl w:ilvl="0" w:tplc="78BC416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DF57732"/>
    <w:multiLevelType w:val="multilevel"/>
    <w:tmpl w:val="0DD04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E943A3A"/>
    <w:multiLevelType w:val="hybridMultilevel"/>
    <w:tmpl w:val="79DA2F9A"/>
    <w:lvl w:ilvl="0" w:tplc="0409000F">
      <w:start w:val="1"/>
      <w:numFmt w:val="decimal"/>
      <w:lvlText w:val="%1."/>
      <w:lvlJc w:val="left"/>
      <w:pPr>
        <w:ind w:left="720" w:hanging="360"/>
      </w:pPr>
      <w:rPr>
        <w:rFonts w:hint="default"/>
      </w:rPr>
    </w:lvl>
    <w:lvl w:ilvl="1" w:tplc="7D22FD88">
      <w:start w:val="1"/>
      <w:numFmt w:val="lowerLetter"/>
      <w:lvlText w:val="%2."/>
      <w:lvlJc w:val="left"/>
      <w:pPr>
        <w:ind w:left="1440" w:hanging="360"/>
      </w:pPr>
      <w:rPr>
        <w:rFonts w:eastAsia="Times New Roman" w:hint="default"/>
        <w:b/>
      </w:rPr>
    </w:lvl>
    <w:lvl w:ilvl="2" w:tplc="59629EC6">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EBC53A1"/>
    <w:multiLevelType w:val="hybridMultilevel"/>
    <w:tmpl w:val="11043644"/>
    <w:lvl w:ilvl="0" w:tplc="1300451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4" w15:restartNumberingAfterBreak="0">
    <w:nsid w:val="4ED745BA"/>
    <w:multiLevelType w:val="hybridMultilevel"/>
    <w:tmpl w:val="C3D0B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F14771E"/>
    <w:multiLevelType w:val="multilevel"/>
    <w:tmpl w:val="290E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F9E1B43"/>
    <w:multiLevelType w:val="multilevel"/>
    <w:tmpl w:val="23F6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FC216DB"/>
    <w:multiLevelType w:val="multilevel"/>
    <w:tmpl w:val="162A8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FF51DC6"/>
    <w:multiLevelType w:val="multilevel"/>
    <w:tmpl w:val="EB7CB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068710F"/>
    <w:multiLevelType w:val="multilevel"/>
    <w:tmpl w:val="58D43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0883334"/>
    <w:multiLevelType w:val="hybridMultilevel"/>
    <w:tmpl w:val="A65EE7B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0B57D74"/>
    <w:multiLevelType w:val="hybridMultilevel"/>
    <w:tmpl w:val="17D258D4"/>
    <w:lvl w:ilvl="0" w:tplc="6DC830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0C9088F"/>
    <w:multiLevelType w:val="hybridMultilevel"/>
    <w:tmpl w:val="304881E2"/>
    <w:lvl w:ilvl="0" w:tplc="9B50ED72">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3" w15:restartNumberingAfterBreak="0">
    <w:nsid w:val="50E94060"/>
    <w:multiLevelType w:val="hybridMultilevel"/>
    <w:tmpl w:val="C60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1336445"/>
    <w:multiLevelType w:val="hybridMultilevel"/>
    <w:tmpl w:val="CAE8AB76"/>
    <w:lvl w:ilvl="0" w:tplc="780622C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5" w15:restartNumberingAfterBreak="0">
    <w:nsid w:val="5149318E"/>
    <w:multiLevelType w:val="multilevel"/>
    <w:tmpl w:val="AD6E0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2F018ED"/>
    <w:multiLevelType w:val="hybridMultilevel"/>
    <w:tmpl w:val="CAC2F3C4"/>
    <w:lvl w:ilvl="0" w:tplc="69BE0330">
      <w:start w:val="1"/>
      <w:numFmt w:val="lowerRoman"/>
      <w:pStyle w:val="i0"/>
      <w:lvlText w:val="(%1)"/>
      <w:lvlJc w:val="righ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177" w15:restartNumberingAfterBreak="0">
    <w:nsid w:val="536755F3"/>
    <w:multiLevelType w:val="hybridMultilevel"/>
    <w:tmpl w:val="87207892"/>
    <w:lvl w:ilvl="0" w:tplc="081A149A">
      <w:start w:val="1"/>
      <w:numFmt w:val="lowerLetter"/>
      <w:lvlText w:val="%1."/>
      <w:lvlJc w:val="left"/>
      <w:pPr>
        <w:ind w:left="630" w:hanging="360"/>
      </w:pPr>
      <w:rPr>
        <w:rFonts w:hint="default"/>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8" w15:restartNumberingAfterBreak="0">
    <w:nsid w:val="54341B60"/>
    <w:multiLevelType w:val="hybridMultilevel"/>
    <w:tmpl w:val="57ACC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4564158"/>
    <w:multiLevelType w:val="multilevel"/>
    <w:tmpl w:val="3A880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4A45490"/>
    <w:multiLevelType w:val="multilevel"/>
    <w:tmpl w:val="AC9E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5683848"/>
    <w:multiLevelType w:val="hybridMultilevel"/>
    <w:tmpl w:val="92DEC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63B67CE"/>
    <w:multiLevelType w:val="multilevel"/>
    <w:tmpl w:val="5366C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6442EA8"/>
    <w:multiLevelType w:val="multilevel"/>
    <w:tmpl w:val="612C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790EA9"/>
    <w:multiLevelType w:val="hybridMultilevel"/>
    <w:tmpl w:val="72662BAE"/>
    <w:lvl w:ilvl="0" w:tplc="9B50ED72">
      <w:start w:val="1"/>
      <w:numFmt w:val="decimal"/>
      <w:lvlText w:val="%1."/>
      <w:lvlJc w:val="left"/>
      <w:pPr>
        <w:ind w:left="1440" w:hanging="360"/>
      </w:pPr>
      <w:rPr>
        <w:rFonts w:ascii="Times New Roman" w:hAnsi="Times New Roman" w:hint="default"/>
        <w:b w:val="0"/>
        <w:i w:val="0"/>
        <w:caps w:val="0"/>
        <w:strike w:val="0"/>
        <w:dstrike w:val="0"/>
        <w:vanish w:val="0"/>
        <w:sz w:val="24"/>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5" w15:restartNumberingAfterBreak="0">
    <w:nsid w:val="57EC533B"/>
    <w:multiLevelType w:val="hybridMultilevel"/>
    <w:tmpl w:val="F4527AB8"/>
    <w:lvl w:ilvl="0" w:tplc="02C0F1B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835330A"/>
    <w:multiLevelType w:val="multilevel"/>
    <w:tmpl w:val="8898C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8A6127F"/>
    <w:multiLevelType w:val="multilevel"/>
    <w:tmpl w:val="891C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8C84636"/>
    <w:multiLevelType w:val="multilevel"/>
    <w:tmpl w:val="B45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8DE0E4A"/>
    <w:multiLevelType w:val="multilevel"/>
    <w:tmpl w:val="987A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8E628B7"/>
    <w:multiLevelType w:val="hybridMultilevel"/>
    <w:tmpl w:val="AB7AE5AE"/>
    <w:lvl w:ilvl="0" w:tplc="78D02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A2E5D92"/>
    <w:multiLevelType w:val="hybridMultilevel"/>
    <w:tmpl w:val="00982E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AF122EC"/>
    <w:multiLevelType w:val="multilevel"/>
    <w:tmpl w:val="BEA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C015557"/>
    <w:multiLevelType w:val="hybridMultilevel"/>
    <w:tmpl w:val="FE02321C"/>
    <w:lvl w:ilvl="0" w:tplc="B9B03F1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5C4769CF"/>
    <w:multiLevelType w:val="multilevel"/>
    <w:tmpl w:val="012C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C7C4BD2"/>
    <w:multiLevelType w:val="multilevel"/>
    <w:tmpl w:val="08A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CD5289B"/>
    <w:multiLevelType w:val="multilevel"/>
    <w:tmpl w:val="FF24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D5F4BB6"/>
    <w:multiLevelType w:val="multilevel"/>
    <w:tmpl w:val="8C8E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E3229B"/>
    <w:multiLevelType w:val="multilevel"/>
    <w:tmpl w:val="9E9A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F8F396A"/>
    <w:multiLevelType w:val="hybridMultilevel"/>
    <w:tmpl w:val="E0FCBD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5F9F2E53"/>
    <w:multiLevelType w:val="multilevel"/>
    <w:tmpl w:val="AA343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FD401B0"/>
    <w:multiLevelType w:val="multilevel"/>
    <w:tmpl w:val="D2A6E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FED507C"/>
    <w:multiLevelType w:val="hybridMultilevel"/>
    <w:tmpl w:val="F7B436CE"/>
    <w:lvl w:ilvl="0" w:tplc="6DC8303A">
      <w:start w:val="1"/>
      <w:numFmt w:val="lowerLetter"/>
      <w:lvlText w:val="(%1)"/>
      <w:lvlJc w:val="left"/>
      <w:pPr>
        <w:ind w:left="720" w:hanging="360"/>
      </w:pPr>
      <w:rPr>
        <w:rFonts w:hint="default"/>
      </w:rPr>
    </w:lvl>
    <w:lvl w:ilvl="1" w:tplc="DEB45A54">
      <w:start w:val="1"/>
      <w:numFmt w:val="decimal"/>
      <w:lvlText w:val="%2."/>
      <w:lvlJc w:val="left"/>
      <w:pPr>
        <w:ind w:left="1485" w:hanging="4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3" w15:restartNumberingAfterBreak="0">
    <w:nsid w:val="623377A6"/>
    <w:multiLevelType w:val="hybridMultilevel"/>
    <w:tmpl w:val="4332479A"/>
    <w:lvl w:ilvl="0" w:tplc="72269F52">
      <w:start w:val="1"/>
      <w:numFmt w:val="lowerLetter"/>
      <w:lvlText w:val="(%1)"/>
      <w:lvlJc w:val="left"/>
      <w:pPr>
        <w:ind w:left="720" w:hanging="360"/>
      </w:pPr>
      <w:rPr>
        <w:rFonts w:hint="default"/>
        <w:color w:val="auto"/>
      </w:rPr>
    </w:lvl>
    <w:lvl w:ilvl="1" w:tplc="9214A8F6">
      <w:start w:val="1"/>
      <w:numFmt w:val="lowerLetter"/>
      <w:lvlText w:val="%2."/>
      <w:lvlJc w:val="left"/>
      <w:pPr>
        <w:ind w:left="1440" w:hanging="360"/>
      </w:pPr>
      <w:rPr>
        <w:rFonts w:hint="default"/>
      </w:rPr>
    </w:lvl>
    <w:lvl w:ilvl="2" w:tplc="6E3209D2">
      <w:start w:val="1"/>
      <w:numFmt w:val="decimal"/>
      <w:lvlText w:val="%3."/>
      <w:lvlJc w:val="left"/>
      <w:pPr>
        <w:ind w:left="2340" w:hanging="360"/>
      </w:pPr>
      <w:rPr>
        <w:rFonts w:ascii="Times New Roman" w:eastAsia="Times New Roman" w:hAnsi="Times New Roman" w:cs="Times New Roman"/>
      </w:rPr>
    </w:lvl>
    <w:lvl w:ilvl="3" w:tplc="CD167A94">
      <w:start w:val="1"/>
      <w:numFmt w:val="lowerLetter"/>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4" w15:restartNumberingAfterBreak="0">
    <w:nsid w:val="62701CD0"/>
    <w:multiLevelType w:val="multilevel"/>
    <w:tmpl w:val="363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7F7878"/>
    <w:multiLevelType w:val="multilevel"/>
    <w:tmpl w:val="AF0AB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34754F0"/>
    <w:multiLevelType w:val="hybridMultilevel"/>
    <w:tmpl w:val="38EC2A60"/>
    <w:lvl w:ilvl="0" w:tplc="9B50ED72">
      <w:start w:val="1"/>
      <w:numFmt w:val="decimal"/>
      <w:lvlText w:val="%1."/>
      <w:lvlJc w:val="left"/>
      <w:pPr>
        <w:ind w:left="1440" w:hanging="360"/>
      </w:pPr>
      <w:rPr>
        <w:rFonts w:ascii="Times New Roman" w:hAnsi="Times New Roman" w:hint="default"/>
        <w:b w:val="0"/>
        <w:i w:val="0"/>
        <w:caps w:val="0"/>
        <w:strike w:val="0"/>
        <w:dstrike w:val="0"/>
        <w:vanish w:val="0"/>
        <w:sz w:val="24"/>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7" w15:restartNumberingAfterBreak="0">
    <w:nsid w:val="63503F1E"/>
    <w:multiLevelType w:val="hybridMultilevel"/>
    <w:tmpl w:val="6360B626"/>
    <w:lvl w:ilvl="0" w:tplc="3D2296B4">
      <w:start w:val="1"/>
      <w:numFmt w:val="decimal"/>
      <w:lvlText w:val="%1."/>
      <w:lvlJc w:val="left"/>
      <w:pPr>
        <w:ind w:left="144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8" w15:restartNumberingAfterBreak="0">
    <w:nsid w:val="638D6B2A"/>
    <w:multiLevelType w:val="multilevel"/>
    <w:tmpl w:val="FCE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40F6F75"/>
    <w:multiLevelType w:val="multilevel"/>
    <w:tmpl w:val="30A48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57910D0"/>
    <w:multiLevelType w:val="multilevel"/>
    <w:tmpl w:val="702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5FC34C2"/>
    <w:multiLevelType w:val="multilevel"/>
    <w:tmpl w:val="6CF8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61A3272"/>
    <w:multiLevelType w:val="multilevel"/>
    <w:tmpl w:val="D990F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66870DB"/>
    <w:multiLevelType w:val="multilevel"/>
    <w:tmpl w:val="B330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7D51165"/>
    <w:multiLevelType w:val="multilevel"/>
    <w:tmpl w:val="66B48D46"/>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Times New Roman" w:eastAsia="Times New Roman" w:hAnsi="Times New Roman" w:cs="Times New Roman"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8A83668"/>
    <w:multiLevelType w:val="multilevel"/>
    <w:tmpl w:val="C9B4B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8BA7C42"/>
    <w:multiLevelType w:val="hybridMultilevel"/>
    <w:tmpl w:val="6360B626"/>
    <w:lvl w:ilvl="0" w:tplc="3D2296B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7" w15:restartNumberingAfterBreak="0">
    <w:nsid w:val="68C2255A"/>
    <w:multiLevelType w:val="multilevel"/>
    <w:tmpl w:val="314CB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9512526"/>
    <w:multiLevelType w:val="multilevel"/>
    <w:tmpl w:val="A7C2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9924EF8"/>
    <w:multiLevelType w:val="multilevel"/>
    <w:tmpl w:val="A1AE3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9DF54C1"/>
    <w:multiLevelType w:val="hybridMultilevel"/>
    <w:tmpl w:val="B914C61A"/>
    <w:lvl w:ilvl="0" w:tplc="21CE553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1" w15:restartNumberingAfterBreak="0">
    <w:nsid w:val="69E83409"/>
    <w:multiLevelType w:val="hybridMultilevel"/>
    <w:tmpl w:val="5A66715A"/>
    <w:lvl w:ilvl="0" w:tplc="2206BB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6A0F19C9"/>
    <w:multiLevelType w:val="hybridMultilevel"/>
    <w:tmpl w:val="2CC4BFC4"/>
    <w:lvl w:ilvl="0" w:tplc="74A0C088">
      <w:start w:val="1"/>
      <w:numFmt w:val="bullet"/>
      <w:lvlText w:val=""/>
      <w:lvlJc w:val="left"/>
      <w:pPr>
        <w:ind w:left="1440" w:hanging="360"/>
      </w:pPr>
      <w:rPr>
        <w:rFonts w:ascii="Wingdings" w:hAnsi="Wingdings" w:hint="default"/>
        <w:color w:val="0070C0"/>
        <w:w w:val="99"/>
        <w:sz w:val="24"/>
        <w:szCs w:val="24"/>
      </w:rPr>
    </w:lvl>
    <w:lvl w:ilvl="1" w:tplc="9348940A">
      <w:numFmt w:val="bullet"/>
      <w:lvlText w:val="•"/>
      <w:lvlJc w:val="left"/>
      <w:pPr>
        <w:ind w:left="2212" w:hanging="360"/>
      </w:pPr>
      <w:rPr>
        <w:rFonts w:hint="default"/>
      </w:rPr>
    </w:lvl>
    <w:lvl w:ilvl="2" w:tplc="D71CF4F8">
      <w:numFmt w:val="bullet"/>
      <w:lvlText w:val="•"/>
      <w:lvlJc w:val="left"/>
      <w:pPr>
        <w:ind w:left="2984" w:hanging="360"/>
      </w:pPr>
      <w:rPr>
        <w:rFonts w:hint="default"/>
      </w:rPr>
    </w:lvl>
    <w:lvl w:ilvl="3" w:tplc="7422B0A0">
      <w:numFmt w:val="bullet"/>
      <w:lvlText w:val="•"/>
      <w:lvlJc w:val="left"/>
      <w:pPr>
        <w:ind w:left="3756" w:hanging="360"/>
      </w:pPr>
      <w:rPr>
        <w:rFonts w:hint="default"/>
      </w:rPr>
    </w:lvl>
    <w:lvl w:ilvl="4" w:tplc="78BADFA0">
      <w:numFmt w:val="bullet"/>
      <w:lvlText w:val="•"/>
      <w:lvlJc w:val="left"/>
      <w:pPr>
        <w:ind w:left="4528" w:hanging="360"/>
      </w:pPr>
      <w:rPr>
        <w:rFonts w:hint="default"/>
      </w:rPr>
    </w:lvl>
    <w:lvl w:ilvl="5" w:tplc="A94C5A36">
      <w:numFmt w:val="bullet"/>
      <w:lvlText w:val="•"/>
      <w:lvlJc w:val="left"/>
      <w:pPr>
        <w:ind w:left="5300" w:hanging="360"/>
      </w:pPr>
      <w:rPr>
        <w:rFonts w:hint="default"/>
      </w:rPr>
    </w:lvl>
    <w:lvl w:ilvl="6" w:tplc="232E1B4E">
      <w:numFmt w:val="bullet"/>
      <w:lvlText w:val="•"/>
      <w:lvlJc w:val="left"/>
      <w:pPr>
        <w:ind w:left="6072" w:hanging="360"/>
      </w:pPr>
      <w:rPr>
        <w:rFonts w:hint="default"/>
      </w:rPr>
    </w:lvl>
    <w:lvl w:ilvl="7" w:tplc="CBD2DA6C">
      <w:numFmt w:val="bullet"/>
      <w:lvlText w:val="•"/>
      <w:lvlJc w:val="left"/>
      <w:pPr>
        <w:ind w:left="6844" w:hanging="360"/>
      </w:pPr>
      <w:rPr>
        <w:rFonts w:hint="default"/>
      </w:rPr>
    </w:lvl>
    <w:lvl w:ilvl="8" w:tplc="0EE6E4D6">
      <w:numFmt w:val="bullet"/>
      <w:lvlText w:val="•"/>
      <w:lvlJc w:val="left"/>
      <w:pPr>
        <w:ind w:left="7616" w:hanging="360"/>
      </w:pPr>
      <w:rPr>
        <w:rFonts w:hint="default"/>
      </w:rPr>
    </w:lvl>
  </w:abstractNum>
  <w:abstractNum w:abstractNumId="223" w15:restartNumberingAfterBreak="0">
    <w:nsid w:val="6A452D4C"/>
    <w:multiLevelType w:val="hybridMultilevel"/>
    <w:tmpl w:val="C5001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B236436"/>
    <w:multiLevelType w:val="hybridMultilevel"/>
    <w:tmpl w:val="B2DAF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B962288"/>
    <w:multiLevelType w:val="hybridMultilevel"/>
    <w:tmpl w:val="02FA8F68"/>
    <w:lvl w:ilvl="0" w:tplc="1AE077AA">
      <w:start w:val="1"/>
      <w:numFmt w:val="decimal"/>
      <w:pStyle w:val="1"/>
      <w:lvlText w:val="%1."/>
      <w:lvlJc w:val="right"/>
      <w:pPr>
        <w:ind w:left="360" w:hanging="360"/>
      </w:pPr>
      <w:rPr>
        <w:rFonts w:ascii="Times New Roman" w:hAnsi="Times New Roman" w:hint="default"/>
        <w:b w:val="0"/>
        <w:i w:val="0"/>
        <w:caps w:val="0"/>
        <w:strike w:val="0"/>
        <w:dstrike w:val="0"/>
        <w:vanish w:val="0"/>
        <w:sz w:val="20"/>
        <w:vertAlign w:val="baseline"/>
      </w:rPr>
    </w:lvl>
    <w:lvl w:ilvl="1" w:tplc="41745A12">
      <w:start w:val="1"/>
      <w:numFmt w:val="lowerLetter"/>
      <w:lvlText w:val="%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6" w15:restartNumberingAfterBreak="0">
    <w:nsid w:val="6C4A23A3"/>
    <w:multiLevelType w:val="multilevel"/>
    <w:tmpl w:val="A852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C902BB8"/>
    <w:multiLevelType w:val="hybridMultilevel"/>
    <w:tmpl w:val="CDEC7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8" w15:restartNumberingAfterBreak="0">
    <w:nsid w:val="6CB81E5C"/>
    <w:multiLevelType w:val="multilevel"/>
    <w:tmpl w:val="BD86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CD87AEE"/>
    <w:multiLevelType w:val="multilevel"/>
    <w:tmpl w:val="9FCC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D0F2A70"/>
    <w:multiLevelType w:val="multilevel"/>
    <w:tmpl w:val="8326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D1A5C12"/>
    <w:multiLevelType w:val="hybridMultilevel"/>
    <w:tmpl w:val="72B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D261C53"/>
    <w:multiLevelType w:val="hybridMultilevel"/>
    <w:tmpl w:val="134EED64"/>
    <w:lvl w:ilvl="0" w:tplc="D008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D5941E2"/>
    <w:multiLevelType w:val="hybridMultilevel"/>
    <w:tmpl w:val="5F5E0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E08758B"/>
    <w:multiLevelType w:val="hybridMultilevel"/>
    <w:tmpl w:val="8748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E95065A"/>
    <w:multiLevelType w:val="hybridMultilevel"/>
    <w:tmpl w:val="BC4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E9E70CF"/>
    <w:multiLevelType w:val="hybridMultilevel"/>
    <w:tmpl w:val="1A3CD364"/>
    <w:lvl w:ilvl="0" w:tplc="9214A8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EFF0C89"/>
    <w:multiLevelType w:val="multilevel"/>
    <w:tmpl w:val="432695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F126138"/>
    <w:multiLevelType w:val="multilevel"/>
    <w:tmpl w:val="EE468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F4C7BBB"/>
    <w:multiLevelType w:val="hybridMultilevel"/>
    <w:tmpl w:val="2190149E"/>
    <w:lvl w:ilvl="0" w:tplc="1324BC2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0" w15:restartNumberingAfterBreak="0">
    <w:nsid w:val="6F7D5DE7"/>
    <w:multiLevelType w:val="hybridMultilevel"/>
    <w:tmpl w:val="EB62BD46"/>
    <w:lvl w:ilvl="0" w:tplc="9CC84C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1" w15:restartNumberingAfterBreak="0">
    <w:nsid w:val="6FAE2E6E"/>
    <w:multiLevelType w:val="multilevel"/>
    <w:tmpl w:val="DF602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FDE5EAB"/>
    <w:multiLevelType w:val="hybridMultilevel"/>
    <w:tmpl w:val="2F7028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15:restartNumberingAfterBreak="0">
    <w:nsid w:val="7021753D"/>
    <w:multiLevelType w:val="multilevel"/>
    <w:tmpl w:val="E9F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1C1570E"/>
    <w:multiLevelType w:val="multilevel"/>
    <w:tmpl w:val="06183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24B046A"/>
    <w:multiLevelType w:val="multilevel"/>
    <w:tmpl w:val="EF484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250410A"/>
    <w:multiLevelType w:val="hybridMultilevel"/>
    <w:tmpl w:val="F1AC0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2FC075D"/>
    <w:multiLevelType w:val="multilevel"/>
    <w:tmpl w:val="58D66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31A7C4E"/>
    <w:multiLevelType w:val="hybridMultilevel"/>
    <w:tmpl w:val="6360B626"/>
    <w:lvl w:ilvl="0" w:tplc="3D2296B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9" w15:restartNumberingAfterBreak="0">
    <w:nsid w:val="733E703E"/>
    <w:multiLevelType w:val="multilevel"/>
    <w:tmpl w:val="9ADC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3747C46"/>
    <w:multiLevelType w:val="hybridMultilevel"/>
    <w:tmpl w:val="CAD0306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46F1813"/>
    <w:multiLevelType w:val="hybridMultilevel"/>
    <w:tmpl w:val="945E4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4A357F9"/>
    <w:multiLevelType w:val="hybridMultilevel"/>
    <w:tmpl w:val="B786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4AF1E41"/>
    <w:multiLevelType w:val="hybridMultilevel"/>
    <w:tmpl w:val="7E58620E"/>
    <w:lvl w:ilvl="0" w:tplc="D69EF43E">
      <w:start w:val="1"/>
      <w:numFmt w:val="lowerLetter"/>
      <w:lvlText w:val="%1."/>
      <w:lvlJc w:val="left"/>
      <w:pPr>
        <w:ind w:left="540" w:hanging="360"/>
      </w:pPr>
      <w:rPr>
        <w:rFonts w:eastAsia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4" w15:restartNumberingAfterBreak="0">
    <w:nsid w:val="752978D8"/>
    <w:multiLevelType w:val="hybridMultilevel"/>
    <w:tmpl w:val="4472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631135E"/>
    <w:multiLevelType w:val="hybridMultilevel"/>
    <w:tmpl w:val="8182B7C6"/>
    <w:lvl w:ilvl="0" w:tplc="9B50ED72">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6" w15:restartNumberingAfterBreak="0">
    <w:nsid w:val="76600A71"/>
    <w:multiLevelType w:val="multilevel"/>
    <w:tmpl w:val="A8FC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6711965"/>
    <w:multiLevelType w:val="hybridMultilevel"/>
    <w:tmpl w:val="38C442A6"/>
    <w:lvl w:ilvl="0" w:tplc="35322FC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7541733"/>
    <w:multiLevelType w:val="hybridMultilevel"/>
    <w:tmpl w:val="5C966FAC"/>
    <w:lvl w:ilvl="0" w:tplc="D3504C3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818096D"/>
    <w:multiLevelType w:val="multilevel"/>
    <w:tmpl w:val="96D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8A35D9B"/>
    <w:multiLevelType w:val="hybridMultilevel"/>
    <w:tmpl w:val="6360B626"/>
    <w:lvl w:ilvl="0" w:tplc="FFFFFFFF">
      <w:start w:val="1"/>
      <w:numFmt w:val="decimal"/>
      <w:lvlText w:val="%1."/>
      <w:lvlJc w:val="left"/>
      <w:pPr>
        <w:ind w:left="1440" w:hanging="360"/>
      </w:pPr>
      <w:rPr>
        <w:rFonts w:ascii="Times New Roman" w:hAnsi="Times New Roman" w:hint="default"/>
        <w:b w:val="0"/>
        <w:i w:val="0"/>
        <w:caps w:val="0"/>
        <w:strike w:val="0"/>
        <w:dstrike w:val="0"/>
        <w:vanish w:val="0"/>
        <w:color w:val="auto"/>
        <w:sz w:val="24"/>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1" w15:restartNumberingAfterBreak="0">
    <w:nsid w:val="78B1639A"/>
    <w:multiLevelType w:val="multilevel"/>
    <w:tmpl w:val="92427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99E6536"/>
    <w:multiLevelType w:val="hybridMultilevel"/>
    <w:tmpl w:val="CDCC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A1E1BA7"/>
    <w:multiLevelType w:val="hybridMultilevel"/>
    <w:tmpl w:val="73C02658"/>
    <w:lvl w:ilvl="0" w:tplc="CBECC3D2">
      <w:start w:val="1"/>
      <w:numFmt w:val="decimal"/>
      <w:lvlText w:val="%1."/>
      <w:lvlJc w:val="left"/>
      <w:pPr>
        <w:ind w:left="720" w:hanging="360"/>
      </w:pPr>
      <w:rPr>
        <w:rFonts w:asciiTheme="minorHAnsi" w:eastAsiaTheme="minorHAnsi" w:hAnsiTheme="minorHAnsi" w:cstheme="minorBidi"/>
      </w:rPr>
    </w:lvl>
    <w:lvl w:ilvl="1" w:tplc="396AE8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A527116"/>
    <w:multiLevelType w:val="multilevel"/>
    <w:tmpl w:val="2F1CB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AFC7652"/>
    <w:multiLevelType w:val="multilevel"/>
    <w:tmpl w:val="0CA4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B1110D4"/>
    <w:multiLevelType w:val="multilevel"/>
    <w:tmpl w:val="6B8A0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B9A1307"/>
    <w:multiLevelType w:val="hybridMultilevel"/>
    <w:tmpl w:val="1A6E2BFC"/>
    <w:lvl w:ilvl="0" w:tplc="36747E8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8" w15:restartNumberingAfterBreak="0">
    <w:nsid w:val="7C226C1F"/>
    <w:multiLevelType w:val="multilevel"/>
    <w:tmpl w:val="56A46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2431A0"/>
    <w:multiLevelType w:val="hybridMultilevel"/>
    <w:tmpl w:val="196CA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C8F3B7F"/>
    <w:multiLevelType w:val="hybridMultilevel"/>
    <w:tmpl w:val="AC909DF0"/>
    <w:lvl w:ilvl="0" w:tplc="F47E0ECA">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1" w15:restartNumberingAfterBreak="0">
    <w:nsid w:val="7CA22D22"/>
    <w:multiLevelType w:val="hybridMultilevel"/>
    <w:tmpl w:val="6418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D3118DD"/>
    <w:multiLevelType w:val="hybridMultilevel"/>
    <w:tmpl w:val="35543870"/>
    <w:lvl w:ilvl="0" w:tplc="5DCCF948">
      <w:start w:val="1"/>
      <w:numFmt w:val="decimal"/>
      <w:lvlText w:val="%1."/>
      <w:lvlJc w:val="right"/>
      <w:pPr>
        <w:ind w:left="720" w:hanging="360"/>
      </w:pPr>
      <w:rPr>
        <w:rFonts w:ascii="Times New Roman" w:hAnsi="Times New Roman" w:hint="default"/>
        <w:b w:val="0"/>
        <w:i w:val="0"/>
        <w:caps w:val="0"/>
        <w:strike w:val="0"/>
        <w:dstrike w:val="0"/>
        <w:vanish w:val="0"/>
        <w:sz w:val="2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9203894">
    <w:abstractNumId w:val="226"/>
  </w:num>
  <w:num w:numId="2" w16cid:durableId="401223789">
    <w:abstractNumId w:val="4"/>
  </w:num>
  <w:num w:numId="3" w16cid:durableId="9382024">
    <w:abstractNumId w:val="15"/>
  </w:num>
  <w:num w:numId="4" w16cid:durableId="1070226070">
    <w:abstractNumId w:val="201"/>
  </w:num>
  <w:num w:numId="5" w16cid:durableId="685861268">
    <w:abstractNumId w:val="155"/>
  </w:num>
  <w:num w:numId="6" w16cid:durableId="986936625">
    <w:abstractNumId w:val="78"/>
  </w:num>
  <w:num w:numId="7" w16cid:durableId="1414277738">
    <w:abstractNumId w:val="169"/>
  </w:num>
  <w:num w:numId="8" w16cid:durableId="1776290572">
    <w:abstractNumId w:val="194"/>
  </w:num>
  <w:num w:numId="9" w16cid:durableId="2041851987">
    <w:abstractNumId w:val="183"/>
  </w:num>
  <w:num w:numId="10" w16cid:durableId="1611937081">
    <w:abstractNumId w:val="175"/>
  </w:num>
  <w:num w:numId="11" w16cid:durableId="584454644">
    <w:abstractNumId w:val="83"/>
  </w:num>
  <w:num w:numId="12" w16cid:durableId="1602032410">
    <w:abstractNumId w:val="217"/>
  </w:num>
  <w:num w:numId="13" w16cid:durableId="1940142684">
    <w:abstractNumId w:val="21"/>
  </w:num>
  <w:num w:numId="14" w16cid:durableId="1177354444">
    <w:abstractNumId w:val="67"/>
  </w:num>
  <w:num w:numId="15" w16cid:durableId="2115905354">
    <w:abstractNumId w:val="68"/>
  </w:num>
  <w:num w:numId="16" w16cid:durableId="1592540948">
    <w:abstractNumId w:val="23"/>
  </w:num>
  <w:num w:numId="17" w16cid:durableId="1304315420">
    <w:abstractNumId w:val="58"/>
  </w:num>
  <w:num w:numId="18" w16cid:durableId="1027408149">
    <w:abstractNumId w:val="188"/>
  </w:num>
  <w:num w:numId="19" w16cid:durableId="387807078">
    <w:abstractNumId w:val="107"/>
  </w:num>
  <w:num w:numId="20" w16cid:durableId="1495683978">
    <w:abstractNumId w:val="179"/>
  </w:num>
  <w:num w:numId="21" w16cid:durableId="1244298619">
    <w:abstractNumId w:val="36"/>
  </w:num>
  <w:num w:numId="22" w16cid:durableId="2108890959">
    <w:abstractNumId w:val="212"/>
  </w:num>
  <w:num w:numId="23" w16cid:durableId="1366828087">
    <w:abstractNumId w:val="150"/>
  </w:num>
  <w:num w:numId="24" w16cid:durableId="760759352">
    <w:abstractNumId w:val="208"/>
  </w:num>
  <w:num w:numId="25" w16cid:durableId="2074543105">
    <w:abstractNumId w:val="256"/>
  </w:num>
  <w:num w:numId="26" w16cid:durableId="818764711">
    <w:abstractNumId w:val="151"/>
  </w:num>
  <w:num w:numId="27" w16cid:durableId="1625580615">
    <w:abstractNumId w:val="229"/>
  </w:num>
  <w:num w:numId="28" w16cid:durableId="1923563643">
    <w:abstractNumId w:val="166"/>
  </w:num>
  <w:num w:numId="29" w16cid:durableId="2106534699">
    <w:abstractNumId w:val="60"/>
  </w:num>
  <w:num w:numId="30" w16cid:durableId="1251040318">
    <w:abstractNumId w:val="200"/>
  </w:num>
  <w:num w:numId="31" w16cid:durableId="325985677">
    <w:abstractNumId w:val="198"/>
  </w:num>
  <w:num w:numId="32" w16cid:durableId="1054893947">
    <w:abstractNumId w:val="24"/>
  </w:num>
  <w:num w:numId="33" w16cid:durableId="105662125">
    <w:abstractNumId w:val="34"/>
  </w:num>
  <w:num w:numId="34" w16cid:durableId="1446001415">
    <w:abstractNumId w:val="19"/>
  </w:num>
  <w:num w:numId="35" w16cid:durableId="447431711">
    <w:abstractNumId w:val="105"/>
  </w:num>
  <w:num w:numId="36" w16cid:durableId="536164368">
    <w:abstractNumId w:val="95"/>
  </w:num>
  <w:num w:numId="37" w16cid:durableId="1751003604">
    <w:abstractNumId w:val="245"/>
  </w:num>
  <w:num w:numId="38" w16cid:durableId="852451894">
    <w:abstractNumId w:val="180"/>
  </w:num>
  <w:num w:numId="39" w16cid:durableId="1564874145">
    <w:abstractNumId w:val="144"/>
  </w:num>
  <w:num w:numId="40" w16cid:durableId="44568138">
    <w:abstractNumId w:val="45"/>
  </w:num>
  <w:num w:numId="41" w16cid:durableId="1540824810">
    <w:abstractNumId w:val="199"/>
  </w:num>
  <w:num w:numId="42" w16cid:durableId="191572144">
    <w:abstractNumId w:val="74"/>
  </w:num>
  <w:num w:numId="43" w16cid:durableId="1872761635">
    <w:abstractNumId w:val="228"/>
  </w:num>
  <w:num w:numId="44" w16cid:durableId="1499225912">
    <w:abstractNumId w:val="195"/>
  </w:num>
  <w:num w:numId="45" w16cid:durableId="205993676">
    <w:abstractNumId w:val="101"/>
  </w:num>
  <w:num w:numId="46" w16cid:durableId="1030498608">
    <w:abstractNumId w:val="264"/>
  </w:num>
  <w:num w:numId="47" w16cid:durableId="125321071">
    <w:abstractNumId w:val="137"/>
  </w:num>
  <w:num w:numId="48" w16cid:durableId="365371597">
    <w:abstractNumId w:val="140"/>
  </w:num>
  <w:num w:numId="49" w16cid:durableId="1011906297">
    <w:abstractNumId w:val="2"/>
  </w:num>
  <w:num w:numId="50" w16cid:durableId="85424319">
    <w:abstractNumId w:val="266"/>
  </w:num>
  <w:num w:numId="51" w16cid:durableId="367612778">
    <w:abstractNumId w:val="3"/>
  </w:num>
  <w:num w:numId="52" w16cid:durableId="608589616">
    <w:abstractNumId w:val="134"/>
  </w:num>
  <w:num w:numId="53" w16cid:durableId="25762411">
    <w:abstractNumId w:val="187"/>
  </w:num>
  <w:num w:numId="54" w16cid:durableId="668481163">
    <w:abstractNumId w:val="117"/>
  </w:num>
  <w:num w:numId="55" w16cid:durableId="17704805">
    <w:abstractNumId w:val="135"/>
  </w:num>
  <w:num w:numId="56" w16cid:durableId="460735882">
    <w:abstractNumId w:val="43"/>
  </w:num>
  <w:num w:numId="57" w16cid:durableId="848107090">
    <w:abstractNumId w:val="268"/>
  </w:num>
  <w:num w:numId="58" w16cid:durableId="1035231286">
    <w:abstractNumId w:val="39"/>
  </w:num>
  <w:num w:numId="59" w16cid:durableId="362053465">
    <w:abstractNumId w:val="11"/>
  </w:num>
  <w:num w:numId="60" w16cid:durableId="71701046">
    <w:abstractNumId w:val="153"/>
  </w:num>
  <w:num w:numId="61" w16cid:durableId="1714690398">
    <w:abstractNumId w:val="211"/>
  </w:num>
  <w:num w:numId="62" w16cid:durableId="983503675">
    <w:abstractNumId w:val="243"/>
  </w:num>
  <w:num w:numId="63" w16cid:durableId="1081100318">
    <w:abstractNumId w:val="219"/>
  </w:num>
  <w:num w:numId="64" w16cid:durableId="52198900">
    <w:abstractNumId w:val="259"/>
  </w:num>
  <w:num w:numId="65" w16cid:durableId="1192232143">
    <w:abstractNumId w:val="30"/>
  </w:num>
  <w:num w:numId="66" w16cid:durableId="1071082367">
    <w:abstractNumId w:val="120"/>
  </w:num>
  <w:num w:numId="67" w16cid:durableId="783965898">
    <w:abstractNumId w:val="136"/>
  </w:num>
  <w:num w:numId="68" w16cid:durableId="859396636">
    <w:abstractNumId w:val="92"/>
  </w:num>
  <w:num w:numId="69" w16cid:durableId="1356880185">
    <w:abstractNumId w:val="128"/>
  </w:num>
  <w:num w:numId="70" w16cid:durableId="198052101">
    <w:abstractNumId w:val="76"/>
  </w:num>
  <w:num w:numId="71" w16cid:durableId="1050611238">
    <w:abstractNumId w:val="133"/>
  </w:num>
  <w:num w:numId="72" w16cid:durableId="1758943099">
    <w:abstractNumId w:val="26"/>
  </w:num>
  <w:num w:numId="73" w16cid:durableId="1670907952">
    <w:abstractNumId w:val="7"/>
  </w:num>
  <w:num w:numId="74" w16cid:durableId="1023633451">
    <w:abstractNumId w:val="142"/>
  </w:num>
  <w:num w:numId="75" w16cid:durableId="1914775937">
    <w:abstractNumId w:val="56"/>
  </w:num>
  <w:num w:numId="76" w16cid:durableId="2039312533">
    <w:abstractNumId w:val="265"/>
  </w:num>
  <w:num w:numId="77" w16cid:durableId="221336063">
    <w:abstractNumId w:val="192"/>
  </w:num>
  <w:num w:numId="78" w16cid:durableId="2023781793">
    <w:abstractNumId w:val="230"/>
  </w:num>
  <w:num w:numId="79" w16cid:durableId="1596745580">
    <w:abstractNumId w:val="218"/>
  </w:num>
  <w:num w:numId="80" w16cid:durableId="2142769534">
    <w:abstractNumId w:val="113"/>
  </w:num>
  <w:num w:numId="81" w16cid:durableId="661470715">
    <w:abstractNumId w:val="158"/>
  </w:num>
  <w:num w:numId="82" w16cid:durableId="449084427">
    <w:abstractNumId w:val="50"/>
  </w:num>
  <w:num w:numId="83" w16cid:durableId="942343480">
    <w:abstractNumId w:val="20"/>
  </w:num>
  <w:num w:numId="84" w16cid:durableId="1446343060">
    <w:abstractNumId w:val="244"/>
  </w:num>
  <w:num w:numId="85" w16cid:durableId="1195848496">
    <w:abstractNumId w:val="90"/>
  </w:num>
  <w:num w:numId="86" w16cid:durableId="481506772">
    <w:abstractNumId w:val="247"/>
  </w:num>
  <w:num w:numId="87" w16cid:durableId="1475177786">
    <w:abstractNumId w:val="167"/>
  </w:num>
  <w:num w:numId="88" w16cid:durableId="932516558">
    <w:abstractNumId w:val="99"/>
  </w:num>
  <w:num w:numId="89" w16cid:durableId="1500269564">
    <w:abstractNumId w:val="89"/>
  </w:num>
  <w:num w:numId="90" w16cid:durableId="1443650008">
    <w:abstractNumId w:val="122"/>
  </w:num>
  <w:num w:numId="91" w16cid:durableId="292097606">
    <w:abstractNumId w:val="12"/>
  </w:num>
  <w:num w:numId="92" w16cid:durableId="2134128233">
    <w:abstractNumId w:val="221"/>
  </w:num>
  <w:num w:numId="93" w16cid:durableId="1273785365">
    <w:abstractNumId w:val="123"/>
  </w:num>
  <w:num w:numId="94" w16cid:durableId="1504783018">
    <w:abstractNumId w:val="32"/>
  </w:num>
  <w:num w:numId="95" w16cid:durableId="875200147">
    <w:abstractNumId w:val="115"/>
    <w:lvlOverride w:ilvl="0">
      <w:startOverride w:val="1"/>
    </w:lvlOverride>
  </w:num>
  <w:num w:numId="96" w16cid:durableId="1679624815">
    <w:abstractNumId w:val="64"/>
  </w:num>
  <w:num w:numId="97" w16cid:durableId="1699895658">
    <w:abstractNumId w:val="115"/>
  </w:num>
  <w:num w:numId="98" w16cid:durableId="378895318">
    <w:abstractNumId w:val="77"/>
  </w:num>
  <w:num w:numId="99" w16cid:durableId="484668922">
    <w:abstractNumId w:val="47"/>
  </w:num>
  <w:num w:numId="100" w16cid:durableId="894659093">
    <w:abstractNumId w:val="87"/>
  </w:num>
  <w:num w:numId="101" w16cid:durableId="1902784421">
    <w:abstractNumId w:val="115"/>
    <w:lvlOverride w:ilvl="0">
      <w:startOverride w:val="1"/>
    </w:lvlOverride>
  </w:num>
  <w:num w:numId="102" w16cid:durableId="724378695">
    <w:abstractNumId w:val="84"/>
  </w:num>
  <w:num w:numId="103" w16cid:durableId="1718819258">
    <w:abstractNumId w:val="112"/>
  </w:num>
  <w:num w:numId="104" w16cid:durableId="120996781">
    <w:abstractNumId w:val="138"/>
  </w:num>
  <w:num w:numId="105" w16cid:durableId="2125923017">
    <w:abstractNumId w:val="115"/>
    <w:lvlOverride w:ilvl="0">
      <w:startOverride w:val="1"/>
    </w:lvlOverride>
  </w:num>
  <w:num w:numId="106" w16cid:durableId="437943847">
    <w:abstractNumId w:val="149"/>
  </w:num>
  <w:num w:numId="107" w16cid:durableId="905988957">
    <w:abstractNumId w:val="168"/>
  </w:num>
  <w:num w:numId="108" w16cid:durableId="1845364567">
    <w:abstractNumId w:val="186"/>
  </w:num>
  <w:num w:numId="109" w16cid:durableId="1068110009">
    <w:abstractNumId w:val="214"/>
  </w:num>
  <w:num w:numId="110" w16cid:durableId="1844860032">
    <w:abstractNumId w:val="262"/>
  </w:num>
  <w:num w:numId="111" w16cid:durableId="1243904335">
    <w:abstractNumId w:val="178"/>
  </w:num>
  <w:num w:numId="112" w16cid:durableId="160700726">
    <w:abstractNumId w:val="40"/>
  </w:num>
  <w:num w:numId="113" w16cid:durableId="397942364">
    <w:abstractNumId w:val="73"/>
  </w:num>
  <w:num w:numId="114" w16cid:durableId="833111923">
    <w:abstractNumId w:val="82"/>
  </w:num>
  <w:num w:numId="115" w16cid:durableId="1430197550">
    <w:abstractNumId w:val="115"/>
    <w:lvlOverride w:ilvl="0">
      <w:startOverride w:val="10"/>
    </w:lvlOverride>
  </w:num>
  <w:num w:numId="116" w16cid:durableId="1289778180">
    <w:abstractNumId w:val="225"/>
  </w:num>
  <w:num w:numId="117" w16cid:durableId="1253854931">
    <w:abstractNumId w:val="100"/>
  </w:num>
  <w:num w:numId="118" w16cid:durableId="1525048560">
    <w:abstractNumId w:val="176"/>
  </w:num>
  <w:num w:numId="119" w16cid:durableId="239363937">
    <w:abstractNumId w:val="132"/>
  </w:num>
  <w:num w:numId="120" w16cid:durableId="964194170">
    <w:abstractNumId w:val="156"/>
  </w:num>
  <w:num w:numId="121" w16cid:durableId="270868153">
    <w:abstractNumId w:val="75"/>
  </w:num>
  <w:num w:numId="122" w16cid:durableId="1604848701">
    <w:abstractNumId w:val="37"/>
  </w:num>
  <w:num w:numId="123" w16cid:durableId="1220283125">
    <w:abstractNumId w:val="220"/>
  </w:num>
  <w:num w:numId="124" w16cid:durableId="1050037095">
    <w:abstractNumId w:val="267"/>
  </w:num>
  <w:num w:numId="125" w16cid:durableId="739600475">
    <w:abstractNumId w:val="119"/>
  </w:num>
  <w:num w:numId="126" w16cid:durableId="1711615223">
    <w:abstractNumId w:val="202"/>
  </w:num>
  <w:num w:numId="127" w16cid:durableId="1463381049">
    <w:abstractNumId w:val="115"/>
    <w:lvlOverride w:ilvl="0">
      <w:startOverride w:val="1"/>
    </w:lvlOverride>
  </w:num>
  <w:num w:numId="128" w16cid:durableId="77942983">
    <w:abstractNumId w:val="193"/>
  </w:num>
  <w:num w:numId="129" w16cid:durableId="2116561328">
    <w:abstractNumId w:val="203"/>
  </w:num>
  <w:num w:numId="130" w16cid:durableId="238713194">
    <w:abstractNumId w:val="115"/>
    <w:lvlOverride w:ilvl="0">
      <w:startOverride w:val="1"/>
    </w:lvlOverride>
  </w:num>
  <w:num w:numId="131" w16cid:durableId="2013532682">
    <w:abstractNumId w:val="115"/>
    <w:lvlOverride w:ilvl="0">
      <w:startOverride w:val="1"/>
    </w:lvlOverride>
  </w:num>
  <w:num w:numId="132" w16cid:durableId="636108648">
    <w:abstractNumId w:val="38"/>
  </w:num>
  <w:num w:numId="133" w16cid:durableId="1352759692">
    <w:abstractNumId w:val="115"/>
    <w:lvlOverride w:ilvl="0">
      <w:startOverride w:val="1"/>
    </w:lvlOverride>
  </w:num>
  <w:num w:numId="134" w16cid:durableId="865097453">
    <w:abstractNumId w:val="28"/>
  </w:num>
  <w:num w:numId="135" w16cid:durableId="1894736487">
    <w:abstractNumId w:val="207"/>
  </w:num>
  <w:num w:numId="136" w16cid:durableId="204411027">
    <w:abstractNumId w:val="206"/>
  </w:num>
  <w:num w:numId="137" w16cid:durableId="686903082">
    <w:abstractNumId w:val="115"/>
    <w:lvlOverride w:ilvl="0">
      <w:startOverride w:val="1"/>
    </w:lvlOverride>
  </w:num>
  <w:num w:numId="138" w16cid:durableId="1134061312">
    <w:abstractNumId w:val="184"/>
  </w:num>
  <w:num w:numId="139" w16cid:durableId="21174130">
    <w:abstractNumId w:val="216"/>
  </w:num>
  <w:num w:numId="140" w16cid:durableId="51388214">
    <w:abstractNumId w:val="154"/>
  </w:num>
  <w:num w:numId="141" w16cid:durableId="1073238086">
    <w:abstractNumId w:val="248"/>
  </w:num>
  <w:num w:numId="142" w16cid:durableId="1396003320">
    <w:abstractNumId w:val="227"/>
  </w:num>
  <w:num w:numId="143" w16cid:durableId="1421491125">
    <w:abstractNumId w:val="111"/>
  </w:num>
  <w:num w:numId="144" w16cid:durableId="2141266460">
    <w:abstractNumId w:val="25"/>
  </w:num>
  <w:num w:numId="145" w16cid:durableId="1176845238">
    <w:abstractNumId w:val="55"/>
  </w:num>
  <w:num w:numId="146" w16cid:durableId="1251700054">
    <w:abstractNumId w:val="272"/>
  </w:num>
  <w:num w:numId="147" w16cid:durableId="1557862607">
    <w:abstractNumId w:val="94"/>
  </w:num>
  <w:num w:numId="148" w16cid:durableId="1646012217">
    <w:abstractNumId w:val="255"/>
  </w:num>
  <w:num w:numId="149" w16cid:durableId="1384137535">
    <w:abstractNumId w:val="172"/>
  </w:num>
  <w:num w:numId="150" w16cid:durableId="1159881867">
    <w:abstractNumId w:val="240"/>
  </w:num>
  <w:num w:numId="151" w16cid:durableId="1283419532">
    <w:abstractNumId w:val="29"/>
  </w:num>
  <w:num w:numId="152" w16cid:durableId="1439131721">
    <w:abstractNumId w:val="224"/>
  </w:num>
  <w:num w:numId="153" w16cid:durableId="1338995076">
    <w:abstractNumId w:val="222"/>
  </w:num>
  <w:num w:numId="154" w16cid:durableId="1904564271">
    <w:abstractNumId w:val="41"/>
  </w:num>
  <w:num w:numId="155" w16cid:durableId="463037358">
    <w:abstractNumId w:val="10"/>
  </w:num>
  <w:num w:numId="156" w16cid:durableId="1160922290">
    <w:abstractNumId w:val="190"/>
  </w:num>
  <w:num w:numId="157" w16cid:durableId="116611636">
    <w:abstractNumId w:val="146"/>
  </w:num>
  <w:num w:numId="158" w16cid:durableId="669873563">
    <w:abstractNumId w:val="271"/>
  </w:num>
  <w:num w:numId="159" w16cid:durableId="434402979">
    <w:abstractNumId w:val="65"/>
  </w:num>
  <w:num w:numId="160" w16cid:durableId="1793747098">
    <w:abstractNumId w:val="115"/>
    <w:lvlOverride w:ilvl="0">
      <w:startOverride w:val="1"/>
    </w:lvlOverride>
  </w:num>
  <w:num w:numId="161" w16cid:durableId="1590851534">
    <w:abstractNumId w:val="115"/>
    <w:lvlOverride w:ilvl="0">
      <w:startOverride w:val="1"/>
    </w:lvlOverride>
  </w:num>
  <w:num w:numId="162" w16cid:durableId="2088455512">
    <w:abstractNumId w:val="115"/>
    <w:lvlOverride w:ilvl="0">
      <w:startOverride w:val="1"/>
    </w:lvlOverride>
  </w:num>
  <w:num w:numId="163" w16cid:durableId="812067582">
    <w:abstractNumId w:val="115"/>
    <w:lvlOverride w:ilvl="0">
      <w:startOverride w:val="7"/>
    </w:lvlOverride>
  </w:num>
  <w:num w:numId="164" w16cid:durableId="396784216">
    <w:abstractNumId w:val="164"/>
  </w:num>
  <w:num w:numId="165" w16cid:durableId="386144906">
    <w:abstractNumId w:val="263"/>
  </w:num>
  <w:num w:numId="166" w16cid:durableId="69891617">
    <w:abstractNumId w:val="157"/>
  </w:num>
  <w:num w:numId="167" w16cid:durableId="1043863568">
    <w:abstractNumId w:val="70"/>
  </w:num>
  <w:num w:numId="168" w16cid:durableId="643775007">
    <w:abstractNumId w:val="141"/>
  </w:num>
  <w:num w:numId="169" w16cid:durableId="108011525">
    <w:abstractNumId w:val="57"/>
  </w:num>
  <w:num w:numId="170" w16cid:durableId="2096244476">
    <w:abstractNumId w:val="171"/>
  </w:num>
  <w:num w:numId="171" w16cid:durableId="1697194572">
    <w:abstractNumId w:val="13"/>
  </w:num>
  <w:num w:numId="172" w16cid:durableId="967205673">
    <w:abstractNumId w:val="236"/>
  </w:num>
  <w:num w:numId="173" w16cid:durableId="141191316">
    <w:abstractNumId w:val="51"/>
  </w:num>
  <w:num w:numId="174" w16cid:durableId="351030112">
    <w:abstractNumId w:val="8"/>
  </w:num>
  <w:num w:numId="175" w16cid:durableId="1880436767">
    <w:abstractNumId w:val="106"/>
  </w:num>
  <w:num w:numId="176" w16cid:durableId="847906057">
    <w:abstractNumId w:val="223"/>
  </w:num>
  <w:num w:numId="177" w16cid:durableId="825903099">
    <w:abstractNumId w:val="177"/>
  </w:num>
  <w:num w:numId="178" w16cid:durableId="5404590">
    <w:abstractNumId w:val="104"/>
  </w:num>
  <w:num w:numId="179" w16cid:durableId="2089182537">
    <w:abstractNumId w:val="91"/>
  </w:num>
  <w:num w:numId="180" w16cid:durableId="1090350015">
    <w:abstractNumId w:val="181"/>
  </w:num>
  <w:num w:numId="181" w16cid:durableId="1453547863">
    <w:abstractNumId w:val="18"/>
  </w:num>
  <w:num w:numId="182" w16cid:durableId="531194004">
    <w:abstractNumId w:val="251"/>
  </w:num>
  <w:num w:numId="183" w16cid:durableId="2047287278">
    <w:abstractNumId w:val="233"/>
  </w:num>
  <w:num w:numId="184" w16cid:durableId="1696492455">
    <w:abstractNumId w:val="85"/>
  </w:num>
  <w:num w:numId="185" w16cid:durableId="1826699860">
    <w:abstractNumId w:val="115"/>
    <w:lvlOverride w:ilvl="0">
      <w:startOverride w:val="1"/>
    </w:lvlOverride>
  </w:num>
  <w:num w:numId="186" w16cid:durableId="773864556">
    <w:abstractNumId w:val="115"/>
    <w:lvlOverride w:ilvl="0">
      <w:startOverride w:val="1"/>
    </w:lvlOverride>
  </w:num>
  <w:num w:numId="187" w16cid:durableId="767583731">
    <w:abstractNumId w:val="115"/>
    <w:lvlOverride w:ilvl="0">
      <w:startOverride w:val="1"/>
    </w:lvlOverride>
  </w:num>
  <w:num w:numId="188" w16cid:durableId="371273266">
    <w:abstractNumId w:val="115"/>
    <w:lvlOverride w:ilvl="0">
      <w:startOverride w:val="1"/>
    </w:lvlOverride>
  </w:num>
  <w:num w:numId="189" w16cid:durableId="1880118660">
    <w:abstractNumId w:val="61"/>
  </w:num>
  <w:num w:numId="190" w16cid:durableId="1452943262">
    <w:abstractNumId w:val="260"/>
  </w:num>
  <w:num w:numId="191" w16cid:durableId="387265091">
    <w:abstractNumId w:val="270"/>
  </w:num>
  <w:num w:numId="192" w16cid:durableId="1674642398">
    <w:abstractNumId w:val="6"/>
  </w:num>
  <w:num w:numId="193" w16cid:durableId="834808296">
    <w:abstractNumId w:val="235"/>
  </w:num>
  <w:num w:numId="194" w16cid:durableId="89084205">
    <w:abstractNumId w:val="242"/>
  </w:num>
  <w:num w:numId="195" w16cid:durableId="61563819">
    <w:abstractNumId w:val="252"/>
  </w:num>
  <w:num w:numId="196" w16cid:durableId="66390177">
    <w:abstractNumId w:val="17"/>
  </w:num>
  <w:num w:numId="197" w16cid:durableId="687103333">
    <w:abstractNumId w:val="109"/>
  </w:num>
  <w:num w:numId="198" w16cid:durableId="1808544871">
    <w:abstractNumId w:val="143"/>
  </w:num>
  <w:num w:numId="199" w16cid:durableId="1855722623">
    <w:abstractNumId w:val="239"/>
  </w:num>
  <w:num w:numId="200" w16cid:durableId="340815426">
    <w:abstractNumId w:val="110"/>
  </w:num>
  <w:num w:numId="201" w16cid:durableId="1328166680">
    <w:abstractNumId w:val="234"/>
  </w:num>
  <w:num w:numId="202" w16cid:durableId="1060130578">
    <w:abstractNumId w:val="93"/>
  </w:num>
  <w:num w:numId="203" w16cid:durableId="126320202">
    <w:abstractNumId w:val="130"/>
  </w:num>
  <w:num w:numId="204" w16cid:durableId="246037886">
    <w:abstractNumId w:val="232"/>
  </w:num>
  <w:num w:numId="205" w16cid:durableId="582880448">
    <w:abstractNumId w:val="249"/>
  </w:num>
  <w:num w:numId="206" w16cid:durableId="1211576814">
    <w:abstractNumId w:val="62"/>
  </w:num>
  <w:num w:numId="207" w16cid:durableId="722798277">
    <w:abstractNumId w:val="44"/>
  </w:num>
  <w:num w:numId="208" w16cid:durableId="2019036015">
    <w:abstractNumId w:val="129"/>
  </w:num>
  <w:num w:numId="209" w16cid:durableId="522208490">
    <w:abstractNumId w:val="88"/>
  </w:num>
  <w:num w:numId="210" w16cid:durableId="1403988783">
    <w:abstractNumId w:val="250"/>
  </w:num>
  <w:num w:numId="211" w16cid:durableId="578641054">
    <w:abstractNumId w:val="98"/>
  </w:num>
  <w:num w:numId="212" w16cid:durableId="32390084">
    <w:abstractNumId w:val="191"/>
  </w:num>
  <w:num w:numId="213" w16cid:durableId="1224635744">
    <w:abstractNumId w:val="124"/>
  </w:num>
  <w:num w:numId="214" w16cid:durableId="213279557">
    <w:abstractNumId w:val="148"/>
  </w:num>
  <w:num w:numId="215" w16cid:durableId="1606765553">
    <w:abstractNumId w:val="46"/>
  </w:num>
  <w:num w:numId="216" w16cid:durableId="506137274">
    <w:abstractNumId w:val="162"/>
  </w:num>
  <w:num w:numId="217" w16cid:durableId="689990248">
    <w:abstractNumId w:val="210"/>
  </w:num>
  <w:num w:numId="218" w16cid:durableId="1688479275">
    <w:abstractNumId w:val="213"/>
  </w:num>
  <w:num w:numId="219" w16cid:durableId="639650845">
    <w:abstractNumId w:val="261"/>
  </w:num>
  <w:num w:numId="220" w16cid:durableId="607472211">
    <w:abstractNumId w:val="152"/>
  </w:num>
  <w:num w:numId="221" w16cid:durableId="1550993760">
    <w:abstractNumId w:val="16"/>
  </w:num>
  <w:num w:numId="222" w16cid:durableId="1758405312">
    <w:abstractNumId w:val="170"/>
  </w:num>
  <w:num w:numId="223" w16cid:durableId="1403723393">
    <w:abstractNumId w:val="79"/>
  </w:num>
  <w:num w:numId="224" w16cid:durableId="102504963">
    <w:abstractNumId w:val="163"/>
  </w:num>
  <w:num w:numId="225" w16cid:durableId="1269654726">
    <w:abstractNumId w:val="125"/>
  </w:num>
  <w:num w:numId="226" w16cid:durableId="679549434">
    <w:abstractNumId w:val="139"/>
  </w:num>
  <w:num w:numId="227" w16cid:durableId="1930968327">
    <w:abstractNumId w:val="253"/>
  </w:num>
  <w:num w:numId="228" w16cid:durableId="959729820">
    <w:abstractNumId w:val="27"/>
  </w:num>
  <w:num w:numId="229" w16cid:durableId="1223566412">
    <w:abstractNumId w:val="115"/>
    <w:lvlOverride w:ilvl="0">
      <w:startOverride w:val="1"/>
    </w:lvlOverride>
  </w:num>
  <w:num w:numId="230" w16cid:durableId="1255867992">
    <w:abstractNumId w:val="115"/>
    <w:lvlOverride w:ilvl="0">
      <w:startOverride w:val="1"/>
    </w:lvlOverride>
  </w:num>
  <w:num w:numId="231" w16cid:durableId="1845052254">
    <w:abstractNumId w:val="174"/>
  </w:num>
  <w:num w:numId="232" w16cid:durableId="768892914">
    <w:abstractNumId w:val="1"/>
  </w:num>
  <w:num w:numId="233" w16cid:durableId="2094546715">
    <w:abstractNumId w:val="9"/>
  </w:num>
  <w:num w:numId="234" w16cid:durableId="596446404">
    <w:abstractNumId w:val="215"/>
  </w:num>
  <w:num w:numId="235" w16cid:durableId="1896619331">
    <w:abstractNumId w:val="42"/>
  </w:num>
  <w:num w:numId="236" w16cid:durableId="48267249">
    <w:abstractNumId w:val="196"/>
  </w:num>
  <w:num w:numId="237" w16cid:durableId="1440103822">
    <w:abstractNumId w:val="160"/>
  </w:num>
  <w:num w:numId="238" w16cid:durableId="2000159602">
    <w:abstractNumId w:val="258"/>
  </w:num>
  <w:num w:numId="239" w16cid:durableId="673269573">
    <w:abstractNumId w:val="204"/>
  </w:num>
  <w:num w:numId="240" w16cid:durableId="711079307">
    <w:abstractNumId w:val="237"/>
  </w:num>
  <w:num w:numId="241" w16cid:durableId="1057513200">
    <w:abstractNumId w:val="48"/>
  </w:num>
  <w:num w:numId="242" w16cid:durableId="293609331">
    <w:abstractNumId w:val="241"/>
  </w:num>
  <w:num w:numId="243" w16cid:durableId="547113329">
    <w:abstractNumId w:val="22"/>
  </w:num>
  <w:num w:numId="244" w16cid:durableId="1225144656">
    <w:abstractNumId w:val="131"/>
  </w:num>
  <w:num w:numId="245" w16cid:durableId="1843812524">
    <w:abstractNumId w:val="35"/>
  </w:num>
  <w:num w:numId="246" w16cid:durableId="1465462790">
    <w:abstractNumId w:val="185"/>
  </w:num>
  <w:num w:numId="247" w16cid:durableId="1942102455">
    <w:abstractNumId w:val="59"/>
  </w:num>
  <w:num w:numId="248" w16cid:durableId="1943604051">
    <w:abstractNumId w:val="49"/>
  </w:num>
  <w:num w:numId="249" w16cid:durableId="21521798">
    <w:abstractNumId w:val="127"/>
  </w:num>
  <w:num w:numId="250" w16cid:durableId="1226067747">
    <w:abstractNumId w:val="165"/>
  </w:num>
  <w:num w:numId="251" w16cid:durableId="220022812">
    <w:abstractNumId w:val="145"/>
  </w:num>
  <w:num w:numId="252" w16cid:durableId="1401518859">
    <w:abstractNumId w:val="108"/>
  </w:num>
  <w:num w:numId="253" w16cid:durableId="1007176815">
    <w:abstractNumId w:val="116"/>
  </w:num>
  <w:num w:numId="254" w16cid:durableId="545605724">
    <w:abstractNumId w:val="14"/>
  </w:num>
  <w:num w:numId="255" w16cid:durableId="1469469063">
    <w:abstractNumId w:val="126"/>
  </w:num>
  <w:num w:numId="256" w16cid:durableId="1717776642">
    <w:abstractNumId w:val="33"/>
  </w:num>
  <w:num w:numId="257" w16cid:durableId="710689079">
    <w:abstractNumId w:val="114"/>
  </w:num>
  <w:num w:numId="258" w16cid:durableId="2027362002">
    <w:abstractNumId w:val="254"/>
  </w:num>
  <w:num w:numId="259" w16cid:durableId="879897839">
    <w:abstractNumId w:val="246"/>
  </w:num>
  <w:num w:numId="260" w16cid:durableId="1737128065">
    <w:abstractNumId w:val="231"/>
  </w:num>
  <w:num w:numId="261" w16cid:durableId="2027176173">
    <w:abstractNumId w:val="269"/>
  </w:num>
  <w:num w:numId="262" w16cid:durableId="1039817980">
    <w:abstractNumId w:val="5"/>
  </w:num>
  <w:num w:numId="263" w16cid:durableId="1854569369">
    <w:abstractNumId w:val="72"/>
  </w:num>
  <w:num w:numId="264" w16cid:durableId="584385265">
    <w:abstractNumId w:val="257"/>
  </w:num>
  <w:num w:numId="265" w16cid:durableId="793597199">
    <w:abstractNumId w:val="197"/>
  </w:num>
  <w:num w:numId="266" w16cid:durableId="1487552143">
    <w:abstractNumId w:val="71"/>
  </w:num>
  <w:num w:numId="267" w16cid:durableId="88552796">
    <w:abstractNumId w:val="69"/>
  </w:num>
  <w:num w:numId="268" w16cid:durableId="1913348156">
    <w:abstractNumId w:val="66"/>
  </w:num>
  <w:num w:numId="269" w16cid:durableId="225527995">
    <w:abstractNumId w:val="173"/>
  </w:num>
  <w:num w:numId="270" w16cid:durableId="1519151789">
    <w:abstractNumId w:val="189"/>
  </w:num>
  <w:num w:numId="271" w16cid:durableId="78991527">
    <w:abstractNumId w:val="118"/>
  </w:num>
  <w:num w:numId="272" w16cid:durableId="1224370014">
    <w:abstractNumId w:val="52"/>
  </w:num>
  <w:num w:numId="273" w16cid:durableId="640039858">
    <w:abstractNumId w:val="86"/>
  </w:num>
  <w:num w:numId="274" w16cid:durableId="601644970">
    <w:abstractNumId w:val="161"/>
  </w:num>
  <w:num w:numId="275" w16cid:durableId="545071299">
    <w:abstractNumId w:val="121"/>
  </w:num>
  <w:num w:numId="276" w16cid:durableId="1965574556">
    <w:abstractNumId w:val="53"/>
  </w:num>
  <w:num w:numId="277" w16cid:durableId="1721393692">
    <w:abstractNumId w:val="80"/>
  </w:num>
  <w:num w:numId="278" w16cid:durableId="1005716957">
    <w:abstractNumId w:val="31"/>
  </w:num>
  <w:num w:numId="279" w16cid:durableId="2100447401">
    <w:abstractNumId w:val="81"/>
  </w:num>
  <w:num w:numId="280" w16cid:durableId="962731613">
    <w:abstractNumId w:val="63"/>
  </w:num>
  <w:num w:numId="281" w16cid:durableId="1049916622">
    <w:abstractNumId w:val="54"/>
  </w:num>
  <w:num w:numId="282" w16cid:durableId="675813412">
    <w:abstractNumId w:val="96"/>
  </w:num>
  <w:num w:numId="283" w16cid:durableId="1204365887">
    <w:abstractNumId w:val="159"/>
  </w:num>
  <w:num w:numId="284" w16cid:durableId="1563172514">
    <w:abstractNumId w:val="102"/>
  </w:num>
  <w:num w:numId="285" w16cid:durableId="480122499">
    <w:abstractNumId w:val="97"/>
  </w:num>
  <w:num w:numId="286" w16cid:durableId="1116756963">
    <w:abstractNumId w:val="182"/>
  </w:num>
  <w:num w:numId="287" w16cid:durableId="1351179789">
    <w:abstractNumId w:val="238"/>
  </w:num>
  <w:num w:numId="288" w16cid:durableId="247160737">
    <w:abstractNumId w:val="205"/>
  </w:num>
  <w:num w:numId="289" w16cid:durableId="1869415068">
    <w:abstractNumId w:val="209"/>
  </w:num>
  <w:num w:numId="290" w16cid:durableId="1856382715">
    <w:abstractNumId w:val="147"/>
  </w:num>
  <w:num w:numId="291" w16cid:durableId="1289554330">
    <w:abstractNumId w:val="103"/>
  </w:num>
  <w:num w:numId="292" w16cid:durableId="15079447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s_Poshnjari">
    <w15:presenceInfo w15:providerId="AD" w15:userId="S-1-5-21-3733897063-428965121-3576362584-3626"/>
  </w15:person>
  <w15:person w15:author="Patris Poshnjari">
    <w15:presenceInfo w15:providerId="AD" w15:userId="S::Patris.Poshnjari@amf.gov.al::372a6b41-eee9-472a-8d18-6f15a8af8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2C"/>
    <w:rsid w:val="00000612"/>
    <w:rsid w:val="00000CB0"/>
    <w:rsid w:val="00003140"/>
    <w:rsid w:val="000032FA"/>
    <w:rsid w:val="00004C04"/>
    <w:rsid w:val="00005C1B"/>
    <w:rsid w:val="00005F33"/>
    <w:rsid w:val="00006B96"/>
    <w:rsid w:val="00010DB4"/>
    <w:rsid w:val="00011578"/>
    <w:rsid w:val="00012B4C"/>
    <w:rsid w:val="0001317C"/>
    <w:rsid w:val="00015AA2"/>
    <w:rsid w:val="000163BA"/>
    <w:rsid w:val="000232BC"/>
    <w:rsid w:val="00023626"/>
    <w:rsid w:val="000249E3"/>
    <w:rsid w:val="00027465"/>
    <w:rsid w:val="000279B7"/>
    <w:rsid w:val="00027DC2"/>
    <w:rsid w:val="00027E9F"/>
    <w:rsid w:val="00027ED9"/>
    <w:rsid w:val="00030A5C"/>
    <w:rsid w:val="000313D9"/>
    <w:rsid w:val="000336DA"/>
    <w:rsid w:val="0003400D"/>
    <w:rsid w:val="00036FC5"/>
    <w:rsid w:val="00040287"/>
    <w:rsid w:val="0004156F"/>
    <w:rsid w:val="00043545"/>
    <w:rsid w:val="0004425D"/>
    <w:rsid w:val="000458F6"/>
    <w:rsid w:val="00051B77"/>
    <w:rsid w:val="00052780"/>
    <w:rsid w:val="00053D19"/>
    <w:rsid w:val="00055DA7"/>
    <w:rsid w:val="00057978"/>
    <w:rsid w:val="0006033B"/>
    <w:rsid w:val="000607AD"/>
    <w:rsid w:val="0006198A"/>
    <w:rsid w:val="00065083"/>
    <w:rsid w:val="0006542A"/>
    <w:rsid w:val="00065BBB"/>
    <w:rsid w:val="0006649B"/>
    <w:rsid w:val="0006765C"/>
    <w:rsid w:val="00067AB8"/>
    <w:rsid w:val="00070663"/>
    <w:rsid w:val="00070892"/>
    <w:rsid w:val="00073017"/>
    <w:rsid w:val="00076A80"/>
    <w:rsid w:val="00076BDD"/>
    <w:rsid w:val="000771C3"/>
    <w:rsid w:val="00077955"/>
    <w:rsid w:val="00077986"/>
    <w:rsid w:val="00077AD7"/>
    <w:rsid w:val="00080E48"/>
    <w:rsid w:val="000815A2"/>
    <w:rsid w:val="000826FF"/>
    <w:rsid w:val="000837F0"/>
    <w:rsid w:val="00083989"/>
    <w:rsid w:val="0008544C"/>
    <w:rsid w:val="00086575"/>
    <w:rsid w:val="00090506"/>
    <w:rsid w:val="000907A6"/>
    <w:rsid w:val="000928D9"/>
    <w:rsid w:val="00095160"/>
    <w:rsid w:val="00097401"/>
    <w:rsid w:val="000979BB"/>
    <w:rsid w:val="000A0552"/>
    <w:rsid w:val="000A2F3D"/>
    <w:rsid w:val="000A2F77"/>
    <w:rsid w:val="000A3A01"/>
    <w:rsid w:val="000A3C3F"/>
    <w:rsid w:val="000A44C7"/>
    <w:rsid w:val="000A50DA"/>
    <w:rsid w:val="000A58B6"/>
    <w:rsid w:val="000A7E2C"/>
    <w:rsid w:val="000B256C"/>
    <w:rsid w:val="000B2BAF"/>
    <w:rsid w:val="000B35AF"/>
    <w:rsid w:val="000B37BF"/>
    <w:rsid w:val="000B57B4"/>
    <w:rsid w:val="000B5DEF"/>
    <w:rsid w:val="000C273F"/>
    <w:rsid w:val="000C2758"/>
    <w:rsid w:val="000C348B"/>
    <w:rsid w:val="000C3CA4"/>
    <w:rsid w:val="000C48CE"/>
    <w:rsid w:val="000D032D"/>
    <w:rsid w:val="000D2575"/>
    <w:rsid w:val="000D3823"/>
    <w:rsid w:val="000D3B49"/>
    <w:rsid w:val="000D45E1"/>
    <w:rsid w:val="000D63CC"/>
    <w:rsid w:val="000E39F8"/>
    <w:rsid w:val="000E47BB"/>
    <w:rsid w:val="000E47C8"/>
    <w:rsid w:val="000F0322"/>
    <w:rsid w:val="000F08CB"/>
    <w:rsid w:val="000F0B69"/>
    <w:rsid w:val="000F14BF"/>
    <w:rsid w:val="000F19F4"/>
    <w:rsid w:val="000F2041"/>
    <w:rsid w:val="000F243E"/>
    <w:rsid w:val="000F251B"/>
    <w:rsid w:val="000F42DA"/>
    <w:rsid w:val="000F60C9"/>
    <w:rsid w:val="000F6DF7"/>
    <w:rsid w:val="00101B0C"/>
    <w:rsid w:val="0010207C"/>
    <w:rsid w:val="00106141"/>
    <w:rsid w:val="00106A0A"/>
    <w:rsid w:val="00107385"/>
    <w:rsid w:val="00111AAC"/>
    <w:rsid w:val="00113B40"/>
    <w:rsid w:val="00115F8F"/>
    <w:rsid w:val="00116B50"/>
    <w:rsid w:val="00116C42"/>
    <w:rsid w:val="00120285"/>
    <w:rsid w:val="00120EF3"/>
    <w:rsid w:val="00121652"/>
    <w:rsid w:val="00122B5B"/>
    <w:rsid w:val="00123F42"/>
    <w:rsid w:val="0012434A"/>
    <w:rsid w:val="00126F0A"/>
    <w:rsid w:val="00127132"/>
    <w:rsid w:val="001303C5"/>
    <w:rsid w:val="00132E7C"/>
    <w:rsid w:val="001333F2"/>
    <w:rsid w:val="00134504"/>
    <w:rsid w:val="00134578"/>
    <w:rsid w:val="00134F51"/>
    <w:rsid w:val="0013534F"/>
    <w:rsid w:val="00136952"/>
    <w:rsid w:val="001377C7"/>
    <w:rsid w:val="00140CA9"/>
    <w:rsid w:val="00141F51"/>
    <w:rsid w:val="00142721"/>
    <w:rsid w:val="00142BE7"/>
    <w:rsid w:val="00142E6C"/>
    <w:rsid w:val="00143055"/>
    <w:rsid w:val="001441F3"/>
    <w:rsid w:val="0014588C"/>
    <w:rsid w:val="00151EA9"/>
    <w:rsid w:val="00154D99"/>
    <w:rsid w:val="00161160"/>
    <w:rsid w:val="001623D9"/>
    <w:rsid w:val="001626FC"/>
    <w:rsid w:val="00163AEB"/>
    <w:rsid w:val="00163E0A"/>
    <w:rsid w:val="001640EF"/>
    <w:rsid w:val="001645D5"/>
    <w:rsid w:val="001653C3"/>
    <w:rsid w:val="00165416"/>
    <w:rsid w:val="00165C2D"/>
    <w:rsid w:val="00165F98"/>
    <w:rsid w:val="00166C15"/>
    <w:rsid w:val="001678AC"/>
    <w:rsid w:val="00171243"/>
    <w:rsid w:val="00172422"/>
    <w:rsid w:val="001752E5"/>
    <w:rsid w:val="0017740E"/>
    <w:rsid w:val="00181371"/>
    <w:rsid w:val="00181D5D"/>
    <w:rsid w:val="00184259"/>
    <w:rsid w:val="00186851"/>
    <w:rsid w:val="00187DF0"/>
    <w:rsid w:val="00192EED"/>
    <w:rsid w:val="001937E5"/>
    <w:rsid w:val="001938A9"/>
    <w:rsid w:val="00197281"/>
    <w:rsid w:val="001975E3"/>
    <w:rsid w:val="00197D2B"/>
    <w:rsid w:val="001A4C23"/>
    <w:rsid w:val="001B0A90"/>
    <w:rsid w:val="001B399D"/>
    <w:rsid w:val="001B4B4F"/>
    <w:rsid w:val="001B5ED3"/>
    <w:rsid w:val="001B6F16"/>
    <w:rsid w:val="001C049A"/>
    <w:rsid w:val="001C0B02"/>
    <w:rsid w:val="001D686A"/>
    <w:rsid w:val="001D6E4E"/>
    <w:rsid w:val="001D736F"/>
    <w:rsid w:val="001D7F7D"/>
    <w:rsid w:val="001E1057"/>
    <w:rsid w:val="001E274F"/>
    <w:rsid w:val="001E2A06"/>
    <w:rsid w:val="001E364E"/>
    <w:rsid w:val="001E3D7C"/>
    <w:rsid w:val="001E42CC"/>
    <w:rsid w:val="001E4659"/>
    <w:rsid w:val="001E5067"/>
    <w:rsid w:val="001E5ACB"/>
    <w:rsid w:val="001E67E3"/>
    <w:rsid w:val="001E6E5C"/>
    <w:rsid w:val="001E720D"/>
    <w:rsid w:val="001E78C4"/>
    <w:rsid w:val="001F1253"/>
    <w:rsid w:val="001F3778"/>
    <w:rsid w:val="001F3DDE"/>
    <w:rsid w:val="001F4345"/>
    <w:rsid w:val="001F49B5"/>
    <w:rsid w:val="001F607D"/>
    <w:rsid w:val="001F76F9"/>
    <w:rsid w:val="00205D67"/>
    <w:rsid w:val="00206A65"/>
    <w:rsid w:val="00207370"/>
    <w:rsid w:val="00207735"/>
    <w:rsid w:val="002174CE"/>
    <w:rsid w:val="00221D59"/>
    <w:rsid w:val="00222157"/>
    <w:rsid w:val="00223596"/>
    <w:rsid w:val="00225D5E"/>
    <w:rsid w:val="00227D5C"/>
    <w:rsid w:val="0023122F"/>
    <w:rsid w:val="002313B0"/>
    <w:rsid w:val="002315CC"/>
    <w:rsid w:val="002317CF"/>
    <w:rsid w:val="002359FE"/>
    <w:rsid w:val="00235B09"/>
    <w:rsid w:val="00235D80"/>
    <w:rsid w:val="00235F5C"/>
    <w:rsid w:val="002369A7"/>
    <w:rsid w:val="0024185B"/>
    <w:rsid w:val="002443F8"/>
    <w:rsid w:val="002465A5"/>
    <w:rsid w:val="0025399D"/>
    <w:rsid w:val="00255A37"/>
    <w:rsid w:val="00255FB8"/>
    <w:rsid w:val="00257776"/>
    <w:rsid w:val="00260E3F"/>
    <w:rsid w:val="00261984"/>
    <w:rsid w:val="0026231A"/>
    <w:rsid w:val="002653BE"/>
    <w:rsid w:val="002660E0"/>
    <w:rsid w:val="0027371F"/>
    <w:rsid w:val="002743F9"/>
    <w:rsid w:val="00276DC2"/>
    <w:rsid w:val="002775CC"/>
    <w:rsid w:val="002776D7"/>
    <w:rsid w:val="002815DC"/>
    <w:rsid w:val="00283940"/>
    <w:rsid w:val="00283991"/>
    <w:rsid w:val="00283B4E"/>
    <w:rsid w:val="0028412F"/>
    <w:rsid w:val="00287C85"/>
    <w:rsid w:val="00287FF0"/>
    <w:rsid w:val="0029020C"/>
    <w:rsid w:val="0029040F"/>
    <w:rsid w:val="002940E7"/>
    <w:rsid w:val="002955C6"/>
    <w:rsid w:val="00296E73"/>
    <w:rsid w:val="00297435"/>
    <w:rsid w:val="002A29B9"/>
    <w:rsid w:val="002A3F09"/>
    <w:rsid w:val="002A6581"/>
    <w:rsid w:val="002A68D0"/>
    <w:rsid w:val="002A734E"/>
    <w:rsid w:val="002B06CB"/>
    <w:rsid w:val="002B09B0"/>
    <w:rsid w:val="002B3CCB"/>
    <w:rsid w:val="002B5A7B"/>
    <w:rsid w:val="002B6582"/>
    <w:rsid w:val="002B7568"/>
    <w:rsid w:val="002B7CB9"/>
    <w:rsid w:val="002B7E1B"/>
    <w:rsid w:val="002C0D63"/>
    <w:rsid w:val="002C1C09"/>
    <w:rsid w:val="002C1DC4"/>
    <w:rsid w:val="002C3CDC"/>
    <w:rsid w:val="002C42A7"/>
    <w:rsid w:val="002C684E"/>
    <w:rsid w:val="002D0695"/>
    <w:rsid w:val="002D0FCC"/>
    <w:rsid w:val="002D4278"/>
    <w:rsid w:val="002D5E17"/>
    <w:rsid w:val="002E10CC"/>
    <w:rsid w:val="002E23FB"/>
    <w:rsid w:val="002E3197"/>
    <w:rsid w:val="002E4DBE"/>
    <w:rsid w:val="002F2203"/>
    <w:rsid w:val="002F23B7"/>
    <w:rsid w:val="002F36D5"/>
    <w:rsid w:val="002F3782"/>
    <w:rsid w:val="002F54A6"/>
    <w:rsid w:val="002F55D0"/>
    <w:rsid w:val="0030090D"/>
    <w:rsid w:val="00300AB9"/>
    <w:rsid w:val="003012D8"/>
    <w:rsid w:val="00302592"/>
    <w:rsid w:val="00303380"/>
    <w:rsid w:val="00304715"/>
    <w:rsid w:val="0031083B"/>
    <w:rsid w:val="003118C0"/>
    <w:rsid w:val="00312F4E"/>
    <w:rsid w:val="00313CC5"/>
    <w:rsid w:val="00314468"/>
    <w:rsid w:val="0031477B"/>
    <w:rsid w:val="00316D6E"/>
    <w:rsid w:val="00317238"/>
    <w:rsid w:val="003224E6"/>
    <w:rsid w:val="00322F80"/>
    <w:rsid w:val="00324D3C"/>
    <w:rsid w:val="003258AD"/>
    <w:rsid w:val="0032642E"/>
    <w:rsid w:val="003265D8"/>
    <w:rsid w:val="00327B62"/>
    <w:rsid w:val="00327CB9"/>
    <w:rsid w:val="003305FA"/>
    <w:rsid w:val="0033795C"/>
    <w:rsid w:val="00340991"/>
    <w:rsid w:val="00342C5D"/>
    <w:rsid w:val="003443F0"/>
    <w:rsid w:val="003454EC"/>
    <w:rsid w:val="0034555C"/>
    <w:rsid w:val="00347111"/>
    <w:rsid w:val="00352514"/>
    <w:rsid w:val="003530C6"/>
    <w:rsid w:val="00356336"/>
    <w:rsid w:val="00357826"/>
    <w:rsid w:val="003602BC"/>
    <w:rsid w:val="00360514"/>
    <w:rsid w:val="00361370"/>
    <w:rsid w:val="00363DC4"/>
    <w:rsid w:val="00366B5D"/>
    <w:rsid w:val="00367AA4"/>
    <w:rsid w:val="0037220D"/>
    <w:rsid w:val="00373355"/>
    <w:rsid w:val="00377E5D"/>
    <w:rsid w:val="00382363"/>
    <w:rsid w:val="0038626F"/>
    <w:rsid w:val="0038672F"/>
    <w:rsid w:val="00390E6E"/>
    <w:rsid w:val="0039234A"/>
    <w:rsid w:val="003941BF"/>
    <w:rsid w:val="003944D1"/>
    <w:rsid w:val="00395003"/>
    <w:rsid w:val="003A03DA"/>
    <w:rsid w:val="003A1B43"/>
    <w:rsid w:val="003A1CF8"/>
    <w:rsid w:val="003A1E08"/>
    <w:rsid w:val="003A2ADF"/>
    <w:rsid w:val="003A3DFA"/>
    <w:rsid w:val="003A6163"/>
    <w:rsid w:val="003B0807"/>
    <w:rsid w:val="003B0C33"/>
    <w:rsid w:val="003B1010"/>
    <w:rsid w:val="003B2060"/>
    <w:rsid w:val="003B25B1"/>
    <w:rsid w:val="003B4DE1"/>
    <w:rsid w:val="003B57CE"/>
    <w:rsid w:val="003B743E"/>
    <w:rsid w:val="003B7DA7"/>
    <w:rsid w:val="003C0F0E"/>
    <w:rsid w:val="003C1DA1"/>
    <w:rsid w:val="003C40EB"/>
    <w:rsid w:val="003C4330"/>
    <w:rsid w:val="003C5888"/>
    <w:rsid w:val="003C59D4"/>
    <w:rsid w:val="003C6860"/>
    <w:rsid w:val="003C7F18"/>
    <w:rsid w:val="003D13FC"/>
    <w:rsid w:val="003D22F1"/>
    <w:rsid w:val="003D2318"/>
    <w:rsid w:val="003D26EC"/>
    <w:rsid w:val="003D2A20"/>
    <w:rsid w:val="003D4172"/>
    <w:rsid w:val="003E0734"/>
    <w:rsid w:val="003E26F0"/>
    <w:rsid w:val="003E4F84"/>
    <w:rsid w:val="003E5087"/>
    <w:rsid w:val="003E5D8E"/>
    <w:rsid w:val="003E6DB8"/>
    <w:rsid w:val="003E75D0"/>
    <w:rsid w:val="003F005C"/>
    <w:rsid w:val="003F17BC"/>
    <w:rsid w:val="003F17F9"/>
    <w:rsid w:val="003F3BEC"/>
    <w:rsid w:val="003F3F0E"/>
    <w:rsid w:val="003F4B1B"/>
    <w:rsid w:val="003F5849"/>
    <w:rsid w:val="003F6422"/>
    <w:rsid w:val="003F6C47"/>
    <w:rsid w:val="00403F15"/>
    <w:rsid w:val="00404FA9"/>
    <w:rsid w:val="00405124"/>
    <w:rsid w:val="004056DA"/>
    <w:rsid w:val="00405785"/>
    <w:rsid w:val="00405B37"/>
    <w:rsid w:val="004063F1"/>
    <w:rsid w:val="0041025D"/>
    <w:rsid w:val="00410801"/>
    <w:rsid w:val="0041176A"/>
    <w:rsid w:val="00411A2E"/>
    <w:rsid w:val="00412579"/>
    <w:rsid w:val="00414CCF"/>
    <w:rsid w:val="00415592"/>
    <w:rsid w:val="004158B6"/>
    <w:rsid w:val="00415D14"/>
    <w:rsid w:val="00421B24"/>
    <w:rsid w:val="00421C7F"/>
    <w:rsid w:val="004237C5"/>
    <w:rsid w:val="00423A4E"/>
    <w:rsid w:val="00423BFD"/>
    <w:rsid w:val="00425BD2"/>
    <w:rsid w:val="004268A4"/>
    <w:rsid w:val="00427C19"/>
    <w:rsid w:val="00430AEA"/>
    <w:rsid w:val="004312CF"/>
    <w:rsid w:val="00432050"/>
    <w:rsid w:val="00432C80"/>
    <w:rsid w:val="00432C95"/>
    <w:rsid w:val="00432E3E"/>
    <w:rsid w:val="00433B77"/>
    <w:rsid w:val="004343EE"/>
    <w:rsid w:val="00435E31"/>
    <w:rsid w:val="004371E9"/>
    <w:rsid w:val="004407EA"/>
    <w:rsid w:val="00440A71"/>
    <w:rsid w:val="00441B2C"/>
    <w:rsid w:val="00443B15"/>
    <w:rsid w:val="00443ECB"/>
    <w:rsid w:val="004473AB"/>
    <w:rsid w:val="00447DB3"/>
    <w:rsid w:val="00450C5E"/>
    <w:rsid w:val="00451BF4"/>
    <w:rsid w:val="0045357D"/>
    <w:rsid w:val="00454BB6"/>
    <w:rsid w:val="00454CF1"/>
    <w:rsid w:val="00455031"/>
    <w:rsid w:val="00455BBE"/>
    <w:rsid w:val="00457469"/>
    <w:rsid w:val="004575E7"/>
    <w:rsid w:val="00464BA1"/>
    <w:rsid w:val="0046524D"/>
    <w:rsid w:val="0046660B"/>
    <w:rsid w:val="00466D3E"/>
    <w:rsid w:val="00467513"/>
    <w:rsid w:val="00467F82"/>
    <w:rsid w:val="00467FEA"/>
    <w:rsid w:val="00474770"/>
    <w:rsid w:val="00475B71"/>
    <w:rsid w:val="004763CC"/>
    <w:rsid w:val="00477A5A"/>
    <w:rsid w:val="004813AA"/>
    <w:rsid w:val="00481469"/>
    <w:rsid w:val="00482A5C"/>
    <w:rsid w:val="00483929"/>
    <w:rsid w:val="00486B5E"/>
    <w:rsid w:val="00486EDF"/>
    <w:rsid w:val="0048702C"/>
    <w:rsid w:val="004873A1"/>
    <w:rsid w:val="004878FA"/>
    <w:rsid w:val="00492342"/>
    <w:rsid w:val="0049353F"/>
    <w:rsid w:val="00494F62"/>
    <w:rsid w:val="0049679C"/>
    <w:rsid w:val="00497D3D"/>
    <w:rsid w:val="004A0553"/>
    <w:rsid w:val="004A2BA1"/>
    <w:rsid w:val="004A3093"/>
    <w:rsid w:val="004A32A9"/>
    <w:rsid w:val="004A521C"/>
    <w:rsid w:val="004A5E44"/>
    <w:rsid w:val="004A6DC4"/>
    <w:rsid w:val="004A728C"/>
    <w:rsid w:val="004A737B"/>
    <w:rsid w:val="004B0CEA"/>
    <w:rsid w:val="004B1F05"/>
    <w:rsid w:val="004B1FE3"/>
    <w:rsid w:val="004B4D3F"/>
    <w:rsid w:val="004B7E49"/>
    <w:rsid w:val="004C0F20"/>
    <w:rsid w:val="004C19EB"/>
    <w:rsid w:val="004C397A"/>
    <w:rsid w:val="004C3FDA"/>
    <w:rsid w:val="004D1219"/>
    <w:rsid w:val="004D122D"/>
    <w:rsid w:val="004D1B9D"/>
    <w:rsid w:val="004D44B3"/>
    <w:rsid w:val="004D4A49"/>
    <w:rsid w:val="004D4F06"/>
    <w:rsid w:val="004D7908"/>
    <w:rsid w:val="004E047A"/>
    <w:rsid w:val="004E1799"/>
    <w:rsid w:val="004E2858"/>
    <w:rsid w:val="004E2F5B"/>
    <w:rsid w:val="004E3D8F"/>
    <w:rsid w:val="004E478A"/>
    <w:rsid w:val="004E582F"/>
    <w:rsid w:val="004E6489"/>
    <w:rsid w:val="004E7009"/>
    <w:rsid w:val="004E7962"/>
    <w:rsid w:val="004F0D45"/>
    <w:rsid w:val="004F67A5"/>
    <w:rsid w:val="004F7F55"/>
    <w:rsid w:val="00501662"/>
    <w:rsid w:val="00503D2A"/>
    <w:rsid w:val="00505EE0"/>
    <w:rsid w:val="00510F2A"/>
    <w:rsid w:val="00511C83"/>
    <w:rsid w:val="005125ED"/>
    <w:rsid w:val="00516756"/>
    <w:rsid w:val="005213AA"/>
    <w:rsid w:val="00521625"/>
    <w:rsid w:val="00521647"/>
    <w:rsid w:val="00521BD2"/>
    <w:rsid w:val="00522A55"/>
    <w:rsid w:val="0052376E"/>
    <w:rsid w:val="00527A30"/>
    <w:rsid w:val="0053103F"/>
    <w:rsid w:val="0053175A"/>
    <w:rsid w:val="00532B7A"/>
    <w:rsid w:val="00532C18"/>
    <w:rsid w:val="00533583"/>
    <w:rsid w:val="00533C77"/>
    <w:rsid w:val="00533E79"/>
    <w:rsid w:val="00536AB7"/>
    <w:rsid w:val="00536BA8"/>
    <w:rsid w:val="00536C66"/>
    <w:rsid w:val="00536EA0"/>
    <w:rsid w:val="00537E18"/>
    <w:rsid w:val="00541544"/>
    <w:rsid w:val="00542DC7"/>
    <w:rsid w:val="00545BB3"/>
    <w:rsid w:val="00546A89"/>
    <w:rsid w:val="005472E7"/>
    <w:rsid w:val="00550726"/>
    <w:rsid w:val="0055294F"/>
    <w:rsid w:val="00552AAB"/>
    <w:rsid w:val="00555BE6"/>
    <w:rsid w:val="00557E2C"/>
    <w:rsid w:val="00563814"/>
    <w:rsid w:val="005638A0"/>
    <w:rsid w:val="00563DE7"/>
    <w:rsid w:val="00564C83"/>
    <w:rsid w:val="00565CC6"/>
    <w:rsid w:val="00566B0C"/>
    <w:rsid w:val="005709D4"/>
    <w:rsid w:val="0057226B"/>
    <w:rsid w:val="005725FD"/>
    <w:rsid w:val="005729AB"/>
    <w:rsid w:val="0057403D"/>
    <w:rsid w:val="00574991"/>
    <w:rsid w:val="005801A3"/>
    <w:rsid w:val="0058024D"/>
    <w:rsid w:val="00582B6D"/>
    <w:rsid w:val="0058394E"/>
    <w:rsid w:val="005847F3"/>
    <w:rsid w:val="00584CCE"/>
    <w:rsid w:val="00584FCB"/>
    <w:rsid w:val="0058750B"/>
    <w:rsid w:val="00587558"/>
    <w:rsid w:val="00592CF7"/>
    <w:rsid w:val="005958BB"/>
    <w:rsid w:val="00596505"/>
    <w:rsid w:val="00596F23"/>
    <w:rsid w:val="00597B9A"/>
    <w:rsid w:val="00597EAC"/>
    <w:rsid w:val="005A2A48"/>
    <w:rsid w:val="005A2E72"/>
    <w:rsid w:val="005A3662"/>
    <w:rsid w:val="005A4A9F"/>
    <w:rsid w:val="005A4F40"/>
    <w:rsid w:val="005A691A"/>
    <w:rsid w:val="005A7CB2"/>
    <w:rsid w:val="005B2F4E"/>
    <w:rsid w:val="005B3788"/>
    <w:rsid w:val="005B3EB1"/>
    <w:rsid w:val="005B449D"/>
    <w:rsid w:val="005B47EA"/>
    <w:rsid w:val="005B5F2B"/>
    <w:rsid w:val="005B5F3C"/>
    <w:rsid w:val="005B5FFC"/>
    <w:rsid w:val="005B6AC2"/>
    <w:rsid w:val="005B6C3C"/>
    <w:rsid w:val="005B78DD"/>
    <w:rsid w:val="005C0509"/>
    <w:rsid w:val="005C0A3E"/>
    <w:rsid w:val="005C3217"/>
    <w:rsid w:val="005C414A"/>
    <w:rsid w:val="005C4F1D"/>
    <w:rsid w:val="005C5F4F"/>
    <w:rsid w:val="005C6E93"/>
    <w:rsid w:val="005C7686"/>
    <w:rsid w:val="005D01ED"/>
    <w:rsid w:val="005D0344"/>
    <w:rsid w:val="005D2748"/>
    <w:rsid w:val="005D701C"/>
    <w:rsid w:val="005E2914"/>
    <w:rsid w:val="005E2954"/>
    <w:rsid w:val="005E4CD2"/>
    <w:rsid w:val="005E5B90"/>
    <w:rsid w:val="005E72BF"/>
    <w:rsid w:val="005F0FC5"/>
    <w:rsid w:val="005F1104"/>
    <w:rsid w:val="005F4FF0"/>
    <w:rsid w:val="00604253"/>
    <w:rsid w:val="006051B3"/>
    <w:rsid w:val="0060560D"/>
    <w:rsid w:val="00615979"/>
    <w:rsid w:val="00615B25"/>
    <w:rsid w:val="00615B69"/>
    <w:rsid w:val="00616355"/>
    <w:rsid w:val="00620802"/>
    <w:rsid w:val="00620D89"/>
    <w:rsid w:val="00622A7F"/>
    <w:rsid w:val="00622AC7"/>
    <w:rsid w:val="0062349A"/>
    <w:rsid w:val="006237B3"/>
    <w:rsid w:val="0063176F"/>
    <w:rsid w:val="006318BC"/>
    <w:rsid w:val="006333BB"/>
    <w:rsid w:val="006338B0"/>
    <w:rsid w:val="006347C1"/>
    <w:rsid w:val="00635191"/>
    <w:rsid w:val="00635DD4"/>
    <w:rsid w:val="006369CD"/>
    <w:rsid w:val="00636AFF"/>
    <w:rsid w:val="00636B98"/>
    <w:rsid w:val="0063708C"/>
    <w:rsid w:val="0063793B"/>
    <w:rsid w:val="00641A54"/>
    <w:rsid w:val="00643541"/>
    <w:rsid w:val="00644D08"/>
    <w:rsid w:val="00644D10"/>
    <w:rsid w:val="00645B27"/>
    <w:rsid w:val="00646B0E"/>
    <w:rsid w:val="006518F1"/>
    <w:rsid w:val="00654B98"/>
    <w:rsid w:val="00654C81"/>
    <w:rsid w:val="00655C91"/>
    <w:rsid w:val="00655D83"/>
    <w:rsid w:val="006565A7"/>
    <w:rsid w:val="0065736C"/>
    <w:rsid w:val="00661005"/>
    <w:rsid w:val="006614E0"/>
    <w:rsid w:val="0066352A"/>
    <w:rsid w:val="00663A78"/>
    <w:rsid w:val="0066662F"/>
    <w:rsid w:val="00667727"/>
    <w:rsid w:val="0067036B"/>
    <w:rsid w:val="00675D7A"/>
    <w:rsid w:val="00677C24"/>
    <w:rsid w:val="00682E66"/>
    <w:rsid w:val="0068332B"/>
    <w:rsid w:val="006837BA"/>
    <w:rsid w:val="00683A5D"/>
    <w:rsid w:val="00683EB7"/>
    <w:rsid w:val="006844F1"/>
    <w:rsid w:val="00684532"/>
    <w:rsid w:val="00684D5D"/>
    <w:rsid w:val="00686694"/>
    <w:rsid w:val="00686960"/>
    <w:rsid w:val="0069298C"/>
    <w:rsid w:val="00692B20"/>
    <w:rsid w:val="00693366"/>
    <w:rsid w:val="00695E0A"/>
    <w:rsid w:val="00696787"/>
    <w:rsid w:val="006A08F8"/>
    <w:rsid w:val="006A5307"/>
    <w:rsid w:val="006A5C7F"/>
    <w:rsid w:val="006A7990"/>
    <w:rsid w:val="006B00FF"/>
    <w:rsid w:val="006B07D9"/>
    <w:rsid w:val="006B1FC1"/>
    <w:rsid w:val="006B2365"/>
    <w:rsid w:val="006B3516"/>
    <w:rsid w:val="006B3ECD"/>
    <w:rsid w:val="006B415E"/>
    <w:rsid w:val="006B4BEC"/>
    <w:rsid w:val="006B5D7A"/>
    <w:rsid w:val="006C32B0"/>
    <w:rsid w:val="006C36BB"/>
    <w:rsid w:val="006C56AB"/>
    <w:rsid w:val="006C773F"/>
    <w:rsid w:val="006D07C7"/>
    <w:rsid w:val="006D14E0"/>
    <w:rsid w:val="006D38FB"/>
    <w:rsid w:val="006D3CBA"/>
    <w:rsid w:val="006D75DB"/>
    <w:rsid w:val="006D77B6"/>
    <w:rsid w:val="006D7941"/>
    <w:rsid w:val="006E07CA"/>
    <w:rsid w:val="006E3636"/>
    <w:rsid w:val="006E47C5"/>
    <w:rsid w:val="006E4AE1"/>
    <w:rsid w:val="006E5692"/>
    <w:rsid w:val="006E5DCC"/>
    <w:rsid w:val="006E67F2"/>
    <w:rsid w:val="006E7602"/>
    <w:rsid w:val="006F0D88"/>
    <w:rsid w:val="006F4A83"/>
    <w:rsid w:val="006F4AA3"/>
    <w:rsid w:val="006F6A62"/>
    <w:rsid w:val="006F727D"/>
    <w:rsid w:val="00700D6F"/>
    <w:rsid w:val="00703AD0"/>
    <w:rsid w:val="00706669"/>
    <w:rsid w:val="007073C0"/>
    <w:rsid w:val="007101CF"/>
    <w:rsid w:val="00710D53"/>
    <w:rsid w:val="00711413"/>
    <w:rsid w:val="00713A3F"/>
    <w:rsid w:val="00713F3F"/>
    <w:rsid w:val="00717348"/>
    <w:rsid w:val="007176AD"/>
    <w:rsid w:val="0072017A"/>
    <w:rsid w:val="00720337"/>
    <w:rsid w:val="00723144"/>
    <w:rsid w:val="00724123"/>
    <w:rsid w:val="0072432F"/>
    <w:rsid w:val="00725415"/>
    <w:rsid w:val="00725FD2"/>
    <w:rsid w:val="00726A4D"/>
    <w:rsid w:val="00727753"/>
    <w:rsid w:val="00727DD8"/>
    <w:rsid w:val="00731BC3"/>
    <w:rsid w:val="00732705"/>
    <w:rsid w:val="007348E1"/>
    <w:rsid w:val="00736B3E"/>
    <w:rsid w:val="00737B51"/>
    <w:rsid w:val="00741293"/>
    <w:rsid w:val="007414CE"/>
    <w:rsid w:val="00741A81"/>
    <w:rsid w:val="00742167"/>
    <w:rsid w:val="007433AA"/>
    <w:rsid w:val="00743AD3"/>
    <w:rsid w:val="007449C1"/>
    <w:rsid w:val="00744DF3"/>
    <w:rsid w:val="00745FD3"/>
    <w:rsid w:val="00746959"/>
    <w:rsid w:val="0075051D"/>
    <w:rsid w:val="0075325E"/>
    <w:rsid w:val="007548A0"/>
    <w:rsid w:val="00756803"/>
    <w:rsid w:val="007572D4"/>
    <w:rsid w:val="007602EE"/>
    <w:rsid w:val="007614BE"/>
    <w:rsid w:val="00761562"/>
    <w:rsid w:val="00762926"/>
    <w:rsid w:val="00763945"/>
    <w:rsid w:val="00766ABA"/>
    <w:rsid w:val="00766AD5"/>
    <w:rsid w:val="00767E4B"/>
    <w:rsid w:val="00770EAC"/>
    <w:rsid w:val="0077265C"/>
    <w:rsid w:val="00776470"/>
    <w:rsid w:val="00776E6C"/>
    <w:rsid w:val="0078163F"/>
    <w:rsid w:val="0078299C"/>
    <w:rsid w:val="0078308E"/>
    <w:rsid w:val="007845D7"/>
    <w:rsid w:val="00784E9E"/>
    <w:rsid w:val="00785B6A"/>
    <w:rsid w:val="007860DC"/>
    <w:rsid w:val="00790981"/>
    <w:rsid w:val="00791A81"/>
    <w:rsid w:val="00792FBB"/>
    <w:rsid w:val="007934F3"/>
    <w:rsid w:val="00793D5D"/>
    <w:rsid w:val="00795096"/>
    <w:rsid w:val="007A05BD"/>
    <w:rsid w:val="007A0A2C"/>
    <w:rsid w:val="007A251D"/>
    <w:rsid w:val="007A5F82"/>
    <w:rsid w:val="007A6B54"/>
    <w:rsid w:val="007A7356"/>
    <w:rsid w:val="007B0737"/>
    <w:rsid w:val="007B29AF"/>
    <w:rsid w:val="007B48A7"/>
    <w:rsid w:val="007B4C6F"/>
    <w:rsid w:val="007B6E06"/>
    <w:rsid w:val="007B7028"/>
    <w:rsid w:val="007B73B8"/>
    <w:rsid w:val="007C0941"/>
    <w:rsid w:val="007C2575"/>
    <w:rsid w:val="007C2FD3"/>
    <w:rsid w:val="007C4FAE"/>
    <w:rsid w:val="007D61FF"/>
    <w:rsid w:val="007D6A4E"/>
    <w:rsid w:val="007D79AF"/>
    <w:rsid w:val="007E05D8"/>
    <w:rsid w:val="007E1803"/>
    <w:rsid w:val="007E4310"/>
    <w:rsid w:val="007E51E4"/>
    <w:rsid w:val="007E7F29"/>
    <w:rsid w:val="007F1D9B"/>
    <w:rsid w:val="007F1E8F"/>
    <w:rsid w:val="007F26E4"/>
    <w:rsid w:val="007F30DB"/>
    <w:rsid w:val="007F538B"/>
    <w:rsid w:val="007F690E"/>
    <w:rsid w:val="007F7892"/>
    <w:rsid w:val="007F7CC2"/>
    <w:rsid w:val="00800447"/>
    <w:rsid w:val="008031B2"/>
    <w:rsid w:val="00805BB5"/>
    <w:rsid w:val="00806A93"/>
    <w:rsid w:val="00807641"/>
    <w:rsid w:val="00810BB5"/>
    <w:rsid w:val="00812140"/>
    <w:rsid w:val="008123E6"/>
    <w:rsid w:val="008129CA"/>
    <w:rsid w:val="00817789"/>
    <w:rsid w:val="00822812"/>
    <w:rsid w:val="00824753"/>
    <w:rsid w:val="008303DD"/>
    <w:rsid w:val="0083096F"/>
    <w:rsid w:val="008322E8"/>
    <w:rsid w:val="008322F5"/>
    <w:rsid w:val="00832408"/>
    <w:rsid w:val="00832D90"/>
    <w:rsid w:val="00834C1A"/>
    <w:rsid w:val="00835A93"/>
    <w:rsid w:val="00841345"/>
    <w:rsid w:val="00841FDC"/>
    <w:rsid w:val="00843358"/>
    <w:rsid w:val="00844195"/>
    <w:rsid w:val="00845C29"/>
    <w:rsid w:val="00847DC6"/>
    <w:rsid w:val="00850036"/>
    <w:rsid w:val="00850971"/>
    <w:rsid w:val="00851CC6"/>
    <w:rsid w:val="0085276E"/>
    <w:rsid w:val="0085298C"/>
    <w:rsid w:val="00853F19"/>
    <w:rsid w:val="00854F01"/>
    <w:rsid w:val="0085511C"/>
    <w:rsid w:val="008575FB"/>
    <w:rsid w:val="00861AC2"/>
    <w:rsid w:val="0086358C"/>
    <w:rsid w:val="00863BB1"/>
    <w:rsid w:val="008655AD"/>
    <w:rsid w:val="0086664E"/>
    <w:rsid w:val="00866EC9"/>
    <w:rsid w:val="00867AB9"/>
    <w:rsid w:val="00867C3B"/>
    <w:rsid w:val="00872EEF"/>
    <w:rsid w:val="00872FDA"/>
    <w:rsid w:val="008730EE"/>
    <w:rsid w:val="00873AA3"/>
    <w:rsid w:val="00873CD8"/>
    <w:rsid w:val="00875593"/>
    <w:rsid w:val="0087697A"/>
    <w:rsid w:val="00877E1B"/>
    <w:rsid w:val="00882557"/>
    <w:rsid w:val="00882D7C"/>
    <w:rsid w:val="00884294"/>
    <w:rsid w:val="00884686"/>
    <w:rsid w:val="00886D1C"/>
    <w:rsid w:val="00891C88"/>
    <w:rsid w:val="008931C2"/>
    <w:rsid w:val="0089365E"/>
    <w:rsid w:val="00893C3F"/>
    <w:rsid w:val="00894AD6"/>
    <w:rsid w:val="008950A1"/>
    <w:rsid w:val="008961DE"/>
    <w:rsid w:val="00897269"/>
    <w:rsid w:val="00897CE1"/>
    <w:rsid w:val="008A0296"/>
    <w:rsid w:val="008A0418"/>
    <w:rsid w:val="008A06E9"/>
    <w:rsid w:val="008A18A0"/>
    <w:rsid w:val="008A24C5"/>
    <w:rsid w:val="008A2C21"/>
    <w:rsid w:val="008A400B"/>
    <w:rsid w:val="008A4E82"/>
    <w:rsid w:val="008A5FEB"/>
    <w:rsid w:val="008A741B"/>
    <w:rsid w:val="008B3D30"/>
    <w:rsid w:val="008B4915"/>
    <w:rsid w:val="008B53E0"/>
    <w:rsid w:val="008B5A96"/>
    <w:rsid w:val="008B5CE0"/>
    <w:rsid w:val="008C00E8"/>
    <w:rsid w:val="008C013C"/>
    <w:rsid w:val="008C0404"/>
    <w:rsid w:val="008C078E"/>
    <w:rsid w:val="008C08A1"/>
    <w:rsid w:val="008C0D88"/>
    <w:rsid w:val="008C1E10"/>
    <w:rsid w:val="008C2A3A"/>
    <w:rsid w:val="008C3F47"/>
    <w:rsid w:val="008C74E3"/>
    <w:rsid w:val="008D1F5B"/>
    <w:rsid w:val="008D202B"/>
    <w:rsid w:val="008D2C13"/>
    <w:rsid w:val="008D36F9"/>
    <w:rsid w:val="008D38E0"/>
    <w:rsid w:val="008D4962"/>
    <w:rsid w:val="008D5E2C"/>
    <w:rsid w:val="008D6BA0"/>
    <w:rsid w:val="008D7B31"/>
    <w:rsid w:val="008E16BF"/>
    <w:rsid w:val="008E36D0"/>
    <w:rsid w:val="008E47B6"/>
    <w:rsid w:val="008E5426"/>
    <w:rsid w:val="008E5662"/>
    <w:rsid w:val="008E59DB"/>
    <w:rsid w:val="008E6321"/>
    <w:rsid w:val="008E7BDC"/>
    <w:rsid w:val="008E7D92"/>
    <w:rsid w:val="008F1075"/>
    <w:rsid w:val="008F498E"/>
    <w:rsid w:val="008F5772"/>
    <w:rsid w:val="008F6EC4"/>
    <w:rsid w:val="0090166E"/>
    <w:rsid w:val="0090196F"/>
    <w:rsid w:val="00902496"/>
    <w:rsid w:val="00902973"/>
    <w:rsid w:val="00902B67"/>
    <w:rsid w:val="00903DB2"/>
    <w:rsid w:val="00904E67"/>
    <w:rsid w:val="00905530"/>
    <w:rsid w:val="009104C8"/>
    <w:rsid w:val="00910723"/>
    <w:rsid w:val="00910E1B"/>
    <w:rsid w:val="009115A0"/>
    <w:rsid w:val="0091405A"/>
    <w:rsid w:val="00915F48"/>
    <w:rsid w:val="00920425"/>
    <w:rsid w:val="009207E8"/>
    <w:rsid w:val="0092082E"/>
    <w:rsid w:val="00920872"/>
    <w:rsid w:val="0092139A"/>
    <w:rsid w:val="00922323"/>
    <w:rsid w:val="009241A8"/>
    <w:rsid w:val="00924F9C"/>
    <w:rsid w:val="00926F98"/>
    <w:rsid w:val="00927038"/>
    <w:rsid w:val="0092704A"/>
    <w:rsid w:val="009272B7"/>
    <w:rsid w:val="009278D7"/>
    <w:rsid w:val="009308A6"/>
    <w:rsid w:val="00931FB0"/>
    <w:rsid w:val="00932CED"/>
    <w:rsid w:val="00933433"/>
    <w:rsid w:val="009338E2"/>
    <w:rsid w:val="009341E2"/>
    <w:rsid w:val="009371FB"/>
    <w:rsid w:val="009373B9"/>
    <w:rsid w:val="009377AC"/>
    <w:rsid w:val="00940A1E"/>
    <w:rsid w:val="00941426"/>
    <w:rsid w:val="009436F3"/>
    <w:rsid w:val="00943C68"/>
    <w:rsid w:val="00946BA4"/>
    <w:rsid w:val="00950277"/>
    <w:rsid w:val="0095039E"/>
    <w:rsid w:val="00950AA7"/>
    <w:rsid w:val="00950C5D"/>
    <w:rsid w:val="0095151D"/>
    <w:rsid w:val="00951866"/>
    <w:rsid w:val="00952722"/>
    <w:rsid w:val="00952BA3"/>
    <w:rsid w:val="00954423"/>
    <w:rsid w:val="00954731"/>
    <w:rsid w:val="00955C3F"/>
    <w:rsid w:val="00956089"/>
    <w:rsid w:val="009567BB"/>
    <w:rsid w:val="00956C38"/>
    <w:rsid w:val="00956DD0"/>
    <w:rsid w:val="00957978"/>
    <w:rsid w:val="009619C2"/>
    <w:rsid w:val="009630FC"/>
    <w:rsid w:val="00963277"/>
    <w:rsid w:val="0097050B"/>
    <w:rsid w:val="00970AF2"/>
    <w:rsid w:val="00971106"/>
    <w:rsid w:val="009718C3"/>
    <w:rsid w:val="00971CD5"/>
    <w:rsid w:val="00971F85"/>
    <w:rsid w:val="009736D6"/>
    <w:rsid w:val="0097375F"/>
    <w:rsid w:val="009743F6"/>
    <w:rsid w:val="00974DEC"/>
    <w:rsid w:val="00975A78"/>
    <w:rsid w:val="00977073"/>
    <w:rsid w:val="0097753D"/>
    <w:rsid w:val="00980818"/>
    <w:rsid w:val="00981F2F"/>
    <w:rsid w:val="00982A29"/>
    <w:rsid w:val="00982CB3"/>
    <w:rsid w:val="00984EE8"/>
    <w:rsid w:val="00985481"/>
    <w:rsid w:val="00985DB1"/>
    <w:rsid w:val="00987187"/>
    <w:rsid w:val="00990013"/>
    <w:rsid w:val="00992D65"/>
    <w:rsid w:val="009939BE"/>
    <w:rsid w:val="00994B46"/>
    <w:rsid w:val="00995894"/>
    <w:rsid w:val="009A03D1"/>
    <w:rsid w:val="009A5466"/>
    <w:rsid w:val="009A57B0"/>
    <w:rsid w:val="009A68D5"/>
    <w:rsid w:val="009A71F8"/>
    <w:rsid w:val="009A7DC8"/>
    <w:rsid w:val="009B1DB7"/>
    <w:rsid w:val="009B2868"/>
    <w:rsid w:val="009B2914"/>
    <w:rsid w:val="009B6F06"/>
    <w:rsid w:val="009B6F5C"/>
    <w:rsid w:val="009C2B83"/>
    <w:rsid w:val="009C5F0B"/>
    <w:rsid w:val="009C6D8C"/>
    <w:rsid w:val="009D0803"/>
    <w:rsid w:val="009D0A3B"/>
    <w:rsid w:val="009D1CA6"/>
    <w:rsid w:val="009D4CB9"/>
    <w:rsid w:val="009D4F82"/>
    <w:rsid w:val="009D5909"/>
    <w:rsid w:val="009E0AF5"/>
    <w:rsid w:val="009E1E4A"/>
    <w:rsid w:val="009E3512"/>
    <w:rsid w:val="009E384A"/>
    <w:rsid w:val="009E3DED"/>
    <w:rsid w:val="009E6997"/>
    <w:rsid w:val="009E723A"/>
    <w:rsid w:val="009F04E8"/>
    <w:rsid w:val="009F0C3E"/>
    <w:rsid w:val="009F168B"/>
    <w:rsid w:val="009F47A2"/>
    <w:rsid w:val="009F51FD"/>
    <w:rsid w:val="009F7436"/>
    <w:rsid w:val="009F7E97"/>
    <w:rsid w:val="00A06FFF"/>
    <w:rsid w:val="00A07648"/>
    <w:rsid w:val="00A108D5"/>
    <w:rsid w:val="00A12B75"/>
    <w:rsid w:val="00A12CA0"/>
    <w:rsid w:val="00A12CD7"/>
    <w:rsid w:val="00A131B6"/>
    <w:rsid w:val="00A15141"/>
    <w:rsid w:val="00A22254"/>
    <w:rsid w:val="00A240E5"/>
    <w:rsid w:val="00A24949"/>
    <w:rsid w:val="00A2500D"/>
    <w:rsid w:val="00A2535E"/>
    <w:rsid w:val="00A268B2"/>
    <w:rsid w:val="00A278EF"/>
    <w:rsid w:val="00A302AA"/>
    <w:rsid w:val="00A30C17"/>
    <w:rsid w:val="00A32B15"/>
    <w:rsid w:val="00A339F9"/>
    <w:rsid w:val="00A341A3"/>
    <w:rsid w:val="00A41671"/>
    <w:rsid w:val="00A41931"/>
    <w:rsid w:val="00A4296C"/>
    <w:rsid w:val="00A473EA"/>
    <w:rsid w:val="00A512B6"/>
    <w:rsid w:val="00A519FC"/>
    <w:rsid w:val="00A53B03"/>
    <w:rsid w:val="00A53D56"/>
    <w:rsid w:val="00A54099"/>
    <w:rsid w:val="00A540E9"/>
    <w:rsid w:val="00A54FB1"/>
    <w:rsid w:val="00A56136"/>
    <w:rsid w:val="00A57126"/>
    <w:rsid w:val="00A57658"/>
    <w:rsid w:val="00A62DD9"/>
    <w:rsid w:val="00A64D1D"/>
    <w:rsid w:val="00A65EF0"/>
    <w:rsid w:val="00A726A7"/>
    <w:rsid w:val="00A74190"/>
    <w:rsid w:val="00A75271"/>
    <w:rsid w:val="00A75865"/>
    <w:rsid w:val="00A76074"/>
    <w:rsid w:val="00A77606"/>
    <w:rsid w:val="00A77DF1"/>
    <w:rsid w:val="00A8033E"/>
    <w:rsid w:val="00A80F64"/>
    <w:rsid w:val="00A818A7"/>
    <w:rsid w:val="00A84EDD"/>
    <w:rsid w:val="00A853CE"/>
    <w:rsid w:val="00A863AC"/>
    <w:rsid w:val="00A87D84"/>
    <w:rsid w:val="00A920AE"/>
    <w:rsid w:val="00A95849"/>
    <w:rsid w:val="00A9612F"/>
    <w:rsid w:val="00A96847"/>
    <w:rsid w:val="00A968B9"/>
    <w:rsid w:val="00AA00A2"/>
    <w:rsid w:val="00AA46BE"/>
    <w:rsid w:val="00AA663B"/>
    <w:rsid w:val="00AA6982"/>
    <w:rsid w:val="00AA6ADF"/>
    <w:rsid w:val="00AA7172"/>
    <w:rsid w:val="00AB2327"/>
    <w:rsid w:val="00AB37E9"/>
    <w:rsid w:val="00AB4158"/>
    <w:rsid w:val="00AB4CD7"/>
    <w:rsid w:val="00AB74F2"/>
    <w:rsid w:val="00AC3D7A"/>
    <w:rsid w:val="00AC4E63"/>
    <w:rsid w:val="00AC6084"/>
    <w:rsid w:val="00AD2BEB"/>
    <w:rsid w:val="00AD3A9F"/>
    <w:rsid w:val="00AD5F51"/>
    <w:rsid w:val="00AD60CC"/>
    <w:rsid w:val="00AD7A83"/>
    <w:rsid w:val="00AD7FCE"/>
    <w:rsid w:val="00AE2738"/>
    <w:rsid w:val="00AE3844"/>
    <w:rsid w:val="00AE3EA2"/>
    <w:rsid w:val="00AE42C0"/>
    <w:rsid w:val="00AE5B08"/>
    <w:rsid w:val="00AE7062"/>
    <w:rsid w:val="00AF0770"/>
    <w:rsid w:val="00AF0F85"/>
    <w:rsid w:val="00AF46C8"/>
    <w:rsid w:val="00AF5E14"/>
    <w:rsid w:val="00AF6C96"/>
    <w:rsid w:val="00AF7325"/>
    <w:rsid w:val="00B00FFD"/>
    <w:rsid w:val="00B024AD"/>
    <w:rsid w:val="00B0402E"/>
    <w:rsid w:val="00B05675"/>
    <w:rsid w:val="00B05F23"/>
    <w:rsid w:val="00B06E02"/>
    <w:rsid w:val="00B07CE0"/>
    <w:rsid w:val="00B07F13"/>
    <w:rsid w:val="00B10F47"/>
    <w:rsid w:val="00B11595"/>
    <w:rsid w:val="00B1251C"/>
    <w:rsid w:val="00B12630"/>
    <w:rsid w:val="00B14563"/>
    <w:rsid w:val="00B14566"/>
    <w:rsid w:val="00B14E53"/>
    <w:rsid w:val="00B15ED3"/>
    <w:rsid w:val="00B1681C"/>
    <w:rsid w:val="00B233A1"/>
    <w:rsid w:val="00B2576E"/>
    <w:rsid w:val="00B26E10"/>
    <w:rsid w:val="00B26EC9"/>
    <w:rsid w:val="00B30315"/>
    <w:rsid w:val="00B305EC"/>
    <w:rsid w:val="00B30E01"/>
    <w:rsid w:val="00B31363"/>
    <w:rsid w:val="00B325CC"/>
    <w:rsid w:val="00B33E6C"/>
    <w:rsid w:val="00B34651"/>
    <w:rsid w:val="00B35867"/>
    <w:rsid w:val="00B37155"/>
    <w:rsid w:val="00B409D3"/>
    <w:rsid w:val="00B414BD"/>
    <w:rsid w:val="00B41841"/>
    <w:rsid w:val="00B41F68"/>
    <w:rsid w:val="00B41FAB"/>
    <w:rsid w:val="00B435E1"/>
    <w:rsid w:val="00B436EA"/>
    <w:rsid w:val="00B43E8F"/>
    <w:rsid w:val="00B46147"/>
    <w:rsid w:val="00B50E93"/>
    <w:rsid w:val="00B50F7F"/>
    <w:rsid w:val="00B517D1"/>
    <w:rsid w:val="00B52222"/>
    <w:rsid w:val="00B5254D"/>
    <w:rsid w:val="00B531CC"/>
    <w:rsid w:val="00B54CF9"/>
    <w:rsid w:val="00B564AA"/>
    <w:rsid w:val="00B60635"/>
    <w:rsid w:val="00B60876"/>
    <w:rsid w:val="00B612E9"/>
    <w:rsid w:val="00B63724"/>
    <w:rsid w:val="00B65EFB"/>
    <w:rsid w:val="00B668A9"/>
    <w:rsid w:val="00B66D97"/>
    <w:rsid w:val="00B6748C"/>
    <w:rsid w:val="00B67596"/>
    <w:rsid w:val="00B736AB"/>
    <w:rsid w:val="00B73A60"/>
    <w:rsid w:val="00B7682D"/>
    <w:rsid w:val="00B7712F"/>
    <w:rsid w:val="00B771C0"/>
    <w:rsid w:val="00B805C9"/>
    <w:rsid w:val="00B8347B"/>
    <w:rsid w:val="00B8357D"/>
    <w:rsid w:val="00B84F67"/>
    <w:rsid w:val="00B854FF"/>
    <w:rsid w:val="00B85539"/>
    <w:rsid w:val="00B85991"/>
    <w:rsid w:val="00B904EA"/>
    <w:rsid w:val="00B90BA1"/>
    <w:rsid w:val="00B90FF0"/>
    <w:rsid w:val="00B93A9C"/>
    <w:rsid w:val="00B95D62"/>
    <w:rsid w:val="00B95EE1"/>
    <w:rsid w:val="00B96E0E"/>
    <w:rsid w:val="00BA11E2"/>
    <w:rsid w:val="00BA3028"/>
    <w:rsid w:val="00BA3475"/>
    <w:rsid w:val="00BA4B38"/>
    <w:rsid w:val="00BA4DD4"/>
    <w:rsid w:val="00BA5E17"/>
    <w:rsid w:val="00BA6E56"/>
    <w:rsid w:val="00BB0056"/>
    <w:rsid w:val="00BB0DCC"/>
    <w:rsid w:val="00BB1188"/>
    <w:rsid w:val="00BB169D"/>
    <w:rsid w:val="00BB32BD"/>
    <w:rsid w:val="00BC0BCD"/>
    <w:rsid w:val="00BC16D1"/>
    <w:rsid w:val="00BC1C32"/>
    <w:rsid w:val="00BC35D6"/>
    <w:rsid w:val="00BC3832"/>
    <w:rsid w:val="00BC392C"/>
    <w:rsid w:val="00BC3BBF"/>
    <w:rsid w:val="00BC7EA0"/>
    <w:rsid w:val="00BC7FED"/>
    <w:rsid w:val="00BD0DF4"/>
    <w:rsid w:val="00BD1717"/>
    <w:rsid w:val="00BD19E5"/>
    <w:rsid w:val="00BD273A"/>
    <w:rsid w:val="00BD655C"/>
    <w:rsid w:val="00BD7EA6"/>
    <w:rsid w:val="00BE0997"/>
    <w:rsid w:val="00BE0D3E"/>
    <w:rsid w:val="00BE1C91"/>
    <w:rsid w:val="00BE241C"/>
    <w:rsid w:val="00BE25C0"/>
    <w:rsid w:val="00BE3028"/>
    <w:rsid w:val="00BE3133"/>
    <w:rsid w:val="00BE35C6"/>
    <w:rsid w:val="00BE4318"/>
    <w:rsid w:val="00BE5327"/>
    <w:rsid w:val="00BE6F1C"/>
    <w:rsid w:val="00BF0D0E"/>
    <w:rsid w:val="00BF123B"/>
    <w:rsid w:val="00BF30EE"/>
    <w:rsid w:val="00BF678F"/>
    <w:rsid w:val="00BF7063"/>
    <w:rsid w:val="00C0155C"/>
    <w:rsid w:val="00C01618"/>
    <w:rsid w:val="00C02253"/>
    <w:rsid w:val="00C02BE9"/>
    <w:rsid w:val="00C066C4"/>
    <w:rsid w:val="00C079FC"/>
    <w:rsid w:val="00C10ABD"/>
    <w:rsid w:val="00C121CA"/>
    <w:rsid w:val="00C13DA6"/>
    <w:rsid w:val="00C13F01"/>
    <w:rsid w:val="00C144E8"/>
    <w:rsid w:val="00C1502E"/>
    <w:rsid w:val="00C15594"/>
    <w:rsid w:val="00C20351"/>
    <w:rsid w:val="00C216C0"/>
    <w:rsid w:val="00C23FEF"/>
    <w:rsid w:val="00C2403E"/>
    <w:rsid w:val="00C24931"/>
    <w:rsid w:val="00C2496B"/>
    <w:rsid w:val="00C2759C"/>
    <w:rsid w:val="00C31463"/>
    <w:rsid w:val="00C32131"/>
    <w:rsid w:val="00C33161"/>
    <w:rsid w:val="00C35D46"/>
    <w:rsid w:val="00C363B3"/>
    <w:rsid w:val="00C3716B"/>
    <w:rsid w:val="00C371A9"/>
    <w:rsid w:val="00C44071"/>
    <w:rsid w:val="00C45A3B"/>
    <w:rsid w:val="00C507C8"/>
    <w:rsid w:val="00C51215"/>
    <w:rsid w:val="00C52B38"/>
    <w:rsid w:val="00C54FA9"/>
    <w:rsid w:val="00C55B28"/>
    <w:rsid w:val="00C55F94"/>
    <w:rsid w:val="00C61803"/>
    <w:rsid w:val="00C61B3D"/>
    <w:rsid w:val="00C62A53"/>
    <w:rsid w:val="00C65049"/>
    <w:rsid w:val="00C67521"/>
    <w:rsid w:val="00C6788A"/>
    <w:rsid w:val="00C67A1B"/>
    <w:rsid w:val="00C67FAE"/>
    <w:rsid w:val="00C7067A"/>
    <w:rsid w:val="00C70C7E"/>
    <w:rsid w:val="00C71869"/>
    <w:rsid w:val="00C730A6"/>
    <w:rsid w:val="00C739DF"/>
    <w:rsid w:val="00C73D6C"/>
    <w:rsid w:val="00C745D6"/>
    <w:rsid w:val="00C75182"/>
    <w:rsid w:val="00C757C3"/>
    <w:rsid w:val="00C762C1"/>
    <w:rsid w:val="00C768C8"/>
    <w:rsid w:val="00C7785A"/>
    <w:rsid w:val="00C778B8"/>
    <w:rsid w:val="00C816EA"/>
    <w:rsid w:val="00C833B0"/>
    <w:rsid w:val="00C90791"/>
    <w:rsid w:val="00C90B58"/>
    <w:rsid w:val="00C92199"/>
    <w:rsid w:val="00C92BBA"/>
    <w:rsid w:val="00C96EA2"/>
    <w:rsid w:val="00C97BE2"/>
    <w:rsid w:val="00C97E8B"/>
    <w:rsid w:val="00CA227B"/>
    <w:rsid w:val="00CA2D4A"/>
    <w:rsid w:val="00CA3B51"/>
    <w:rsid w:val="00CA48F6"/>
    <w:rsid w:val="00CA5131"/>
    <w:rsid w:val="00CA671E"/>
    <w:rsid w:val="00CB0D5E"/>
    <w:rsid w:val="00CB12D5"/>
    <w:rsid w:val="00CB15C8"/>
    <w:rsid w:val="00CB1E54"/>
    <w:rsid w:val="00CB279A"/>
    <w:rsid w:val="00CB596B"/>
    <w:rsid w:val="00CB65D0"/>
    <w:rsid w:val="00CB6929"/>
    <w:rsid w:val="00CC06CA"/>
    <w:rsid w:val="00CC1273"/>
    <w:rsid w:val="00CC3178"/>
    <w:rsid w:val="00CC3487"/>
    <w:rsid w:val="00CC4886"/>
    <w:rsid w:val="00CC4926"/>
    <w:rsid w:val="00CC56CD"/>
    <w:rsid w:val="00CC5E13"/>
    <w:rsid w:val="00CC6A14"/>
    <w:rsid w:val="00CC74DF"/>
    <w:rsid w:val="00CD120F"/>
    <w:rsid w:val="00CD28A8"/>
    <w:rsid w:val="00CD3365"/>
    <w:rsid w:val="00CD4F3D"/>
    <w:rsid w:val="00CD5B12"/>
    <w:rsid w:val="00CD621F"/>
    <w:rsid w:val="00CD6832"/>
    <w:rsid w:val="00CE045B"/>
    <w:rsid w:val="00CE1124"/>
    <w:rsid w:val="00CE1325"/>
    <w:rsid w:val="00CE39F0"/>
    <w:rsid w:val="00CE3C55"/>
    <w:rsid w:val="00CE4107"/>
    <w:rsid w:val="00CE4DE5"/>
    <w:rsid w:val="00CE5034"/>
    <w:rsid w:val="00CF0C4C"/>
    <w:rsid w:val="00CF2DAB"/>
    <w:rsid w:val="00CF6A41"/>
    <w:rsid w:val="00D00C9B"/>
    <w:rsid w:val="00D01CA4"/>
    <w:rsid w:val="00D01FC2"/>
    <w:rsid w:val="00D06369"/>
    <w:rsid w:val="00D07352"/>
    <w:rsid w:val="00D10BDC"/>
    <w:rsid w:val="00D12C62"/>
    <w:rsid w:val="00D14D51"/>
    <w:rsid w:val="00D16E73"/>
    <w:rsid w:val="00D17647"/>
    <w:rsid w:val="00D212DE"/>
    <w:rsid w:val="00D24451"/>
    <w:rsid w:val="00D30300"/>
    <w:rsid w:val="00D307C1"/>
    <w:rsid w:val="00D308F0"/>
    <w:rsid w:val="00D34AE5"/>
    <w:rsid w:val="00D35618"/>
    <w:rsid w:val="00D362A5"/>
    <w:rsid w:val="00D37E0F"/>
    <w:rsid w:val="00D40FE6"/>
    <w:rsid w:val="00D43D97"/>
    <w:rsid w:val="00D444E7"/>
    <w:rsid w:val="00D45640"/>
    <w:rsid w:val="00D46144"/>
    <w:rsid w:val="00D462D6"/>
    <w:rsid w:val="00D46340"/>
    <w:rsid w:val="00D46414"/>
    <w:rsid w:val="00D46596"/>
    <w:rsid w:val="00D52886"/>
    <w:rsid w:val="00D52E34"/>
    <w:rsid w:val="00D53002"/>
    <w:rsid w:val="00D5434D"/>
    <w:rsid w:val="00D54C8A"/>
    <w:rsid w:val="00D55009"/>
    <w:rsid w:val="00D552D6"/>
    <w:rsid w:val="00D5662B"/>
    <w:rsid w:val="00D6108B"/>
    <w:rsid w:val="00D64B33"/>
    <w:rsid w:val="00D667FA"/>
    <w:rsid w:val="00D703A7"/>
    <w:rsid w:val="00D70D5B"/>
    <w:rsid w:val="00D712AE"/>
    <w:rsid w:val="00D73D02"/>
    <w:rsid w:val="00D74407"/>
    <w:rsid w:val="00D74A79"/>
    <w:rsid w:val="00D75E67"/>
    <w:rsid w:val="00D7637F"/>
    <w:rsid w:val="00D77492"/>
    <w:rsid w:val="00D80356"/>
    <w:rsid w:val="00D80A8B"/>
    <w:rsid w:val="00D80B88"/>
    <w:rsid w:val="00D81065"/>
    <w:rsid w:val="00D81AFF"/>
    <w:rsid w:val="00D823FB"/>
    <w:rsid w:val="00D8402C"/>
    <w:rsid w:val="00D8426F"/>
    <w:rsid w:val="00D857C4"/>
    <w:rsid w:val="00D85CE5"/>
    <w:rsid w:val="00D86592"/>
    <w:rsid w:val="00D9035C"/>
    <w:rsid w:val="00D92257"/>
    <w:rsid w:val="00D92AC4"/>
    <w:rsid w:val="00D92E0D"/>
    <w:rsid w:val="00D92E34"/>
    <w:rsid w:val="00D93D8E"/>
    <w:rsid w:val="00D9430A"/>
    <w:rsid w:val="00D96262"/>
    <w:rsid w:val="00DA0CB9"/>
    <w:rsid w:val="00DA1477"/>
    <w:rsid w:val="00DA2D66"/>
    <w:rsid w:val="00DA3E9C"/>
    <w:rsid w:val="00DA4E30"/>
    <w:rsid w:val="00DA5426"/>
    <w:rsid w:val="00DA58FD"/>
    <w:rsid w:val="00DA7255"/>
    <w:rsid w:val="00DB0F0C"/>
    <w:rsid w:val="00DB24DF"/>
    <w:rsid w:val="00DB2F55"/>
    <w:rsid w:val="00DB32E7"/>
    <w:rsid w:val="00DB6F18"/>
    <w:rsid w:val="00DC0774"/>
    <w:rsid w:val="00DC0A41"/>
    <w:rsid w:val="00DC0E76"/>
    <w:rsid w:val="00DC18EB"/>
    <w:rsid w:val="00DC1D00"/>
    <w:rsid w:val="00DC2A89"/>
    <w:rsid w:val="00DC3B80"/>
    <w:rsid w:val="00DC524D"/>
    <w:rsid w:val="00DC53CA"/>
    <w:rsid w:val="00DC72AB"/>
    <w:rsid w:val="00DC7D6B"/>
    <w:rsid w:val="00DD1755"/>
    <w:rsid w:val="00DD32E7"/>
    <w:rsid w:val="00DD3DDC"/>
    <w:rsid w:val="00DD4FD7"/>
    <w:rsid w:val="00DD52EC"/>
    <w:rsid w:val="00DE5C16"/>
    <w:rsid w:val="00DE63CF"/>
    <w:rsid w:val="00DE65A0"/>
    <w:rsid w:val="00DF1A48"/>
    <w:rsid w:val="00DF2205"/>
    <w:rsid w:val="00DF56D9"/>
    <w:rsid w:val="00DF5F32"/>
    <w:rsid w:val="00E00AC2"/>
    <w:rsid w:val="00E01175"/>
    <w:rsid w:val="00E0269B"/>
    <w:rsid w:val="00E02DA8"/>
    <w:rsid w:val="00E03379"/>
    <w:rsid w:val="00E0355F"/>
    <w:rsid w:val="00E06156"/>
    <w:rsid w:val="00E074F3"/>
    <w:rsid w:val="00E12F44"/>
    <w:rsid w:val="00E131B1"/>
    <w:rsid w:val="00E157C5"/>
    <w:rsid w:val="00E167DB"/>
    <w:rsid w:val="00E20FA0"/>
    <w:rsid w:val="00E21346"/>
    <w:rsid w:val="00E21952"/>
    <w:rsid w:val="00E21CC4"/>
    <w:rsid w:val="00E22AA7"/>
    <w:rsid w:val="00E22B1E"/>
    <w:rsid w:val="00E27ED1"/>
    <w:rsid w:val="00E3002B"/>
    <w:rsid w:val="00E30D3E"/>
    <w:rsid w:val="00E321BE"/>
    <w:rsid w:val="00E33C2B"/>
    <w:rsid w:val="00E34B3F"/>
    <w:rsid w:val="00E34E37"/>
    <w:rsid w:val="00E401D9"/>
    <w:rsid w:val="00E4028D"/>
    <w:rsid w:val="00E40CB6"/>
    <w:rsid w:val="00E4175C"/>
    <w:rsid w:val="00E44D50"/>
    <w:rsid w:val="00E4562F"/>
    <w:rsid w:val="00E479CB"/>
    <w:rsid w:val="00E50CE2"/>
    <w:rsid w:val="00E519F9"/>
    <w:rsid w:val="00E534AA"/>
    <w:rsid w:val="00E53DFF"/>
    <w:rsid w:val="00E54BC6"/>
    <w:rsid w:val="00E54E5B"/>
    <w:rsid w:val="00E551D0"/>
    <w:rsid w:val="00E55CFA"/>
    <w:rsid w:val="00E56084"/>
    <w:rsid w:val="00E562DD"/>
    <w:rsid w:val="00E564C0"/>
    <w:rsid w:val="00E57D38"/>
    <w:rsid w:val="00E61D8C"/>
    <w:rsid w:val="00E643AA"/>
    <w:rsid w:val="00E65588"/>
    <w:rsid w:val="00E65E40"/>
    <w:rsid w:val="00E660A0"/>
    <w:rsid w:val="00E66F75"/>
    <w:rsid w:val="00E72766"/>
    <w:rsid w:val="00E76F60"/>
    <w:rsid w:val="00E822A3"/>
    <w:rsid w:val="00E85860"/>
    <w:rsid w:val="00E860F1"/>
    <w:rsid w:val="00E86DB6"/>
    <w:rsid w:val="00E87151"/>
    <w:rsid w:val="00E90037"/>
    <w:rsid w:val="00E915BF"/>
    <w:rsid w:val="00E96AA9"/>
    <w:rsid w:val="00E97215"/>
    <w:rsid w:val="00E975DB"/>
    <w:rsid w:val="00EA0CEF"/>
    <w:rsid w:val="00EA113E"/>
    <w:rsid w:val="00EA1846"/>
    <w:rsid w:val="00EA362F"/>
    <w:rsid w:val="00EA5491"/>
    <w:rsid w:val="00EA56F3"/>
    <w:rsid w:val="00EA5907"/>
    <w:rsid w:val="00EA7AAF"/>
    <w:rsid w:val="00EB13FE"/>
    <w:rsid w:val="00EB2988"/>
    <w:rsid w:val="00EB31EA"/>
    <w:rsid w:val="00EB3B99"/>
    <w:rsid w:val="00EB3FD8"/>
    <w:rsid w:val="00EB55D5"/>
    <w:rsid w:val="00EB690A"/>
    <w:rsid w:val="00EB7104"/>
    <w:rsid w:val="00EC53BD"/>
    <w:rsid w:val="00EC6975"/>
    <w:rsid w:val="00EC73BB"/>
    <w:rsid w:val="00ED1135"/>
    <w:rsid w:val="00ED1DE4"/>
    <w:rsid w:val="00ED2993"/>
    <w:rsid w:val="00ED2A97"/>
    <w:rsid w:val="00ED3435"/>
    <w:rsid w:val="00ED3FA1"/>
    <w:rsid w:val="00ED5762"/>
    <w:rsid w:val="00ED59CF"/>
    <w:rsid w:val="00ED6F8F"/>
    <w:rsid w:val="00ED6FDB"/>
    <w:rsid w:val="00ED7164"/>
    <w:rsid w:val="00ED72FE"/>
    <w:rsid w:val="00EE063C"/>
    <w:rsid w:val="00EE4ACF"/>
    <w:rsid w:val="00EF0806"/>
    <w:rsid w:val="00EF0C3E"/>
    <w:rsid w:val="00EF3EE5"/>
    <w:rsid w:val="00EF4E66"/>
    <w:rsid w:val="00EF50D8"/>
    <w:rsid w:val="00EF5751"/>
    <w:rsid w:val="00EF5E42"/>
    <w:rsid w:val="00EF6A67"/>
    <w:rsid w:val="00F014E0"/>
    <w:rsid w:val="00F01511"/>
    <w:rsid w:val="00F015BE"/>
    <w:rsid w:val="00F015FF"/>
    <w:rsid w:val="00F062C7"/>
    <w:rsid w:val="00F07660"/>
    <w:rsid w:val="00F12003"/>
    <w:rsid w:val="00F121A4"/>
    <w:rsid w:val="00F136F3"/>
    <w:rsid w:val="00F144C1"/>
    <w:rsid w:val="00F15388"/>
    <w:rsid w:val="00F21F2F"/>
    <w:rsid w:val="00F234C5"/>
    <w:rsid w:val="00F25472"/>
    <w:rsid w:val="00F25C2B"/>
    <w:rsid w:val="00F27906"/>
    <w:rsid w:val="00F30596"/>
    <w:rsid w:val="00F30ACD"/>
    <w:rsid w:val="00F30EDB"/>
    <w:rsid w:val="00F313FC"/>
    <w:rsid w:val="00F318E8"/>
    <w:rsid w:val="00F336CC"/>
    <w:rsid w:val="00F37142"/>
    <w:rsid w:val="00F37C0F"/>
    <w:rsid w:val="00F4058B"/>
    <w:rsid w:val="00F40AEC"/>
    <w:rsid w:val="00F40DC7"/>
    <w:rsid w:val="00F41752"/>
    <w:rsid w:val="00F43CB1"/>
    <w:rsid w:val="00F45796"/>
    <w:rsid w:val="00F46304"/>
    <w:rsid w:val="00F50F2A"/>
    <w:rsid w:val="00F516FA"/>
    <w:rsid w:val="00F51F0F"/>
    <w:rsid w:val="00F532F6"/>
    <w:rsid w:val="00F53476"/>
    <w:rsid w:val="00F54011"/>
    <w:rsid w:val="00F541DB"/>
    <w:rsid w:val="00F555E7"/>
    <w:rsid w:val="00F55CC1"/>
    <w:rsid w:val="00F562CB"/>
    <w:rsid w:val="00F56692"/>
    <w:rsid w:val="00F57577"/>
    <w:rsid w:val="00F5778F"/>
    <w:rsid w:val="00F57B37"/>
    <w:rsid w:val="00F607F6"/>
    <w:rsid w:val="00F62F9A"/>
    <w:rsid w:val="00F632EA"/>
    <w:rsid w:val="00F64B72"/>
    <w:rsid w:val="00F669DC"/>
    <w:rsid w:val="00F70950"/>
    <w:rsid w:val="00F7267C"/>
    <w:rsid w:val="00F73AAD"/>
    <w:rsid w:val="00F73CF4"/>
    <w:rsid w:val="00F75E2C"/>
    <w:rsid w:val="00F7684E"/>
    <w:rsid w:val="00F776DF"/>
    <w:rsid w:val="00F81830"/>
    <w:rsid w:val="00F836CD"/>
    <w:rsid w:val="00F83AC1"/>
    <w:rsid w:val="00F84C53"/>
    <w:rsid w:val="00F84C90"/>
    <w:rsid w:val="00F85C50"/>
    <w:rsid w:val="00F85E79"/>
    <w:rsid w:val="00F86855"/>
    <w:rsid w:val="00F902E7"/>
    <w:rsid w:val="00F944F2"/>
    <w:rsid w:val="00F94EEE"/>
    <w:rsid w:val="00F97C68"/>
    <w:rsid w:val="00FA164D"/>
    <w:rsid w:val="00FA1F40"/>
    <w:rsid w:val="00FA478A"/>
    <w:rsid w:val="00FA516C"/>
    <w:rsid w:val="00FB2B2B"/>
    <w:rsid w:val="00FB4876"/>
    <w:rsid w:val="00FB5459"/>
    <w:rsid w:val="00FB5D98"/>
    <w:rsid w:val="00FB62BB"/>
    <w:rsid w:val="00FB6E14"/>
    <w:rsid w:val="00FB78D8"/>
    <w:rsid w:val="00FC096A"/>
    <w:rsid w:val="00FC2D5E"/>
    <w:rsid w:val="00FC612C"/>
    <w:rsid w:val="00FC6759"/>
    <w:rsid w:val="00FC7122"/>
    <w:rsid w:val="00FC7842"/>
    <w:rsid w:val="00FD0DBF"/>
    <w:rsid w:val="00FD0F89"/>
    <w:rsid w:val="00FD2751"/>
    <w:rsid w:val="00FD5971"/>
    <w:rsid w:val="00FD5D5C"/>
    <w:rsid w:val="00FD6A03"/>
    <w:rsid w:val="00FD6A26"/>
    <w:rsid w:val="00FE0192"/>
    <w:rsid w:val="00FE0DDA"/>
    <w:rsid w:val="00FE1184"/>
    <w:rsid w:val="00FE193D"/>
    <w:rsid w:val="00FE2E98"/>
    <w:rsid w:val="00FE4471"/>
    <w:rsid w:val="00FE4F2B"/>
    <w:rsid w:val="00FE78B0"/>
    <w:rsid w:val="00FF0916"/>
    <w:rsid w:val="00FF0C7A"/>
    <w:rsid w:val="00FF3C47"/>
    <w:rsid w:val="00FF415A"/>
    <w:rsid w:val="00FF4298"/>
    <w:rsid w:val="00FF775C"/>
    <w:rsid w:val="00FF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183B"/>
  <w15:chartTrackingRefBased/>
  <w15:docId w15:val="{9B018083-09A5-4E8D-8976-E74EAF73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3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3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3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2C"/>
    <w:rPr>
      <w:rFonts w:eastAsiaTheme="majorEastAsia" w:cstheme="majorBidi"/>
      <w:color w:val="272727" w:themeColor="text1" w:themeTint="D8"/>
    </w:rPr>
  </w:style>
  <w:style w:type="paragraph" w:styleId="Title">
    <w:name w:val="Title"/>
    <w:basedOn w:val="Normal"/>
    <w:next w:val="Normal"/>
    <w:link w:val="TitleChar"/>
    <w:uiPriority w:val="10"/>
    <w:qFormat/>
    <w:rsid w:val="00BC3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2C"/>
    <w:pPr>
      <w:spacing w:before="160"/>
      <w:jc w:val="center"/>
    </w:pPr>
    <w:rPr>
      <w:i/>
      <w:iCs/>
      <w:color w:val="404040" w:themeColor="text1" w:themeTint="BF"/>
    </w:rPr>
  </w:style>
  <w:style w:type="character" w:customStyle="1" w:styleId="QuoteChar">
    <w:name w:val="Quote Char"/>
    <w:basedOn w:val="DefaultParagraphFont"/>
    <w:link w:val="Quote"/>
    <w:uiPriority w:val="29"/>
    <w:rsid w:val="00BC392C"/>
    <w:rPr>
      <w:i/>
      <w:iCs/>
      <w:color w:val="404040" w:themeColor="text1" w:themeTint="BF"/>
    </w:rPr>
  </w:style>
  <w:style w:type="paragraph" w:styleId="ListParagraph">
    <w:name w:val="List Paragraph"/>
    <w:aliases w:val="Bullet OFM,List Paragraph1,List Paragraph (numbered (a)),Bullet List,Primus H 3,lp1,Use Case List Paragraph Char,Citation List,Use Case List Paragraph,555,AB List 1,Prgrf_UNDP,Bullet Points,Liste Paragraf,Liststycke SKL,Nummerierung O&amp;M"/>
    <w:basedOn w:val="Normal"/>
    <w:link w:val="ListParagraphChar"/>
    <w:uiPriority w:val="1"/>
    <w:qFormat/>
    <w:rsid w:val="00BC392C"/>
    <w:pPr>
      <w:ind w:left="720"/>
      <w:contextualSpacing/>
    </w:pPr>
  </w:style>
  <w:style w:type="character" w:styleId="IntenseEmphasis">
    <w:name w:val="Intense Emphasis"/>
    <w:basedOn w:val="DefaultParagraphFont"/>
    <w:uiPriority w:val="21"/>
    <w:qFormat/>
    <w:rsid w:val="00BC392C"/>
    <w:rPr>
      <w:i/>
      <w:iCs/>
      <w:color w:val="0F4761" w:themeColor="accent1" w:themeShade="BF"/>
    </w:rPr>
  </w:style>
  <w:style w:type="paragraph" w:styleId="IntenseQuote">
    <w:name w:val="Intense Quote"/>
    <w:basedOn w:val="Normal"/>
    <w:next w:val="Normal"/>
    <w:link w:val="IntenseQuoteChar"/>
    <w:uiPriority w:val="30"/>
    <w:qFormat/>
    <w:rsid w:val="00BC3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2C"/>
    <w:rPr>
      <w:i/>
      <w:iCs/>
      <w:color w:val="0F4761" w:themeColor="accent1" w:themeShade="BF"/>
    </w:rPr>
  </w:style>
  <w:style w:type="character" w:styleId="IntenseReference">
    <w:name w:val="Intense Reference"/>
    <w:basedOn w:val="DefaultParagraphFont"/>
    <w:uiPriority w:val="32"/>
    <w:qFormat/>
    <w:rsid w:val="00BC392C"/>
    <w:rPr>
      <w:b/>
      <w:bCs/>
      <w:smallCaps/>
      <w:color w:val="0F4761" w:themeColor="accent1" w:themeShade="BF"/>
      <w:spacing w:val="5"/>
    </w:rPr>
  </w:style>
  <w:style w:type="character" w:styleId="CommentReference">
    <w:name w:val="annotation reference"/>
    <w:basedOn w:val="DefaultParagraphFont"/>
    <w:uiPriority w:val="99"/>
    <w:semiHidden/>
    <w:unhideWhenUsed/>
    <w:rsid w:val="00810BB5"/>
    <w:rPr>
      <w:sz w:val="16"/>
      <w:szCs w:val="16"/>
    </w:rPr>
  </w:style>
  <w:style w:type="paragraph" w:styleId="CommentText">
    <w:name w:val="annotation text"/>
    <w:basedOn w:val="Normal"/>
    <w:link w:val="CommentTextChar"/>
    <w:uiPriority w:val="99"/>
    <w:unhideWhenUsed/>
    <w:rsid w:val="00810BB5"/>
    <w:pPr>
      <w:spacing w:line="240" w:lineRule="auto"/>
    </w:pPr>
    <w:rPr>
      <w:sz w:val="20"/>
      <w:szCs w:val="20"/>
    </w:rPr>
  </w:style>
  <w:style w:type="character" w:customStyle="1" w:styleId="CommentTextChar">
    <w:name w:val="Comment Text Char"/>
    <w:basedOn w:val="DefaultParagraphFont"/>
    <w:link w:val="CommentText"/>
    <w:uiPriority w:val="99"/>
    <w:rsid w:val="00810BB5"/>
    <w:rPr>
      <w:sz w:val="20"/>
      <w:szCs w:val="20"/>
    </w:rPr>
  </w:style>
  <w:style w:type="paragraph" w:styleId="CommentSubject">
    <w:name w:val="annotation subject"/>
    <w:basedOn w:val="CommentText"/>
    <w:next w:val="CommentText"/>
    <w:link w:val="CommentSubjectChar"/>
    <w:uiPriority w:val="99"/>
    <w:semiHidden/>
    <w:unhideWhenUsed/>
    <w:rsid w:val="00810BB5"/>
    <w:rPr>
      <w:b/>
      <w:bCs/>
    </w:rPr>
  </w:style>
  <w:style w:type="character" w:customStyle="1" w:styleId="CommentSubjectChar">
    <w:name w:val="Comment Subject Char"/>
    <w:basedOn w:val="CommentTextChar"/>
    <w:link w:val="CommentSubject"/>
    <w:uiPriority w:val="99"/>
    <w:semiHidden/>
    <w:rsid w:val="00810BB5"/>
    <w:rPr>
      <w:b/>
      <w:bCs/>
      <w:sz w:val="20"/>
      <w:szCs w:val="20"/>
    </w:rPr>
  </w:style>
  <w:style w:type="character" w:styleId="Strong">
    <w:name w:val="Strong"/>
    <w:basedOn w:val="DefaultParagraphFont"/>
    <w:uiPriority w:val="22"/>
    <w:qFormat/>
    <w:rsid w:val="00C768C8"/>
    <w:rPr>
      <w:b/>
      <w:bCs/>
    </w:rPr>
  </w:style>
  <w:style w:type="paragraph" w:styleId="NormalWeb">
    <w:name w:val="Normal (Web)"/>
    <w:basedOn w:val="Normal"/>
    <w:uiPriority w:val="99"/>
    <w:unhideWhenUsed/>
    <w:rsid w:val="00C768C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M1">
    <w:name w:val="CM1"/>
    <w:basedOn w:val="Normal"/>
    <w:next w:val="Normal"/>
    <w:uiPriority w:val="99"/>
    <w:rsid w:val="009C5F0B"/>
    <w:pPr>
      <w:autoSpaceDE w:val="0"/>
      <w:autoSpaceDN w:val="0"/>
      <w:adjustRightInd w:val="0"/>
      <w:spacing w:after="0" w:line="240" w:lineRule="auto"/>
    </w:pPr>
    <w:rPr>
      <w:rFonts w:ascii="Times New Roman" w:hAnsi="Times New Roman" w:cs="Times New Roman"/>
      <w:kern w:val="0"/>
    </w:rPr>
  </w:style>
  <w:style w:type="paragraph" w:customStyle="1" w:styleId="CM3">
    <w:name w:val="CM3"/>
    <w:basedOn w:val="Normal"/>
    <w:next w:val="Normal"/>
    <w:uiPriority w:val="99"/>
    <w:rsid w:val="009C5F0B"/>
    <w:pPr>
      <w:autoSpaceDE w:val="0"/>
      <w:autoSpaceDN w:val="0"/>
      <w:adjustRightInd w:val="0"/>
      <w:spacing w:after="0" w:line="240" w:lineRule="auto"/>
    </w:pPr>
    <w:rPr>
      <w:rFonts w:ascii="Times New Roman" w:hAnsi="Times New Roman" w:cs="Times New Roman"/>
      <w:kern w:val="0"/>
    </w:rPr>
  </w:style>
  <w:style w:type="paragraph" w:customStyle="1" w:styleId="CM4">
    <w:name w:val="CM4"/>
    <w:basedOn w:val="Normal"/>
    <w:next w:val="Normal"/>
    <w:uiPriority w:val="99"/>
    <w:rsid w:val="009C5F0B"/>
    <w:pPr>
      <w:autoSpaceDE w:val="0"/>
      <w:autoSpaceDN w:val="0"/>
      <w:adjustRightInd w:val="0"/>
      <w:spacing w:after="0" w:line="240" w:lineRule="auto"/>
    </w:pPr>
    <w:rPr>
      <w:rFonts w:ascii="Times New Roman" w:hAnsi="Times New Roman" w:cs="Times New Roman"/>
      <w:kern w:val="0"/>
    </w:rPr>
  </w:style>
  <w:style w:type="paragraph" w:customStyle="1" w:styleId="Gesetzestext1">
    <w:name w:val="Gesetzestext 1."/>
    <w:basedOn w:val="Normal"/>
    <w:qFormat/>
    <w:rsid w:val="00EA362F"/>
    <w:pPr>
      <w:numPr>
        <w:numId w:val="95"/>
      </w:numPr>
      <w:spacing w:before="240" w:after="240" w:line="240" w:lineRule="auto"/>
      <w:jc w:val="both"/>
    </w:pPr>
    <w:rPr>
      <w:rFonts w:ascii="Times New Roman" w:eastAsia="Times New Roman" w:hAnsi="Times New Roman" w:cs="Times New Roman"/>
      <w:kern w:val="0"/>
      <w:lang w:val="de-DE" w:eastAsia="de-DE"/>
      <w14:ligatures w14:val="none"/>
    </w:rPr>
  </w:style>
  <w:style w:type="character" w:customStyle="1" w:styleId="sr-only">
    <w:name w:val="sr-only"/>
    <w:basedOn w:val="DefaultParagraphFont"/>
    <w:rsid w:val="00172422"/>
  </w:style>
  <w:style w:type="paragraph" w:styleId="z-TopofForm">
    <w:name w:val="HTML Top of Form"/>
    <w:basedOn w:val="Normal"/>
    <w:next w:val="Normal"/>
    <w:link w:val="z-TopofFormChar"/>
    <w:hidden/>
    <w:uiPriority w:val="99"/>
    <w:semiHidden/>
    <w:unhideWhenUsed/>
    <w:rsid w:val="0090166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0166E"/>
    <w:rPr>
      <w:rFonts w:ascii="Arial" w:eastAsia="Times New Roman" w:hAnsi="Arial" w:cs="Arial"/>
      <w:vanish/>
      <w:kern w:val="0"/>
      <w:sz w:val="16"/>
      <w:szCs w:val="16"/>
      <w14:ligatures w14:val="none"/>
    </w:rPr>
  </w:style>
  <w:style w:type="paragraph" w:customStyle="1" w:styleId="placeholder">
    <w:name w:val="placeholder"/>
    <w:basedOn w:val="Normal"/>
    <w:rsid w:val="009016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isplayvar--force-hide-label">
    <w:name w:val="[display:var(--force-hide-label)]"/>
    <w:basedOn w:val="DefaultParagraphFont"/>
    <w:rsid w:val="0090166E"/>
  </w:style>
  <w:style w:type="paragraph" w:styleId="z-BottomofForm">
    <w:name w:val="HTML Bottom of Form"/>
    <w:basedOn w:val="Normal"/>
    <w:next w:val="Normal"/>
    <w:link w:val="z-BottomofFormChar"/>
    <w:hidden/>
    <w:uiPriority w:val="99"/>
    <w:semiHidden/>
    <w:unhideWhenUsed/>
    <w:rsid w:val="0090166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0166E"/>
    <w:rPr>
      <w:rFonts w:ascii="Arial" w:eastAsia="Times New Roman" w:hAnsi="Arial" w:cs="Arial"/>
      <w:vanish/>
      <w:kern w:val="0"/>
      <w:sz w:val="16"/>
      <w:szCs w:val="16"/>
      <w14:ligatures w14:val="none"/>
    </w:rPr>
  </w:style>
  <w:style w:type="character" w:styleId="Hyperlink">
    <w:name w:val="Hyperlink"/>
    <w:basedOn w:val="DefaultParagraphFont"/>
    <w:uiPriority w:val="99"/>
    <w:unhideWhenUsed/>
    <w:rsid w:val="00113B40"/>
    <w:rPr>
      <w:color w:val="467886" w:themeColor="hyperlink"/>
      <w:u w:val="single"/>
    </w:rPr>
  </w:style>
  <w:style w:type="character" w:styleId="UnresolvedMention">
    <w:name w:val="Unresolved Mention"/>
    <w:basedOn w:val="DefaultParagraphFont"/>
    <w:uiPriority w:val="99"/>
    <w:semiHidden/>
    <w:unhideWhenUsed/>
    <w:rsid w:val="00113B40"/>
    <w:rPr>
      <w:color w:val="605E5C"/>
      <w:shd w:val="clear" w:color="auto" w:fill="E1DFDD"/>
    </w:rPr>
  </w:style>
  <w:style w:type="numbering" w:customStyle="1" w:styleId="NoList1">
    <w:name w:val="No List1"/>
    <w:next w:val="NoList"/>
    <w:uiPriority w:val="99"/>
    <w:semiHidden/>
    <w:unhideWhenUsed/>
    <w:rsid w:val="00872FDA"/>
  </w:style>
  <w:style w:type="paragraph" w:styleId="BodyText">
    <w:name w:val="Body Text"/>
    <w:basedOn w:val="Normal"/>
    <w:link w:val="BodyTextChar"/>
    <w:uiPriority w:val="1"/>
    <w:qFormat/>
    <w:rsid w:val="00872FDA"/>
    <w:pPr>
      <w:widowControl w:val="0"/>
      <w:spacing w:before="159" w:after="0" w:line="240" w:lineRule="auto"/>
      <w:ind w:left="511"/>
      <w:jc w:val="both"/>
    </w:pPr>
    <w:rPr>
      <w:rFonts w:ascii="Algerian" w:eastAsia="Algerian" w:hAnsi="Algerian"/>
      <w:kern w:val="0"/>
      <w:lang w:val="sq-AL"/>
      <w14:ligatures w14:val="none"/>
    </w:rPr>
  </w:style>
  <w:style w:type="character" w:customStyle="1" w:styleId="BodyTextChar">
    <w:name w:val="Body Text Char"/>
    <w:basedOn w:val="DefaultParagraphFont"/>
    <w:link w:val="BodyText"/>
    <w:uiPriority w:val="1"/>
    <w:rsid w:val="00872FDA"/>
    <w:rPr>
      <w:rFonts w:ascii="Algerian" w:eastAsia="Algerian" w:hAnsi="Algerian"/>
      <w:kern w:val="0"/>
      <w:lang w:val="sq-AL"/>
      <w14:ligatures w14:val="none"/>
    </w:rPr>
  </w:style>
  <w:style w:type="paragraph" w:customStyle="1" w:styleId="TableParagraph">
    <w:name w:val="Table Paragraph"/>
    <w:basedOn w:val="Normal"/>
    <w:uiPriority w:val="1"/>
    <w:qFormat/>
    <w:rsid w:val="00872FDA"/>
    <w:pPr>
      <w:widowControl w:val="0"/>
      <w:spacing w:after="0" w:line="240" w:lineRule="auto"/>
      <w:jc w:val="both"/>
    </w:pPr>
    <w:rPr>
      <w:kern w:val="0"/>
      <w:sz w:val="20"/>
      <w:szCs w:val="22"/>
      <w:lang w:val="sq-AL"/>
      <w14:ligatures w14:val="none"/>
    </w:rPr>
  </w:style>
  <w:style w:type="table" w:styleId="TableGrid">
    <w:name w:val="Table Grid"/>
    <w:basedOn w:val="TableNormal"/>
    <w:uiPriority w:val="59"/>
    <w:rsid w:val="00872FDA"/>
    <w:pPr>
      <w:widowControl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872FDA"/>
    <w:pPr>
      <w:widowControl w:val="0"/>
      <w:spacing w:after="0" w:line="240" w:lineRule="auto"/>
      <w:jc w:val="both"/>
    </w:pPr>
    <w:rPr>
      <w:rFonts w:ascii="Segoe UI" w:hAnsi="Segoe UI" w:cs="Segoe UI"/>
      <w:kern w:val="0"/>
      <w:sz w:val="18"/>
      <w:szCs w:val="18"/>
      <w:lang w:val="sq-AL"/>
      <w14:ligatures w14:val="none"/>
    </w:rPr>
  </w:style>
  <w:style w:type="character" w:customStyle="1" w:styleId="BalloonTextChar">
    <w:name w:val="Balloon Text Char"/>
    <w:basedOn w:val="DefaultParagraphFont"/>
    <w:link w:val="BalloonText"/>
    <w:uiPriority w:val="99"/>
    <w:semiHidden/>
    <w:rsid w:val="00872FDA"/>
    <w:rPr>
      <w:rFonts w:ascii="Segoe UI" w:hAnsi="Segoe UI" w:cs="Segoe UI"/>
      <w:kern w:val="0"/>
      <w:sz w:val="18"/>
      <w:szCs w:val="18"/>
      <w:lang w:val="sq-AL"/>
      <w14:ligatures w14:val="none"/>
    </w:rPr>
  </w:style>
  <w:style w:type="paragraph" w:styleId="FootnoteText">
    <w:name w:val="footnote text"/>
    <w:basedOn w:val="Normal"/>
    <w:link w:val="FootnoteTextChar"/>
    <w:uiPriority w:val="99"/>
    <w:semiHidden/>
    <w:unhideWhenUsed/>
    <w:rsid w:val="00872FDA"/>
    <w:pPr>
      <w:widowControl w:val="0"/>
      <w:spacing w:after="0" w:line="240" w:lineRule="auto"/>
      <w:jc w:val="both"/>
    </w:pPr>
    <w:rPr>
      <w:kern w:val="0"/>
      <w:sz w:val="20"/>
      <w:szCs w:val="20"/>
      <w:lang w:val="sq-AL"/>
      <w14:ligatures w14:val="none"/>
    </w:rPr>
  </w:style>
  <w:style w:type="character" w:customStyle="1" w:styleId="FootnoteTextChar">
    <w:name w:val="Footnote Text Char"/>
    <w:basedOn w:val="DefaultParagraphFont"/>
    <w:link w:val="FootnoteText"/>
    <w:uiPriority w:val="99"/>
    <w:semiHidden/>
    <w:rsid w:val="00872FDA"/>
    <w:rPr>
      <w:kern w:val="0"/>
      <w:sz w:val="20"/>
      <w:szCs w:val="20"/>
      <w:lang w:val="sq-AL"/>
      <w14:ligatures w14:val="none"/>
    </w:rPr>
  </w:style>
  <w:style w:type="character" w:styleId="FootnoteReference">
    <w:name w:val="footnote reference"/>
    <w:basedOn w:val="DefaultParagraphFont"/>
    <w:uiPriority w:val="99"/>
    <w:semiHidden/>
    <w:unhideWhenUsed/>
    <w:rsid w:val="00872FDA"/>
    <w:rPr>
      <w:vertAlign w:val="superscript"/>
    </w:rPr>
  </w:style>
  <w:style w:type="paragraph" w:customStyle="1" w:styleId="Artikel-berschrift">
    <w:name w:val="Artikel-Überschrift"/>
    <w:basedOn w:val="Normal"/>
    <w:qFormat/>
    <w:rsid w:val="00872FDA"/>
    <w:pPr>
      <w:keepNext/>
      <w:spacing w:before="960" w:after="0" w:line="240" w:lineRule="auto"/>
      <w:jc w:val="center"/>
    </w:pPr>
    <w:rPr>
      <w:bCs/>
      <w:i/>
      <w:kern w:val="0"/>
      <w:szCs w:val="28"/>
      <w:lang w:val="sq-AL"/>
      <w14:ligatures w14:val="none"/>
    </w:rPr>
  </w:style>
  <w:style w:type="paragraph" w:customStyle="1" w:styleId="Article">
    <w:name w:val="Article"/>
    <w:basedOn w:val="Artikel-berschrift"/>
    <w:qFormat/>
    <w:rsid w:val="00872FDA"/>
    <w:pPr>
      <w:keepLines/>
      <w:spacing w:before="480" w:after="240"/>
      <w:contextualSpacing/>
    </w:pPr>
    <w:rPr>
      <w:b/>
      <w:i w:val="0"/>
      <w:szCs w:val="20"/>
    </w:rPr>
  </w:style>
  <w:style w:type="paragraph" w:customStyle="1" w:styleId="Kapitel-berschrift">
    <w:name w:val="Kapitel-Überschrift"/>
    <w:basedOn w:val="Artikel-berschrift"/>
    <w:qFormat/>
    <w:rsid w:val="00872FDA"/>
    <w:rPr>
      <w:bCs w:val="0"/>
      <w:i w:val="0"/>
      <w:sz w:val="36"/>
      <w:szCs w:val="36"/>
    </w:rPr>
  </w:style>
  <w:style w:type="paragraph" w:customStyle="1" w:styleId="Style1">
    <w:name w:val="Style1"/>
    <w:basedOn w:val="Article"/>
    <w:qFormat/>
    <w:rsid w:val="00872FDA"/>
    <w:rPr>
      <w:b w:val="0"/>
    </w:rPr>
  </w:style>
  <w:style w:type="paragraph" w:customStyle="1" w:styleId="CHAPTER">
    <w:name w:val="CHAPTER"/>
    <w:basedOn w:val="Article"/>
    <w:qFormat/>
    <w:rsid w:val="00872FDA"/>
    <w:pPr>
      <w:spacing w:after="480"/>
    </w:pPr>
  </w:style>
  <w:style w:type="paragraph" w:customStyle="1" w:styleId="1">
    <w:name w:val="1."/>
    <w:basedOn w:val="ListParagraph"/>
    <w:qFormat/>
    <w:rsid w:val="00872FDA"/>
    <w:pPr>
      <w:widowControl w:val="0"/>
      <w:numPr>
        <w:numId w:val="116"/>
      </w:numPr>
      <w:spacing w:before="240" w:after="240" w:line="240" w:lineRule="auto"/>
      <w:contextualSpacing w:val="0"/>
      <w:jc w:val="both"/>
    </w:pPr>
    <w:rPr>
      <w:kern w:val="0"/>
      <w:sz w:val="20"/>
      <w:szCs w:val="22"/>
      <w:lang w:val="sq-AL"/>
      <w14:ligatures w14:val="none"/>
    </w:rPr>
  </w:style>
  <w:style w:type="paragraph" w:customStyle="1" w:styleId="a">
    <w:name w:val="(a)"/>
    <w:basedOn w:val="1"/>
    <w:qFormat/>
    <w:rsid w:val="00872FDA"/>
    <w:pPr>
      <w:numPr>
        <w:numId w:val="117"/>
      </w:numPr>
    </w:pPr>
    <w:rPr>
      <w:rFonts w:ascii="Times New Roman" w:hAnsi="Times New Roman" w:cs="Times New Roman"/>
      <w:color w:val="010302"/>
    </w:rPr>
  </w:style>
  <w:style w:type="paragraph" w:customStyle="1" w:styleId="i0">
    <w:name w:val="(i)"/>
    <w:basedOn w:val="a"/>
    <w:qFormat/>
    <w:rsid w:val="00872FDA"/>
    <w:pPr>
      <w:numPr>
        <w:numId w:val="118"/>
      </w:numPr>
      <w:tabs>
        <w:tab w:val="num" w:pos="720"/>
      </w:tabs>
      <w:ind w:left="1135" w:hanging="284"/>
    </w:pPr>
  </w:style>
  <w:style w:type="paragraph" w:styleId="Header">
    <w:name w:val="header"/>
    <w:basedOn w:val="Normal"/>
    <w:link w:val="HeaderChar"/>
    <w:uiPriority w:val="99"/>
    <w:unhideWhenUsed/>
    <w:rsid w:val="00872FDA"/>
    <w:pPr>
      <w:widowControl w:val="0"/>
      <w:tabs>
        <w:tab w:val="center" w:pos="4536"/>
        <w:tab w:val="right" w:pos="9072"/>
      </w:tabs>
      <w:spacing w:after="0" w:line="240" w:lineRule="auto"/>
      <w:jc w:val="both"/>
    </w:pPr>
    <w:rPr>
      <w:kern w:val="0"/>
      <w:sz w:val="20"/>
      <w:szCs w:val="22"/>
      <w:lang w:val="sq-AL"/>
      <w14:ligatures w14:val="none"/>
    </w:rPr>
  </w:style>
  <w:style w:type="character" w:customStyle="1" w:styleId="HeaderChar">
    <w:name w:val="Header Char"/>
    <w:basedOn w:val="DefaultParagraphFont"/>
    <w:link w:val="Header"/>
    <w:uiPriority w:val="99"/>
    <w:rsid w:val="00872FDA"/>
    <w:rPr>
      <w:kern w:val="0"/>
      <w:sz w:val="20"/>
      <w:szCs w:val="22"/>
      <w:lang w:val="sq-AL"/>
      <w14:ligatures w14:val="none"/>
    </w:rPr>
  </w:style>
  <w:style w:type="paragraph" w:styleId="Footer">
    <w:name w:val="footer"/>
    <w:basedOn w:val="Normal"/>
    <w:link w:val="FooterChar"/>
    <w:uiPriority w:val="99"/>
    <w:unhideWhenUsed/>
    <w:rsid w:val="00872FDA"/>
    <w:pPr>
      <w:widowControl w:val="0"/>
      <w:tabs>
        <w:tab w:val="center" w:pos="4536"/>
        <w:tab w:val="right" w:pos="9072"/>
      </w:tabs>
      <w:spacing w:after="0" w:line="240" w:lineRule="auto"/>
      <w:jc w:val="both"/>
    </w:pPr>
    <w:rPr>
      <w:kern w:val="0"/>
      <w:sz w:val="20"/>
      <w:szCs w:val="22"/>
      <w:lang w:val="sq-AL"/>
      <w14:ligatures w14:val="none"/>
    </w:rPr>
  </w:style>
  <w:style w:type="character" w:customStyle="1" w:styleId="FooterChar">
    <w:name w:val="Footer Char"/>
    <w:basedOn w:val="DefaultParagraphFont"/>
    <w:link w:val="Footer"/>
    <w:uiPriority w:val="99"/>
    <w:rsid w:val="00872FDA"/>
    <w:rPr>
      <w:kern w:val="0"/>
      <w:sz w:val="20"/>
      <w:szCs w:val="22"/>
      <w:lang w:val="sq-AL"/>
      <w14:ligatures w14:val="none"/>
    </w:rPr>
  </w:style>
  <w:style w:type="paragraph" w:customStyle="1" w:styleId="Annex">
    <w:name w:val="Annex"/>
    <w:basedOn w:val="Artikel-berschrift"/>
    <w:qFormat/>
    <w:rsid w:val="00872FDA"/>
    <w:rPr>
      <w:sz w:val="22"/>
    </w:rPr>
  </w:style>
  <w:style w:type="paragraph" w:customStyle="1" w:styleId="Annex-Unterberschrift">
    <w:name w:val="Annex-Unterüberschrift"/>
    <w:basedOn w:val="Article"/>
    <w:qFormat/>
    <w:rsid w:val="00872FDA"/>
    <w:rPr>
      <w:b w:val="0"/>
      <w:sz w:val="20"/>
    </w:rPr>
  </w:style>
  <w:style w:type="paragraph" w:customStyle="1" w:styleId="I">
    <w:name w:val="I."/>
    <w:basedOn w:val="1"/>
    <w:qFormat/>
    <w:rsid w:val="00872FDA"/>
    <w:pPr>
      <w:numPr>
        <w:numId w:val="119"/>
      </w:numPr>
      <w:tabs>
        <w:tab w:val="num" w:pos="720"/>
      </w:tabs>
    </w:pPr>
  </w:style>
  <w:style w:type="paragraph" w:customStyle="1" w:styleId="A0">
    <w:name w:val="A."/>
    <w:basedOn w:val="a"/>
    <w:qFormat/>
    <w:rsid w:val="00872FDA"/>
    <w:pPr>
      <w:numPr>
        <w:numId w:val="120"/>
      </w:numPr>
      <w:tabs>
        <w:tab w:val="num" w:pos="720"/>
      </w:tabs>
      <w:ind w:left="720"/>
    </w:pPr>
  </w:style>
  <w:style w:type="paragraph" w:customStyle="1" w:styleId="tbl-txt">
    <w:name w:val="tbl-txt"/>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Standard1">
    <w:name w:val="Standard1"/>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ti-grseq-1">
    <w:name w:val="ti-grseq-1"/>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super">
    <w:name w:val="super"/>
    <w:basedOn w:val="DefaultParagraphFont"/>
    <w:rsid w:val="00872FDA"/>
  </w:style>
  <w:style w:type="character" w:customStyle="1" w:styleId="jlqj4b">
    <w:name w:val="jlqj4b"/>
    <w:basedOn w:val="DefaultParagraphFont"/>
    <w:rsid w:val="00872FDA"/>
  </w:style>
  <w:style w:type="paragraph" w:customStyle="1" w:styleId="Gesetzestext">
    <w:name w:val="Gesetzestext"/>
    <w:basedOn w:val="Normal"/>
    <w:rsid w:val="00872FDA"/>
    <w:pPr>
      <w:spacing w:before="240" w:after="240" w:line="240" w:lineRule="auto"/>
      <w:jc w:val="both"/>
    </w:pPr>
    <w:rPr>
      <w:rFonts w:ascii="Times New Roman" w:eastAsia="Times New Roman" w:hAnsi="Times New Roman" w:cs="Times New Roman"/>
      <w:kern w:val="0"/>
      <w:lang w:val="de-DE" w:eastAsia="de-DE"/>
      <w14:ligatures w14:val="none"/>
    </w:rPr>
  </w:style>
  <w:style w:type="paragraph" w:styleId="Revision">
    <w:name w:val="Revision"/>
    <w:hidden/>
    <w:uiPriority w:val="99"/>
    <w:semiHidden/>
    <w:rsid w:val="00872FDA"/>
    <w:pPr>
      <w:spacing w:after="0" w:line="240" w:lineRule="auto"/>
    </w:pPr>
    <w:rPr>
      <w:kern w:val="0"/>
      <w:sz w:val="20"/>
      <w:szCs w:val="22"/>
      <w14:ligatures w14:val="none"/>
    </w:rPr>
  </w:style>
  <w:style w:type="paragraph" w:customStyle="1" w:styleId="Normal1">
    <w:name w:val="Normal1"/>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FollowedHyperlink1">
    <w:name w:val="FollowedHyperlink1"/>
    <w:basedOn w:val="DefaultParagraphFont"/>
    <w:uiPriority w:val="99"/>
    <w:semiHidden/>
    <w:unhideWhenUsed/>
    <w:rsid w:val="00872FDA"/>
    <w:rPr>
      <w:color w:val="800080"/>
      <w:u w:val="single"/>
    </w:rPr>
  </w:style>
  <w:style w:type="paragraph" w:customStyle="1" w:styleId="Normal2">
    <w:name w:val="Normal2"/>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customStyle="1" w:styleId="UnresolvedMention1">
    <w:name w:val="Unresolved Mention1"/>
    <w:basedOn w:val="DefaultParagraphFont"/>
    <w:uiPriority w:val="99"/>
    <w:semiHidden/>
    <w:unhideWhenUsed/>
    <w:rsid w:val="00872FDA"/>
    <w:rPr>
      <w:color w:val="605E5C"/>
      <w:shd w:val="clear" w:color="auto" w:fill="E1DFDD"/>
    </w:rPr>
  </w:style>
  <w:style w:type="paragraph" w:customStyle="1" w:styleId="Standard2">
    <w:name w:val="Standard2"/>
    <w:basedOn w:val="Normal"/>
    <w:rsid w:val="00872FD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paragraph" w:customStyle="1" w:styleId="027">
    <w:name w:val="027"/>
    <w:aliases w:val="opschrift"/>
    <w:basedOn w:val="Normal"/>
    <w:next w:val="Normal"/>
    <w:link w:val="027Char"/>
    <w:rsid w:val="00872FDA"/>
    <w:pPr>
      <w:spacing w:before="5200" w:after="0" w:line="240" w:lineRule="auto"/>
      <w:jc w:val="right"/>
    </w:pPr>
    <w:rPr>
      <w:rFonts w:ascii="EYInterstate Light" w:eastAsia="Times New Roman" w:hAnsi="EYInterstate Light" w:cs="Times New Roman"/>
      <w:b/>
      <w:color w:val="808080"/>
      <w:kern w:val="0"/>
      <w:sz w:val="48"/>
      <w:lang w:val="sq-AL"/>
      <w14:ligatures w14:val="none"/>
    </w:rPr>
  </w:style>
  <w:style w:type="character" w:customStyle="1" w:styleId="027Char">
    <w:name w:val="027 Char"/>
    <w:aliases w:val="opschrift Char"/>
    <w:basedOn w:val="DefaultParagraphFont"/>
    <w:link w:val="027"/>
    <w:rsid w:val="00872FDA"/>
    <w:rPr>
      <w:rFonts w:ascii="EYInterstate Light" w:eastAsia="Times New Roman" w:hAnsi="EYInterstate Light" w:cs="Times New Roman"/>
      <w:b/>
      <w:color w:val="808080"/>
      <w:kern w:val="0"/>
      <w:sz w:val="48"/>
      <w:lang w:val="sq-AL"/>
      <w14:ligatures w14:val="none"/>
    </w:rPr>
  </w:style>
  <w:style w:type="paragraph" w:customStyle="1" w:styleId="box459027">
    <w:name w:val="box_459027"/>
    <w:basedOn w:val="Normal"/>
    <w:rsid w:val="00872FDA"/>
    <w:pPr>
      <w:spacing w:before="100" w:beforeAutospacing="1" w:after="100" w:afterAutospacing="1" w:line="240" w:lineRule="auto"/>
    </w:pPr>
    <w:rPr>
      <w:rFonts w:ascii="Times New Roman" w:eastAsia="Times New Roman" w:hAnsi="Times New Roman" w:cs="Times New Roman"/>
      <w:kern w:val="0"/>
      <w:lang w:val="sq-AL"/>
      <w14:ligatures w14:val="none"/>
    </w:rPr>
  </w:style>
  <w:style w:type="character" w:customStyle="1" w:styleId="NichtaufgelsteErwhnung1">
    <w:name w:val="Nicht aufgelöste Erwähnung1"/>
    <w:basedOn w:val="DefaultParagraphFont"/>
    <w:uiPriority w:val="99"/>
    <w:semiHidden/>
    <w:unhideWhenUsed/>
    <w:rsid w:val="00872FDA"/>
    <w:rPr>
      <w:color w:val="605E5C"/>
      <w:shd w:val="clear" w:color="auto" w:fill="E1DFDD"/>
    </w:rPr>
  </w:style>
  <w:style w:type="character" w:customStyle="1" w:styleId="ListParagraphChar">
    <w:name w:val="List Paragraph Char"/>
    <w:aliases w:val="Bullet OFM Char,List Paragraph1 Char,List Paragraph (numbered (a)) Char,Bullet List Char,Primus H 3 Char,lp1 Char,Use Case List Paragraph Char Char,Citation List Char,Use Case List Paragraph Char1,555 Char,AB List 1 Char"/>
    <w:link w:val="ListParagraph"/>
    <w:uiPriority w:val="1"/>
    <w:qFormat/>
    <w:locked/>
    <w:rsid w:val="00872FDA"/>
  </w:style>
  <w:style w:type="paragraph" w:styleId="NoSpacing">
    <w:name w:val="No Spacing"/>
    <w:uiPriority w:val="1"/>
    <w:qFormat/>
    <w:rsid w:val="00872FDA"/>
    <w:pPr>
      <w:widowControl w:val="0"/>
      <w:spacing w:after="0" w:line="240" w:lineRule="auto"/>
      <w:jc w:val="both"/>
    </w:pPr>
    <w:rPr>
      <w:kern w:val="0"/>
      <w:sz w:val="20"/>
      <w:szCs w:val="22"/>
      <w:lang w:val="sq-AL"/>
      <w14:ligatures w14:val="none"/>
    </w:rPr>
  </w:style>
  <w:style w:type="character" w:styleId="FollowedHyperlink">
    <w:name w:val="FollowedHyperlink"/>
    <w:basedOn w:val="DefaultParagraphFont"/>
    <w:uiPriority w:val="99"/>
    <w:semiHidden/>
    <w:unhideWhenUsed/>
    <w:rsid w:val="00872FDA"/>
    <w:rPr>
      <w:color w:val="96607D" w:themeColor="followedHyperlink"/>
      <w:u w:val="single"/>
    </w:rPr>
  </w:style>
  <w:style w:type="character" w:customStyle="1" w:styleId="cf01">
    <w:name w:val="cf01"/>
    <w:basedOn w:val="DefaultParagraphFont"/>
    <w:rsid w:val="00E27ED1"/>
    <w:rPr>
      <w:rFonts w:ascii="Segoe UI" w:hAnsi="Segoe UI" w:cs="Segoe UI" w:hint="default"/>
      <w:sz w:val="18"/>
      <w:szCs w:val="18"/>
    </w:rPr>
  </w:style>
  <w:style w:type="character" w:customStyle="1" w:styleId="relative">
    <w:name w:val="relative"/>
    <w:basedOn w:val="DefaultParagraphFont"/>
    <w:rsid w:val="00BE241C"/>
  </w:style>
  <w:style w:type="paragraph" w:customStyle="1" w:styleId="not-prose">
    <w:name w:val="not-prose"/>
    <w:basedOn w:val="Normal"/>
    <w:rsid w:val="00BE241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D5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2294">
      <w:bodyDiv w:val="1"/>
      <w:marLeft w:val="0"/>
      <w:marRight w:val="0"/>
      <w:marTop w:val="0"/>
      <w:marBottom w:val="0"/>
      <w:divBdr>
        <w:top w:val="none" w:sz="0" w:space="0" w:color="auto"/>
        <w:left w:val="none" w:sz="0" w:space="0" w:color="auto"/>
        <w:bottom w:val="none" w:sz="0" w:space="0" w:color="auto"/>
        <w:right w:val="none" w:sz="0" w:space="0" w:color="auto"/>
      </w:divBdr>
    </w:div>
    <w:div w:id="162791955">
      <w:bodyDiv w:val="1"/>
      <w:marLeft w:val="0"/>
      <w:marRight w:val="0"/>
      <w:marTop w:val="0"/>
      <w:marBottom w:val="0"/>
      <w:divBdr>
        <w:top w:val="none" w:sz="0" w:space="0" w:color="auto"/>
        <w:left w:val="none" w:sz="0" w:space="0" w:color="auto"/>
        <w:bottom w:val="none" w:sz="0" w:space="0" w:color="auto"/>
        <w:right w:val="none" w:sz="0" w:space="0" w:color="auto"/>
      </w:divBdr>
      <w:divsChild>
        <w:div w:id="87779739">
          <w:marLeft w:val="0"/>
          <w:marRight w:val="0"/>
          <w:marTop w:val="0"/>
          <w:marBottom w:val="0"/>
          <w:divBdr>
            <w:top w:val="none" w:sz="0" w:space="0" w:color="auto"/>
            <w:left w:val="none" w:sz="0" w:space="0" w:color="auto"/>
            <w:bottom w:val="none" w:sz="0" w:space="0" w:color="auto"/>
            <w:right w:val="none" w:sz="0" w:space="0" w:color="auto"/>
          </w:divBdr>
          <w:divsChild>
            <w:div w:id="1919828176">
              <w:marLeft w:val="0"/>
              <w:marRight w:val="0"/>
              <w:marTop w:val="0"/>
              <w:marBottom w:val="0"/>
              <w:divBdr>
                <w:top w:val="none" w:sz="0" w:space="0" w:color="auto"/>
                <w:left w:val="none" w:sz="0" w:space="0" w:color="auto"/>
                <w:bottom w:val="none" w:sz="0" w:space="0" w:color="auto"/>
                <w:right w:val="none" w:sz="0" w:space="0" w:color="auto"/>
              </w:divBdr>
              <w:divsChild>
                <w:div w:id="1466583860">
                  <w:marLeft w:val="0"/>
                  <w:marRight w:val="0"/>
                  <w:marTop w:val="0"/>
                  <w:marBottom w:val="0"/>
                  <w:divBdr>
                    <w:top w:val="none" w:sz="0" w:space="0" w:color="auto"/>
                    <w:left w:val="none" w:sz="0" w:space="0" w:color="auto"/>
                    <w:bottom w:val="none" w:sz="0" w:space="0" w:color="auto"/>
                    <w:right w:val="none" w:sz="0" w:space="0" w:color="auto"/>
                  </w:divBdr>
                  <w:divsChild>
                    <w:div w:id="1315449357">
                      <w:marLeft w:val="0"/>
                      <w:marRight w:val="0"/>
                      <w:marTop w:val="0"/>
                      <w:marBottom w:val="0"/>
                      <w:divBdr>
                        <w:top w:val="none" w:sz="0" w:space="0" w:color="auto"/>
                        <w:left w:val="none" w:sz="0" w:space="0" w:color="auto"/>
                        <w:bottom w:val="none" w:sz="0" w:space="0" w:color="auto"/>
                        <w:right w:val="none" w:sz="0" w:space="0" w:color="auto"/>
                      </w:divBdr>
                      <w:divsChild>
                        <w:div w:id="1874271963">
                          <w:marLeft w:val="0"/>
                          <w:marRight w:val="0"/>
                          <w:marTop w:val="0"/>
                          <w:marBottom w:val="0"/>
                          <w:divBdr>
                            <w:top w:val="none" w:sz="0" w:space="0" w:color="auto"/>
                            <w:left w:val="none" w:sz="0" w:space="0" w:color="auto"/>
                            <w:bottom w:val="none" w:sz="0" w:space="0" w:color="auto"/>
                            <w:right w:val="none" w:sz="0" w:space="0" w:color="auto"/>
                          </w:divBdr>
                          <w:divsChild>
                            <w:div w:id="207955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4060">
                  <w:marLeft w:val="0"/>
                  <w:marRight w:val="0"/>
                  <w:marTop w:val="0"/>
                  <w:marBottom w:val="0"/>
                  <w:divBdr>
                    <w:top w:val="none" w:sz="0" w:space="0" w:color="auto"/>
                    <w:left w:val="none" w:sz="0" w:space="0" w:color="auto"/>
                    <w:bottom w:val="none" w:sz="0" w:space="0" w:color="auto"/>
                    <w:right w:val="none" w:sz="0" w:space="0" w:color="auto"/>
                  </w:divBdr>
                  <w:divsChild>
                    <w:div w:id="6438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39160">
      <w:bodyDiv w:val="1"/>
      <w:marLeft w:val="0"/>
      <w:marRight w:val="0"/>
      <w:marTop w:val="0"/>
      <w:marBottom w:val="0"/>
      <w:divBdr>
        <w:top w:val="none" w:sz="0" w:space="0" w:color="auto"/>
        <w:left w:val="none" w:sz="0" w:space="0" w:color="auto"/>
        <w:bottom w:val="none" w:sz="0" w:space="0" w:color="auto"/>
        <w:right w:val="none" w:sz="0" w:space="0" w:color="auto"/>
      </w:divBdr>
    </w:div>
    <w:div w:id="773862560">
      <w:bodyDiv w:val="1"/>
      <w:marLeft w:val="0"/>
      <w:marRight w:val="0"/>
      <w:marTop w:val="0"/>
      <w:marBottom w:val="0"/>
      <w:divBdr>
        <w:top w:val="none" w:sz="0" w:space="0" w:color="auto"/>
        <w:left w:val="none" w:sz="0" w:space="0" w:color="auto"/>
        <w:bottom w:val="none" w:sz="0" w:space="0" w:color="auto"/>
        <w:right w:val="none" w:sz="0" w:space="0" w:color="auto"/>
      </w:divBdr>
      <w:divsChild>
        <w:div w:id="2057898327">
          <w:marLeft w:val="0"/>
          <w:marRight w:val="0"/>
          <w:marTop w:val="0"/>
          <w:marBottom w:val="0"/>
          <w:divBdr>
            <w:top w:val="none" w:sz="0" w:space="0" w:color="auto"/>
            <w:left w:val="none" w:sz="0" w:space="0" w:color="auto"/>
            <w:bottom w:val="none" w:sz="0" w:space="0" w:color="auto"/>
            <w:right w:val="none" w:sz="0" w:space="0" w:color="auto"/>
          </w:divBdr>
          <w:divsChild>
            <w:div w:id="564609095">
              <w:marLeft w:val="0"/>
              <w:marRight w:val="0"/>
              <w:marTop w:val="0"/>
              <w:marBottom w:val="0"/>
              <w:divBdr>
                <w:top w:val="none" w:sz="0" w:space="0" w:color="auto"/>
                <w:left w:val="none" w:sz="0" w:space="0" w:color="auto"/>
                <w:bottom w:val="none" w:sz="0" w:space="0" w:color="auto"/>
                <w:right w:val="none" w:sz="0" w:space="0" w:color="auto"/>
              </w:divBdr>
              <w:divsChild>
                <w:div w:id="1190534831">
                  <w:marLeft w:val="0"/>
                  <w:marRight w:val="0"/>
                  <w:marTop w:val="0"/>
                  <w:marBottom w:val="0"/>
                  <w:divBdr>
                    <w:top w:val="none" w:sz="0" w:space="0" w:color="auto"/>
                    <w:left w:val="none" w:sz="0" w:space="0" w:color="auto"/>
                    <w:bottom w:val="none" w:sz="0" w:space="0" w:color="auto"/>
                    <w:right w:val="none" w:sz="0" w:space="0" w:color="auto"/>
                  </w:divBdr>
                  <w:divsChild>
                    <w:div w:id="729036475">
                      <w:marLeft w:val="0"/>
                      <w:marRight w:val="0"/>
                      <w:marTop w:val="0"/>
                      <w:marBottom w:val="0"/>
                      <w:divBdr>
                        <w:top w:val="none" w:sz="0" w:space="0" w:color="auto"/>
                        <w:left w:val="none" w:sz="0" w:space="0" w:color="auto"/>
                        <w:bottom w:val="none" w:sz="0" w:space="0" w:color="auto"/>
                        <w:right w:val="none" w:sz="0" w:space="0" w:color="auto"/>
                      </w:divBdr>
                      <w:divsChild>
                        <w:div w:id="2023972498">
                          <w:marLeft w:val="0"/>
                          <w:marRight w:val="0"/>
                          <w:marTop w:val="0"/>
                          <w:marBottom w:val="0"/>
                          <w:divBdr>
                            <w:top w:val="none" w:sz="0" w:space="0" w:color="auto"/>
                            <w:left w:val="none" w:sz="0" w:space="0" w:color="auto"/>
                            <w:bottom w:val="none" w:sz="0" w:space="0" w:color="auto"/>
                            <w:right w:val="none" w:sz="0" w:space="0" w:color="auto"/>
                          </w:divBdr>
                          <w:divsChild>
                            <w:div w:id="1808544664">
                              <w:marLeft w:val="0"/>
                              <w:marRight w:val="0"/>
                              <w:marTop w:val="0"/>
                              <w:marBottom w:val="0"/>
                              <w:divBdr>
                                <w:top w:val="none" w:sz="0" w:space="0" w:color="auto"/>
                                <w:left w:val="none" w:sz="0" w:space="0" w:color="auto"/>
                                <w:bottom w:val="none" w:sz="0" w:space="0" w:color="auto"/>
                                <w:right w:val="none" w:sz="0" w:space="0" w:color="auto"/>
                              </w:divBdr>
                              <w:divsChild>
                                <w:div w:id="1276985745">
                                  <w:marLeft w:val="0"/>
                                  <w:marRight w:val="0"/>
                                  <w:marTop w:val="0"/>
                                  <w:marBottom w:val="0"/>
                                  <w:divBdr>
                                    <w:top w:val="none" w:sz="0" w:space="0" w:color="auto"/>
                                    <w:left w:val="none" w:sz="0" w:space="0" w:color="auto"/>
                                    <w:bottom w:val="none" w:sz="0" w:space="0" w:color="auto"/>
                                    <w:right w:val="none" w:sz="0" w:space="0" w:color="auto"/>
                                  </w:divBdr>
                                  <w:divsChild>
                                    <w:div w:id="180557864">
                                      <w:marLeft w:val="0"/>
                                      <w:marRight w:val="0"/>
                                      <w:marTop w:val="0"/>
                                      <w:marBottom w:val="0"/>
                                      <w:divBdr>
                                        <w:top w:val="none" w:sz="0" w:space="0" w:color="auto"/>
                                        <w:left w:val="none" w:sz="0" w:space="0" w:color="auto"/>
                                        <w:bottom w:val="none" w:sz="0" w:space="0" w:color="auto"/>
                                        <w:right w:val="none" w:sz="0" w:space="0" w:color="auto"/>
                                      </w:divBdr>
                                      <w:divsChild>
                                        <w:div w:id="740518026">
                                          <w:marLeft w:val="0"/>
                                          <w:marRight w:val="0"/>
                                          <w:marTop w:val="0"/>
                                          <w:marBottom w:val="0"/>
                                          <w:divBdr>
                                            <w:top w:val="none" w:sz="0" w:space="0" w:color="auto"/>
                                            <w:left w:val="none" w:sz="0" w:space="0" w:color="auto"/>
                                            <w:bottom w:val="none" w:sz="0" w:space="0" w:color="auto"/>
                                            <w:right w:val="none" w:sz="0" w:space="0" w:color="auto"/>
                                          </w:divBdr>
                                          <w:divsChild>
                                            <w:div w:id="20617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6931">
                                  <w:marLeft w:val="0"/>
                                  <w:marRight w:val="0"/>
                                  <w:marTop w:val="0"/>
                                  <w:marBottom w:val="0"/>
                                  <w:divBdr>
                                    <w:top w:val="none" w:sz="0" w:space="0" w:color="auto"/>
                                    <w:left w:val="none" w:sz="0" w:space="0" w:color="auto"/>
                                    <w:bottom w:val="none" w:sz="0" w:space="0" w:color="auto"/>
                                    <w:right w:val="none" w:sz="0" w:space="0" w:color="auto"/>
                                  </w:divBdr>
                                  <w:divsChild>
                                    <w:div w:id="17687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536998">
          <w:marLeft w:val="0"/>
          <w:marRight w:val="0"/>
          <w:marTop w:val="0"/>
          <w:marBottom w:val="0"/>
          <w:divBdr>
            <w:top w:val="none" w:sz="0" w:space="0" w:color="auto"/>
            <w:left w:val="none" w:sz="0" w:space="0" w:color="auto"/>
            <w:bottom w:val="none" w:sz="0" w:space="0" w:color="auto"/>
            <w:right w:val="none" w:sz="0" w:space="0" w:color="auto"/>
          </w:divBdr>
          <w:divsChild>
            <w:div w:id="924341192">
              <w:marLeft w:val="0"/>
              <w:marRight w:val="0"/>
              <w:marTop w:val="0"/>
              <w:marBottom w:val="0"/>
              <w:divBdr>
                <w:top w:val="none" w:sz="0" w:space="0" w:color="auto"/>
                <w:left w:val="none" w:sz="0" w:space="0" w:color="auto"/>
                <w:bottom w:val="none" w:sz="0" w:space="0" w:color="auto"/>
                <w:right w:val="none" w:sz="0" w:space="0" w:color="auto"/>
              </w:divBdr>
              <w:divsChild>
                <w:div w:id="1641228359">
                  <w:marLeft w:val="0"/>
                  <w:marRight w:val="0"/>
                  <w:marTop w:val="0"/>
                  <w:marBottom w:val="0"/>
                  <w:divBdr>
                    <w:top w:val="none" w:sz="0" w:space="0" w:color="auto"/>
                    <w:left w:val="none" w:sz="0" w:space="0" w:color="auto"/>
                    <w:bottom w:val="none" w:sz="0" w:space="0" w:color="auto"/>
                    <w:right w:val="none" w:sz="0" w:space="0" w:color="auto"/>
                  </w:divBdr>
                  <w:divsChild>
                    <w:div w:id="1006133798">
                      <w:marLeft w:val="0"/>
                      <w:marRight w:val="0"/>
                      <w:marTop w:val="0"/>
                      <w:marBottom w:val="0"/>
                      <w:divBdr>
                        <w:top w:val="none" w:sz="0" w:space="0" w:color="auto"/>
                        <w:left w:val="none" w:sz="0" w:space="0" w:color="auto"/>
                        <w:bottom w:val="none" w:sz="0" w:space="0" w:color="auto"/>
                        <w:right w:val="none" w:sz="0" w:space="0" w:color="auto"/>
                      </w:divBdr>
                      <w:divsChild>
                        <w:div w:id="1331178237">
                          <w:marLeft w:val="0"/>
                          <w:marRight w:val="0"/>
                          <w:marTop w:val="0"/>
                          <w:marBottom w:val="0"/>
                          <w:divBdr>
                            <w:top w:val="none" w:sz="0" w:space="0" w:color="auto"/>
                            <w:left w:val="none" w:sz="0" w:space="0" w:color="auto"/>
                            <w:bottom w:val="none" w:sz="0" w:space="0" w:color="auto"/>
                            <w:right w:val="none" w:sz="0" w:space="0" w:color="auto"/>
                          </w:divBdr>
                          <w:divsChild>
                            <w:div w:id="1612591870">
                              <w:marLeft w:val="0"/>
                              <w:marRight w:val="0"/>
                              <w:marTop w:val="0"/>
                              <w:marBottom w:val="0"/>
                              <w:divBdr>
                                <w:top w:val="none" w:sz="0" w:space="0" w:color="auto"/>
                                <w:left w:val="none" w:sz="0" w:space="0" w:color="auto"/>
                                <w:bottom w:val="none" w:sz="0" w:space="0" w:color="auto"/>
                                <w:right w:val="none" w:sz="0" w:space="0" w:color="auto"/>
                              </w:divBdr>
                              <w:divsChild>
                                <w:div w:id="1479300735">
                                  <w:marLeft w:val="0"/>
                                  <w:marRight w:val="0"/>
                                  <w:marTop w:val="0"/>
                                  <w:marBottom w:val="0"/>
                                  <w:divBdr>
                                    <w:top w:val="none" w:sz="0" w:space="0" w:color="auto"/>
                                    <w:left w:val="none" w:sz="0" w:space="0" w:color="auto"/>
                                    <w:bottom w:val="none" w:sz="0" w:space="0" w:color="auto"/>
                                    <w:right w:val="none" w:sz="0" w:space="0" w:color="auto"/>
                                  </w:divBdr>
                                  <w:divsChild>
                                    <w:div w:id="1824278075">
                                      <w:marLeft w:val="0"/>
                                      <w:marRight w:val="0"/>
                                      <w:marTop w:val="0"/>
                                      <w:marBottom w:val="0"/>
                                      <w:divBdr>
                                        <w:top w:val="none" w:sz="0" w:space="0" w:color="auto"/>
                                        <w:left w:val="none" w:sz="0" w:space="0" w:color="auto"/>
                                        <w:bottom w:val="none" w:sz="0" w:space="0" w:color="auto"/>
                                        <w:right w:val="none" w:sz="0" w:space="0" w:color="auto"/>
                                      </w:divBdr>
                                      <w:divsChild>
                                        <w:div w:id="668410608">
                                          <w:marLeft w:val="0"/>
                                          <w:marRight w:val="0"/>
                                          <w:marTop w:val="0"/>
                                          <w:marBottom w:val="0"/>
                                          <w:divBdr>
                                            <w:top w:val="none" w:sz="0" w:space="0" w:color="auto"/>
                                            <w:left w:val="none" w:sz="0" w:space="0" w:color="auto"/>
                                            <w:bottom w:val="none" w:sz="0" w:space="0" w:color="auto"/>
                                            <w:right w:val="none" w:sz="0" w:space="0" w:color="auto"/>
                                          </w:divBdr>
                                          <w:divsChild>
                                            <w:div w:id="340203796">
                                              <w:marLeft w:val="0"/>
                                              <w:marRight w:val="0"/>
                                              <w:marTop w:val="0"/>
                                              <w:marBottom w:val="0"/>
                                              <w:divBdr>
                                                <w:top w:val="none" w:sz="0" w:space="0" w:color="auto"/>
                                                <w:left w:val="none" w:sz="0" w:space="0" w:color="auto"/>
                                                <w:bottom w:val="none" w:sz="0" w:space="0" w:color="auto"/>
                                                <w:right w:val="none" w:sz="0" w:space="0" w:color="auto"/>
                                              </w:divBdr>
                                              <w:divsChild>
                                                <w:div w:id="120903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8157">
                                      <w:marLeft w:val="0"/>
                                      <w:marRight w:val="0"/>
                                      <w:marTop w:val="0"/>
                                      <w:marBottom w:val="0"/>
                                      <w:divBdr>
                                        <w:top w:val="none" w:sz="0" w:space="0" w:color="auto"/>
                                        <w:left w:val="none" w:sz="0" w:space="0" w:color="auto"/>
                                        <w:bottom w:val="none" w:sz="0" w:space="0" w:color="auto"/>
                                        <w:right w:val="none" w:sz="0" w:space="0" w:color="auto"/>
                                      </w:divBdr>
                                      <w:divsChild>
                                        <w:div w:id="283116490">
                                          <w:marLeft w:val="0"/>
                                          <w:marRight w:val="0"/>
                                          <w:marTop w:val="0"/>
                                          <w:marBottom w:val="0"/>
                                          <w:divBdr>
                                            <w:top w:val="none" w:sz="0" w:space="0" w:color="auto"/>
                                            <w:left w:val="none" w:sz="0" w:space="0" w:color="auto"/>
                                            <w:bottom w:val="none" w:sz="0" w:space="0" w:color="auto"/>
                                            <w:right w:val="none" w:sz="0" w:space="0" w:color="auto"/>
                                          </w:divBdr>
                                          <w:divsChild>
                                            <w:div w:id="1425489895">
                                              <w:marLeft w:val="0"/>
                                              <w:marRight w:val="0"/>
                                              <w:marTop w:val="0"/>
                                              <w:marBottom w:val="0"/>
                                              <w:divBdr>
                                                <w:top w:val="none" w:sz="0" w:space="0" w:color="auto"/>
                                                <w:left w:val="none" w:sz="0" w:space="0" w:color="auto"/>
                                                <w:bottom w:val="none" w:sz="0" w:space="0" w:color="auto"/>
                                                <w:right w:val="none" w:sz="0" w:space="0" w:color="auto"/>
                                              </w:divBdr>
                                              <w:divsChild>
                                                <w:div w:id="13949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95745">
                                          <w:marLeft w:val="0"/>
                                          <w:marRight w:val="0"/>
                                          <w:marTop w:val="0"/>
                                          <w:marBottom w:val="0"/>
                                          <w:divBdr>
                                            <w:top w:val="none" w:sz="0" w:space="0" w:color="auto"/>
                                            <w:left w:val="none" w:sz="0" w:space="0" w:color="auto"/>
                                            <w:bottom w:val="none" w:sz="0" w:space="0" w:color="auto"/>
                                            <w:right w:val="none" w:sz="0" w:space="0" w:color="auto"/>
                                          </w:divBdr>
                                          <w:divsChild>
                                            <w:div w:id="652635388">
                                              <w:marLeft w:val="0"/>
                                              <w:marRight w:val="0"/>
                                              <w:marTop w:val="0"/>
                                              <w:marBottom w:val="0"/>
                                              <w:divBdr>
                                                <w:top w:val="none" w:sz="0" w:space="0" w:color="auto"/>
                                                <w:left w:val="none" w:sz="0" w:space="0" w:color="auto"/>
                                                <w:bottom w:val="none" w:sz="0" w:space="0" w:color="auto"/>
                                                <w:right w:val="none" w:sz="0" w:space="0" w:color="auto"/>
                                              </w:divBdr>
                                              <w:divsChild>
                                                <w:div w:id="1339964264">
                                                  <w:marLeft w:val="0"/>
                                                  <w:marRight w:val="0"/>
                                                  <w:marTop w:val="0"/>
                                                  <w:marBottom w:val="0"/>
                                                  <w:divBdr>
                                                    <w:top w:val="none" w:sz="0" w:space="0" w:color="auto"/>
                                                    <w:left w:val="none" w:sz="0" w:space="0" w:color="auto"/>
                                                    <w:bottom w:val="none" w:sz="0" w:space="0" w:color="auto"/>
                                                    <w:right w:val="none" w:sz="0" w:space="0" w:color="auto"/>
                                                  </w:divBdr>
                                                  <w:divsChild>
                                                    <w:div w:id="17516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848630">
                                      <w:marLeft w:val="0"/>
                                      <w:marRight w:val="0"/>
                                      <w:marTop w:val="0"/>
                                      <w:marBottom w:val="0"/>
                                      <w:divBdr>
                                        <w:top w:val="none" w:sz="0" w:space="0" w:color="auto"/>
                                        <w:left w:val="none" w:sz="0" w:space="0" w:color="auto"/>
                                        <w:bottom w:val="none" w:sz="0" w:space="0" w:color="auto"/>
                                        <w:right w:val="none" w:sz="0" w:space="0" w:color="auto"/>
                                      </w:divBdr>
                                      <w:divsChild>
                                        <w:div w:id="726951293">
                                          <w:marLeft w:val="0"/>
                                          <w:marRight w:val="0"/>
                                          <w:marTop w:val="0"/>
                                          <w:marBottom w:val="0"/>
                                          <w:divBdr>
                                            <w:top w:val="none" w:sz="0" w:space="0" w:color="auto"/>
                                            <w:left w:val="none" w:sz="0" w:space="0" w:color="auto"/>
                                            <w:bottom w:val="none" w:sz="0" w:space="0" w:color="auto"/>
                                            <w:right w:val="none" w:sz="0" w:space="0" w:color="auto"/>
                                          </w:divBdr>
                                          <w:divsChild>
                                            <w:div w:id="12899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861176">
              <w:marLeft w:val="0"/>
              <w:marRight w:val="0"/>
              <w:marTop w:val="0"/>
              <w:marBottom w:val="0"/>
              <w:divBdr>
                <w:top w:val="none" w:sz="0" w:space="0" w:color="auto"/>
                <w:left w:val="none" w:sz="0" w:space="0" w:color="auto"/>
                <w:bottom w:val="none" w:sz="0" w:space="0" w:color="auto"/>
                <w:right w:val="none" w:sz="0" w:space="0" w:color="auto"/>
              </w:divBdr>
              <w:divsChild>
                <w:div w:id="1007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7773">
      <w:bodyDiv w:val="1"/>
      <w:marLeft w:val="0"/>
      <w:marRight w:val="0"/>
      <w:marTop w:val="0"/>
      <w:marBottom w:val="0"/>
      <w:divBdr>
        <w:top w:val="none" w:sz="0" w:space="0" w:color="auto"/>
        <w:left w:val="none" w:sz="0" w:space="0" w:color="auto"/>
        <w:bottom w:val="none" w:sz="0" w:space="0" w:color="auto"/>
        <w:right w:val="none" w:sz="0" w:space="0" w:color="auto"/>
      </w:divBdr>
    </w:div>
    <w:div w:id="1164127933">
      <w:bodyDiv w:val="1"/>
      <w:marLeft w:val="0"/>
      <w:marRight w:val="0"/>
      <w:marTop w:val="0"/>
      <w:marBottom w:val="0"/>
      <w:divBdr>
        <w:top w:val="none" w:sz="0" w:space="0" w:color="auto"/>
        <w:left w:val="none" w:sz="0" w:space="0" w:color="auto"/>
        <w:bottom w:val="none" w:sz="0" w:space="0" w:color="auto"/>
        <w:right w:val="none" w:sz="0" w:space="0" w:color="auto"/>
      </w:divBdr>
    </w:div>
    <w:div w:id="1178619668">
      <w:bodyDiv w:val="1"/>
      <w:marLeft w:val="0"/>
      <w:marRight w:val="0"/>
      <w:marTop w:val="0"/>
      <w:marBottom w:val="0"/>
      <w:divBdr>
        <w:top w:val="none" w:sz="0" w:space="0" w:color="auto"/>
        <w:left w:val="none" w:sz="0" w:space="0" w:color="auto"/>
        <w:bottom w:val="none" w:sz="0" w:space="0" w:color="auto"/>
        <w:right w:val="none" w:sz="0" w:space="0" w:color="auto"/>
      </w:divBdr>
    </w:div>
    <w:div w:id="1200624448">
      <w:bodyDiv w:val="1"/>
      <w:marLeft w:val="0"/>
      <w:marRight w:val="0"/>
      <w:marTop w:val="0"/>
      <w:marBottom w:val="0"/>
      <w:divBdr>
        <w:top w:val="none" w:sz="0" w:space="0" w:color="auto"/>
        <w:left w:val="none" w:sz="0" w:space="0" w:color="auto"/>
        <w:bottom w:val="none" w:sz="0" w:space="0" w:color="auto"/>
        <w:right w:val="none" w:sz="0" w:space="0" w:color="auto"/>
      </w:divBdr>
    </w:div>
    <w:div w:id="1268731181">
      <w:bodyDiv w:val="1"/>
      <w:marLeft w:val="0"/>
      <w:marRight w:val="0"/>
      <w:marTop w:val="0"/>
      <w:marBottom w:val="0"/>
      <w:divBdr>
        <w:top w:val="none" w:sz="0" w:space="0" w:color="auto"/>
        <w:left w:val="none" w:sz="0" w:space="0" w:color="auto"/>
        <w:bottom w:val="none" w:sz="0" w:space="0" w:color="auto"/>
        <w:right w:val="none" w:sz="0" w:space="0" w:color="auto"/>
      </w:divBdr>
    </w:div>
    <w:div w:id="1310861637">
      <w:bodyDiv w:val="1"/>
      <w:marLeft w:val="0"/>
      <w:marRight w:val="0"/>
      <w:marTop w:val="0"/>
      <w:marBottom w:val="0"/>
      <w:divBdr>
        <w:top w:val="none" w:sz="0" w:space="0" w:color="auto"/>
        <w:left w:val="none" w:sz="0" w:space="0" w:color="auto"/>
        <w:bottom w:val="none" w:sz="0" w:space="0" w:color="auto"/>
        <w:right w:val="none" w:sz="0" w:space="0" w:color="auto"/>
      </w:divBdr>
    </w:div>
    <w:div w:id="1478033875">
      <w:bodyDiv w:val="1"/>
      <w:marLeft w:val="0"/>
      <w:marRight w:val="0"/>
      <w:marTop w:val="0"/>
      <w:marBottom w:val="0"/>
      <w:divBdr>
        <w:top w:val="none" w:sz="0" w:space="0" w:color="auto"/>
        <w:left w:val="none" w:sz="0" w:space="0" w:color="auto"/>
        <w:bottom w:val="none" w:sz="0" w:space="0" w:color="auto"/>
        <w:right w:val="none" w:sz="0" w:space="0" w:color="auto"/>
      </w:divBdr>
    </w:div>
    <w:div w:id="1527331435">
      <w:bodyDiv w:val="1"/>
      <w:marLeft w:val="0"/>
      <w:marRight w:val="0"/>
      <w:marTop w:val="0"/>
      <w:marBottom w:val="0"/>
      <w:divBdr>
        <w:top w:val="none" w:sz="0" w:space="0" w:color="auto"/>
        <w:left w:val="none" w:sz="0" w:space="0" w:color="auto"/>
        <w:bottom w:val="none" w:sz="0" w:space="0" w:color="auto"/>
        <w:right w:val="none" w:sz="0" w:space="0" w:color="auto"/>
      </w:divBdr>
      <w:divsChild>
        <w:div w:id="1564871530">
          <w:marLeft w:val="0"/>
          <w:marRight w:val="0"/>
          <w:marTop w:val="0"/>
          <w:marBottom w:val="0"/>
          <w:divBdr>
            <w:top w:val="none" w:sz="0" w:space="0" w:color="auto"/>
            <w:left w:val="none" w:sz="0" w:space="0" w:color="auto"/>
            <w:bottom w:val="none" w:sz="0" w:space="0" w:color="auto"/>
            <w:right w:val="none" w:sz="0" w:space="0" w:color="auto"/>
          </w:divBdr>
          <w:divsChild>
            <w:div w:id="425812958">
              <w:marLeft w:val="0"/>
              <w:marRight w:val="0"/>
              <w:marTop w:val="0"/>
              <w:marBottom w:val="0"/>
              <w:divBdr>
                <w:top w:val="none" w:sz="0" w:space="0" w:color="auto"/>
                <w:left w:val="none" w:sz="0" w:space="0" w:color="auto"/>
                <w:bottom w:val="none" w:sz="0" w:space="0" w:color="auto"/>
                <w:right w:val="none" w:sz="0" w:space="0" w:color="auto"/>
              </w:divBdr>
              <w:divsChild>
                <w:div w:id="1964919679">
                  <w:marLeft w:val="0"/>
                  <w:marRight w:val="0"/>
                  <w:marTop w:val="0"/>
                  <w:marBottom w:val="0"/>
                  <w:divBdr>
                    <w:top w:val="none" w:sz="0" w:space="0" w:color="auto"/>
                    <w:left w:val="none" w:sz="0" w:space="0" w:color="auto"/>
                    <w:bottom w:val="none" w:sz="0" w:space="0" w:color="auto"/>
                    <w:right w:val="none" w:sz="0" w:space="0" w:color="auto"/>
                  </w:divBdr>
                  <w:divsChild>
                    <w:div w:id="1358048519">
                      <w:marLeft w:val="0"/>
                      <w:marRight w:val="0"/>
                      <w:marTop w:val="0"/>
                      <w:marBottom w:val="0"/>
                      <w:divBdr>
                        <w:top w:val="none" w:sz="0" w:space="0" w:color="auto"/>
                        <w:left w:val="none" w:sz="0" w:space="0" w:color="auto"/>
                        <w:bottom w:val="none" w:sz="0" w:space="0" w:color="auto"/>
                        <w:right w:val="none" w:sz="0" w:space="0" w:color="auto"/>
                      </w:divBdr>
                      <w:divsChild>
                        <w:div w:id="842623649">
                          <w:marLeft w:val="0"/>
                          <w:marRight w:val="0"/>
                          <w:marTop w:val="0"/>
                          <w:marBottom w:val="0"/>
                          <w:divBdr>
                            <w:top w:val="none" w:sz="0" w:space="0" w:color="auto"/>
                            <w:left w:val="none" w:sz="0" w:space="0" w:color="auto"/>
                            <w:bottom w:val="none" w:sz="0" w:space="0" w:color="auto"/>
                            <w:right w:val="none" w:sz="0" w:space="0" w:color="auto"/>
                          </w:divBdr>
                          <w:divsChild>
                            <w:div w:id="9428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88277">
                  <w:marLeft w:val="0"/>
                  <w:marRight w:val="0"/>
                  <w:marTop w:val="0"/>
                  <w:marBottom w:val="0"/>
                  <w:divBdr>
                    <w:top w:val="none" w:sz="0" w:space="0" w:color="auto"/>
                    <w:left w:val="none" w:sz="0" w:space="0" w:color="auto"/>
                    <w:bottom w:val="none" w:sz="0" w:space="0" w:color="auto"/>
                    <w:right w:val="none" w:sz="0" w:space="0" w:color="auto"/>
                  </w:divBdr>
                  <w:divsChild>
                    <w:div w:id="15043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676164">
      <w:bodyDiv w:val="1"/>
      <w:marLeft w:val="0"/>
      <w:marRight w:val="0"/>
      <w:marTop w:val="0"/>
      <w:marBottom w:val="0"/>
      <w:divBdr>
        <w:top w:val="none" w:sz="0" w:space="0" w:color="auto"/>
        <w:left w:val="none" w:sz="0" w:space="0" w:color="auto"/>
        <w:bottom w:val="none" w:sz="0" w:space="0" w:color="auto"/>
        <w:right w:val="none" w:sz="0" w:space="0" w:color="auto"/>
      </w:divBdr>
    </w:div>
    <w:div w:id="1655254065">
      <w:bodyDiv w:val="1"/>
      <w:marLeft w:val="0"/>
      <w:marRight w:val="0"/>
      <w:marTop w:val="0"/>
      <w:marBottom w:val="0"/>
      <w:divBdr>
        <w:top w:val="none" w:sz="0" w:space="0" w:color="auto"/>
        <w:left w:val="none" w:sz="0" w:space="0" w:color="auto"/>
        <w:bottom w:val="none" w:sz="0" w:space="0" w:color="auto"/>
        <w:right w:val="none" w:sz="0" w:space="0" w:color="auto"/>
      </w:divBdr>
      <w:divsChild>
        <w:div w:id="222910796">
          <w:marLeft w:val="0"/>
          <w:marRight w:val="0"/>
          <w:marTop w:val="0"/>
          <w:marBottom w:val="0"/>
          <w:divBdr>
            <w:top w:val="none" w:sz="0" w:space="0" w:color="auto"/>
            <w:left w:val="none" w:sz="0" w:space="0" w:color="auto"/>
            <w:bottom w:val="none" w:sz="0" w:space="0" w:color="auto"/>
            <w:right w:val="none" w:sz="0" w:space="0" w:color="auto"/>
          </w:divBdr>
          <w:divsChild>
            <w:div w:id="1980765716">
              <w:marLeft w:val="0"/>
              <w:marRight w:val="0"/>
              <w:marTop w:val="0"/>
              <w:marBottom w:val="0"/>
              <w:divBdr>
                <w:top w:val="none" w:sz="0" w:space="0" w:color="auto"/>
                <w:left w:val="none" w:sz="0" w:space="0" w:color="auto"/>
                <w:bottom w:val="none" w:sz="0" w:space="0" w:color="auto"/>
                <w:right w:val="none" w:sz="0" w:space="0" w:color="auto"/>
              </w:divBdr>
              <w:divsChild>
                <w:div w:id="1169295079">
                  <w:marLeft w:val="0"/>
                  <w:marRight w:val="0"/>
                  <w:marTop w:val="0"/>
                  <w:marBottom w:val="0"/>
                  <w:divBdr>
                    <w:top w:val="none" w:sz="0" w:space="0" w:color="auto"/>
                    <w:left w:val="none" w:sz="0" w:space="0" w:color="auto"/>
                    <w:bottom w:val="none" w:sz="0" w:space="0" w:color="auto"/>
                    <w:right w:val="none" w:sz="0" w:space="0" w:color="auto"/>
                  </w:divBdr>
                  <w:divsChild>
                    <w:div w:id="1864711257">
                      <w:marLeft w:val="0"/>
                      <w:marRight w:val="0"/>
                      <w:marTop w:val="0"/>
                      <w:marBottom w:val="0"/>
                      <w:divBdr>
                        <w:top w:val="none" w:sz="0" w:space="0" w:color="auto"/>
                        <w:left w:val="none" w:sz="0" w:space="0" w:color="auto"/>
                        <w:bottom w:val="none" w:sz="0" w:space="0" w:color="auto"/>
                        <w:right w:val="none" w:sz="0" w:space="0" w:color="auto"/>
                      </w:divBdr>
                      <w:divsChild>
                        <w:div w:id="1356224531">
                          <w:marLeft w:val="0"/>
                          <w:marRight w:val="0"/>
                          <w:marTop w:val="0"/>
                          <w:marBottom w:val="0"/>
                          <w:divBdr>
                            <w:top w:val="none" w:sz="0" w:space="0" w:color="auto"/>
                            <w:left w:val="none" w:sz="0" w:space="0" w:color="auto"/>
                            <w:bottom w:val="none" w:sz="0" w:space="0" w:color="auto"/>
                            <w:right w:val="none" w:sz="0" w:space="0" w:color="auto"/>
                          </w:divBdr>
                          <w:divsChild>
                            <w:div w:id="19775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06367">
                  <w:marLeft w:val="0"/>
                  <w:marRight w:val="0"/>
                  <w:marTop w:val="0"/>
                  <w:marBottom w:val="0"/>
                  <w:divBdr>
                    <w:top w:val="none" w:sz="0" w:space="0" w:color="auto"/>
                    <w:left w:val="none" w:sz="0" w:space="0" w:color="auto"/>
                    <w:bottom w:val="none" w:sz="0" w:space="0" w:color="auto"/>
                    <w:right w:val="none" w:sz="0" w:space="0" w:color="auto"/>
                  </w:divBdr>
                  <w:divsChild>
                    <w:div w:id="115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58451">
      <w:bodyDiv w:val="1"/>
      <w:marLeft w:val="0"/>
      <w:marRight w:val="0"/>
      <w:marTop w:val="0"/>
      <w:marBottom w:val="0"/>
      <w:divBdr>
        <w:top w:val="none" w:sz="0" w:space="0" w:color="auto"/>
        <w:left w:val="none" w:sz="0" w:space="0" w:color="auto"/>
        <w:bottom w:val="none" w:sz="0" w:space="0" w:color="auto"/>
        <w:right w:val="none" w:sz="0" w:space="0" w:color="auto"/>
      </w:divBdr>
    </w:div>
    <w:div w:id="2045017615">
      <w:bodyDiv w:val="1"/>
      <w:marLeft w:val="0"/>
      <w:marRight w:val="0"/>
      <w:marTop w:val="0"/>
      <w:marBottom w:val="0"/>
      <w:divBdr>
        <w:top w:val="none" w:sz="0" w:space="0" w:color="auto"/>
        <w:left w:val="none" w:sz="0" w:space="0" w:color="auto"/>
        <w:bottom w:val="none" w:sz="0" w:space="0" w:color="auto"/>
        <w:right w:val="none" w:sz="0" w:space="0" w:color="auto"/>
      </w:divBdr>
    </w:div>
    <w:div w:id="2089763718">
      <w:bodyDiv w:val="1"/>
      <w:marLeft w:val="0"/>
      <w:marRight w:val="0"/>
      <w:marTop w:val="0"/>
      <w:marBottom w:val="0"/>
      <w:divBdr>
        <w:top w:val="none" w:sz="0" w:space="0" w:color="auto"/>
        <w:left w:val="none" w:sz="0" w:space="0" w:color="auto"/>
        <w:bottom w:val="none" w:sz="0" w:space="0" w:color="auto"/>
        <w:right w:val="none" w:sz="0" w:space="0" w:color="auto"/>
      </w:divBdr>
    </w:div>
    <w:div w:id="21001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20BB-33F1-4796-8A65-E277E680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17670</Words>
  <Characters>92062</Characters>
  <Application>Microsoft Office Word</Application>
  <DocSecurity>0</DocSecurity>
  <Lines>1673</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Patris Poshnjari</dc:creator>
  <cp:keywords/>
  <dc:description/>
  <cp:lastModifiedBy>Patris Poshnjari</cp:lastModifiedBy>
  <cp:revision>741</cp:revision>
  <dcterms:created xsi:type="dcterms:W3CDTF">2025-11-12T11:49:00Z</dcterms:created>
  <dcterms:modified xsi:type="dcterms:W3CDTF">2026-03-06T15:35:00Z</dcterms:modified>
</cp:coreProperties>
</file>