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068" w14:textId="11C7FA20" w:rsidR="00BD20CF" w:rsidRPr="00BD20CF" w:rsidRDefault="004B2CCD" w:rsidP="00BD20CF">
      <w:pPr>
        <w:widowControl w:val="0"/>
        <w:suppressAutoHyphens/>
        <w:spacing w:after="0" w:line="240" w:lineRule="auto"/>
        <w:jc w:val="both"/>
        <w:rPr>
          <w:rFonts w:ascii="Times New Roman" w:eastAsia="Calibri" w:hAnsi="Times New Roman"/>
          <w:color w:val="auto"/>
          <w:sz w:val="18"/>
          <w:szCs w:val="18"/>
          <w:lang w:val="en-GB" w:eastAsia="ar-SA"/>
        </w:rPr>
      </w:pPr>
      <w:r w:rsidRPr="004B2CCD">
        <w:rPr>
          <w:rFonts w:ascii="Times New Roman Bold" w:hAnsi="Times New Roman Bold"/>
          <w:szCs w:val="22"/>
          <w:lang w:val="en-GB"/>
        </w:rPr>
        <w:t xml:space="preserve">Commission Delegated Regulation (EU) 2015/761 of 17 December 2014 supplementing Directive 2004/109/EC of the European Parliament and of the Council </w:t>
      </w:r>
      <w:proofErr w:type="gramStart"/>
      <w:r w:rsidRPr="004B2CCD">
        <w:rPr>
          <w:rFonts w:ascii="Times New Roman Bold" w:hAnsi="Times New Roman Bold"/>
          <w:szCs w:val="22"/>
          <w:lang w:val="en-GB"/>
        </w:rPr>
        <w:t>with regard to</w:t>
      </w:r>
      <w:proofErr w:type="gramEnd"/>
      <w:r w:rsidRPr="004B2CCD">
        <w:rPr>
          <w:rFonts w:ascii="Times New Roman Bold" w:hAnsi="Times New Roman Bold"/>
          <w:szCs w:val="22"/>
          <w:lang w:val="en-GB"/>
        </w:rPr>
        <w:t xml:space="preserve"> certain regulatory technical standards on major holdings</w:t>
      </w:r>
    </w:p>
    <w:tbl>
      <w:tblPr>
        <w:tblW w:w="5000" w:type="pct"/>
        <w:tblLook w:val="0000" w:firstRow="0" w:lastRow="0" w:firstColumn="0" w:lastColumn="0" w:noHBand="0" w:noVBand="0"/>
      </w:tblPr>
      <w:tblGrid>
        <w:gridCol w:w="13966"/>
      </w:tblGrid>
      <w:tr w:rsidR="00BD20CF" w:rsidRPr="00BD20CF" w14:paraId="79A3D683" w14:textId="77777777" w:rsidTr="00017594">
        <w:trPr>
          <w:trHeight w:val="6379"/>
        </w:trPr>
        <w:tc>
          <w:tcPr>
            <w:tcW w:w="5000" w:type="pct"/>
          </w:tcPr>
          <w:p w14:paraId="7F3D15AF" w14:textId="2610A455" w:rsidR="00BD20CF" w:rsidRPr="007E7DEB" w:rsidRDefault="003E1683" w:rsidP="00017594">
            <w:pPr>
              <w:widowControl w:val="0"/>
              <w:suppressAutoHyphens/>
              <w:spacing w:after="120" w:line="240" w:lineRule="auto"/>
              <w:jc w:val="both"/>
              <w:rPr>
                <w:rFonts w:ascii="Times New Roman" w:eastAsia="Calibri" w:hAnsi="Times New Roman"/>
                <w:b/>
                <w:color w:val="auto"/>
                <w:sz w:val="20"/>
                <w:szCs w:val="20"/>
                <w:lang w:val="en-GB" w:eastAsia="ar-SA"/>
              </w:rPr>
            </w:pPr>
            <w:r w:rsidRPr="003E1683">
              <w:rPr>
                <w:rFonts w:ascii="Times New Roman" w:eastAsia="Calibri" w:hAnsi="Times New Roman"/>
                <w:b/>
                <w:color w:val="auto"/>
                <w:sz w:val="20"/>
                <w:szCs w:val="20"/>
                <w:lang w:eastAsia="ar-SA"/>
              </w:rPr>
              <w:t>The transposition of this Regulation has been carried out through the incorporation of its provisions in full in the draft law “On Transparency Requirements for Issuers of Securities</w:t>
            </w:r>
            <w:r w:rsidR="007E7DEB">
              <w:rPr>
                <w:rFonts w:ascii="Times New Roman" w:eastAsia="Calibri" w:hAnsi="Times New Roman"/>
                <w:b/>
                <w:color w:val="auto"/>
                <w:sz w:val="20"/>
                <w:szCs w:val="20"/>
                <w:lang w:eastAsia="ar-SA"/>
              </w:rPr>
              <w:t xml:space="preserve"> – achieving full alignment. </w:t>
            </w:r>
          </w:p>
          <w:p w14:paraId="6575E6D7" w14:textId="77777777" w:rsidR="00BD20CF" w:rsidRPr="00BD20CF" w:rsidRDefault="00BD20CF" w:rsidP="00017594">
            <w:pPr>
              <w:widowControl w:val="0"/>
              <w:suppressAutoHyphens/>
              <w:spacing w:after="120" w:line="240" w:lineRule="auto"/>
              <w:jc w:val="both"/>
              <w:rPr>
                <w:rFonts w:ascii="Times New Roman" w:eastAsia="Calibri" w:hAnsi="Times New Roman"/>
                <w:color w:val="auto"/>
                <w:sz w:val="18"/>
                <w:szCs w:val="18"/>
                <w:lang w:val="en-GB" w:eastAsia="ar-SA"/>
              </w:rPr>
            </w:pPr>
          </w:p>
          <w:p w14:paraId="7725A124" w14:textId="77777777" w:rsidR="00BD20CF" w:rsidRPr="00BD20CF" w:rsidRDefault="00BD20CF" w:rsidP="00017594">
            <w:pPr>
              <w:keepNext/>
              <w:keepLines/>
              <w:widowControl w:val="0"/>
              <w:suppressAutoHyphens/>
              <w:spacing w:after="120" w:line="240" w:lineRule="auto"/>
              <w:jc w:val="both"/>
              <w:rPr>
                <w:rFonts w:ascii="Times New Roman" w:eastAsia="Calibri" w:hAnsi="Times New Roman"/>
                <w:color w:val="auto"/>
                <w:sz w:val="18"/>
                <w:szCs w:val="18"/>
                <w:lang w:val="en-GB" w:eastAsia="ar-SA"/>
              </w:rPr>
            </w:pPr>
          </w:p>
        </w:tc>
      </w:tr>
    </w:tbl>
    <w:p w14:paraId="1D696A49" w14:textId="77777777" w:rsidR="00017594" w:rsidRDefault="00017594">
      <w:pPr>
        <w:jc w:val="both"/>
        <w:rPr>
          <w:rFonts w:ascii="Times New Roman" w:hAnsi="Times New Roman"/>
          <w:sz w:val="18"/>
          <w:lang w:val="en-GB"/>
        </w:rPr>
      </w:pPr>
    </w:p>
    <w:p w14:paraId="701F2E62" w14:textId="77777777" w:rsidR="00BE05A1" w:rsidRDefault="00017594" w:rsidP="00017594">
      <w:pPr>
        <w:rPr>
          <w:lang w:val="en-GB"/>
        </w:rPr>
      </w:pPr>
      <w:r>
        <w:rPr>
          <w:lang w:val="en-GB"/>
        </w:rPr>
        <w:br w:type="page"/>
      </w:r>
    </w:p>
    <w:tbl>
      <w:tblPr>
        <w:tblW w:w="5000" w:type="pct"/>
        <w:tblLook w:val="0000" w:firstRow="0" w:lastRow="0" w:firstColumn="0" w:lastColumn="0" w:noHBand="0" w:noVBand="0"/>
      </w:tblPr>
      <w:tblGrid>
        <w:gridCol w:w="1446"/>
        <w:gridCol w:w="3924"/>
        <w:gridCol w:w="790"/>
        <w:gridCol w:w="810"/>
        <w:gridCol w:w="3149"/>
        <w:gridCol w:w="910"/>
        <w:gridCol w:w="2751"/>
      </w:tblGrid>
      <w:tr w:rsidR="00BE05A1" w14:paraId="3E2CF5BD" w14:textId="77777777" w:rsidTr="00B577B7">
        <w:trPr>
          <w:cantSplit/>
          <w:trHeight w:val="1510"/>
        </w:trPr>
        <w:tc>
          <w:tcPr>
            <w:tcW w:w="1981"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7436AD2" w14:textId="77777777" w:rsidR="00BE05A1" w:rsidRDefault="00BE05A1">
            <w:pPr>
              <w:jc w:val="both"/>
              <w:rPr>
                <w:rFonts w:ascii="Times New Roman" w:hAnsi="Times New Roman"/>
                <w:sz w:val="18"/>
              </w:rPr>
            </w:pPr>
            <w:r>
              <w:rPr>
                <w:rFonts w:ascii="Times New Roman Bold" w:hAnsi="Times New Roman Bold"/>
                <w:sz w:val="18"/>
              </w:rPr>
              <w:t>EU acquis</w:t>
            </w:r>
          </w:p>
          <w:p w14:paraId="7065F8FD" w14:textId="7F1C28AC" w:rsidR="00BE05A1" w:rsidRPr="00B8227F" w:rsidRDefault="004B2CCD" w:rsidP="00B8227F">
            <w:pPr>
              <w:spacing w:after="0" w:line="240" w:lineRule="auto"/>
              <w:jc w:val="both"/>
              <w:rPr>
                <w:rFonts w:ascii="Times New Roman Bold" w:hAnsi="Times New Roman Bold"/>
                <w:sz w:val="18"/>
              </w:rPr>
            </w:pPr>
            <w:r w:rsidRPr="004B2CCD">
              <w:rPr>
                <w:rFonts w:ascii="Times New Roman Bold" w:hAnsi="Times New Roman Bold"/>
                <w:sz w:val="18"/>
              </w:rPr>
              <w:t xml:space="preserve">Commission Delegated Regulation (EU) 2015/761 of 17 December 2014 supplementing Directive 2004/109/EC of the European Parliament and of the Council </w:t>
            </w:r>
            <w:proofErr w:type="gramStart"/>
            <w:r w:rsidRPr="004B2CCD">
              <w:rPr>
                <w:rFonts w:ascii="Times New Roman Bold" w:hAnsi="Times New Roman Bold"/>
                <w:sz w:val="18"/>
              </w:rPr>
              <w:t>with regard to</w:t>
            </w:r>
            <w:proofErr w:type="gramEnd"/>
            <w:r w:rsidRPr="004B2CCD">
              <w:rPr>
                <w:rFonts w:ascii="Times New Roman Bold" w:hAnsi="Times New Roman Bold"/>
                <w:sz w:val="18"/>
              </w:rPr>
              <w:t xml:space="preserve"> certain regulatory technical standards on major holdings</w:t>
            </w:r>
          </w:p>
        </w:tc>
        <w:tc>
          <w:tcPr>
            <w:tcW w:w="3019"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130E081C" w14:textId="77777777" w:rsidR="00BE05A1" w:rsidRDefault="00BE05A1">
            <w:pPr>
              <w:jc w:val="both"/>
              <w:rPr>
                <w:rFonts w:ascii="Times New Roman" w:hAnsi="Times New Roman"/>
                <w:sz w:val="18"/>
              </w:rPr>
            </w:pPr>
            <w:r w:rsidRPr="00D11F94">
              <w:rPr>
                <w:rFonts w:ascii="Times New Roman" w:hAnsi="Times New Roman"/>
                <w:sz w:val="18"/>
              </w:rPr>
              <w:t>Albanian Legislation</w:t>
            </w:r>
          </w:p>
          <w:p w14:paraId="71AE33EA" w14:textId="790AAF99" w:rsidR="004B2CCD" w:rsidRPr="00D11F94" w:rsidRDefault="004B2CCD" w:rsidP="00110EBC">
            <w:pPr>
              <w:numPr>
                <w:ilvl w:val="0"/>
                <w:numId w:val="15"/>
              </w:numPr>
              <w:jc w:val="both"/>
              <w:rPr>
                <w:rFonts w:ascii="Times New Roman" w:hAnsi="Times New Roman"/>
                <w:sz w:val="18"/>
              </w:rPr>
            </w:pPr>
            <w:r>
              <w:rPr>
                <w:rFonts w:ascii="Times New Roman" w:hAnsi="Times New Roman"/>
                <w:sz w:val="18"/>
              </w:rPr>
              <w:t xml:space="preserve">Draft law on Transparency </w:t>
            </w:r>
          </w:p>
          <w:p w14:paraId="3E0A95C4" w14:textId="3F1792E7" w:rsidR="00BE05A1" w:rsidRPr="00D11F94" w:rsidRDefault="00BE05A1">
            <w:pPr>
              <w:spacing w:after="0"/>
              <w:jc w:val="both"/>
              <w:rPr>
                <w:rFonts w:ascii="Times New Roman" w:hAnsi="Times New Roman"/>
                <w:sz w:val="18"/>
              </w:rPr>
            </w:pPr>
            <w:r w:rsidRPr="00D11F94">
              <w:rPr>
                <w:rFonts w:ascii="Times New Roman" w:hAnsi="Times New Roman"/>
                <w:sz w:val="18"/>
              </w:rPr>
              <w:t xml:space="preserve">F </w:t>
            </w:r>
            <w:r w:rsidR="00165091">
              <w:rPr>
                <w:rFonts w:ascii="Times New Roman" w:hAnsi="Times New Roman"/>
                <w:sz w:val="18"/>
              </w:rPr>
              <w:t>–</w:t>
            </w:r>
            <w:r w:rsidRPr="00D11F94">
              <w:rPr>
                <w:rFonts w:ascii="Times New Roman" w:hAnsi="Times New Roman"/>
                <w:sz w:val="18"/>
              </w:rPr>
              <w:t xml:space="preserve"> full compliance</w:t>
            </w:r>
          </w:p>
          <w:p w14:paraId="37206848" w14:textId="628681DE" w:rsidR="00BE05A1" w:rsidRPr="00D11F94" w:rsidRDefault="00BE05A1">
            <w:pPr>
              <w:spacing w:after="0"/>
              <w:jc w:val="both"/>
              <w:rPr>
                <w:rFonts w:ascii="Times New Roman" w:hAnsi="Times New Roman"/>
                <w:sz w:val="18"/>
              </w:rPr>
            </w:pPr>
            <w:r w:rsidRPr="00D11F94">
              <w:rPr>
                <w:rFonts w:ascii="Times New Roman" w:hAnsi="Times New Roman"/>
                <w:sz w:val="18"/>
              </w:rPr>
              <w:t xml:space="preserve">P </w:t>
            </w:r>
            <w:r w:rsidR="00165091">
              <w:rPr>
                <w:rFonts w:ascii="Times New Roman" w:hAnsi="Times New Roman"/>
                <w:sz w:val="18"/>
              </w:rPr>
              <w:t>–</w:t>
            </w:r>
            <w:r w:rsidRPr="00D11F94">
              <w:rPr>
                <w:rFonts w:ascii="Times New Roman" w:hAnsi="Times New Roman"/>
                <w:sz w:val="18"/>
              </w:rPr>
              <w:t xml:space="preserve"> partial compliance</w:t>
            </w:r>
          </w:p>
          <w:p w14:paraId="714D5118" w14:textId="25A4F145" w:rsidR="00BE05A1" w:rsidRDefault="00BE05A1">
            <w:pPr>
              <w:spacing w:after="0"/>
              <w:jc w:val="both"/>
              <w:rPr>
                <w:rFonts w:ascii="Times New Roman" w:hAnsi="Times New Roman"/>
                <w:sz w:val="18"/>
              </w:rPr>
            </w:pPr>
            <w:r w:rsidRPr="00D11F94">
              <w:rPr>
                <w:rFonts w:ascii="Times New Roman" w:hAnsi="Times New Roman"/>
                <w:sz w:val="18"/>
              </w:rPr>
              <w:t xml:space="preserve">N </w:t>
            </w:r>
            <w:r w:rsidR="00D11F94">
              <w:rPr>
                <w:rFonts w:ascii="Times New Roman" w:hAnsi="Times New Roman"/>
                <w:sz w:val="18"/>
              </w:rPr>
              <w:t>–</w:t>
            </w:r>
            <w:r w:rsidRPr="00D11F94">
              <w:rPr>
                <w:rFonts w:ascii="Times New Roman" w:hAnsi="Times New Roman"/>
                <w:sz w:val="18"/>
              </w:rPr>
              <w:t xml:space="preserve"> non</w:t>
            </w:r>
            <w:r w:rsidR="00D11F94">
              <w:rPr>
                <w:rFonts w:ascii="Times New Roman" w:hAnsi="Times New Roman"/>
                <w:sz w:val="18"/>
              </w:rPr>
              <w:t>-</w:t>
            </w:r>
            <w:r w:rsidRPr="00D11F94">
              <w:rPr>
                <w:rFonts w:ascii="Times New Roman" w:hAnsi="Times New Roman"/>
                <w:sz w:val="18"/>
              </w:rPr>
              <w:t>compliance</w:t>
            </w:r>
          </w:p>
        </w:tc>
      </w:tr>
      <w:tr w:rsidR="00131E77" w14:paraId="65146670" w14:textId="77777777" w:rsidTr="00B577B7">
        <w:trPr>
          <w:cantSplit/>
          <w:trHeight w:val="24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DC1C6A" w14:textId="77777777" w:rsidR="00131E77" w:rsidRDefault="00131E77" w:rsidP="00131E77">
            <w:pPr>
              <w:jc w:val="center"/>
              <w:rPr>
                <w:rFonts w:ascii="Times New Roman Bold" w:hAnsi="Times New Roman Bold"/>
                <w:sz w:val="18"/>
              </w:rPr>
            </w:pPr>
            <w:r>
              <w:rPr>
                <w:rFonts w:ascii="Times New Roman Bold" w:hAnsi="Times New Roman Bold"/>
                <w:sz w:val="18"/>
              </w:rPr>
              <w:t>1</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3AF6A8" w14:textId="77777777" w:rsidR="00131E77" w:rsidRDefault="00131E77" w:rsidP="00131E77">
            <w:pPr>
              <w:jc w:val="center"/>
              <w:rPr>
                <w:rFonts w:ascii="Times New Roman Bold" w:hAnsi="Times New Roman Bold"/>
                <w:sz w:val="18"/>
              </w:rPr>
            </w:pPr>
            <w:r>
              <w:rPr>
                <w:rFonts w:ascii="Times New Roman Bold" w:hAnsi="Times New Roman Bold"/>
                <w:sz w:val="18"/>
              </w:rPr>
              <w:t>2</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15774D" w14:textId="77777777" w:rsidR="00131E77" w:rsidRDefault="00131E77" w:rsidP="00131E77">
            <w:pPr>
              <w:jc w:val="center"/>
              <w:rPr>
                <w:rFonts w:ascii="Times New Roman Bold" w:hAnsi="Times New Roman Bold"/>
                <w:sz w:val="18"/>
              </w:rPr>
            </w:pPr>
            <w:r>
              <w:rPr>
                <w:rFonts w:ascii="Times New Roman Bold" w:hAnsi="Times New Roman Bold"/>
                <w:sz w:val="18"/>
              </w:rPr>
              <w:t>3</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8EB0DF" w14:textId="4FF62B29" w:rsidR="00131E77" w:rsidRDefault="00131E77" w:rsidP="00131E77">
            <w:pPr>
              <w:jc w:val="center"/>
              <w:rPr>
                <w:rFonts w:ascii="Times New Roman Bold" w:hAnsi="Times New Roman Bold"/>
                <w:sz w:val="18"/>
              </w:rPr>
            </w:pPr>
            <w:r w:rsidRPr="00A5539A">
              <w:rPr>
                <w:rFonts w:ascii="Times New Roman" w:hAnsi="Times New Roman"/>
                <w:sz w:val="20"/>
                <w:szCs w:val="20"/>
                <w:lang w:val="sq-AL"/>
              </w:rPr>
              <w:t>4</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242411" w14:textId="77777777" w:rsidR="00131E77" w:rsidRDefault="00131E77" w:rsidP="00131E77">
            <w:pPr>
              <w:jc w:val="center"/>
              <w:rPr>
                <w:rFonts w:ascii="Times New Roman Bold" w:hAnsi="Times New Roman Bold"/>
                <w:sz w:val="18"/>
              </w:rPr>
            </w:pPr>
            <w:r>
              <w:rPr>
                <w:rFonts w:ascii="Times New Roman Bold" w:hAnsi="Times New Roman Bold"/>
                <w:sz w:val="18"/>
              </w:rPr>
              <w:t>5</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887DD6" w14:textId="77777777" w:rsidR="00131E77" w:rsidRDefault="00131E77" w:rsidP="00131E77">
            <w:pPr>
              <w:ind w:firstLine="251"/>
              <w:jc w:val="center"/>
              <w:rPr>
                <w:rFonts w:ascii="Times New Roman Bold" w:hAnsi="Times New Roman Bold"/>
                <w:sz w:val="18"/>
              </w:rPr>
            </w:pPr>
            <w:r>
              <w:rPr>
                <w:rFonts w:ascii="Times New Roman Bold" w:hAnsi="Times New Roman Bold"/>
                <w:sz w:val="18"/>
              </w:rPr>
              <w:t>6</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505688" w14:textId="77777777" w:rsidR="00131E77" w:rsidRDefault="00131E77" w:rsidP="00131E77">
            <w:pPr>
              <w:jc w:val="center"/>
              <w:rPr>
                <w:rFonts w:ascii="Times New Roman Bold" w:hAnsi="Times New Roman Bold"/>
                <w:sz w:val="18"/>
              </w:rPr>
            </w:pPr>
            <w:r>
              <w:rPr>
                <w:rFonts w:ascii="Times New Roman Bold" w:hAnsi="Times New Roman Bold"/>
                <w:sz w:val="18"/>
              </w:rPr>
              <w:t>7</w:t>
            </w:r>
          </w:p>
        </w:tc>
      </w:tr>
      <w:tr w:rsidR="00131E77" w14:paraId="582F8E2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AAB805" w14:textId="77777777" w:rsidR="00131E77" w:rsidRDefault="00131E77" w:rsidP="00131E77">
            <w:pPr>
              <w:jc w:val="center"/>
              <w:rPr>
                <w:rFonts w:ascii="Times New Roman Bold" w:hAnsi="Times New Roman Bold"/>
                <w:sz w:val="18"/>
              </w:rPr>
            </w:pPr>
            <w:r>
              <w:rPr>
                <w:rFonts w:ascii="Times New Roman Bold" w:hAnsi="Times New Roman Bold"/>
                <w:sz w:val="18"/>
              </w:rPr>
              <w:t>Article</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626FC8" w14:textId="77777777" w:rsidR="00131E77" w:rsidRDefault="00131E77" w:rsidP="00131E77">
            <w:pPr>
              <w:jc w:val="center"/>
              <w:rPr>
                <w:rFonts w:ascii="Times New Roman Bold" w:hAnsi="Times New Roman Bold"/>
                <w:sz w:val="18"/>
              </w:rPr>
            </w:pPr>
            <w:r>
              <w:rPr>
                <w:rFonts w:ascii="Times New Roman Bold" w:hAnsi="Times New Roman Bold"/>
                <w:sz w:val="18"/>
              </w:rPr>
              <w:t>Text</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672EEF" w14:textId="77777777" w:rsidR="00131E77" w:rsidRDefault="00131E77" w:rsidP="00131E77">
            <w:pPr>
              <w:jc w:val="center"/>
              <w:rPr>
                <w:rFonts w:ascii="Times New Roman Bold" w:hAnsi="Times New Roman Bold"/>
                <w:sz w:val="18"/>
              </w:rPr>
            </w:pPr>
            <w:r>
              <w:rPr>
                <w:rFonts w:ascii="Times New Roman Bold" w:hAnsi="Times New Roman Bold"/>
                <w:sz w:val="18"/>
              </w:rPr>
              <w:t>Reference</w:t>
            </w:r>
          </w:p>
          <w:p w14:paraId="12807A84" w14:textId="77777777" w:rsidR="00131E77" w:rsidRDefault="00131E77" w:rsidP="00131E77">
            <w:pPr>
              <w:jc w:val="cente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E2B08B" w14:textId="6E0919A1" w:rsidR="00131E77" w:rsidRPr="00A5539A" w:rsidRDefault="001E1EE7" w:rsidP="00131E77">
            <w:pPr>
              <w:jc w:val="center"/>
              <w:rPr>
                <w:rFonts w:ascii="Times New Roman" w:hAnsi="Times New Roman"/>
                <w:sz w:val="20"/>
                <w:szCs w:val="20"/>
                <w:lang w:val="sq-AL"/>
              </w:rPr>
            </w:pPr>
            <w:r>
              <w:rPr>
                <w:rFonts w:ascii="Times New Roman" w:hAnsi="Times New Roman"/>
                <w:sz w:val="20"/>
                <w:szCs w:val="20"/>
                <w:lang w:val="sq-AL"/>
              </w:rPr>
              <w:t>Article</w:t>
            </w:r>
          </w:p>
          <w:p w14:paraId="31B8A8A1" w14:textId="77777777" w:rsidR="00131E77" w:rsidRDefault="00131E77" w:rsidP="00131E77">
            <w:pPr>
              <w:jc w:val="center"/>
            </w:pP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2A04E1" w14:textId="77777777" w:rsidR="00131E77" w:rsidRPr="007A2575" w:rsidRDefault="00131E77" w:rsidP="00131E77">
            <w:pPr>
              <w:jc w:val="center"/>
              <w:rPr>
                <w:rFonts w:ascii="Times New Roman" w:hAnsi="Times New Roman"/>
                <w:b/>
                <w:bCs/>
                <w:sz w:val="20"/>
                <w:szCs w:val="20"/>
              </w:rPr>
            </w:pPr>
            <w:r w:rsidRPr="007A2575">
              <w:rPr>
                <w:rFonts w:ascii="Times New Roman" w:hAnsi="Times New Roman"/>
                <w:b/>
                <w:bCs/>
                <w:sz w:val="20"/>
                <w:szCs w:val="20"/>
              </w:rPr>
              <w:t>Content</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09DDCB" w14:textId="77777777" w:rsidR="00131E77" w:rsidRDefault="00131E77" w:rsidP="00131E77">
            <w:pPr>
              <w:jc w:val="center"/>
              <w:rPr>
                <w:rFonts w:ascii="Times New Roman Bold" w:hAnsi="Times New Roman Bold"/>
                <w:sz w:val="18"/>
              </w:rPr>
            </w:pPr>
            <w:r>
              <w:rPr>
                <w:rFonts w:ascii="Times New Roman Bold" w:hAnsi="Times New Roman Bold"/>
                <w:sz w:val="18"/>
              </w:rPr>
              <w:t>Conformity</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8E751C" w14:textId="77777777" w:rsidR="00131E77" w:rsidRDefault="00131E77" w:rsidP="00131E77">
            <w:pPr>
              <w:jc w:val="center"/>
              <w:rPr>
                <w:rFonts w:ascii="Times New Roman Bold" w:hAnsi="Times New Roman Bold"/>
                <w:sz w:val="18"/>
              </w:rPr>
            </w:pPr>
            <w:r>
              <w:rPr>
                <w:rFonts w:ascii="Times New Roman Bold" w:hAnsi="Times New Roman Bold"/>
                <w:sz w:val="18"/>
              </w:rPr>
              <w:t>Remarks</w:t>
            </w:r>
          </w:p>
        </w:tc>
      </w:tr>
      <w:tr w:rsidR="00131E77" w14:paraId="0F51F246"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ED8CA7" w14:textId="01900772" w:rsidR="00131E77" w:rsidRPr="008632A4" w:rsidRDefault="00131E77" w:rsidP="00131E77">
            <w:pPr>
              <w:spacing w:after="120" w:line="240" w:lineRule="auto"/>
              <w:jc w:val="center"/>
              <w:rPr>
                <w:rFonts w:ascii="Times New Roman" w:hAnsi="Times New Roman"/>
                <w:b/>
                <w:bCs/>
                <w:sz w:val="20"/>
                <w:szCs w:val="20"/>
              </w:rPr>
            </w:pPr>
            <w:r w:rsidRPr="008632A4">
              <w:rPr>
                <w:rFonts w:ascii="Times New Roman" w:hAnsi="Times New Roman"/>
                <w:b/>
                <w:bCs/>
                <w:sz w:val="20"/>
                <w:szCs w:val="20"/>
              </w:rPr>
              <w:t>Article 1</w:t>
            </w:r>
          </w:p>
          <w:p w14:paraId="68A2AF96" w14:textId="1F39DE14" w:rsidR="00131E77" w:rsidRPr="008632A4" w:rsidRDefault="00131E77" w:rsidP="00131E77">
            <w:pPr>
              <w:spacing w:after="120" w:line="240" w:lineRule="auto"/>
              <w:jc w:val="center"/>
              <w:rPr>
                <w:rFonts w:ascii="Times New Roman" w:hAnsi="Times New Roman"/>
                <w:sz w:val="20"/>
                <w:szCs w:val="20"/>
              </w:rPr>
            </w:pPr>
            <w:r w:rsidRPr="008632A4">
              <w:rPr>
                <w:rFonts w:ascii="Times New Roman" w:hAnsi="Times New Roman"/>
                <w:b/>
                <w:bCs/>
                <w:sz w:val="20"/>
                <w:szCs w:val="20"/>
              </w:rPr>
              <w:t>Subject matter</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3707B3" w14:textId="7651700F" w:rsidR="00131E77" w:rsidRPr="008632A4" w:rsidRDefault="00131E77" w:rsidP="00131E77">
            <w:pPr>
              <w:spacing w:after="120" w:line="240" w:lineRule="auto"/>
              <w:jc w:val="both"/>
              <w:rPr>
                <w:rFonts w:ascii="Times New Roman" w:hAnsi="Times New Roman"/>
                <w:sz w:val="20"/>
                <w:szCs w:val="20"/>
              </w:rPr>
            </w:pPr>
            <w:r w:rsidRPr="008632A4">
              <w:rPr>
                <w:rFonts w:ascii="Times New Roman" w:eastAsia="Times New Roman" w:hAnsi="Times New Roman"/>
                <w:sz w:val="20"/>
                <w:szCs w:val="20"/>
              </w:rPr>
              <w:t>This Regulation lays down detailed rules for the implementation of Article 9(6b), Article 13(1</w:t>
            </w:r>
            <w:proofErr w:type="gramStart"/>
            <w:r w:rsidRPr="008632A4">
              <w:rPr>
                <w:rFonts w:ascii="Times New Roman" w:eastAsia="Times New Roman" w:hAnsi="Times New Roman"/>
                <w:sz w:val="20"/>
                <w:szCs w:val="20"/>
              </w:rPr>
              <w:t>a)(</w:t>
            </w:r>
            <w:proofErr w:type="gramEnd"/>
            <w:r w:rsidRPr="008632A4">
              <w:rPr>
                <w:rFonts w:ascii="Times New Roman" w:eastAsia="Times New Roman" w:hAnsi="Times New Roman"/>
                <w:sz w:val="20"/>
                <w:szCs w:val="20"/>
              </w:rPr>
              <w:t>a) and (b) and Article 13(4) of Directive 2004/109/EC.</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2F41AF" w14:textId="3702A2EB" w:rsidR="00131E77" w:rsidRPr="00502ABC" w:rsidRDefault="00131E77" w:rsidP="00131E77">
            <w:pPr>
              <w:spacing w:after="120" w:line="240" w:lineRule="auto"/>
              <w:jc w:val="center"/>
              <w:rPr>
                <w:rFonts w:ascii="Times New Roman" w:hAnsi="Times New Roman"/>
                <w:sz w:val="20"/>
                <w:szCs w:val="20"/>
              </w:rPr>
            </w:pPr>
            <w:r w:rsidRPr="00502ABC">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9B8682" w14:textId="77777777" w:rsidR="00131E77" w:rsidRPr="00A5539A" w:rsidRDefault="00131E77" w:rsidP="00131E77">
            <w:pPr>
              <w:spacing w:after="120" w:line="240" w:lineRule="auto"/>
              <w:rPr>
                <w:rFonts w:ascii="Times New Roman" w:hAnsi="Times New Roman"/>
                <w:sz w:val="20"/>
                <w:szCs w:val="20"/>
                <w:lang w:val="sq-AL"/>
              </w:rPr>
            </w:pPr>
            <w:r w:rsidRPr="00A5539A">
              <w:rPr>
                <w:rFonts w:ascii="Times New Roman" w:hAnsi="Times New Roman"/>
                <w:sz w:val="20"/>
                <w:szCs w:val="20"/>
                <w:lang w:val="sq-AL"/>
              </w:rPr>
              <w:t>n/a</w:t>
            </w:r>
          </w:p>
          <w:p w14:paraId="4984040A" w14:textId="77777777" w:rsidR="00131E77" w:rsidRPr="00A5539A" w:rsidRDefault="00131E77" w:rsidP="00131E77">
            <w:pPr>
              <w:spacing w:after="120" w:line="240" w:lineRule="auto"/>
              <w:rPr>
                <w:rFonts w:ascii="Times New Roman" w:hAnsi="Times New Roman"/>
                <w:sz w:val="20"/>
                <w:szCs w:val="20"/>
                <w:lang w:val="sq-AL"/>
              </w:rPr>
            </w:pPr>
          </w:p>
          <w:p w14:paraId="689BD32A" w14:textId="77777777" w:rsidR="00131E77" w:rsidRPr="00A5539A" w:rsidRDefault="00131E77" w:rsidP="00131E77">
            <w:pPr>
              <w:spacing w:after="120" w:line="240" w:lineRule="auto"/>
              <w:rPr>
                <w:rFonts w:ascii="Times New Roman" w:hAnsi="Times New Roman"/>
                <w:sz w:val="20"/>
                <w:szCs w:val="20"/>
                <w:lang w:val="sq-AL"/>
              </w:rPr>
            </w:pPr>
          </w:p>
          <w:p w14:paraId="3D00E2CD" w14:textId="77777777" w:rsidR="00131E77" w:rsidRPr="00A5539A" w:rsidRDefault="00131E77" w:rsidP="00131E77">
            <w:pPr>
              <w:spacing w:after="120" w:line="240" w:lineRule="auto"/>
              <w:rPr>
                <w:rFonts w:ascii="Times New Roman" w:hAnsi="Times New Roman"/>
                <w:sz w:val="20"/>
                <w:szCs w:val="20"/>
                <w:lang w:val="sq-AL"/>
              </w:rPr>
            </w:pPr>
          </w:p>
          <w:p w14:paraId="45F7A061" w14:textId="54956B85" w:rsidR="00131E77" w:rsidRPr="00502ABC" w:rsidRDefault="00131E77" w:rsidP="00131E77">
            <w:pPr>
              <w:spacing w:after="120" w:line="240" w:lineRule="auto"/>
              <w:rPr>
                <w:rFonts w:ascii="Times New Roman" w:hAnsi="Times New Roman"/>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D07FDB" w14:textId="1EDB5A35" w:rsidR="00131E77" w:rsidRPr="00502ABC" w:rsidRDefault="00131E77" w:rsidP="00131E77">
            <w:pPr>
              <w:pStyle w:val="NoSpacing"/>
              <w:rPr>
                <w:rFonts w:ascii="Times New Roman" w:hAnsi="Times New Roman"/>
                <w:sz w:val="20"/>
                <w:szCs w:val="20"/>
              </w:rPr>
            </w:pPr>
            <w:r>
              <w:rPr>
                <w:rFonts w:ascii="Times New Roman" w:hAnsi="Times New Roman"/>
                <w:sz w:val="20"/>
                <w:szCs w:val="20"/>
              </w:rPr>
              <w:t>n/a</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5CD80" w14:textId="3EAE3BA4" w:rsidR="00131E77" w:rsidRPr="00502ABC" w:rsidRDefault="00131E77" w:rsidP="00131E77">
            <w:pPr>
              <w:spacing w:after="120" w:line="240" w:lineRule="auto"/>
              <w:jc w:val="center"/>
              <w:rPr>
                <w:rFonts w:ascii="Times New Roman" w:hAnsi="Times New Roman"/>
                <w:b/>
                <w:bCs/>
                <w:sz w:val="20"/>
                <w:szCs w:val="20"/>
              </w:rPr>
            </w:pPr>
            <w:r>
              <w:rPr>
                <w:rFonts w:ascii="Times New Roman" w:hAnsi="Times New Roman"/>
                <w:b/>
                <w:bCs/>
                <w:sz w:val="20"/>
                <w:szCs w:val="20"/>
              </w:rPr>
              <w:t>n/a</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697247" w14:textId="14E4577E" w:rsidR="00131E77" w:rsidRPr="00502ABC" w:rsidRDefault="00131E77" w:rsidP="00131E77">
            <w:pPr>
              <w:rPr>
                <w:rFonts w:ascii="Times New Roman" w:hAnsi="Times New Roman"/>
                <w:sz w:val="20"/>
                <w:szCs w:val="20"/>
              </w:rPr>
            </w:pPr>
            <w:r>
              <w:rPr>
                <w:rFonts w:ascii="Times New Roman" w:hAnsi="Times New Roman"/>
                <w:sz w:val="20"/>
                <w:szCs w:val="20"/>
              </w:rPr>
              <w:t xml:space="preserve">No need for transposition </w:t>
            </w:r>
          </w:p>
        </w:tc>
      </w:tr>
      <w:tr w:rsidR="00131E77" w14:paraId="16125815"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76C2FF" w14:textId="1C14F61C" w:rsidR="00131E77" w:rsidRPr="0004400E" w:rsidRDefault="00131E77" w:rsidP="00131E77">
            <w:pPr>
              <w:spacing w:after="120" w:line="240" w:lineRule="auto"/>
              <w:jc w:val="center"/>
              <w:rPr>
                <w:rFonts w:ascii="Times New Roman" w:hAnsi="Times New Roman"/>
                <w:b/>
                <w:bCs/>
                <w:sz w:val="20"/>
                <w:szCs w:val="20"/>
              </w:rPr>
            </w:pPr>
            <w:r w:rsidRPr="0004400E">
              <w:rPr>
                <w:rFonts w:ascii="Times New Roman" w:hAnsi="Times New Roman"/>
                <w:b/>
                <w:bCs/>
                <w:sz w:val="20"/>
                <w:szCs w:val="20"/>
              </w:rPr>
              <w:t>Article 2</w:t>
            </w:r>
          </w:p>
          <w:p w14:paraId="6D31C290" w14:textId="7C2378A4" w:rsidR="00131E77" w:rsidRPr="008632A4" w:rsidRDefault="00131E77" w:rsidP="00131E77">
            <w:pPr>
              <w:spacing w:after="120" w:line="240" w:lineRule="auto"/>
              <w:jc w:val="center"/>
              <w:rPr>
                <w:rFonts w:ascii="Times New Roman" w:hAnsi="Times New Roman"/>
                <w:b/>
                <w:bCs/>
                <w:sz w:val="20"/>
                <w:szCs w:val="20"/>
              </w:rPr>
            </w:pPr>
            <w:r w:rsidRPr="0004400E">
              <w:rPr>
                <w:rFonts w:ascii="Times New Roman" w:hAnsi="Times New Roman"/>
                <w:b/>
                <w:bCs/>
                <w:sz w:val="20"/>
                <w:szCs w:val="20"/>
              </w:rPr>
              <w:t>Aggregation of holdings</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01FFFB" w14:textId="2BB7460D" w:rsidR="00131E77" w:rsidRPr="008632A4" w:rsidRDefault="00131E77" w:rsidP="00131E77">
            <w:pPr>
              <w:spacing w:after="120" w:line="240" w:lineRule="auto"/>
              <w:jc w:val="both"/>
              <w:rPr>
                <w:rFonts w:ascii="Times New Roman" w:eastAsia="Times New Roman" w:hAnsi="Times New Roman"/>
                <w:sz w:val="20"/>
                <w:szCs w:val="20"/>
              </w:rPr>
            </w:pPr>
            <w:proofErr w:type="gramStart"/>
            <w:r w:rsidRPr="0004400E">
              <w:rPr>
                <w:rFonts w:ascii="Times New Roman" w:eastAsia="Times New Roman" w:hAnsi="Times New Roman"/>
                <w:sz w:val="20"/>
                <w:szCs w:val="20"/>
              </w:rPr>
              <w:t>For the purpose of</w:t>
            </w:r>
            <w:proofErr w:type="gramEnd"/>
            <w:r w:rsidRPr="0004400E">
              <w:rPr>
                <w:rFonts w:ascii="Times New Roman" w:eastAsia="Times New Roman" w:hAnsi="Times New Roman"/>
                <w:sz w:val="20"/>
                <w:szCs w:val="20"/>
              </w:rPr>
              <w:t xml:space="preserve"> calculation of the 5 % threshold referred to in Article 9(5) and (6) of Directive 2004/109/EC, holdings under Articles 9, 10 and 13 of that Directive shall be aggregated.</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C608CA" w14:textId="16FD3426" w:rsidR="00131E77" w:rsidRPr="00502ABC" w:rsidRDefault="00131E7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C0798" w14:textId="41C31DBB"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lang w:val="sq-AL"/>
              </w:rPr>
              <w:t xml:space="preserve">Article 12 point </w:t>
            </w:r>
            <w:r w:rsidRPr="00A5539A">
              <w:rPr>
                <w:rFonts w:ascii="Times New Roman" w:hAnsi="Times New Roman"/>
                <w:sz w:val="20"/>
                <w:szCs w:val="20"/>
                <w:lang w:val="sq-AL"/>
              </w:rPr>
              <w:t>8</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CC46BB" w14:textId="10FAD021" w:rsidR="00131E77" w:rsidRPr="00502ABC" w:rsidRDefault="00131E77" w:rsidP="00131E77">
            <w:pPr>
              <w:pStyle w:val="NoSpacing"/>
              <w:rPr>
                <w:rFonts w:ascii="Times New Roman" w:hAnsi="Times New Roman"/>
                <w:sz w:val="20"/>
                <w:szCs w:val="20"/>
              </w:rPr>
            </w:pPr>
            <w:r w:rsidRPr="009B356D">
              <w:rPr>
                <w:rFonts w:ascii="Times New Roman" w:hAnsi="Times New Roman"/>
                <w:sz w:val="20"/>
                <w:szCs w:val="20"/>
              </w:rPr>
              <w:t>For the purposes of calculating the 5% threshold referred to in points 7 and 8 of this Article, the holdings referred to in Articles 12, 13 and 20 of this Law shall be aggregated. In the case of a group of undertakings, such holdings shall be aggregated at the level of the group, in accordance with the principle laid down in point (e) of Article 13.</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25F14" w14:textId="68DFB625"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C678BA" w14:textId="5BD8D1D4" w:rsidR="00131E77" w:rsidRPr="00502ABC" w:rsidRDefault="00C362BE" w:rsidP="00131E77">
            <w:pPr>
              <w:rPr>
                <w:rFonts w:ascii="Times New Roman" w:hAnsi="Times New Roman"/>
                <w:sz w:val="20"/>
                <w:szCs w:val="20"/>
              </w:rPr>
            </w:pPr>
            <w:r w:rsidRPr="00C362BE">
              <w:rPr>
                <w:rFonts w:ascii="Times New Roman" w:hAnsi="Times New Roman"/>
                <w:sz w:val="20"/>
                <w:szCs w:val="20"/>
              </w:rPr>
              <w:t>Article 12(8) of the Law transposes Articles 2 and 3 of the Regulation, while the final part of the sentence regulates the calculation at group level.</w:t>
            </w:r>
          </w:p>
        </w:tc>
      </w:tr>
      <w:tr w:rsidR="00131E77" w14:paraId="4D0806F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508E97" w14:textId="2D308BDB" w:rsidR="00131E77" w:rsidRPr="00731F9B" w:rsidRDefault="00131E77" w:rsidP="00131E77">
            <w:pPr>
              <w:spacing w:after="120" w:line="240" w:lineRule="auto"/>
              <w:jc w:val="center"/>
              <w:rPr>
                <w:rFonts w:ascii="Times New Roman" w:hAnsi="Times New Roman"/>
                <w:b/>
                <w:bCs/>
                <w:sz w:val="20"/>
                <w:szCs w:val="20"/>
              </w:rPr>
            </w:pPr>
            <w:r w:rsidRPr="00731F9B">
              <w:rPr>
                <w:rFonts w:ascii="Times New Roman" w:hAnsi="Times New Roman"/>
                <w:b/>
                <w:bCs/>
                <w:sz w:val="20"/>
                <w:szCs w:val="20"/>
              </w:rPr>
              <w:t>Article 3</w:t>
            </w:r>
          </w:p>
          <w:p w14:paraId="0E3C76EA" w14:textId="027B2AA0" w:rsidR="00131E77" w:rsidRPr="0004400E" w:rsidRDefault="00131E77" w:rsidP="00131E77">
            <w:pPr>
              <w:spacing w:after="120" w:line="240" w:lineRule="auto"/>
              <w:jc w:val="center"/>
              <w:rPr>
                <w:rFonts w:ascii="Times New Roman" w:hAnsi="Times New Roman"/>
                <w:b/>
                <w:bCs/>
                <w:sz w:val="20"/>
                <w:szCs w:val="20"/>
              </w:rPr>
            </w:pPr>
            <w:r w:rsidRPr="00731F9B">
              <w:rPr>
                <w:rFonts w:ascii="Times New Roman" w:hAnsi="Times New Roman"/>
                <w:b/>
                <w:bCs/>
                <w:sz w:val="20"/>
                <w:szCs w:val="20"/>
              </w:rPr>
              <w:t>Aggregation of holdings in the case of a group</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AAB24B" w14:textId="053CBAB2" w:rsidR="00131E77" w:rsidRPr="0004400E" w:rsidRDefault="00131E77" w:rsidP="00131E77">
            <w:pPr>
              <w:spacing w:after="120" w:line="240" w:lineRule="auto"/>
              <w:jc w:val="both"/>
              <w:rPr>
                <w:rFonts w:ascii="Times New Roman" w:eastAsia="Times New Roman" w:hAnsi="Times New Roman"/>
                <w:sz w:val="20"/>
                <w:szCs w:val="20"/>
              </w:rPr>
            </w:pPr>
            <w:proofErr w:type="gramStart"/>
            <w:r w:rsidRPr="00731F9B">
              <w:rPr>
                <w:rFonts w:ascii="Times New Roman" w:eastAsia="Times New Roman" w:hAnsi="Times New Roman"/>
                <w:sz w:val="20"/>
                <w:szCs w:val="20"/>
              </w:rPr>
              <w:t>For the purpose of</w:t>
            </w:r>
            <w:proofErr w:type="gramEnd"/>
            <w:r w:rsidRPr="00731F9B">
              <w:rPr>
                <w:rFonts w:ascii="Times New Roman" w:eastAsia="Times New Roman" w:hAnsi="Times New Roman"/>
                <w:sz w:val="20"/>
                <w:szCs w:val="20"/>
              </w:rPr>
              <w:t xml:space="preserve"> calculation of the 5 % threshold referred to in Article 9(5) and (6) of Directive 2004/109/EC in the case of a group of companies, holdings shall be aggregated at group level according to the principle laid down in Article 10(e) of that Directive.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86C56E" w14:textId="6E2922A8"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50F32A" w14:textId="6FC621E8"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lang w:val="sq-AL"/>
              </w:rPr>
              <w:t>Article 12 point 8</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D62CE" w14:textId="28222465" w:rsidR="00131E77" w:rsidRPr="00502ABC" w:rsidRDefault="00131E77" w:rsidP="00131E77">
            <w:pPr>
              <w:pStyle w:val="NoSpacing"/>
              <w:rPr>
                <w:rFonts w:ascii="Times New Roman" w:hAnsi="Times New Roman"/>
                <w:sz w:val="20"/>
                <w:szCs w:val="20"/>
              </w:rPr>
            </w:pPr>
            <w:r w:rsidRPr="00805803">
              <w:rPr>
                <w:rFonts w:ascii="Times New Roman" w:hAnsi="Times New Roman"/>
                <w:sz w:val="20"/>
                <w:szCs w:val="20"/>
              </w:rPr>
              <w:t>For the purposes of calculating the 5% threshold referred to in points 7 and 8 of this Article, the holdings referred to in Articles 12, 13 and 20 of this Law shall be aggregated. In the case of a group of undertakings, such holdings shall be aggregated at the level of the group, in accordance with the principle laid down in point (e) of Article 13</w:t>
            </w:r>
            <w:r>
              <w:rPr>
                <w:rFonts w:ascii="Times New Roman" w:hAnsi="Times New Roman"/>
                <w:sz w:val="20"/>
                <w:szCs w:val="20"/>
              </w:rPr>
              <w:t>.</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145CCB" w14:textId="695B9FD3"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389710" w14:textId="77777777" w:rsidR="00131E77" w:rsidRPr="00502ABC" w:rsidRDefault="00131E77" w:rsidP="00131E77">
            <w:pPr>
              <w:rPr>
                <w:rFonts w:ascii="Times New Roman" w:hAnsi="Times New Roman"/>
                <w:sz w:val="20"/>
                <w:szCs w:val="20"/>
              </w:rPr>
            </w:pPr>
          </w:p>
        </w:tc>
      </w:tr>
      <w:tr w:rsidR="00131E77" w14:paraId="360EEEF2"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7CDA81" w14:textId="1102264D" w:rsidR="00131E77" w:rsidRPr="00731F9B" w:rsidRDefault="00131E77" w:rsidP="00131E77">
            <w:pPr>
              <w:spacing w:after="120" w:line="240" w:lineRule="auto"/>
              <w:jc w:val="center"/>
              <w:rPr>
                <w:rFonts w:ascii="Times New Roman" w:hAnsi="Times New Roman"/>
                <w:b/>
                <w:bCs/>
                <w:sz w:val="20"/>
                <w:szCs w:val="20"/>
              </w:rPr>
            </w:pPr>
            <w:r w:rsidRPr="00731F9B">
              <w:rPr>
                <w:rFonts w:ascii="Times New Roman" w:hAnsi="Times New Roman"/>
                <w:b/>
                <w:bCs/>
                <w:sz w:val="20"/>
                <w:szCs w:val="20"/>
              </w:rPr>
              <w:lastRenderedPageBreak/>
              <w:t>Article 4</w:t>
            </w:r>
          </w:p>
          <w:p w14:paraId="2F3036DF" w14:textId="12D7535E" w:rsidR="00131E77" w:rsidRPr="00731F9B" w:rsidRDefault="00131E77" w:rsidP="00131E77">
            <w:pPr>
              <w:spacing w:after="120" w:line="240" w:lineRule="auto"/>
              <w:jc w:val="center"/>
              <w:rPr>
                <w:rFonts w:ascii="Times New Roman" w:hAnsi="Times New Roman"/>
                <w:b/>
                <w:bCs/>
                <w:sz w:val="20"/>
                <w:szCs w:val="20"/>
              </w:rPr>
            </w:pPr>
            <w:r w:rsidRPr="00731F9B">
              <w:rPr>
                <w:rFonts w:ascii="Times New Roman" w:hAnsi="Times New Roman"/>
                <w:b/>
                <w:bCs/>
                <w:sz w:val="20"/>
                <w:szCs w:val="20"/>
              </w:rPr>
              <w:t>Financial instruments referenced to a basket of shares or an index</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9319FA" w14:textId="32E42ED3" w:rsidR="00131E77" w:rsidRPr="003B6F80" w:rsidRDefault="00131E77" w:rsidP="00131E77">
            <w:pPr>
              <w:spacing w:after="120" w:line="240" w:lineRule="auto"/>
              <w:jc w:val="both"/>
              <w:rPr>
                <w:rFonts w:ascii="Times New Roman" w:eastAsia="Times New Roman" w:hAnsi="Times New Roman"/>
                <w:sz w:val="20"/>
                <w:szCs w:val="20"/>
              </w:rPr>
            </w:pPr>
            <w:r w:rsidRPr="003B6F80">
              <w:rPr>
                <w:rFonts w:ascii="Times New Roman" w:eastAsia="Times New Roman" w:hAnsi="Times New Roman"/>
                <w:sz w:val="20"/>
                <w:szCs w:val="20"/>
              </w:rPr>
              <w:t>1.   Voting rights referred to in Article 13(1</w:t>
            </w:r>
            <w:proofErr w:type="gramStart"/>
            <w:r w:rsidRPr="003B6F80">
              <w:rPr>
                <w:rFonts w:ascii="Times New Roman" w:eastAsia="Times New Roman" w:hAnsi="Times New Roman"/>
                <w:sz w:val="20"/>
                <w:szCs w:val="20"/>
              </w:rPr>
              <w:t>a)(</w:t>
            </w:r>
            <w:proofErr w:type="gramEnd"/>
            <w:r w:rsidRPr="003B6F80">
              <w:rPr>
                <w:rFonts w:ascii="Times New Roman" w:eastAsia="Times New Roman" w:hAnsi="Times New Roman"/>
                <w:sz w:val="20"/>
                <w:szCs w:val="20"/>
              </w:rPr>
              <w:t xml:space="preserve">a) of Directive 2004/109/EC in the case of a financial instrument referenced to a basket of shares or an index shall be calculated </w:t>
            </w:r>
            <w:proofErr w:type="gramStart"/>
            <w:r w:rsidRPr="003B6F80">
              <w:rPr>
                <w:rFonts w:ascii="Times New Roman" w:eastAsia="Times New Roman" w:hAnsi="Times New Roman"/>
                <w:sz w:val="20"/>
                <w:szCs w:val="20"/>
              </w:rPr>
              <w:t>on the basis of</w:t>
            </w:r>
            <w:proofErr w:type="gramEnd"/>
            <w:r w:rsidRPr="003B6F80">
              <w:rPr>
                <w:rFonts w:ascii="Times New Roman" w:eastAsia="Times New Roman" w:hAnsi="Times New Roman"/>
                <w:sz w:val="20"/>
                <w:szCs w:val="20"/>
              </w:rPr>
              <w:t xml:space="preserve"> the weight of the share in the basket of shares or index where any of the following conditions apply:</w:t>
            </w:r>
          </w:p>
          <w:p w14:paraId="4889CDBF" w14:textId="25B7B95C" w:rsidR="00131E77" w:rsidRPr="003B6F80" w:rsidRDefault="00131E77" w:rsidP="00131E77">
            <w:pPr>
              <w:numPr>
                <w:ilvl w:val="0"/>
                <w:numId w:val="14"/>
              </w:numPr>
              <w:spacing w:after="120" w:line="240" w:lineRule="auto"/>
              <w:jc w:val="both"/>
              <w:rPr>
                <w:rFonts w:ascii="Times New Roman" w:eastAsia="Times New Roman" w:hAnsi="Times New Roman"/>
                <w:sz w:val="20"/>
                <w:szCs w:val="20"/>
              </w:rPr>
            </w:pPr>
            <w:r w:rsidRPr="003B6F80">
              <w:rPr>
                <w:rFonts w:ascii="Times New Roman" w:eastAsia="Times New Roman" w:hAnsi="Times New Roman"/>
                <w:sz w:val="20"/>
                <w:szCs w:val="20"/>
              </w:rPr>
              <w:t xml:space="preserve">the voting rights in a specific issuer held through financial instruments referenced to the basket or index represent 1 % or more of the voting rights attached to shares of that </w:t>
            </w:r>
            <w:proofErr w:type="gramStart"/>
            <w:r w:rsidRPr="003B6F80">
              <w:rPr>
                <w:rFonts w:ascii="Times New Roman" w:eastAsia="Times New Roman" w:hAnsi="Times New Roman"/>
                <w:sz w:val="20"/>
                <w:szCs w:val="20"/>
              </w:rPr>
              <w:t>issuer;</w:t>
            </w:r>
            <w:proofErr w:type="gramEnd"/>
          </w:p>
          <w:p w14:paraId="48BCB0D1" w14:textId="7375B475" w:rsidR="00131E77" w:rsidRPr="003B6F80" w:rsidRDefault="00131E77" w:rsidP="00131E77">
            <w:pPr>
              <w:numPr>
                <w:ilvl w:val="0"/>
                <w:numId w:val="14"/>
              </w:numPr>
              <w:spacing w:after="120" w:line="240" w:lineRule="auto"/>
              <w:jc w:val="both"/>
              <w:rPr>
                <w:rFonts w:ascii="Times New Roman" w:eastAsia="Times New Roman" w:hAnsi="Times New Roman"/>
                <w:sz w:val="20"/>
                <w:szCs w:val="20"/>
              </w:rPr>
            </w:pPr>
            <w:r w:rsidRPr="003B6F80">
              <w:rPr>
                <w:rFonts w:ascii="Times New Roman" w:eastAsia="Times New Roman" w:hAnsi="Times New Roman"/>
                <w:sz w:val="20"/>
                <w:szCs w:val="20"/>
              </w:rPr>
              <w:t>the shares in the basket or index represent 20 % or more of the value of the securities in the basket or index.</w:t>
            </w:r>
          </w:p>
          <w:p w14:paraId="67B5D30A" w14:textId="09D8140D" w:rsidR="00131E77" w:rsidRPr="00731F9B" w:rsidRDefault="00131E77" w:rsidP="00131E77">
            <w:pPr>
              <w:spacing w:after="120" w:line="240" w:lineRule="auto"/>
              <w:jc w:val="both"/>
              <w:rPr>
                <w:rFonts w:ascii="Times New Roman" w:eastAsia="Times New Roman" w:hAnsi="Times New Roman"/>
                <w:sz w:val="20"/>
                <w:szCs w:val="20"/>
              </w:rPr>
            </w:pPr>
            <w:r w:rsidRPr="003B6F80">
              <w:rPr>
                <w:rFonts w:ascii="Times New Roman" w:eastAsia="Times New Roman" w:hAnsi="Times New Roman"/>
                <w:sz w:val="20"/>
                <w:szCs w:val="20"/>
              </w:rPr>
              <w:t>2.   Where a financial instrument is referenced to a series of baskets of shares or indices, the voting rights held through the individual baskets of shares or indices shall not be accumulated for the purpose of the thresholds set out in paragraph 1.</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6E1228" w14:textId="3B2379E6"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BB551C" w14:textId="78FD6781"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rPr>
              <w:t>Article 20, point 2 paragraph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C3686F" w14:textId="77777777" w:rsidR="00131E77" w:rsidRPr="00BF226C" w:rsidRDefault="00131E77" w:rsidP="00131E77">
            <w:pPr>
              <w:pStyle w:val="NoSpacing"/>
              <w:rPr>
                <w:rFonts w:ascii="Times New Roman" w:hAnsi="Times New Roman"/>
                <w:sz w:val="20"/>
                <w:szCs w:val="20"/>
              </w:rPr>
            </w:pPr>
            <w:r w:rsidRPr="00BF226C">
              <w:rPr>
                <w:rFonts w:ascii="Times New Roman" w:hAnsi="Times New Roman"/>
                <w:sz w:val="20"/>
                <w:szCs w:val="20"/>
              </w:rPr>
              <w:t xml:space="preserve">The voting rights referred to in this paragraph, in the case of a financial instrument </w:t>
            </w:r>
            <w:proofErr w:type="gramStart"/>
            <w:r w:rsidRPr="00BF226C">
              <w:rPr>
                <w:rFonts w:ascii="Times New Roman" w:hAnsi="Times New Roman"/>
                <w:sz w:val="20"/>
                <w:szCs w:val="20"/>
              </w:rPr>
              <w:t>referenced</w:t>
            </w:r>
            <w:proofErr w:type="gramEnd"/>
            <w:r w:rsidRPr="00BF226C">
              <w:rPr>
                <w:rFonts w:ascii="Times New Roman" w:hAnsi="Times New Roman"/>
                <w:sz w:val="20"/>
                <w:szCs w:val="20"/>
              </w:rPr>
              <w:t xml:space="preserve"> to a basket of shares or an index, shall be calculated </w:t>
            </w:r>
            <w:proofErr w:type="gramStart"/>
            <w:r w:rsidRPr="00BF226C">
              <w:rPr>
                <w:rFonts w:ascii="Times New Roman" w:hAnsi="Times New Roman"/>
                <w:sz w:val="20"/>
                <w:szCs w:val="20"/>
              </w:rPr>
              <w:t>on the basis of</w:t>
            </w:r>
            <w:proofErr w:type="gramEnd"/>
            <w:r w:rsidRPr="00BF226C">
              <w:rPr>
                <w:rFonts w:ascii="Times New Roman" w:hAnsi="Times New Roman"/>
                <w:sz w:val="20"/>
                <w:szCs w:val="20"/>
              </w:rPr>
              <w:t xml:space="preserve"> the weight of the share in the basket of shares or in the index, where one of the following conditions is met:</w:t>
            </w:r>
          </w:p>
          <w:p w14:paraId="018A40F2" w14:textId="77777777" w:rsidR="00131E77" w:rsidRPr="00BF226C" w:rsidRDefault="00131E77" w:rsidP="00131E77">
            <w:pPr>
              <w:pStyle w:val="NoSpacing"/>
              <w:rPr>
                <w:rFonts w:ascii="Times New Roman" w:hAnsi="Times New Roman"/>
                <w:sz w:val="20"/>
                <w:szCs w:val="20"/>
              </w:rPr>
            </w:pPr>
          </w:p>
          <w:p w14:paraId="2FEA367E" w14:textId="77777777" w:rsidR="00131E77" w:rsidRPr="00BF226C" w:rsidRDefault="00131E77" w:rsidP="00131E77">
            <w:pPr>
              <w:pStyle w:val="NoSpacing"/>
              <w:rPr>
                <w:rFonts w:ascii="Times New Roman" w:hAnsi="Times New Roman"/>
                <w:sz w:val="20"/>
                <w:szCs w:val="20"/>
              </w:rPr>
            </w:pPr>
            <w:r w:rsidRPr="00BF226C">
              <w:rPr>
                <w:rFonts w:ascii="Times New Roman" w:hAnsi="Times New Roman"/>
                <w:sz w:val="20"/>
                <w:szCs w:val="20"/>
              </w:rPr>
              <w:t xml:space="preserve">(a) the voting rights </w:t>
            </w:r>
            <w:proofErr w:type="gramStart"/>
            <w:r w:rsidRPr="00BF226C">
              <w:rPr>
                <w:rFonts w:ascii="Times New Roman" w:hAnsi="Times New Roman"/>
                <w:sz w:val="20"/>
                <w:szCs w:val="20"/>
              </w:rPr>
              <w:t>in a given</w:t>
            </w:r>
            <w:proofErr w:type="gramEnd"/>
            <w:r w:rsidRPr="00BF226C">
              <w:rPr>
                <w:rFonts w:ascii="Times New Roman" w:hAnsi="Times New Roman"/>
                <w:sz w:val="20"/>
                <w:szCs w:val="20"/>
              </w:rPr>
              <w:t xml:space="preserve"> issuer held through financial instruments referenced to the basket or index represent 1 % or more of the voting rights attached to the shares of that </w:t>
            </w:r>
            <w:proofErr w:type="gramStart"/>
            <w:r w:rsidRPr="00BF226C">
              <w:rPr>
                <w:rFonts w:ascii="Times New Roman" w:hAnsi="Times New Roman"/>
                <w:sz w:val="20"/>
                <w:szCs w:val="20"/>
              </w:rPr>
              <w:t>issuer;</w:t>
            </w:r>
            <w:proofErr w:type="gramEnd"/>
          </w:p>
          <w:p w14:paraId="47394A8E" w14:textId="77777777" w:rsidR="00131E77" w:rsidRPr="00BF226C" w:rsidRDefault="00131E77" w:rsidP="00131E77">
            <w:pPr>
              <w:pStyle w:val="NoSpacing"/>
              <w:rPr>
                <w:rFonts w:ascii="Times New Roman" w:hAnsi="Times New Roman"/>
                <w:sz w:val="20"/>
                <w:szCs w:val="20"/>
              </w:rPr>
            </w:pPr>
            <w:r w:rsidRPr="00BF226C">
              <w:rPr>
                <w:rFonts w:ascii="Times New Roman" w:hAnsi="Times New Roman"/>
                <w:sz w:val="20"/>
                <w:szCs w:val="20"/>
              </w:rPr>
              <w:t>(b) the shares in the basket or index represent 20 % or more of the value of the securities in the basket or index.</w:t>
            </w:r>
          </w:p>
          <w:p w14:paraId="7BEDF333" w14:textId="77777777" w:rsidR="00131E77" w:rsidRPr="00BF226C" w:rsidRDefault="00131E77" w:rsidP="00131E77">
            <w:pPr>
              <w:pStyle w:val="NoSpacing"/>
              <w:rPr>
                <w:rFonts w:ascii="Times New Roman" w:hAnsi="Times New Roman"/>
                <w:sz w:val="20"/>
                <w:szCs w:val="20"/>
              </w:rPr>
            </w:pPr>
          </w:p>
          <w:p w14:paraId="6FBCDF12" w14:textId="7297EA4E" w:rsidR="00131E77" w:rsidRPr="00502ABC" w:rsidRDefault="00131E77" w:rsidP="00131E77">
            <w:pPr>
              <w:pStyle w:val="NoSpacing"/>
              <w:rPr>
                <w:rFonts w:ascii="Times New Roman" w:hAnsi="Times New Roman"/>
                <w:sz w:val="20"/>
                <w:szCs w:val="20"/>
              </w:rPr>
            </w:pPr>
            <w:r w:rsidRPr="00BF226C">
              <w:rPr>
                <w:rFonts w:ascii="Times New Roman" w:hAnsi="Times New Roman"/>
                <w:sz w:val="20"/>
                <w:szCs w:val="20"/>
              </w:rPr>
              <w:t>Where a financial instrument refers to a series of baskets of shares or indices, the voting rights held through the individual baskets or indices shall not be aggregated for the purposes of the thresholds set out above.</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C6B5D1" w14:textId="7B0F618D"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39EB91" w14:textId="77777777" w:rsidR="00131E77" w:rsidRPr="00502ABC" w:rsidRDefault="00131E77" w:rsidP="00131E77">
            <w:pPr>
              <w:rPr>
                <w:rFonts w:ascii="Times New Roman" w:hAnsi="Times New Roman"/>
                <w:sz w:val="20"/>
                <w:szCs w:val="20"/>
              </w:rPr>
            </w:pPr>
          </w:p>
        </w:tc>
      </w:tr>
      <w:tr w:rsidR="00131E77" w14:paraId="65CB9BDB"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4280883" w14:textId="64910D90" w:rsidR="00131E77" w:rsidRPr="003B6F80" w:rsidRDefault="00131E77" w:rsidP="00131E77">
            <w:pPr>
              <w:spacing w:after="120" w:line="240" w:lineRule="auto"/>
              <w:jc w:val="center"/>
              <w:rPr>
                <w:rFonts w:ascii="Times New Roman" w:hAnsi="Times New Roman"/>
                <w:b/>
                <w:bCs/>
                <w:sz w:val="20"/>
                <w:szCs w:val="20"/>
              </w:rPr>
            </w:pPr>
            <w:r w:rsidRPr="003B6F80">
              <w:rPr>
                <w:rFonts w:ascii="Times New Roman" w:hAnsi="Times New Roman"/>
                <w:b/>
                <w:bCs/>
                <w:sz w:val="20"/>
                <w:szCs w:val="20"/>
              </w:rPr>
              <w:t>Article 5</w:t>
            </w:r>
          </w:p>
          <w:p w14:paraId="64D2D1F0" w14:textId="6EDB78B5" w:rsidR="00131E77" w:rsidRPr="00731F9B" w:rsidRDefault="00131E77" w:rsidP="00131E77">
            <w:pPr>
              <w:spacing w:after="120" w:line="240" w:lineRule="auto"/>
              <w:jc w:val="center"/>
              <w:rPr>
                <w:rFonts w:ascii="Times New Roman" w:hAnsi="Times New Roman"/>
                <w:b/>
                <w:bCs/>
                <w:sz w:val="20"/>
                <w:szCs w:val="20"/>
              </w:rPr>
            </w:pPr>
            <w:r w:rsidRPr="003B6F80">
              <w:rPr>
                <w:rFonts w:ascii="Times New Roman" w:hAnsi="Times New Roman"/>
                <w:b/>
                <w:bCs/>
                <w:sz w:val="20"/>
                <w:szCs w:val="20"/>
              </w:rPr>
              <w:t>Financial instruments providing exclusively for a cash settlement</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CCC825" w14:textId="1E81CFE4" w:rsidR="00131E77" w:rsidRPr="003B6F80" w:rsidRDefault="00131E77" w:rsidP="00131E77">
            <w:pPr>
              <w:spacing w:after="120" w:line="240" w:lineRule="auto"/>
              <w:jc w:val="both"/>
              <w:rPr>
                <w:rFonts w:ascii="Times New Roman" w:eastAsia="Times New Roman" w:hAnsi="Times New Roman"/>
                <w:sz w:val="20"/>
                <w:szCs w:val="20"/>
              </w:rPr>
            </w:pPr>
            <w:r w:rsidRPr="000119A8">
              <w:rPr>
                <w:rFonts w:ascii="Times New Roman" w:eastAsia="Times New Roman" w:hAnsi="Times New Roman"/>
                <w:sz w:val="20"/>
                <w:szCs w:val="20"/>
              </w:rPr>
              <w:t>1.   The number of voting rights referred to in Article 13(1</w:t>
            </w:r>
            <w:proofErr w:type="gramStart"/>
            <w:r w:rsidRPr="000119A8">
              <w:rPr>
                <w:rFonts w:ascii="Times New Roman" w:eastAsia="Times New Roman" w:hAnsi="Times New Roman"/>
                <w:sz w:val="20"/>
                <w:szCs w:val="20"/>
              </w:rPr>
              <w:t>a)(</w:t>
            </w:r>
            <w:proofErr w:type="gramEnd"/>
            <w:r w:rsidRPr="000119A8">
              <w:rPr>
                <w:rFonts w:ascii="Times New Roman" w:eastAsia="Times New Roman" w:hAnsi="Times New Roman"/>
                <w:sz w:val="20"/>
                <w:szCs w:val="20"/>
              </w:rPr>
              <w:t xml:space="preserve">b) of Directive 2004/109/EC relating to financial instruments which provide exclusively for a cash settlement, with a linear, symmetric pay-off profile with the underlying share shall be calculated on a delta-adjusted basis with cash </w:t>
            </w:r>
            <w:proofErr w:type="gramStart"/>
            <w:r w:rsidRPr="000119A8">
              <w:rPr>
                <w:rFonts w:ascii="Times New Roman" w:eastAsia="Times New Roman" w:hAnsi="Times New Roman"/>
                <w:sz w:val="20"/>
                <w:szCs w:val="20"/>
              </w:rPr>
              <w:t>position being</w:t>
            </w:r>
            <w:proofErr w:type="gramEnd"/>
            <w:r w:rsidRPr="000119A8">
              <w:rPr>
                <w:rFonts w:ascii="Times New Roman" w:eastAsia="Times New Roman" w:hAnsi="Times New Roman"/>
                <w:sz w:val="20"/>
                <w:szCs w:val="20"/>
              </w:rPr>
              <w:t xml:space="preserve"> equal to 1.</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26F2C1" w14:textId="5B083190"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3BC29C" w14:textId="1F5F8942"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rPr>
              <w:t>Article 20, point 3 paragraph 1</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A5B51D" w14:textId="0880AEB9" w:rsidR="00131E77" w:rsidRPr="00502ABC" w:rsidRDefault="00131E77" w:rsidP="00131E77">
            <w:pPr>
              <w:pStyle w:val="NoSpacing"/>
              <w:rPr>
                <w:rFonts w:ascii="Times New Roman" w:hAnsi="Times New Roman"/>
                <w:sz w:val="20"/>
                <w:szCs w:val="20"/>
              </w:rPr>
            </w:pPr>
            <w:r w:rsidRPr="00101EF2">
              <w:rPr>
                <w:rFonts w:ascii="Times New Roman" w:hAnsi="Times New Roman"/>
                <w:sz w:val="20"/>
                <w:szCs w:val="20"/>
              </w:rPr>
              <w:t>The number of voting rights relating to financial instruments which provide exclusively for a cash settlement and have a linear, symmetric pay-off profile with the underlying share shall be calculated on a delta-adjusted basis, with the cash position being equal to 1.</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21D639" w14:textId="181E60C0"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244DDB" w14:textId="77777777" w:rsidR="00131E77" w:rsidRPr="00502ABC" w:rsidRDefault="00131E77" w:rsidP="00131E77">
            <w:pPr>
              <w:rPr>
                <w:rFonts w:ascii="Times New Roman" w:hAnsi="Times New Roman"/>
                <w:sz w:val="20"/>
                <w:szCs w:val="20"/>
              </w:rPr>
            </w:pPr>
          </w:p>
        </w:tc>
      </w:tr>
      <w:tr w:rsidR="00131E77" w14:paraId="068B6759"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6551C3" w14:textId="77777777" w:rsidR="00131E77" w:rsidRPr="003B6F80" w:rsidRDefault="00131E77" w:rsidP="00131E77">
            <w:pPr>
              <w:spacing w:after="120" w:line="240" w:lineRule="auto"/>
              <w:jc w:val="center"/>
              <w:rPr>
                <w:rFonts w:ascii="Times New Roman" w:hAnsi="Times New Roman"/>
                <w:b/>
                <w:bCs/>
                <w:sz w:val="20"/>
                <w:szCs w:val="20"/>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FE8320" w14:textId="550B65DD" w:rsidR="00131E77" w:rsidRPr="000119A8" w:rsidRDefault="00131E77" w:rsidP="00131E77">
            <w:pPr>
              <w:spacing w:after="120" w:line="240" w:lineRule="auto"/>
              <w:jc w:val="both"/>
              <w:rPr>
                <w:rFonts w:ascii="Times New Roman" w:eastAsia="Times New Roman" w:hAnsi="Times New Roman"/>
                <w:sz w:val="20"/>
                <w:szCs w:val="20"/>
              </w:rPr>
            </w:pPr>
            <w:r w:rsidRPr="000119A8">
              <w:rPr>
                <w:rFonts w:ascii="Times New Roman" w:eastAsia="Times New Roman" w:hAnsi="Times New Roman"/>
                <w:sz w:val="20"/>
                <w:szCs w:val="20"/>
              </w:rPr>
              <w:t>2.   The number of voting rights relating to an exclusively cash-settled financial instrument without a linear, symmetric pay-off profile with the underlying share shall be calculated on a delta-adjusted basis, using a generally accepted standard pricing model.</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F941EF" w14:textId="64624650"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634977" w14:textId="463E152E"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lang w:val="sq-AL"/>
              </w:rPr>
              <w:t>Article 20, point 3 paragraph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061354" w14:textId="68BD0932" w:rsidR="00131E77" w:rsidRPr="00502ABC" w:rsidRDefault="00131E77" w:rsidP="00131E77">
            <w:pPr>
              <w:pStyle w:val="NoSpacing"/>
              <w:rPr>
                <w:rFonts w:ascii="Times New Roman" w:hAnsi="Times New Roman"/>
                <w:sz w:val="20"/>
                <w:szCs w:val="20"/>
              </w:rPr>
            </w:pPr>
            <w:r w:rsidRPr="000119A8">
              <w:rPr>
                <w:rFonts w:ascii="Times New Roman" w:eastAsia="Times New Roman" w:hAnsi="Times New Roman"/>
                <w:sz w:val="20"/>
                <w:szCs w:val="20"/>
              </w:rPr>
              <w:t>The number of voting rights relating to an exclusively cash-settled financial instrument without a linear, symmetric pay-off profile with the underlying share shall be calculated on a delta-adjusted basis, using a generally accepted standard pricing model</w:t>
            </w:r>
            <w:r>
              <w:rPr>
                <w:rFonts w:ascii="Times New Roman" w:eastAsia="Times New Roman" w:hAnsi="Times New Roman"/>
                <w:sz w:val="20"/>
                <w:szCs w:val="20"/>
              </w:rPr>
              <w:t>.</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2040BB" w14:textId="60726969"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5FF6CA" w14:textId="77777777" w:rsidR="00131E77" w:rsidRPr="00502ABC" w:rsidRDefault="00131E77" w:rsidP="00131E77">
            <w:pPr>
              <w:rPr>
                <w:rFonts w:ascii="Times New Roman" w:hAnsi="Times New Roman"/>
                <w:sz w:val="20"/>
                <w:szCs w:val="20"/>
              </w:rPr>
            </w:pPr>
          </w:p>
        </w:tc>
      </w:tr>
      <w:tr w:rsidR="00131E77" w14:paraId="2DEAAA7E"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3FF89" w14:textId="77777777" w:rsidR="00131E77" w:rsidRPr="003B6F80" w:rsidRDefault="00131E77" w:rsidP="00131E77">
            <w:pPr>
              <w:spacing w:after="120" w:line="240" w:lineRule="auto"/>
              <w:jc w:val="center"/>
              <w:rPr>
                <w:rFonts w:ascii="Times New Roman" w:hAnsi="Times New Roman"/>
                <w:b/>
                <w:bCs/>
                <w:sz w:val="20"/>
                <w:szCs w:val="20"/>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CAC044" w14:textId="5464D1C8"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3.   A generally accepted standard pricing model shall be a model that is generally used in the finance industry for that financial instrument and that is sufficiently robust to </w:t>
            </w:r>
            <w:proofErr w:type="gramStart"/>
            <w:r w:rsidRPr="00353073">
              <w:rPr>
                <w:rFonts w:ascii="Times New Roman" w:eastAsia="Times New Roman" w:hAnsi="Times New Roman"/>
                <w:sz w:val="20"/>
                <w:szCs w:val="20"/>
              </w:rPr>
              <w:t>take into account</w:t>
            </w:r>
            <w:proofErr w:type="gramEnd"/>
            <w:r w:rsidRPr="00353073">
              <w:rPr>
                <w:rFonts w:ascii="Times New Roman" w:eastAsia="Times New Roman" w:hAnsi="Times New Roman"/>
                <w:sz w:val="20"/>
                <w:szCs w:val="20"/>
              </w:rPr>
              <w:t xml:space="preserve"> the elements that are relevant to the valuation of the instrument. The elements that are relevant to the valuation shall include at least </w:t>
            </w:r>
            <w:proofErr w:type="gramStart"/>
            <w:r w:rsidRPr="00353073">
              <w:rPr>
                <w:rFonts w:ascii="Times New Roman" w:eastAsia="Times New Roman" w:hAnsi="Times New Roman"/>
                <w:sz w:val="20"/>
                <w:szCs w:val="20"/>
              </w:rPr>
              <w:t>all of</w:t>
            </w:r>
            <w:proofErr w:type="gramEnd"/>
            <w:r w:rsidRPr="00353073">
              <w:rPr>
                <w:rFonts w:ascii="Times New Roman" w:eastAsia="Times New Roman" w:hAnsi="Times New Roman"/>
                <w:sz w:val="20"/>
                <w:szCs w:val="20"/>
              </w:rPr>
              <w:t xml:space="preserve"> the following:</w:t>
            </w:r>
          </w:p>
          <w:p w14:paraId="3DE18CB3" w14:textId="2138A24B"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(a)interest </w:t>
            </w:r>
            <w:proofErr w:type="gramStart"/>
            <w:r w:rsidRPr="00353073">
              <w:rPr>
                <w:rFonts w:ascii="Times New Roman" w:eastAsia="Times New Roman" w:hAnsi="Times New Roman"/>
                <w:sz w:val="20"/>
                <w:szCs w:val="20"/>
              </w:rPr>
              <w:t>rate;</w:t>
            </w:r>
            <w:proofErr w:type="gramEnd"/>
          </w:p>
          <w:p w14:paraId="3F048B2A" w14:textId="0FADF5AF"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(b)dividend </w:t>
            </w:r>
            <w:proofErr w:type="gramStart"/>
            <w:r w:rsidRPr="00353073">
              <w:rPr>
                <w:rFonts w:ascii="Times New Roman" w:eastAsia="Times New Roman" w:hAnsi="Times New Roman"/>
                <w:sz w:val="20"/>
                <w:szCs w:val="20"/>
              </w:rPr>
              <w:t>payments;</w:t>
            </w:r>
            <w:proofErr w:type="gramEnd"/>
          </w:p>
          <w:p w14:paraId="7B5C740C" w14:textId="5A380F95"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(c)</w:t>
            </w:r>
            <w:r>
              <w:rPr>
                <w:rFonts w:ascii="Times New Roman" w:eastAsia="Times New Roman" w:hAnsi="Times New Roman"/>
                <w:sz w:val="20"/>
                <w:szCs w:val="20"/>
              </w:rPr>
              <w:t xml:space="preserve"> </w:t>
            </w:r>
            <w:r w:rsidRPr="00353073">
              <w:rPr>
                <w:rFonts w:ascii="Times New Roman" w:eastAsia="Times New Roman" w:hAnsi="Times New Roman"/>
                <w:sz w:val="20"/>
                <w:szCs w:val="20"/>
              </w:rPr>
              <w:t xml:space="preserve">time to </w:t>
            </w:r>
            <w:proofErr w:type="gramStart"/>
            <w:r w:rsidRPr="00353073">
              <w:rPr>
                <w:rFonts w:ascii="Times New Roman" w:eastAsia="Times New Roman" w:hAnsi="Times New Roman"/>
                <w:sz w:val="20"/>
                <w:szCs w:val="20"/>
              </w:rPr>
              <w:t>maturity;</w:t>
            </w:r>
            <w:proofErr w:type="gramEnd"/>
          </w:p>
          <w:p w14:paraId="7BC208B3" w14:textId="3396FC66"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(d</w:t>
            </w:r>
            <w:r>
              <w:rPr>
                <w:rFonts w:ascii="Times New Roman" w:eastAsia="Times New Roman" w:hAnsi="Times New Roman"/>
                <w:sz w:val="20"/>
                <w:szCs w:val="20"/>
              </w:rPr>
              <w:t xml:space="preserve">) </w:t>
            </w:r>
            <w:proofErr w:type="gramStart"/>
            <w:r w:rsidRPr="00353073">
              <w:rPr>
                <w:rFonts w:ascii="Times New Roman" w:eastAsia="Times New Roman" w:hAnsi="Times New Roman"/>
                <w:sz w:val="20"/>
                <w:szCs w:val="20"/>
              </w:rPr>
              <w:t>volatility;</w:t>
            </w:r>
            <w:proofErr w:type="gramEnd"/>
          </w:p>
          <w:p w14:paraId="28CEFC5E" w14:textId="485A47FC" w:rsidR="00131E77" w:rsidRPr="000119A8"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(e)</w:t>
            </w:r>
            <w:r>
              <w:rPr>
                <w:rFonts w:ascii="Times New Roman" w:eastAsia="Times New Roman" w:hAnsi="Times New Roman"/>
                <w:sz w:val="20"/>
                <w:szCs w:val="20"/>
              </w:rPr>
              <w:t xml:space="preserve"> </w:t>
            </w:r>
            <w:r w:rsidRPr="00353073">
              <w:rPr>
                <w:rFonts w:ascii="Times New Roman" w:eastAsia="Times New Roman" w:hAnsi="Times New Roman"/>
                <w:sz w:val="20"/>
                <w:szCs w:val="20"/>
              </w:rPr>
              <w:t>price of underlying share.</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B47492" w14:textId="29306592"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8D762" w14:textId="048CE41E"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rPr>
              <w:t>Article 20, point 3, paragraph 3</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6ACB3C" w14:textId="3716A0D3"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A generally accepted standard pricing model shall be a model that is generally used in the finance industry for that financial instrument and that is sufficiently robust to </w:t>
            </w:r>
            <w:proofErr w:type="gramStart"/>
            <w:r w:rsidRPr="00353073">
              <w:rPr>
                <w:rFonts w:ascii="Times New Roman" w:eastAsia="Times New Roman" w:hAnsi="Times New Roman"/>
                <w:sz w:val="20"/>
                <w:szCs w:val="20"/>
              </w:rPr>
              <w:t>take into account</w:t>
            </w:r>
            <w:proofErr w:type="gramEnd"/>
            <w:r w:rsidRPr="00353073">
              <w:rPr>
                <w:rFonts w:ascii="Times New Roman" w:eastAsia="Times New Roman" w:hAnsi="Times New Roman"/>
                <w:sz w:val="20"/>
                <w:szCs w:val="20"/>
              </w:rPr>
              <w:t xml:space="preserve"> the elements that are relevant to the valuation of the instrument. The elements that are relevant to the valuation shall include at least the following:</w:t>
            </w:r>
          </w:p>
          <w:p w14:paraId="0A038ACD" w14:textId="77777777"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(a)interest </w:t>
            </w:r>
            <w:proofErr w:type="gramStart"/>
            <w:r w:rsidRPr="00353073">
              <w:rPr>
                <w:rFonts w:ascii="Times New Roman" w:eastAsia="Times New Roman" w:hAnsi="Times New Roman"/>
                <w:sz w:val="20"/>
                <w:szCs w:val="20"/>
              </w:rPr>
              <w:t>rate;</w:t>
            </w:r>
            <w:proofErr w:type="gramEnd"/>
          </w:p>
          <w:p w14:paraId="44F09152" w14:textId="77777777"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 xml:space="preserve">(b)dividend </w:t>
            </w:r>
            <w:proofErr w:type="gramStart"/>
            <w:r w:rsidRPr="00353073">
              <w:rPr>
                <w:rFonts w:ascii="Times New Roman" w:eastAsia="Times New Roman" w:hAnsi="Times New Roman"/>
                <w:sz w:val="20"/>
                <w:szCs w:val="20"/>
              </w:rPr>
              <w:t>payments;</w:t>
            </w:r>
            <w:proofErr w:type="gramEnd"/>
          </w:p>
          <w:p w14:paraId="5C03CF21" w14:textId="77777777"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(c)</w:t>
            </w:r>
            <w:r>
              <w:rPr>
                <w:rFonts w:ascii="Times New Roman" w:eastAsia="Times New Roman" w:hAnsi="Times New Roman"/>
                <w:sz w:val="20"/>
                <w:szCs w:val="20"/>
              </w:rPr>
              <w:t xml:space="preserve"> </w:t>
            </w:r>
            <w:r w:rsidRPr="00353073">
              <w:rPr>
                <w:rFonts w:ascii="Times New Roman" w:eastAsia="Times New Roman" w:hAnsi="Times New Roman"/>
                <w:sz w:val="20"/>
                <w:szCs w:val="20"/>
              </w:rPr>
              <w:t xml:space="preserve">time to </w:t>
            </w:r>
            <w:proofErr w:type="gramStart"/>
            <w:r w:rsidRPr="00353073">
              <w:rPr>
                <w:rFonts w:ascii="Times New Roman" w:eastAsia="Times New Roman" w:hAnsi="Times New Roman"/>
                <w:sz w:val="20"/>
                <w:szCs w:val="20"/>
              </w:rPr>
              <w:t>maturity;</w:t>
            </w:r>
            <w:proofErr w:type="gramEnd"/>
          </w:p>
          <w:p w14:paraId="192E04C0" w14:textId="77777777" w:rsidR="00131E77" w:rsidRPr="00353073" w:rsidRDefault="00131E77" w:rsidP="00131E77">
            <w:pPr>
              <w:spacing w:after="120" w:line="240" w:lineRule="auto"/>
              <w:jc w:val="both"/>
              <w:rPr>
                <w:rFonts w:ascii="Times New Roman" w:eastAsia="Times New Roman" w:hAnsi="Times New Roman"/>
                <w:sz w:val="20"/>
                <w:szCs w:val="20"/>
              </w:rPr>
            </w:pPr>
            <w:r w:rsidRPr="00353073">
              <w:rPr>
                <w:rFonts w:ascii="Times New Roman" w:eastAsia="Times New Roman" w:hAnsi="Times New Roman"/>
                <w:sz w:val="20"/>
                <w:szCs w:val="20"/>
              </w:rPr>
              <w:t>(d</w:t>
            </w:r>
            <w:r>
              <w:rPr>
                <w:rFonts w:ascii="Times New Roman" w:eastAsia="Times New Roman" w:hAnsi="Times New Roman"/>
                <w:sz w:val="20"/>
                <w:szCs w:val="20"/>
              </w:rPr>
              <w:t xml:space="preserve">) </w:t>
            </w:r>
            <w:proofErr w:type="gramStart"/>
            <w:r w:rsidRPr="00353073">
              <w:rPr>
                <w:rFonts w:ascii="Times New Roman" w:eastAsia="Times New Roman" w:hAnsi="Times New Roman"/>
                <w:sz w:val="20"/>
                <w:szCs w:val="20"/>
              </w:rPr>
              <w:t>volatility;</w:t>
            </w:r>
            <w:proofErr w:type="gramEnd"/>
          </w:p>
          <w:p w14:paraId="0F9BBC59" w14:textId="1578F279" w:rsidR="00131E77" w:rsidRPr="00502ABC" w:rsidRDefault="00131E77" w:rsidP="00131E77">
            <w:pPr>
              <w:pStyle w:val="NoSpacing"/>
              <w:rPr>
                <w:rFonts w:ascii="Times New Roman" w:hAnsi="Times New Roman"/>
                <w:sz w:val="20"/>
                <w:szCs w:val="20"/>
              </w:rPr>
            </w:pPr>
            <w:r w:rsidRPr="00353073">
              <w:rPr>
                <w:rFonts w:ascii="Times New Roman" w:eastAsia="Times New Roman" w:hAnsi="Times New Roman"/>
                <w:sz w:val="20"/>
                <w:szCs w:val="20"/>
              </w:rPr>
              <w:t>(e)</w:t>
            </w:r>
            <w:r>
              <w:rPr>
                <w:rFonts w:ascii="Times New Roman" w:eastAsia="Times New Roman" w:hAnsi="Times New Roman"/>
                <w:sz w:val="20"/>
                <w:szCs w:val="20"/>
              </w:rPr>
              <w:t xml:space="preserve"> </w:t>
            </w:r>
            <w:r w:rsidRPr="00353073">
              <w:rPr>
                <w:rFonts w:ascii="Times New Roman" w:eastAsia="Times New Roman" w:hAnsi="Times New Roman"/>
                <w:sz w:val="20"/>
                <w:szCs w:val="20"/>
              </w:rPr>
              <w:t>price of underlying share.</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954B77" w14:textId="2042BBCF"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7D09B8" w14:textId="77777777" w:rsidR="00131E77" w:rsidRPr="00502ABC" w:rsidRDefault="00131E77" w:rsidP="00131E77">
            <w:pPr>
              <w:rPr>
                <w:rFonts w:ascii="Times New Roman" w:hAnsi="Times New Roman"/>
                <w:sz w:val="20"/>
                <w:szCs w:val="20"/>
              </w:rPr>
            </w:pPr>
          </w:p>
        </w:tc>
      </w:tr>
      <w:tr w:rsidR="00131E77" w14:paraId="25B50541"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F9EB1E" w14:textId="77777777" w:rsidR="00131E77" w:rsidRPr="003B6F80" w:rsidRDefault="00131E77" w:rsidP="00131E77">
            <w:pPr>
              <w:spacing w:after="120" w:line="240" w:lineRule="auto"/>
              <w:jc w:val="center"/>
              <w:rPr>
                <w:rFonts w:ascii="Times New Roman" w:hAnsi="Times New Roman"/>
                <w:b/>
                <w:bCs/>
                <w:sz w:val="20"/>
                <w:szCs w:val="20"/>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A327B92" w14:textId="64A29254" w:rsidR="00131E77" w:rsidRPr="00B437AA"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 xml:space="preserve">4.   When determining </w:t>
            </w:r>
            <w:proofErr w:type="gramStart"/>
            <w:r w:rsidRPr="00B437AA">
              <w:rPr>
                <w:rFonts w:ascii="Times New Roman" w:eastAsia="Times New Roman" w:hAnsi="Times New Roman"/>
                <w:sz w:val="20"/>
                <w:szCs w:val="20"/>
              </w:rPr>
              <w:t>delta</w:t>
            </w:r>
            <w:proofErr w:type="gramEnd"/>
            <w:r w:rsidRPr="00B437AA">
              <w:rPr>
                <w:rFonts w:ascii="Times New Roman" w:eastAsia="Times New Roman" w:hAnsi="Times New Roman"/>
                <w:sz w:val="20"/>
                <w:szCs w:val="20"/>
              </w:rPr>
              <w:t xml:space="preserve"> the holder of the financial instrument shall ensure </w:t>
            </w:r>
            <w:proofErr w:type="gramStart"/>
            <w:r w:rsidRPr="00B437AA">
              <w:rPr>
                <w:rFonts w:ascii="Times New Roman" w:eastAsia="Times New Roman" w:hAnsi="Times New Roman"/>
                <w:sz w:val="20"/>
                <w:szCs w:val="20"/>
              </w:rPr>
              <w:t>all of</w:t>
            </w:r>
            <w:proofErr w:type="gramEnd"/>
            <w:r w:rsidRPr="00B437AA">
              <w:rPr>
                <w:rFonts w:ascii="Times New Roman" w:eastAsia="Times New Roman" w:hAnsi="Times New Roman"/>
                <w:sz w:val="20"/>
                <w:szCs w:val="20"/>
              </w:rPr>
              <w:t xml:space="preserve"> the following:</w:t>
            </w:r>
          </w:p>
          <w:p w14:paraId="50CB8B60" w14:textId="121F16CC" w:rsidR="00131E77" w:rsidRPr="00B437AA"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(a)</w:t>
            </w:r>
            <w:r>
              <w:rPr>
                <w:rFonts w:ascii="Times New Roman" w:eastAsia="Times New Roman" w:hAnsi="Times New Roman"/>
                <w:sz w:val="20"/>
                <w:szCs w:val="20"/>
              </w:rPr>
              <w:t xml:space="preserve"> </w:t>
            </w:r>
            <w:r w:rsidRPr="00B437AA">
              <w:rPr>
                <w:rFonts w:ascii="Times New Roman" w:eastAsia="Times New Roman" w:hAnsi="Times New Roman"/>
                <w:sz w:val="20"/>
                <w:szCs w:val="20"/>
              </w:rPr>
              <w:t xml:space="preserve">that the model used covers the complexity and risk of each financial </w:t>
            </w:r>
            <w:proofErr w:type="gramStart"/>
            <w:r w:rsidRPr="00B437AA">
              <w:rPr>
                <w:rFonts w:ascii="Times New Roman" w:eastAsia="Times New Roman" w:hAnsi="Times New Roman"/>
                <w:sz w:val="20"/>
                <w:szCs w:val="20"/>
              </w:rPr>
              <w:t>instrument;</w:t>
            </w:r>
            <w:proofErr w:type="gramEnd"/>
          </w:p>
          <w:p w14:paraId="0ABDA130" w14:textId="589B3B68" w:rsidR="00131E77" w:rsidRPr="00353073"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(b)</w:t>
            </w:r>
            <w:r>
              <w:rPr>
                <w:rFonts w:ascii="Times New Roman" w:eastAsia="Times New Roman" w:hAnsi="Times New Roman"/>
                <w:sz w:val="20"/>
                <w:szCs w:val="20"/>
              </w:rPr>
              <w:t xml:space="preserve"> </w:t>
            </w:r>
            <w:r w:rsidRPr="00B437AA">
              <w:rPr>
                <w:rFonts w:ascii="Times New Roman" w:eastAsia="Times New Roman" w:hAnsi="Times New Roman"/>
                <w:sz w:val="20"/>
                <w:szCs w:val="20"/>
              </w:rPr>
              <w:t>that the same model is used in a consistent manner for the calculation of the number of voting rights of a given financial instrument.</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DD6643" w14:textId="40B56B34"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8D82D" w14:textId="20C2C731"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rPr>
              <w:t>Article 20, point 3, paragraph 4</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A55F28" w14:textId="77777777" w:rsidR="00131E77" w:rsidRPr="00B437AA"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 xml:space="preserve">When determining </w:t>
            </w:r>
            <w:proofErr w:type="gramStart"/>
            <w:r w:rsidRPr="00B437AA">
              <w:rPr>
                <w:rFonts w:ascii="Times New Roman" w:eastAsia="Times New Roman" w:hAnsi="Times New Roman"/>
                <w:sz w:val="20"/>
                <w:szCs w:val="20"/>
              </w:rPr>
              <w:t>delta</w:t>
            </w:r>
            <w:proofErr w:type="gramEnd"/>
            <w:r w:rsidRPr="00B437AA">
              <w:rPr>
                <w:rFonts w:ascii="Times New Roman" w:eastAsia="Times New Roman" w:hAnsi="Times New Roman"/>
                <w:sz w:val="20"/>
                <w:szCs w:val="20"/>
              </w:rPr>
              <w:t xml:space="preserve"> the holder of the financial instrument shall ensure </w:t>
            </w:r>
            <w:proofErr w:type="gramStart"/>
            <w:r w:rsidRPr="00B437AA">
              <w:rPr>
                <w:rFonts w:ascii="Times New Roman" w:eastAsia="Times New Roman" w:hAnsi="Times New Roman"/>
                <w:sz w:val="20"/>
                <w:szCs w:val="20"/>
              </w:rPr>
              <w:t>all of</w:t>
            </w:r>
            <w:proofErr w:type="gramEnd"/>
            <w:r w:rsidRPr="00B437AA">
              <w:rPr>
                <w:rFonts w:ascii="Times New Roman" w:eastAsia="Times New Roman" w:hAnsi="Times New Roman"/>
                <w:sz w:val="20"/>
                <w:szCs w:val="20"/>
              </w:rPr>
              <w:t xml:space="preserve"> the following:</w:t>
            </w:r>
          </w:p>
          <w:p w14:paraId="4F407538" w14:textId="77777777" w:rsidR="00131E77" w:rsidRPr="00B437AA"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(a)</w:t>
            </w:r>
            <w:r>
              <w:rPr>
                <w:rFonts w:ascii="Times New Roman" w:eastAsia="Times New Roman" w:hAnsi="Times New Roman"/>
                <w:sz w:val="20"/>
                <w:szCs w:val="20"/>
              </w:rPr>
              <w:t xml:space="preserve"> </w:t>
            </w:r>
            <w:r w:rsidRPr="00B437AA">
              <w:rPr>
                <w:rFonts w:ascii="Times New Roman" w:eastAsia="Times New Roman" w:hAnsi="Times New Roman"/>
                <w:sz w:val="20"/>
                <w:szCs w:val="20"/>
              </w:rPr>
              <w:t xml:space="preserve">that the model used covers the complexity and risk of each financial </w:t>
            </w:r>
            <w:proofErr w:type="gramStart"/>
            <w:r w:rsidRPr="00B437AA">
              <w:rPr>
                <w:rFonts w:ascii="Times New Roman" w:eastAsia="Times New Roman" w:hAnsi="Times New Roman"/>
                <w:sz w:val="20"/>
                <w:szCs w:val="20"/>
              </w:rPr>
              <w:t>instrument;</w:t>
            </w:r>
            <w:proofErr w:type="gramEnd"/>
          </w:p>
          <w:p w14:paraId="2F7A2D43" w14:textId="76DDD090" w:rsidR="00131E77" w:rsidRPr="00502ABC" w:rsidRDefault="00131E77" w:rsidP="00131E77">
            <w:pPr>
              <w:pStyle w:val="NoSpacing"/>
              <w:rPr>
                <w:rFonts w:ascii="Times New Roman" w:hAnsi="Times New Roman"/>
                <w:sz w:val="20"/>
                <w:szCs w:val="20"/>
              </w:rPr>
            </w:pPr>
            <w:r w:rsidRPr="00B437AA">
              <w:rPr>
                <w:rFonts w:ascii="Times New Roman" w:eastAsia="Times New Roman" w:hAnsi="Times New Roman"/>
                <w:sz w:val="20"/>
                <w:szCs w:val="20"/>
              </w:rPr>
              <w:t>(b)</w:t>
            </w:r>
            <w:r>
              <w:rPr>
                <w:rFonts w:ascii="Times New Roman" w:eastAsia="Times New Roman" w:hAnsi="Times New Roman"/>
                <w:sz w:val="20"/>
                <w:szCs w:val="20"/>
              </w:rPr>
              <w:t xml:space="preserve"> </w:t>
            </w:r>
            <w:r w:rsidRPr="00B437AA">
              <w:rPr>
                <w:rFonts w:ascii="Times New Roman" w:eastAsia="Times New Roman" w:hAnsi="Times New Roman"/>
                <w:sz w:val="20"/>
                <w:szCs w:val="20"/>
              </w:rPr>
              <w:t>that the same model is used in a consistent manner for the calculation of the number of voting rights of a given financial instrument.</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272101" w14:textId="3B2BC5CC"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2A1002" w14:textId="77777777" w:rsidR="00131E77" w:rsidRPr="00502ABC" w:rsidRDefault="00131E77" w:rsidP="00131E77">
            <w:pPr>
              <w:rPr>
                <w:rFonts w:ascii="Times New Roman" w:hAnsi="Times New Roman"/>
                <w:sz w:val="20"/>
                <w:szCs w:val="20"/>
              </w:rPr>
            </w:pPr>
          </w:p>
        </w:tc>
      </w:tr>
      <w:tr w:rsidR="00131E77" w14:paraId="29B67A1B"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128660" w14:textId="77777777" w:rsidR="00131E77" w:rsidRPr="003B6F80" w:rsidRDefault="00131E77" w:rsidP="00131E77">
            <w:pPr>
              <w:spacing w:after="120" w:line="240" w:lineRule="auto"/>
              <w:jc w:val="center"/>
              <w:rPr>
                <w:rFonts w:ascii="Times New Roman" w:hAnsi="Times New Roman"/>
                <w:b/>
                <w:bCs/>
                <w:sz w:val="20"/>
                <w:szCs w:val="20"/>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B9D656" w14:textId="0F8D9E46" w:rsidR="00131E77" w:rsidRPr="00B437AA" w:rsidRDefault="00131E77" w:rsidP="00131E77">
            <w:pPr>
              <w:spacing w:after="120" w:line="240" w:lineRule="auto"/>
              <w:jc w:val="both"/>
              <w:rPr>
                <w:rFonts w:ascii="Times New Roman" w:eastAsia="Times New Roman" w:hAnsi="Times New Roman"/>
                <w:sz w:val="20"/>
                <w:szCs w:val="20"/>
              </w:rPr>
            </w:pPr>
            <w:r w:rsidRPr="00B437AA">
              <w:rPr>
                <w:rFonts w:ascii="Times New Roman" w:eastAsia="Times New Roman" w:hAnsi="Times New Roman"/>
                <w:sz w:val="20"/>
                <w:szCs w:val="20"/>
              </w:rPr>
              <w:t>5.   Information technology systems used to carry out the calculation of delta shall ensure consistent, accurate and timely reporting of voting rights.</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606355" w14:textId="0ADE8994"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CF6F4C" w14:textId="5DDEADE9"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lang w:val="sq-AL"/>
              </w:rPr>
              <w:t>Article 20, point 3, paragraph 5</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ED9205" w14:textId="3DA1993C" w:rsidR="00131E77" w:rsidRPr="00502ABC" w:rsidRDefault="00131E77" w:rsidP="00131E77">
            <w:pPr>
              <w:pStyle w:val="NoSpacing"/>
              <w:rPr>
                <w:rFonts w:ascii="Times New Roman" w:hAnsi="Times New Roman"/>
                <w:sz w:val="20"/>
                <w:szCs w:val="20"/>
              </w:rPr>
            </w:pPr>
            <w:r w:rsidRPr="00B437AA">
              <w:rPr>
                <w:rFonts w:ascii="Times New Roman" w:eastAsia="Times New Roman" w:hAnsi="Times New Roman"/>
                <w:sz w:val="20"/>
                <w:szCs w:val="20"/>
              </w:rPr>
              <w:t>Information technology systems used to carry out the calculation of delta shall ensure consistent, accurate and timely reporting of voting rights.</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07BABC" w14:textId="194FF588"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A938DE0" w14:textId="77777777" w:rsidR="00131E77" w:rsidRPr="00502ABC" w:rsidRDefault="00131E77" w:rsidP="00131E77">
            <w:pPr>
              <w:rPr>
                <w:rFonts w:ascii="Times New Roman" w:hAnsi="Times New Roman"/>
                <w:sz w:val="20"/>
                <w:szCs w:val="20"/>
              </w:rPr>
            </w:pPr>
          </w:p>
        </w:tc>
      </w:tr>
      <w:tr w:rsidR="00131E77" w14:paraId="2EF7D778"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5A3986" w14:textId="77777777" w:rsidR="00131E77" w:rsidRPr="003B6F80" w:rsidRDefault="00131E77" w:rsidP="00131E77">
            <w:pPr>
              <w:spacing w:after="120" w:line="240" w:lineRule="auto"/>
              <w:jc w:val="center"/>
              <w:rPr>
                <w:rFonts w:ascii="Times New Roman" w:hAnsi="Times New Roman"/>
                <w:b/>
                <w:bCs/>
                <w:sz w:val="20"/>
                <w:szCs w:val="20"/>
              </w:rPr>
            </w:pP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25D9788" w14:textId="77C9FAE4" w:rsidR="00131E77" w:rsidRPr="00B437AA" w:rsidRDefault="00131E77" w:rsidP="00131E77">
            <w:pPr>
              <w:spacing w:after="120" w:line="240" w:lineRule="auto"/>
              <w:jc w:val="both"/>
              <w:rPr>
                <w:rFonts w:ascii="Times New Roman" w:eastAsia="Times New Roman" w:hAnsi="Times New Roman"/>
                <w:sz w:val="20"/>
                <w:szCs w:val="20"/>
              </w:rPr>
            </w:pPr>
            <w:r w:rsidRPr="00D35D7B">
              <w:rPr>
                <w:rFonts w:ascii="Times New Roman" w:eastAsia="Times New Roman" w:hAnsi="Times New Roman"/>
                <w:sz w:val="20"/>
                <w:szCs w:val="20"/>
              </w:rPr>
              <w:t xml:space="preserve">6.   The number of voting rights shall be calculated daily, </w:t>
            </w:r>
            <w:proofErr w:type="gramStart"/>
            <w:r w:rsidRPr="00D35D7B">
              <w:rPr>
                <w:rFonts w:ascii="Times New Roman" w:eastAsia="Times New Roman" w:hAnsi="Times New Roman"/>
                <w:sz w:val="20"/>
                <w:szCs w:val="20"/>
              </w:rPr>
              <w:t>taking into account</w:t>
            </w:r>
            <w:proofErr w:type="gramEnd"/>
            <w:r w:rsidRPr="00D35D7B">
              <w:rPr>
                <w:rFonts w:ascii="Times New Roman" w:eastAsia="Times New Roman" w:hAnsi="Times New Roman"/>
                <w:sz w:val="20"/>
                <w:szCs w:val="20"/>
              </w:rPr>
              <w:t xml:space="preserve"> the last closing price of the underlying share. The holder of the financial instrument shall notify the issuer when that holder reaches, exceeds or falls below the thresholds provided for in Article 9(1) of Directive 2004/109/EC.</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8B0BAE" w14:textId="1650A485"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BF2CB" w14:textId="7DE24A01"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rPr>
              <w:t>Article 20, point 3, paragraph 6</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AE34C1" w14:textId="147EAA67" w:rsidR="00131E77" w:rsidRPr="00502ABC" w:rsidRDefault="00131E77" w:rsidP="00131E77">
            <w:pPr>
              <w:pStyle w:val="NoSpacing"/>
              <w:rPr>
                <w:rFonts w:ascii="Times New Roman" w:hAnsi="Times New Roman"/>
                <w:sz w:val="20"/>
                <w:szCs w:val="20"/>
              </w:rPr>
            </w:pPr>
            <w:r w:rsidRPr="00D35D7B">
              <w:rPr>
                <w:rFonts w:ascii="Times New Roman" w:eastAsia="Times New Roman" w:hAnsi="Times New Roman"/>
                <w:sz w:val="20"/>
                <w:szCs w:val="20"/>
              </w:rPr>
              <w:t xml:space="preserve">The number of voting rights shall be calculated daily, </w:t>
            </w:r>
            <w:proofErr w:type="gramStart"/>
            <w:r w:rsidRPr="00D35D7B">
              <w:rPr>
                <w:rFonts w:ascii="Times New Roman" w:eastAsia="Times New Roman" w:hAnsi="Times New Roman"/>
                <w:sz w:val="20"/>
                <w:szCs w:val="20"/>
              </w:rPr>
              <w:t>taking into account</w:t>
            </w:r>
            <w:proofErr w:type="gramEnd"/>
            <w:r w:rsidRPr="00D35D7B">
              <w:rPr>
                <w:rFonts w:ascii="Times New Roman" w:eastAsia="Times New Roman" w:hAnsi="Times New Roman"/>
                <w:sz w:val="20"/>
                <w:szCs w:val="20"/>
              </w:rPr>
              <w:t xml:space="preserve"> the last closing price of the underlying share. The holder of the financial instrument shall notify the issuer when that holder reaches, exceeds or falls below the thresholds provided</w:t>
            </w:r>
            <w:r>
              <w:rPr>
                <w:rFonts w:ascii="Times New Roman" w:eastAsia="Times New Roman" w:hAnsi="Times New Roman"/>
                <w:sz w:val="20"/>
                <w:szCs w:val="20"/>
              </w:rPr>
              <w:t xml:space="preserve"> under article 12 point 1 of this law. </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2AB63D" w14:textId="77777777" w:rsidR="00131E77" w:rsidRPr="00502ABC" w:rsidRDefault="00131E77" w:rsidP="00131E77">
            <w:pPr>
              <w:spacing w:after="120" w:line="240" w:lineRule="auto"/>
              <w:jc w:val="center"/>
              <w:rPr>
                <w:rFonts w:ascii="Times New Roman" w:hAnsi="Times New Roman"/>
                <w:b/>
                <w:bCs/>
                <w:sz w:val="20"/>
                <w:szCs w:val="20"/>
              </w:rPr>
            </w:pP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9E322D" w14:textId="77777777" w:rsidR="00131E77" w:rsidRPr="00502ABC" w:rsidRDefault="00131E77" w:rsidP="00131E77">
            <w:pPr>
              <w:rPr>
                <w:rFonts w:ascii="Times New Roman" w:hAnsi="Times New Roman"/>
                <w:sz w:val="20"/>
                <w:szCs w:val="20"/>
              </w:rPr>
            </w:pPr>
          </w:p>
        </w:tc>
      </w:tr>
      <w:tr w:rsidR="00131E77" w14:paraId="41518FCD"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01FF45" w14:textId="0818451D" w:rsidR="00131E77" w:rsidRPr="00D35D7B" w:rsidRDefault="00131E77" w:rsidP="00131E77">
            <w:pPr>
              <w:spacing w:after="120" w:line="240" w:lineRule="auto"/>
              <w:jc w:val="center"/>
              <w:rPr>
                <w:rFonts w:ascii="Times New Roman" w:hAnsi="Times New Roman"/>
                <w:b/>
                <w:bCs/>
                <w:sz w:val="20"/>
                <w:szCs w:val="20"/>
              </w:rPr>
            </w:pPr>
            <w:r w:rsidRPr="00D35D7B">
              <w:rPr>
                <w:rFonts w:ascii="Times New Roman" w:hAnsi="Times New Roman"/>
                <w:b/>
                <w:bCs/>
                <w:sz w:val="20"/>
                <w:szCs w:val="20"/>
              </w:rPr>
              <w:t>Article 6</w:t>
            </w:r>
          </w:p>
          <w:p w14:paraId="1ADE5D65" w14:textId="2DAAE477" w:rsidR="00131E77" w:rsidRPr="003B6F80" w:rsidRDefault="00131E77" w:rsidP="00131E77">
            <w:pPr>
              <w:spacing w:after="120" w:line="240" w:lineRule="auto"/>
              <w:jc w:val="center"/>
              <w:rPr>
                <w:rFonts w:ascii="Times New Roman" w:hAnsi="Times New Roman"/>
                <w:b/>
                <w:bCs/>
                <w:sz w:val="20"/>
                <w:szCs w:val="20"/>
              </w:rPr>
            </w:pPr>
            <w:r w:rsidRPr="00D35D7B">
              <w:rPr>
                <w:rFonts w:ascii="Times New Roman" w:hAnsi="Times New Roman"/>
                <w:b/>
                <w:bCs/>
                <w:sz w:val="20"/>
                <w:szCs w:val="20"/>
              </w:rPr>
              <w:t>Client-serving transactions</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B1A529" w14:textId="37577457" w:rsidR="00131E77" w:rsidRPr="00D35D7B" w:rsidRDefault="00131E77" w:rsidP="00131E77">
            <w:pPr>
              <w:spacing w:after="120" w:line="240" w:lineRule="auto"/>
              <w:jc w:val="both"/>
              <w:rPr>
                <w:rFonts w:ascii="Times New Roman" w:eastAsia="Times New Roman" w:hAnsi="Times New Roman"/>
                <w:sz w:val="20"/>
                <w:szCs w:val="20"/>
              </w:rPr>
            </w:pPr>
            <w:r w:rsidRPr="00D35D7B">
              <w:rPr>
                <w:rFonts w:ascii="Times New Roman" w:eastAsia="Times New Roman" w:hAnsi="Times New Roman"/>
                <w:sz w:val="20"/>
                <w:szCs w:val="20"/>
              </w:rPr>
              <w:t>The exemption referred to in Article 9(6) of Directive 2004/109/EC shall apply to financial instruments held by a natural person or legal entity fulfilling orders received from clients, responding to a client's request to trade otherwise than on a proprietary basis, or hedging positions arising out of such dealings.</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19FBF3" w14:textId="2EC44D2C"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E35BE4" w14:textId="18079694" w:rsidR="00131E77" w:rsidRPr="00502ABC" w:rsidRDefault="00131E77" w:rsidP="00131E77">
            <w:pPr>
              <w:spacing w:after="120" w:line="240" w:lineRule="auto"/>
              <w:rPr>
                <w:rFonts w:ascii="Times New Roman" w:hAnsi="Times New Roman"/>
                <w:sz w:val="20"/>
                <w:szCs w:val="20"/>
              </w:rPr>
            </w:pPr>
            <w:r>
              <w:rPr>
                <w:rFonts w:ascii="Times New Roman" w:hAnsi="Times New Roman"/>
                <w:sz w:val="20"/>
                <w:szCs w:val="20"/>
                <w:lang w:val="sq-AL"/>
              </w:rPr>
              <w:t>Article 12, point 6 paragraph 2</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48FFAA" w14:textId="5B82D5E3" w:rsidR="00131E77" w:rsidRPr="00502ABC" w:rsidRDefault="00131E77" w:rsidP="00131E77">
            <w:pPr>
              <w:pStyle w:val="NoSpacing"/>
              <w:rPr>
                <w:rFonts w:ascii="Times New Roman" w:hAnsi="Times New Roman"/>
                <w:sz w:val="20"/>
                <w:szCs w:val="20"/>
              </w:rPr>
            </w:pPr>
            <w:r w:rsidRPr="006A172A">
              <w:rPr>
                <w:rFonts w:ascii="Times New Roman" w:hAnsi="Times New Roman"/>
                <w:sz w:val="20"/>
                <w:szCs w:val="20"/>
              </w:rPr>
              <w:t>The exemption referred to in this paragraph shall apply to financial instruments held by a natural or legal person who executes orders received from clients, responds to a client’s request to trade otherwise than on a proprietary basis, or hedges positions arising from such transactions.</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4DB53" w14:textId="67F947E5" w:rsidR="00131E77" w:rsidRPr="00502ABC" w:rsidRDefault="001E1EE7" w:rsidP="00131E77">
            <w:pPr>
              <w:spacing w:after="120" w:line="240" w:lineRule="auto"/>
              <w:jc w:val="center"/>
              <w:rPr>
                <w:rFonts w:ascii="Times New Roman" w:hAnsi="Times New Roman"/>
                <w:b/>
                <w:bCs/>
                <w:sz w:val="20"/>
                <w:szCs w:val="20"/>
              </w:rPr>
            </w:pPr>
            <w:r>
              <w:rPr>
                <w:rFonts w:ascii="Times New Roman" w:hAnsi="Times New Roman"/>
                <w:b/>
                <w:bCs/>
                <w:sz w:val="20"/>
                <w:szCs w:val="20"/>
              </w:rPr>
              <w:t>F</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DECC55" w14:textId="77777777" w:rsidR="00131E77" w:rsidRPr="00502ABC" w:rsidRDefault="00131E77" w:rsidP="00131E77">
            <w:pPr>
              <w:rPr>
                <w:rFonts w:ascii="Times New Roman" w:hAnsi="Times New Roman"/>
                <w:sz w:val="20"/>
                <w:szCs w:val="20"/>
              </w:rPr>
            </w:pPr>
          </w:p>
        </w:tc>
      </w:tr>
      <w:tr w:rsidR="00131E77" w14:paraId="77888701" w14:textId="77777777" w:rsidTr="00B577B7">
        <w:trPr>
          <w:cantSplit/>
          <w:trHeight w:val="900"/>
        </w:trPr>
        <w:tc>
          <w:tcPr>
            <w:tcW w:w="541"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9735635" w14:textId="1BD41B7E" w:rsidR="00131E77" w:rsidRPr="00CC2C9D" w:rsidRDefault="00131E77" w:rsidP="00131E77">
            <w:pPr>
              <w:spacing w:after="120" w:line="240" w:lineRule="auto"/>
              <w:jc w:val="center"/>
              <w:rPr>
                <w:rFonts w:ascii="Times New Roman" w:hAnsi="Times New Roman"/>
                <w:b/>
                <w:bCs/>
                <w:sz w:val="20"/>
                <w:szCs w:val="20"/>
              </w:rPr>
            </w:pPr>
            <w:r w:rsidRPr="00CC2C9D">
              <w:rPr>
                <w:rFonts w:ascii="Times New Roman" w:hAnsi="Times New Roman"/>
                <w:b/>
                <w:bCs/>
                <w:sz w:val="20"/>
                <w:szCs w:val="20"/>
              </w:rPr>
              <w:t>Article 7</w:t>
            </w:r>
          </w:p>
          <w:p w14:paraId="49152C7A" w14:textId="48BEEA72" w:rsidR="00131E77" w:rsidRPr="00D35D7B" w:rsidRDefault="00131E77" w:rsidP="00131E77">
            <w:pPr>
              <w:spacing w:after="120" w:line="240" w:lineRule="auto"/>
              <w:jc w:val="center"/>
              <w:rPr>
                <w:rFonts w:ascii="Times New Roman" w:hAnsi="Times New Roman"/>
                <w:b/>
                <w:bCs/>
                <w:sz w:val="20"/>
                <w:szCs w:val="20"/>
              </w:rPr>
            </w:pPr>
            <w:r w:rsidRPr="00CC2C9D">
              <w:rPr>
                <w:rFonts w:ascii="Times New Roman" w:hAnsi="Times New Roman"/>
                <w:b/>
                <w:bCs/>
                <w:sz w:val="20"/>
                <w:szCs w:val="20"/>
              </w:rPr>
              <w:t>Entry into force and application</w:t>
            </w:r>
          </w:p>
        </w:tc>
        <w:tc>
          <w:tcPr>
            <w:tcW w:w="14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084D0B" w14:textId="022F11B4" w:rsidR="00131E77" w:rsidRPr="00CC2C9D" w:rsidRDefault="00131E77" w:rsidP="00131E77">
            <w:pPr>
              <w:spacing w:after="120" w:line="240" w:lineRule="auto"/>
              <w:jc w:val="both"/>
              <w:rPr>
                <w:rFonts w:ascii="Times New Roman" w:eastAsia="Times New Roman" w:hAnsi="Times New Roman"/>
                <w:sz w:val="20"/>
                <w:szCs w:val="20"/>
              </w:rPr>
            </w:pPr>
            <w:r w:rsidRPr="00CC2C9D">
              <w:rPr>
                <w:rFonts w:ascii="Times New Roman" w:eastAsia="Times New Roman" w:hAnsi="Times New Roman"/>
                <w:sz w:val="20"/>
                <w:szCs w:val="20"/>
              </w:rPr>
              <w:t>This Regulation shall enter into force on the twentieth day following that of its publication in the Official Journal of the European Union.</w:t>
            </w:r>
          </w:p>
          <w:p w14:paraId="4C581C96" w14:textId="2B80A977" w:rsidR="00131E77" w:rsidRPr="00D35D7B" w:rsidRDefault="00131E77" w:rsidP="00131E77">
            <w:pPr>
              <w:spacing w:after="120" w:line="240" w:lineRule="auto"/>
              <w:jc w:val="both"/>
              <w:rPr>
                <w:rFonts w:ascii="Times New Roman" w:eastAsia="Times New Roman" w:hAnsi="Times New Roman"/>
                <w:sz w:val="20"/>
                <w:szCs w:val="20"/>
              </w:rPr>
            </w:pPr>
            <w:r w:rsidRPr="00CC2C9D">
              <w:rPr>
                <w:rFonts w:ascii="Times New Roman" w:eastAsia="Times New Roman" w:hAnsi="Times New Roman"/>
                <w:sz w:val="20"/>
                <w:szCs w:val="20"/>
              </w:rPr>
              <w:t>It shall apply from 26 November 2015.</w:t>
            </w:r>
          </w:p>
        </w:tc>
        <w:tc>
          <w:tcPr>
            <w:tcW w:w="28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4D7F48" w14:textId="3BD15612" w:rsidR="00131E77" w:rsidRPr="00502ABC" w:rsidRDefault="001E1EE7" w:rsidP="00131E77">
            <w:pPr>
              <w:spacing w:after="120" w:line="240" w:lineRule="auto"/>
              <w:jc w:val="center"/>
              <w:rPr>
                <w:rFonts w:ascii="Times New Roman" w:hAnsi="Times New Roman"/>
                <w:sz w:val="20"/>
                <w:szCs w:val="20"/>
              </w:rPr>
            </w:pPr>
            <w:r>
              <w:rPr>
                <w:rFonts w:ascii="Times New Roman" w:hAnsi="Times New Roman"/>
                <w:sz w:val="20"/>
                <w:szCs w:val="20"/>
              </w:rPr>
              <w:t>1</w:t>
            </w:r>
          </w:p>
        </w:tc>
        <w:tc>
          <w:tcPr>
            <w:tcW w:w="19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18D05D" w14:textId="74737F2D" w:rsidR="00131E77" w:rsidRPr="00502ABC" w:rsidRDefault="00131E77" w:rsidP="00131E77">
            <w:pPr>
              <w:spacing w:after="120" w:line="240" w:lineRule="auto"/>
              <w:rPr>
                <w:rFonts w:ascii="Times New Roman" w:hAnsi="Times New Roman"/>
                <w:sz w:val="20"/>
                <w:szCs w:val="20"/>
              </w:rPr>
            </w:pPr>
            <w:r w:rsidRPr="00A5539A">
              <w:rPr>
                <w:rFonts w:ascii="Times New Roman" w:hAnsi="Times New Roman"/>
                <w:sz w:val="20"/>
                <w:szCs w:val="20"/>
                <w:lang w:val="sq-AL"/>
              </w:rPr>
              <w:t>n/a</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FE4625" w14:textId="4416792D" w:rsidR="00131E77" w:rsidRPr="00502ABC" w:rsidRDefault="00131E77" w:rsidP="00131E77">
            <w:pPr>
              <w:pStyle w:val="NoSpacing"/>
              <w:rPr>
                <w:rFonts w:ascii="Times New Roman" w:hAnsi="Times New Roman"/>
                <w:sz w:val="20"/>
                <w:szCs w:val="20"/>
              </w:rPr>
            </w:pPr>
            <w:r>
              <w:rPr>
                <w:rFonts w:ascii="Times New Roman" w:hAnsi="Times New Roman"/>
                <w:sz w:val="20"/>
                <w:szCs w:val="20"/>
              </w:rPr>
              <w:t>n/a</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5C26D" w14:textId="4D8CAFF3" w:rsidR="00131E77" w:rsidRPr="00502ABC" w:rsidRDefault="00131E77" w:rsidP="00131E77">
            <w:pPr>
              <w:spacing w:after="120" w:line="240" w:lineRule="auto"/>
              <w:jc w:val="center"/>
              <w:rPr>
                <w:rFonts w:ascii="Times New Roman" w:hAnsi="Times New Roman"/>
                <w:b/>
                <w:bCs/>
                <w:sz w:val="20"/>
                <w:szCs w:val="20"/>
              </w:rPr>
            </w:pPr>
            <w:r>
              <w:rPr>
                <w:rFonts w:ascii="Times New Roman" w:hAnsi="Times New Roman"/>
                <w:b/>
                <w:bCs/>
                <w:sz w:val="20"/>
                <w:szCs w:val="20"/>
              </w:rPr>
              <w:t>n/a</w:t>
            </w:r>
          </w:p>
        </w:tc>
        <w:tc>
          <w:tcPr>
            <w:tcW w:w="1029"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907FED" w14:textId="42070669" w:rsidR="00131E77" w:rsidRPr="00502ABC" w:rsidRDefault="00131E77" w:rsidP="00131E77">
            <w:pPr>
              <w:rPr>
                <w:rFonts w:ascii="Times New Roman" w:hAnsi="Times New Roman"/>
                <w:sz w:val="20"/>
                <w:szCs w:val="20"/>
              </w:rPr>
            </w:pPr>
            <w:r>
              <w:rPr>
                <w:rFonts w:ascii="Times New Roman" w:hAnsi="Times New Roman"/>
                <w:sz w:val="20"/>
                <w:szCs w:val="20"/>
              </w:rPr>
              <w:t xml:space="preserve">Entry into force as per the general provision of the law. </w:t>
            </w:r>
          </w:p>
        </w:tc>
      </w:tr>
    </w:tbl>
    <w:p w14:paraId="54376A0B" w14:textId="77777777" w:rsidR="00B577B7" w:rsidRDefault="00B577B7">
      <w:pPr>
        <w:spacing w:after="0" w:line="240" w:lineRule="auto"/>
        <w:jc w:val="both"/>
        <w:rPr>
          <w:rFonts w:ascii="Times New Roman" w:hAnsi="Times New Roman"/>
          <w:sz w:val="18"/>
        </w:rPr>
      </w:pPr>
    </w:p>
    <w:p w14:paraId="3787A3F7" w14:textId="77777777" w:rsidR="00B577B7" w:rsidRDefault="00B577B7">
      <w:pPr>
        <w:spacing w:after="0" w:line="240" w:lineRule="auto"/>
        <w:jc w:val="both"/>
        <w:rPr>
          <w:rFonts w:ascii="Times New Roman" w:hAnsi="Times New Roman"/>
          <w:sz w:val="18"/>
        </w:rPr>
      </w:pPr>
    </w:p>
    <w:p w14:paraId="00275C9C" w14:textId="77777777" w:rsidR="00B577B7" w:rsidRDefault="00B577B7">
      <w:pPr>
        <w:spacing w:after="0" w:line="240" w:lineRule="auto"/>
        <w:jc w:val="both"/>
        <w:rPr>
          <w:rFonts w:ascii="Times New Roman" w:hAnsi="Times New Roman"/>
          <w:sz w:val="18"/>
        </w:rPr>
      </w:pPr>
    </w:p>
    <w:p w14:paraId="38DC0E81" w14:textId="77777777" w:rsidR="00BE05A1" w:rsidRDefault="00BE05A1">
      <w:pPr>
        <w:pStyle w:val="FreeForm"/>
        <w:ind w:left="5"/>
        <w:rPr>
          <w:sz w:val="18"/>
        </w:rPr>
      </w:pPr>
    </w:p>
    <w:p w14:paraId="6D253A82" w14:textId="77777777" w:rsidR="00BE05A1" w:rsidRDefault="00BE05A1">
      <w:pPr>
        <w:pStyle w:val="BodyA"/>
        <w:jc w:val="both"/>
        <w:rPr>
          <w:rFonts w:ascii="Times New Roman" w:eastAsia="Times New Roman" w:hAnsi="Times New Roman"/>
          <w:color w:val="auto"/>
          <w:sz w:val="20"/>
          <w:lang w:bidi="x-none"/>
        </w:rPr>
      </w:pPr>
    </w:p>
    <w:sectPr w:rsidR="00BE05A1" w:rsidSect="00017594">
      <w:headerReference w:type="default" r:id="rId11"/>
      <w:footerReference w:type="even" r:id="rId12"/>
      <w:footerReference w:type="default" r:id="rId13"/>
      <w:pgSz w:w="16840" w:h="11900" w:orient="landscape"/>
      <w:pgMar w:top="1134" w:right="1956" w:bottom="1134"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944C" w14:textId="77777777" w:rsidR="00B45FC1" w:rsidRDefault="00B45FC1">
      <w:pPr>
        <w:spacing w:after="0" w:line="240" w:lineRule="auto"/>
      </w:pPr>
      <w:r>
        <w:separator/>
      </w:r>
    </w:p>
  </w:endnote>
  <w:endnote w:type="continuationSeparator" w:id="0">
    <w:p w14:paraId="333B9C0E" w14:textId="77777777" w:rsidR="00B45FC1" w:rsidRDefault="00B4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Mincho"/>
    <w:charset w:val="00"/>
    <w:family w:val="roman"/>
    <w:pitch w:val="default"/>
  </w:font>
  <w:font w:name="Helvetica">
    <w:panose1 w:val="020B0604020202020204"/>
    <w:charset w:val="00"/>
    <w:family w:val="auto"/>
    <w:pitch w:val="variable"/>
    <w:sig w:usb0="E00002FF" w:usb1="5000785B"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8F6A" w14:textId="77777777" w:rsidR="008050EF" w:rsidRDefault="008050EF">
    <w:pPr>
      <w:pStyle w:val="HeaderFooterA"/>
      <w:jc w:val="center"/>
      <w:rPr>
        <w:rFonts w:ascii="Times New Roman" w:eastAsia="Times New Roman" w:hAnsi="Times New Roman"/>
        <w:color w:val="auto"/>
        <w:lang w:bidi="x-none"/>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F18C0">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8957" w14:textId="77777777" w:rsidR="008050EF" w:rsidRDefault="008050EF">
    <w:pPr>
      <w:pStyle w:val="HeaderFooterA"/>
      <w:jc w:val="center"/>
      <w:rPr>
        <w:rFonts w:ascii="Times New Roman" w:eastAsia="Times New Roman" w:hAnsi="Times New Roman"/>
        <w:color w:val="auto"/>
        <w:lang w:bidi="x-none"/>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F18C0">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D78F" w14:textId="77777777" w:rsidR="00B45FC1" w:rsidRDefault="00B45FC1">
      <w:pPr>
        <w:spacing w:after="0" w:line="240" w:lineRule="auto"/>
      </w:pPr>
      <w:r>
        <w:separator/>
      </w:r>
    </w:p>
  </w:footnote>
  <w:footnote w:type="continuationSeparator" w:id="0">
    <w:p w14:paraId="62F30A33" w14:textId="77777777" w:rsidR="00B45FC1" w:rsidRDefault="00B4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E1FF" w14:textId="63FF5469" w:rsidR="000630A1" w:rsidRPr="000630A1" w:rsidRDefault="007E7DEB" w:rsidP="000630A1">
    <w:pPr>
      <w:pStyle w:val="Header"/>
      <w:jc w:val="right"/>
      <w:rPr>
        <w:rFonts w:ascii="Times New Roman" w:eastAsia="Times New Roman" w:hAnsi="Times New Roman"/>
        <w:bCs/>
        <w:i/>
        <w:iCs/>
        <w:color w:val="auto"/>
        <w:sz w:val="20"/>
        <w:szCs w:val="20"/>
        <w:lang w:val="en-GB" w:eastAsia="ar-SA"/>
      </w:rPr>
    </w:pPr>
    <w:r>
      <w:rPr>
        <w:rFonts w:ascii="Times New Roman" w:eastAsia="Times New Roman" w:hAnsi="Times New Roman"/>
        <w:bCs/>
        <w:i/>
        <w:iCs/>
        <w:color w:val="auto"/>
        <w:sz w:val="20"/>
        <w:szCs w:val="20"/>
        <w:lang w:val="en-GB" w:eastAsia="ar-SA"/>
      </w:rPr>
      <w:t>March_2026_Draft_AB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943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FFEBFC2"/>
    <w:lvl w:ilvl="0">
      <w:start w:val="1"/>
      <w:numFmt w:val="decimal"/>
      <w:isLgl/>
      <w:lvlText w:val="%1."/>
      <w:lvlJc w:val="left"/>
      <w:pPr>
        <w:tabs>
          <w:tab w:val="num" w:pos="360"/>
        </w:tabs>
        <w:ind w:left="360" w:firstLine="0"/>
      </w:pPr>
      <w:rPr>
        <w:rFonts w:hint="default"/>
        <w:position w:val="0"/>
        <w:sz w:val="22"/>
      </w:rPr>
    </w:lvl>
    <w:lvl w:ilvl="1">
      <w:start w:val="1"/>
      <w:numFmt w:val="decimal"/>
      <w:isLgl/>
      <w:lvlText w:val="%1.%2."/>
      <w:lvlJc w:val="left"/>
      <w:pPr>
        <w:tabs>
          <w:tab w:val="num" w:pos="360"/>
        </w:tabs>
        <w:ind w:left="360" w:firstLine="0"/>
      </w:pPr>
      <w:rPr>
        <w:rFonts w:hint="default"/>
        <w:position w:val="0"/>
        <w:sz w:val="18"/>
        <w:szCs w:val="18"/>
      </w:rPr>
    </w:lvl>
    <w:lvl w:ilvl="2">
      <w:start w:val="1"/>
      <w:numFmt w:val="decimal"/>
      <w:isLgl/>
      <w:lvlText w:val="%1.%2.%3."/>
      <w:lvlJc w:val="left"/>
      <w:pPr>
        <w:tabs>
          <w:tab w:val="num" w:pos="720"/>
        </w:tabs>
        <w:ind w:left="720" w:firstLine="0"/>
      </w:pPr>
      <w:rPr>
        <w:rFonts w:hint="default"/>
        <w:position w:val="0"/>
        <w:sz w:val="22"/>
      </w:rPr>
    </w:lvl>
    <w:lvl w:ilvl="3">
      <w:start w:val="1"/>
      <w:numFmt w:val="decimal"/>
      <w:isLgl/>
      <w:lvlText w:val="%1.%2.%3.%4."/>
      <w:lvlJc w:val="left"/>
      <w:pPr>
        <w:tabs>
          <w:tab w:val="num" w:pos="720"/>
        </w:tabs>
        <w:ind w:left="720" w:firstLine="0"/>
      </w:pPr>
      <w:rPr>
        <w:rFonts w:hint="default"/>
        <w:position w:val="0"/>
        <w:sz w:val="22"/>
      </w:rPr>
    </w:lvl>
    <w:lvl w:ilvl="4">
      <w:start w:val="1"/>
      <w:numFmt w:val="decimal"/>
      <w:isLgl/>
      <w:lvlText w:val="%1.%2.%3.%4.%5."/>
      <w:lvlJc w:val="left"/>
      <w:pPr>
        <w:tabs>
          <w:tab w:val="num" w:pos="720"/>
        </w:tabs>
        <w:ind w:left="720" w:firstLine="0"/>
      </w:pPr>
      <w:rPr>
        <w:rFonts w:hint="default"/>
        <w:position w:val="0"/>
        <w:sz w:val="22"/>
      </w:rPr>
    </w:lvl>
    <w:lvl w:ilvl="5">
      <w:start w:val="1"/>
      <w:numFmt w:val="decimal"/>
      <w:isLgl/>
      <w:lvlText w:val="%1.%2.%3.%4.%5.%6."/>
      <w:lvlJc w:val="left"/>
      <w:pPr>
        <w:tabs>
          <w:tab w:val="num" w:pos="1080"/>
        </w:tabs>
        <w:ind w:left="1080" w:firstLine="0"/>
      </w:pPr>
      <w:rPr>
        <w:rFonts w:hint="default"/>
        <w:position w:val="0"/>
        <w:sz w:val="22"/>
      </w:rPr>
    </w:lvl>
    <w:lvl w:ilvl="6">
      <w:start w:val="1"/>
      <w:numFmt w:val="decimal"/>
      <w:isLgl/>
      <w:lvlText w:val="%1.%2.%3.%4.%5.%6.%7."/>
      <w:lvlJc w:val="left"/>
      <w:pPr>
        <w:tabs>
          <w:tab w:val="num" w:pos="1080"/>
        </w:tabs>
        <w:ind w:left="1080" w:firstLine="0"/>
      </w:pPr>
      <w:rPr>
        <w:rFonts w:hint="default"/>
        <w:position w:val="0"/>
        <w:sz w:val="22"/>
      </w:rPr>
    </w:lvl>
    <w:lvl w:ilvl="7">
      <w:start w:val="1"/>
      <w:numFmt w:val="decimal"/>
      <w:isLgl/>
      <w:lvlText w:val="%1.%2.%3.%4.%5.%6.%7.%8."/>
      <w:lvlJc w:val="left"/>
      <w:pPr>
        <w:tabs>
          <w:tab w:val="num" w:pos="1080"/>
        </w:tabs>
        <w:ind w:left="1080" w:firstLine="0"/>
      </w:pPr>
      <w:rPr>
        <w:rFonts w:hint="default"/>
        <w:position w:val="0"/>
        <w:sz w:val="22"/>
      </w:rPr>
    </w:lvl>
    <w:lvl w:ilvl="8">
      <w:start w:val="1"/>
      <w:numFmt w:val="decimal"/>
      <w:isLgl/>
      <w:lvlText w:val="%1.%2.%3.%4.%5.%6.%7.%8.%9."/>
      <w:lvlJc w:val="left"/>
      <w:pPr>
        <w:tabs>
          <w:tab w:val="num" w:pos="1440"/>
        </w:tabs>
        <w:ind w:left="1440" w:firstLine="0"/>
      </w:pPr>
      <w:rPr>
        <w:rFonts w:hint="default"/>
        <w:position w:val="0"/>
        <w:sz w:val="22"/>
      </w:rPr>
    </w:lvl>
  </w:abstractNum>
  <w:abstractNum w:abstractNumId="2" w15:restartNumberingAfterBreak="0">
    <w:nsid w:val="00000002"/>
    <w:multiLevelType w:val="multilevel"/>
    <w:tmpl w:val="999CA4D2"/>
    <w:name w:val="WW8Num6"/>
    <w:lvl w:ilvl="0">
      <w:start w:val="1"/>
      <w:numFmt w:val="decimal"/>
      <w:lvlText w:val="%1."/>
      <w:lvlJc w:val="left"/>
      <w:pPr>
        <w:tabs>
          <w:tab w:val="num" w:pos="720"/>
        </w:tabs>
        <w:ind w:left="720" w:hanging="360"/>
      </w:pPr>
      <w:rPr>
        <w:rFonts w:ascii="Times New Roman" w:hAnsi="Times New Roman" w:cs="Times New Roman"/>
        <w:b w:val="0"/>
        <w:color w:val="000000"/>
        <w:lang w:val="it-I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453141"/>
    <w:multiLevelType w:val="hybridMultilevel"/>
    <w:tmpl w:val="F116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37142"/>
    <w:multiLevelType w:val="hybridMultilevel"/>
    <w:tmpl w:val="EB18B57E"/>
    <w:lvl w:ilvl="0" w:tplc="8AF444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A7312"/>
    <w:multiLevelType w:val="hybridMultilevel"/>
    <w:tmpl w:val="EE141E1E"/>
    <w:lvl w:ilvl="0" w:tplc="271E2F6E">
      <w:start w:val="18"/>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76FE0"/>
    <w:multiLevelType w:val="hybridMultilevel"/>
    <w:tmpl w:val="D07A5500"/>
    <w:lvl w:ilvl="0" w:tplc="EFDC754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86964"/>
    <w:multiLevelType w:val="hybridMultilevel"/>
    <w:tmpl w:val="E5EE9310"/>
    <w:lvl w:ilvl="0" w:tplc="6D6651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06D05"/>
    <w:multiLevelType w:val="hybridMultilevel"/>
    <w:tmpl w:val="197E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E28FA"/>
    <w:multiLevelType w:val="hybridMultilevel"/>
    <w:tmpl w:val="2ECA864A"/>
    <w:lvl w:ilvl="0" w:tplc="26B66F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F75A7"/>
    <w:multiLevelType w:val="hybridMultilevel"/>
    <w:tmpl w:val="60DC6F06"/>
    <w:lvl w:ilvl="0" w:tplc="D9BEE8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E460A"/>
    <w:multiLevelType w:val="hybridMultilevel"/>
    <w:tmpl w:val="4926B812"/>
    <w:lvl w:ilvl="0" w:tplc="7782514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62F5A"/>
    <w:multiLevelType w:val="hybridMultilevel"/>
    <w:tmpl w:val="D98E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6C2"/>
    <w:multiLevelType w:val="hybridMultilevel"/>
    <w:tmpl w:val="C7AED1E0"/>
    <w:lvl w:ilvl="0" w:tplc="12081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482692">
    <w:abstractNumId w:val="1"/>
  </w:num>
  <w:num w:numId="2" w16cid:durableId="1172984434">
    <w:abstractNumId w:val="4"/>
  </w:num>
  <w:num w:numId="3" w16cid:durableId="623274173">
    <w:abstractNumId w:val="12"/>
  </w:num>
  <w:num w:numId="4" w16cid:durableId="1935631868">
    <w:abstractNumId w:val="13"/>
  </w:num>
  <w:num w:numId="5" w16cid:durableId="1026447187">
    <w:abstractNumId w:val="0"/>
  </w:num>
  <w:num w:numId="6" w16cid:durableId="1367212993">
    <w:abstractNumId w:val="2"/>
  </w:num>
  <w:num w:numId="7" w16cid:durableId="1127746720">
    <w:abstractNumId w:val="3"/>
  </w:num>
  <w:num w:numId="8" w16cid:durableId="1983272062">
    <w:abstractNumId w:val="10"/>
  </w:num>
  <w:num w:numId="9" w16cid:durableId="648247867">
    <w:abstractNumId w:val="11"/>
  </w:num>
  <w:num w:numId="10" w16cid:durableId="299309452">
    <w:abstractNumId w:val="5"/>
  </w:num>
  <w:num w:numId="11" w16cid:durableId="1773352287">
    <w:abstractNumId w:val="8"/>
  </w:num>
  <w:num w:numId="12" w16cid:durableId="2057583969">
    <w:abstractNumId w:val="7"/>
  </w:num>
  <w:num w:numId="13" w16cid:durableId="446628810">
    <w:abstractNumId w:val="6"/>
  </w:num>
  <w:num w:numId="14" w16cid:durableId="1358045496">
    <w:abstractNumId w:val="14"/>
  </w:num>
  <w:num w:numId="15" w16cid:durableId="1903515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656"/>
    <w:rsid w:val="000119A8"/>
    <w:rsid w:val="00015D16"/>
    <w:rsid w:val="00017594"/>
    <w:rsid w:val="00032015"/>
    <w:rsid w:val="00041D3B"/>
    <w:rsid w:val="0004400E"/>
    <w:rsid w:val="000453CD"/>
    <w:rsid w:val="00047962"/>
    <w:rsid w:val="00056863"/>
    <w:rsid w:val="000628B9"/>
    <w:rsid w:val="000630A1"/>
    <w:rsid w:val="00092690"/>
    <w:rsid w:val="0009531E"/>
    <w:rsid w:val="00097D4A"/>
    <w:rsid w:val="000A3CD6"/>
    <w:rsid w:val="000E223A"/>
    <w:rsid w:val="00101EF2"/>
    <w:rsid w:val="00110EBC"/>
    <w:rsid w:val="001267A0"/>
    <w:rsid w:val="00131E77"/>
    <w:rsid w:val="0015732B"/>
    <w:rsid w:val="00164FCB"/>
    <w:rsid w:val="00165091"/>
    <w:rsid w:val="00165AC3"/>
    <w:rsid w:val="001973D8"/>
    <w:rsid w:val="001B0F1B"/>
    <w:rsid w:val="001E1EE7"/>
    <w:rsid w:val="0020307C"/>
    <w:rsid w:val="0021046C"/>
    <w:rsid w:val="002443A1"/>
    <w:rsid w:val="002516E6"/>
    <w:rsid w:val="002641B6"/>
    <w:rsid w:val="0027150B"/>
    <w:rsid w:val="00276FAD"/>
    <w:rsid w:val="00292A17"/>
    <w:rsid w:val="002A1D58"/>
    <w:rsid w:val="002A4380"/>
    <w:rsid w:val="002B68E2"/>
    <w:rsid w:val="002D5352"/>
    <w:rsid w:val="002E4EA7"/>
    <w:rsid w:val="002E5647"/>
    <w:rsid w:val="003035C6"/>
    <w:rsid w:val="003336F2"/>
    <w:rsid w:val="00353073"/>
    <w:rsid w:val="003604FD"/>
    <w:rsid w:val="00372E16"/>
    <w:rsid w:val="00395B15"/>
    <w:rsid w:val="003B6F80"/>
    <w:rsid w:val="003D5D3C"/>
    <w:rsid w:val="003E1683"/>
    <w:rsid w:val="00404DD0"/>
    <w:rsid w:val="0041587B"/>
    <w:rsid w:val="00432E3E"/>
    <w:rsid w:val="00473B62"/>
    <w:rsid w:val="004A0656"/>
    <w:rsid w:val="004A0EB4"/>
    <w:rsid w:val="004B2CCD"/>
    <w:rsid w:val="00502ABC"/>
    <w:rsid w:val="005058D0"/>
    <w:rsid w:val="00505D77"/>
    <w:rsid w:val="00534CB3"/>
    <w:rsid w:val="005662A3"/>
    <w:rsid w:val="00583D58"/>
    <w:rsid w:val="005E170D"/>
    <w:rsid w:val="005E1902"/>
    <w:rsid w:val="005F1813"/>
    <w:rsid w:val="00615B17"/>
    <w:rsid w:val="00645583"/>
    <w:rsid w:val="006842F7"/>
    <w:rsid w:val="006A172A"/>
    <w:rsid w:val="006B0C76"/>
    <w:rsid w:val="006B0D2A"/>
    <w:rsid w:val="006B7238"/>
    <w:rsid w:val="00730EAE"/>
    <w:rsid w:val="00731F9B"/>
    <w:rsid w:val="00736CA9"/>
    <w:rsid w:val="00771DC1"/>
    <w:rsid w:val="007A2575"/>
    <w:rsid w:val="007C14A8"/>
    <w:rsid w:val="007C2207"/>
    <w:rsid w:val="007E7DEB"/>
    <w:rsid w:val="008050EF"/>
    <w:rsid w:val="00805803"/>
    <w:rsid w:val="008115CA"/>
    <w:rsid w:val="008632A4"/>
    <w:rsid w:val="008852A6"/>
    <w:rsid w:val="008A7B37"/>
    <w:rsid w:val="00901CF8"/>
    <w:rsid w:val="00925F11"/>
    <w:rsid w:val="009449EB"/>
    <w:rsid w:val="00967251"/>
    <w:rsid w:val="00977D52"/>
    <w:rsid w:val="00987BA0"/>
    <w:rsid w:val="009B356D"/>
    <w:rsid w:val="009D3022"/>
    <w:rsid w:val="00A22CD7"/>
    <w:rsid w:val="00A271AE"/>
    <w:rsid w:val="00A37C13"/>
    <w:rsid w:val="00A84AE4"/>
    <w:rsid w:val="00A869E7"/>
    <w:rsid w:val="00AB1CD9"/>
    <w:rsid w:val="00AC0066"/>
    <w:rsid w:val="00AC15F5"/>
    <w:rsid w:val="00AE2FCC"/>
    <w:rsid w:val="00B20564"/>
    <w:rsid w:val="00B2320C"/>
    <w:rsid w:val="00B42AC9"/>
    <w:rsid w:val="00B437AA"/>
    <w:rsid w:val="00B45FC1"/>
    <w:rsid w:val="00B577B7"/>
    <w:rsid w:val="00B663AA"/>
    <w:rsid w:val="00B8227F"/>
    <w:rsid w:val="00BC3C44"/>
    <w:rsid w:val="00BD20CF"/>
    <w:rsid w:val="00BE05A1"/>
    <w:rsid w:val="00BE14CD"/>
    <w:rsid w:val="00BF18C0"/>
    <w:rsid w:val="00BF226C"/>
    <w:rsid w:val="00C362BE"/>
    <w:rsid w:val="00C46D2A"/>
    <w:rsid w:val="00C55ACD"/>
    <w:rsid w:val="00C56AB8"/>
    <w:rsid w:val="00C73EDE"/>
    <w:rsid w:val="00C76091"/>
    <w:rsid w:val="00C9186C"/>
    <w:rsid w:val="00CB25C7"/>
    <w:rsid w:val="00CC2C9D"/>
    <w:rsid w:val="00CD0728"/>
    <w:rsid w:val="00CD0FA5"/>
    <w:rsid w:val="00CD2A05"/>
    <w:rsid w:val="00CE0B7A"/>
    <w:rsid w:val="00D11F94"/>
    <w:rsid w:val="00D125D0"/>
    <w:rsid w:val="00D35D7B"/>
    <w:rsid w:val="00D361AD"/>
    <w:rsid w:val="00D45BD2"/>
    <w:rsid w:val="00D727B0"/>
    <w:rsid w:val="00D72FBB"/>
    <w:rsid w:val="00D8292E"/>
    <w:rsid w:val="00DA1A6B"/>
    <w:rsid w:val="00DD3C91"/>
    <w:rsid w:val="00E04198"/>
    <w:rsid w:val="00E05117"/>
    <w:rsid w:val="00E172FC"/>
    <w:rsid w:val="00E45B12"/>
    <w:rsid w:val="00E5765D"/>
    <w:rsid w:val="00E6089E"/>
    <w:rsid w:val="00E67AA5"/>
    <w:rsid w:val="00E972FA"/>
    <w:rsid w:val="00EA4424"/>
    <w:rsid w:val="00EB591C"/>
    <w:rsid w:val="00EC7D92"/>
    <w:rsid w:val="00EE6C4E"/>
    <w:rsid w:val="00F258B0"/>
    <w:rsid w:val="00F35D43"/>
    <w:rsid w:val="00F527B9"/>
    <w:rsid w:val="00F94B13"/>
    <w:rsid w:val="00FB08BF"/>
    <w:rsid w:val="00FD5994"/>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0D6D58"/>
  <w15:chartTrackingRefBased/>
  <w15:docId w15:val="{032DC667-97D1-4603-BE78-9573CEDF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12960"/>
      </w:tabs>
    </w:pPr>
    <w:rPr>
      <w:rFonts w:ascii="Helvetica" w:eastAsia="ヒラギノ角ゴ Pro W3" w:hAnsi="Helvetica"/>
      <w:color w:val="000000"/>
    </w:rPr>
  </w:style>
  <w:style w:type="paragraph" w:customStyle="1" w:styleId="Caption1">
    <w:name w:val="Caption1"/>
    <w:next w:val="Normal"/>
    <w:pPr>
      <w:ind w:right="360"/>
      <w:jc w:val="both"/>
    </w:pPr>
    <w:rPr>
      <w:rFonts w:ascii="Times New Roman Bold" w:eastAsia="ヒラギノ角ゴ Pro W3" w:hAnsi="Times New Roman Bold"/>
      <w:color w:val="000000"/>
      <w:sz w:val="28"/>
    </w:rPr>
  </w:style>
  <w:style w:type="paragraph" w:customStyle="1" w:styleId="FreeForm">
    <w:name w:val="Free Form"/>
    <w:autoRedefine/>
    <w:rPr>
      <w:rFonts w:eastAsia="ヒラギノ角ゴ Pro W3"/>
      <w:color w:val="000000"/>
    </w:rPr>
  </w:style>
  <w:style w:type="paragraph" w:customStyle="1" w:styleId="FreeFormA">
    <w:name w:val="Free Form A"/>
    <w:autoRedefine/>
    <w:rsid w:val="00041D3B"/>
    <w:pPr>
      <w:jc w:val="both"/>
    </w:pPr>
    <w:rPr>
      <w:rFonts w:eastAsia="ヒラギノ角ゴ Pro W3"/>
      <w:b/>
      <w:color w:val="000000"/>
      <w:sz w:val="18"/>
      <w:szCs w:val="18"/>
    </w:rPr>
  </w:style>
  <w:style w:type="paragraph" w:customStyle="1" w:styleId="BodyA">
    <w:name w:val="Body A"/>
    <w:autoRedefine/>
    <w:rPr>
      <w:rFonts w:ascii="Helvetica" w:eastAsia="ヒラギノ角ゴ Pro W3" w:hAnsi="Helvetica"/>
      <w:color w:val="000000"/>
      <w:sz w:val="24"/>
    </w:rPr>
  </w:style>
  <w:style w:type="paragraph" w:styleId="Header">
    <w:name w:val="header"/>
    <w:basedOn w:val="Normal"/>
    <w:link w:val="HeaderChar"/>
    <w:locked/>
    <w:rsid w:val="00017594"/>
    <w:pPr>
      <w:tabs>
        <w:tab w:val="center" w:pos="4680"/>
        <w:tab w:val="right" w:pos="9360"/>
      </w:tabs>
    </w:pPr>
  </w:style>
  <w:style w:type="character" w:customStyle="1" w:styleId="HeaderChar">
    <w:name w:val="Header Char"/>
    <w:link w:val="Header"/>
    <w:rsid w:val="00017594"/>
    <w:rPr>
      <w:rFonts w:ascii="Lucida Grande" w:eastAsia="ヒラギノ角ゴ Pro W3" w:hAnsi="Lucida Grande"/>
      <w:color w:val="000000"/>
      <w:sz w:val="22"/>
      <w:szCs w:val="24"/>
    </w:rPr>
  </w:style>
  <w:style w:type="paragraph" w:styleId="Footer">
    <w:name w:val="footer"/>
    <w:basedOn w:val="Normal"/>
    <w:link w:val="FooterChar"/>
    <w:locked/>
    <w:rsid w:val="00017594"/>
    <w:pPr>
      <w:tabs>
        <w:tab w:val="center" w:pos="4680"/>
        <w:tab w:val="right" w:pos="9360"/>
      </w:tabs>
    </w:pPr>
  </w:style>
  <w:style w:type="character" w:customStyle="1" w:styleId="FooterChar">
    <w:name w:val="Footer Char"/>
    <w:link w:val="Footer"/>
    <w:rsid w:val="00017594"/>
    <w:rPr>
      <w:rFonts w:ascii="Lucida Grande" w:eastAsia="ヒラギノ角ゴ Pro W3" w:hAnsi="Lucida Grande"/>
      <w:color w:val="000000"/>
      <w:sz w:val="22"/>
      <w:szCs w:val="24"/>
    </w:rPr>
  </w:style>
  <w:style w:type="character" w:styleId="CommentReference">
    <w:name w:val="annotation reference"/>
    <w:locked/>
    <w:rsid w:val="000E223A"/>
    <w:rPr>
      <w:sz w:val="16"/>
      <w:szCs w:val="16"/>
    </w:rPr>
  </w:style>
  <w:style w:type="paragraph" w:styleId="CommentText">
    <w:name w:val="annotation text"/>
    <w:basedOn w:val="Normal"/>
    <w:link w:val="CommentTextChar"/>
    <w:locked/>
    <w:rsid w:val="000E223A"/>
    <w:rPr>
      <w:sz w:val="20"/>
      <w:szCs w:val="20"/>
    </w:rPr>
  </w:style>
  <w:style w:type="character" w:customStyle="1" w:styleId="CommentTextChar">
    <w:name w:val="Comment Text Char"/>
    <w:link w:val="CommentText"/>
    <w:rsid w:val="000E223A"/>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E223A"/>
    <w:rPr>
      <w:b/>
      <w:bCs/>
    </w:rPr>
  </w:style>
  <w:style w:type="character" w:customStyle="1" w:styleId="CommentSubjectChar">
    <w:name w:val="Comment Subject Char"/>
    <w:link w:val="CommentSubject"/>
    <w:rsid w:val="000E223A"/>
    <w:rPr>
      <w:rFonts w:ascii="Lucida Grande" w:eastAsia="ヒラギノ角ゴ Pro W3" w:hAnsi="Lucida Grande"/>
      <w:b/>
      <w:bCs/>
      <w:color w:val="000000"/>
    </w:rPr>
  </w:style>
  <w:style w:type="character" w:styleId="Hyperlink">
    <w:name w:val="Hyperlink"/>
    <w:locked/>
    <w:rsid w:val="00D72FBB"/>
    <w:rPr>
      <w:color w:val="467886"/>
      <w:u w:val="single"/>
    </w:rPr>
  </w:style>
  <w:style w:type="character" w:styleId="UnresolvedMention">
    <w:name w:val="Unresolved Mention"/>
    <w:uiPriority w:val="99"/>
    <w:semiHidden/>
    <w:unhideWhenUsed/>
    <w:rsid w:val="00D72FBB"/>
    <w:rPr>
      <w:color w:val="605E5C"/>
      <w:shd w:val="clear" w:color="auto" w:fill="E1DFDD"/>
    </w:rPr>
  </w:style>
  <w:style w:type="paragraph" w:styleId="NoSpacing">
    <w:name w:val="No Spacing"/>
    <w:uiPriority w:val="1"/>
    <w:qFormat/>
    <w:rsid w:val="00502ABC"/>
    <w:rPr>
      <w:rFonts w:ascii="Lucida Grande" w:eastAsia="ヒラギノ角ゴ Pro W3" w:hAnsi="Lucida Grande"/>
      <w:color w:val="000000"/>
      <w:sz w:val="22"/>
      <w:szCs w:val="24"/>
    </w:rPr>
  </w:style>
  <w:style w:type="paragraph" w:customStyle="1" w:styleId="Default">
    <w:name w:val="Default"/>
    <w:rsid w:val="00EA442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fad844-3db3-41e5-89a4-428e329e7e22">
      <Terms xmlns="http://schemas.microsoft.com/office/infopath/2007/PartnerControls"/>
    </lcf76f155ced4ddcb4097134ff3c332f>
    <TaxCatchAll xmlns="8cbaee50-3f96-4133-a499-af36e2ff891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B3ADA16F5CF42A17A30A0C44363AC" ma:contentTypeVersion="13" ma:contentTypeDescription="Create a new document." ma:contentTypeScope="" ma:versionID="c032fcb2b49ba30b5765a5fffe1b8a89">
  <xsd:schema xmlns:xsd="http://www.w3.org/2001/XMLSchema" xmlns:xs="http://www.w3.org/2001/XMLSchema" xmlns:p="http://schemas.microsoft.com/office/2006/metadata/properties" xmlns:ns2="1cfad844-3db3-41e5-89a4-428e329e7e22" xmlns:ns3="8cbaee50-3f96-4133-a499-af36e2ff8918" targetNamespace="http://schemas.microsoft.com/office/2006/metadata/properties" ma:root="true" ma:fieldsID="3bb9891120d6e7b9bac988bbc4351fb3" ns2:_="" ns3:_="">
    <xsd:import namespace="1cfad844-3db3-41e5-89a4-428e329e7e22"/>
    <xsd:import namespace="8cbaee50-3f96-4133-a499-af36e2ff8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d844-3db3-41e5-89a4-428e329e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aee50-3f96-4133-a499-af36e2ff89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ccbbd-6f5d-4d8e-b1c1-451f410a7584}" ma:internalName="TaxCatchAll" ma:showField="CatchAllData" ma:web="8cbaee50-3f96-4133-a499-af36e2ff8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E1B1-B76E-4D57-A987-008A21599A8E}">
  <ds:schemaRefs>
    <ds:schemaRef ds:uri="http://schemas.microsoft.com/office/2006/metadata/properties"/>
    <ds:schemaRef ds:uri="http://schemas.microsoft.com/office/infopath/2007/PartnerControls"/>
    <ds:schemaRef ds:uri="1cfad844-3db3-41e5-89a4-428e329e7e22"/>
    <ds:schemaRef ds:uri="8cbaee50-3f96-4133-a499-af36e2ff8918"/>
  </ds:schemaRefs>
</ds:datastoreItem>
</file>

<file path=customXml/itemProps2.xml><?xml version="1.0" encoding="utf-8"?>
<ds:datastoreItem xmlns:ds="http://schemas.openxmlformats.org/officeDocument/2006/customXml" ds:itemID="{6420BEE9-281F-484B-8304-9DCF617FC97D}">
  <ds:schemaRefs>
    <ds:schemaRef ds:uri="http://schemas.microsoft.com/sharepoint/v3/contenttype/forms"/>
  </ds:schemaRefs>
</ds:datastoreItem>
</file>

<file path=customXml/itemProps3.xml><?xml version="1.0" encoding="utf-8"?>
<ds:datastoreItem xmlns:ds="http://schemas.openxmlformats.org/officeDocument/2006/customXml" ds:itemID="{50D906BB-FEAC-4D6E-825C-47B739FC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d844-3db3-41e5-89a4-428e329e7e22"/>
    <ds:schemaRef ds:uri="8cbaee50-3f96-4133-a499-af36e2ff8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26510-5934-477A-9B9F-2DE3AF6B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abode</dc:creator>
  <cp:keywords/>
  <cp:lastModifiedBy>Bode, Armando GIZ AL</cp:lastModifiedBy>
  <cp:revision>91</cp:revision>
  <dcterms:created xsi:type="dcterms:W3CDTF">2025-11-20T14:01:00Z</dcterms:created>
  <dcterms:modified xsi:type="dcterms:W3CDTF">2026-03-06T08:41:00Z</dcterms:modified>
</cp:coreProperties>
</file>