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4068" w14:textId="74FC6881" w:rsidR="00BD20CF" w:rsidRPr="000D723C" w:rsidRDefault="00786AA9" w:rsidP="00BD20CF">
      <w:pPr>
        <w:widowControl w:val="0"/>
        <w:suppressAutoHyphens/>
        <w:spacing w:after="0" w:line="240" w:lineRule="auto"/>
        <w:jc w:val="both"/>
        <w:rPr>
          <w:rFonts w:ascii="Times New Roman" w:hAnsi="Times New Roman"/>
          <w:b/>
          <w:bCs/>
          <w:sz w:val="20"/>
          <w:szCs w:val="20"/>
          <w:lang w:val="sq-AL"/>
        </w:rPr>
      </w:pPr>
      <w:r w:rsidRPr="000D723C">
        <w:rPr>
          <w:rFonts w:ascii="Times New Roman" w:hAnsi="Times New Roman"/>
          <w:b/>
          <w:bCs/>
          <w:sz w:val="20"/>
          <w:szCs w:val="20"/>
          <w:lang w:val="sq-AL"/>
        </w:rPr>
        <w:t>Rregullorja e Deleguar e Komisionit (BE) 2015/761 e datës 17 dhjetor 2014, që plotëson Direktivën 2004/109/KE të Parlamentit Evropian dhe të Këshillit në lidhje me disa standarde teknike rregullatore për zotërimet e mëdha</w:t>
      </w:r>
    </w:p>
    <w:p w14:paraId="43A79A75" w14:textId="77777777" w:rsidR="000D723C" w:rsidRPr="000D723C" w:rsidRDefault="000D723C" w:rsidP="00BD20CF">
      <w:pPr>
        <w:widowControl w:val="0"/>
        <w:suppressAutoHyphens/>
        <w:spacing w:after="0" w:line="240" w:lineRule="auto"/>
        <w:jc w:val="both"/>
        <w:rPr>
          <w:rFonts w:ascii="Times New Roman" w:hAnsi="Times New Roman"/>
          <w:b/>
          <w:bCs/>
          <w:sz w:val="20"/>
          <w:szCs w:val="20"/>
          <w:lang w:val="sq-AL"/>
        </w:rPr>
      </w:pPr>
    </w:p>
    <w:p w14:paraId="0B56B3D5" w14:textId="78FF6DCA" w:rsidR="000D723C" w:rsidRPr="000D723C" w:rsidRDefault="000D723C" w:rsidP="000D723C">
      <w:pPr>
        <w:jc w:val="both"/>
        <w:rPr>
          <w:rFonts w:ascii="Times New Roman" w:hAnsi="Times New Roman"/>
          <w:b/>
          <w:bCs/>
          <w:sz w:val="20"/>
          <w:szCs w:val="20"/>
          <w:lang w:val="sq-AL"/>
        </w:rPr>
      </w:pPr>
      <w:r>
        <w:rPr>
          <w:rFonts w:ascii="Times New Roman" w:hAnsi="Times New Roman"/>
          <w:b/>
          <w:bCs/>
          <w:sz w:val="20"/>
          <w:szCs w:val="20"/>
          <w:lang w:val="sq-AL"/>
        </w:rPr>
        <w:t>[</w:t>
      </w:r>
      <w:r w:rsidRPr="000D723C">
        <w:rPr>
          <w:rFonts w:ascii="Times New Roman" w:hAnsi="Times New Roman"/>
          <w:b/>
          <w:bCs/>
          <w:sz w:val="20"/>
          <w:szCs w:val="20"/>
          <w:lang w:val="sq-AL"/>
        </w:rPr>
        <w:t>Transpozimi i k</w:t>
      </w:r>
      <w:r>
        <w:rPr>
          <w:rFonts w:ascii="Times New Roman" w:hAnsi="Times New Roman"/>
          <w:b/>
          <w:bCs/>
          <w:sz w:val="20"/>
          <w:szCs w:val="20"/>
          <w:lang w:val="sq-AL"/>
        </w:rPr>
        <w:t>ë</w:t>
      </w:r>
      <w:r w:rsidRPr="000D723C">
        <w:rPr>
          <w:rFonts w:ascii="Times New Roman" w:hAnsi="Times New Roman"/>
          <w:b/>
          <w:bCs/>
          <w:sz w:val="20"/>
          <w:szCs w:val="20"/>
          <w:lang w:val="sq-AL"/>
        </w:rPr>
        <w:t xml:space="preserve">saj rregulloreje </w:t>
      </w:r>
      <w:r>
        <w:rPr>
          <w:rFonts w:ascii="Times New Roman" w:hAnsi="Times New Roman"/>
          <w:b/>
          <w:bCs/>
          <w:sz w:val="20"/>
          <w:szCs w:val="20"/>
          <w:lang w:val="sq-AL"/>
        </w:rPr>
        <w:t>ë</w:t>
      </w:r>
      <w:r w:rsidRPr="000D723C">
        <w:rPr>
          <w:rFonts w:ascii="Times New Roman" w:hAnsi="Times New Roman"/>
          <w:b/>
          <w:bCs/>
          <w:sz w:val="20"/>
          <w:szCs w:val="20"/>
          <w:lang w:val="sq-AL"/>
        </w:rPr>
        <w:t>sht</w:t>
      </w:r>
      <w:r>
        <w:rPr>
          <w:rFonts w:ascii="Times New Roman" w:hAnsi="Times New Roman"/>
          <w:b/>
          <w:bCs/>
          <w:sz w:val="20"/>
          <w:szCs w:val="20"/>
          <w:lang w:val="sq-AL"/>
        </w:rPr>
        <w:t>ë</w:t>
      </w:r>
      <w:r w:rsidRPr="000D723C">
        <w:rPr>
          <w:rFonts w:ascii="Times New Roman" w:hAnsi="Times New Roman"/>
          <w:b/>
          <w:bCs/>
          <w:sz w:val="20"/>
          <w:szCs w:val="20"/>
          <w:lang w:val="sq-AL"/>
        </w:rPr>
        <w:t xml:space="preserve"> b</w:t>
      </w:r>
      <w:r>
        <w:rPr>
          <w:rFonts w:ascii="Times New Roman" w:hAnsi="Times New Roman"/>
          <w:b/>
          <w:bCs/>
          <w:sz w:val="20"/>
          <w:szCs w:val="20"/>
          <w:lang w:val="sq-AL"/>
        </w:rPr>
        <w:t>ë</w:t>
      </w:r>
      <w:r w:rsidRPr="000D723C">
        <w:rPr>
          <w:rFonts w:ascii="Times New Roman" w:hAnsi="Times New Roman"/>
          <w:b/>
          <w:bCs/>
          <w:sz w:val="20"/>
          <w:szCs w:val="20"/>
          <w:lang w:val="sq-AL"/>
        </w:rPr>
        <w:t>r</w:t>
      </w:r>
      <w:r>
        <w:rPr>
          <w:rFonts w:ascii="Times New Roman" w:hAnsi="Times New Roman"/>
          <w:b/>
          <w:bCs/>
          <w:sz w:val="20"/>
          <w:szCs w:val="20"/>
          <w:lang w:val="sq-AL"/>
        </w:rPr>
        <w:t>ë</w:t>
      </w:r>
      <w:r w:rsidRPr="000D723C">
        <w:rPr>
          <w:rFonts w:ascii="Times New Roman" w:hAnsi="Times New Roman"/>
          <w:b/>
          <w:bCs/>
          <w:sz w:val="20"/>
          <w:szCs w:val="20"/>
          <w:lang w:val="sq-AL"/>
        </w:rPr>
        <w:t xml:space="preserve"> n</w:t>
      </w:r>
      <w:r>
        <w:rPr>
          <w:rFonts w:ascii="Times New Roman" w:hAnsi="Times New Roman"/>
          <w:b/>
          <w:bCs/>
          <w:sz w:val="20"/>
          <w:szCs w:val="20"/>
          <w:lang w:val="sq-AL"/>
        </w:rPr>
        <w:t>ë</w:t>
      </w:r>
      <w:r w:rsidRPr="000D723C">
        <w:rPr>
          <w:rFonts w:ascii="Times New Roman" w:hAnsi="Times New Roman"/>
          <w:b/>
          <w:bCs/>
          <w:sz w:val="20"/>
          <w:szCs w:val="20"/>
          <w:lang w:val="sq-AL"/>
        </w:rPr>
        <w:t>p</w:t>
      </w:r>
      <w:r>
        <w:rPr>
          <w:rFonts w:ascii="Times New Roman" w:hAnsi="Times New Roman"/>
          <w:b/>
          <w:bCs/>
          <w:sz w:val="20"/>
          <w:szCs w:val="20"/>
          <w:lang w:val="sq-AL"/>
        </w:rPr>
        <w:t>ë</w:t>
      </w:r>
      <w:r w:rsidRPr="000D723C">
        <w:rPr>
          <w:rFonts w:ascii="Times New Roman" w:hAnsi="Times New Roman"/>
          <w:b/>
          <w:bCs/>
          <w:sz w:val="20"/>
          <w:szCs w:val="20"/>
          <w:lang w:val="sq-AL"/>
        </w:rPr>
        <w:t>rmjet dispozitave integrale n</w:t>
      </w:r>
      <w:r>
        <w:rPr>
          <w:rFonts w:ascii="Times New Roman" w:hAnsi="Times New Roman"/>
          <w:b/>
          <w:bCs/>
          <w:sz w:val="20"/>
          <w:szCs w:val="20"/>
          <w:lang w:val="sq-AL"/>
        </w:rPr>
        <w:t>ë</w:t>
      </w:r>
      <w:r w:rsidRPr="000D723C">
        <w:rPr>
          <w:rFonts w:ascii="Times New Roman" w:hAnsi="Times New Roman"/>
          <w:b/>
          <w:bCs/>
          <w:sz w:val="20"/>
          <w:szCs w:val="20"/>
          <w:lang w:val="sq-AL"/>
        </w:rPr>
        <w:t xml:space="preserve"> projekt-ligjin P</w:t>
      </w:r>
      <w:r>
        <w:rPr>
          <w:rFonts w:ascii="Times New Roman" w:hAnsi="Times New Roman"/>
          <w:b/>
          <w:bCs/>
          <w:sz w:val="20"/>
          <w:szCs w:val="20"/>
          <w:lang w:val="sq-AL"/>
        </w:rPr>
        <w:t>ë</w:t>
      </w:r>
      <w:r w:rsidRPr="000D723C">
        <w:rPr>
          <w:rFonts w:ascii="Times New Roman" w:hAnsi="Times New Roman"/>
          <w:b/>
          <w:bCs/>
          <w:sz w:val="20"/>
          <w:szCs w:val="20"/>
          <w:lang w:val="sq-AL"/>
        </w:rPr>
        <w:t>r Kërkesat e Transparencës për Emetuesit e Titujv</w:t>
      </w:r>
      <w:r>
        <w:rPr>
          <w:rFonts w:ascii="Times New Roman" w:hAnsi="Times New Roman"/>
          <w:b/>
          <w:bCs/>
          <w:sz w:val="20"/>
          <w:szCs w:val="20"/>
          <w:lang w:val="sq-AL"/>
        </w:rPr>
        <w:t>e]</w:t>
      </w:r>
      <w:r w:rsidRPr="000D723C">
        <w:rPr>
          <w:rFonts w:ascii="Times New Roman" w:hAnsi="Times New Roman"/>
          <w:b/>
          <w:bCs/>
          <w:sz w:val="20"/>
          <w:szCs w:val="20"/>
          <w:lang w:val="sq-AL"/>
        </w:rPr>
        <w:t xml:space="preserve"> </w:t>
      </w:r>
    </w:p>
    <w:p w14:paraId="391C0417" w14:textId="183DA914" w:rsidR="000D723C" w:rsidRPr="00A5539A" w:rsidRDefault="000D723C" w:rsidP="00BD20CF">
      <w:pPr>
        <w:widowControl w:val="0"/>
        <w:suppressAutoHyphens/>
        <w:spacing w:after="0" w:line="240" w:lineRule="auto"/>
        <w:jc w:val="both"/>
        <w:rPr>
          <w:rFonts w:ascii="Times New Roman" w:eastAsia="Calibri" w:hAnsi="Times New Roman"/>
          <w:color w:val="auto"/>
          <w:sz w:val="18"/>
          <w:szCs w:val="18"/>
          <w:lang w:val="sq-AL" w:eastAsia="ar-SA"/>
        </w:rPr>
      </w:pPr>
    </w:p>
    <w:p w14:paraId="1D696A49" w14:textId="77777777" w:rsidR="00017594" w:rsidRPr="00A5539A" w:rsidRDefault="00017594">
      <w:pPr>
        <w:jc w:val="both"/>
        <w:rPr>
          <w:rFonts w:ascii="Times New Roman" w:hAnsi="Times New Roman"/>
          <w:sz w:val="18"/>
          <w:lang w:val="sq-AL"/>
        </w:rPr>
      </w:pPr>
    </w:p>
    <w:p w14:paraId="701F2E62" w14:textId="77777777" w:rsidR="00BE05A1" w:rsidRPr="00A5539A" w:rsidRDefault="00017594" w:rsidP="00017594">
      <w:pPr>
        <w:rPr>
          <w:lang w:val="sq-AL"/>
        </w:rPr>
      </w:pPr>
      <w:r w:rsidRPr="00A5539A">
        <w:rPr>
          <w:lang w:val="sq-AL"/>
        </w:rPr>
        <w:br w:type="page"/>
      </w:r>
    </w:p>
    <w:tbl>
      <w:tblPr>
        <w:tblW w:w="5000" w:type="pct"/>
        <w:tblLook w:val="0000" w:firstRow="0" w:lastRow="0" w:firstColumn="0" w:lastColumn="0" w:noHBand="0" w:noVBand="0"/>
      </w:tblPr>
      <w:tblGrid>
        <w:gridCol w:w="1314"/>
        <w:gridCol w:w="3793"/>
        <w:gridCol w:w="831"/>
        <w:gridCol w:w="732"/>
        <w:gridCol w:w="3062"/>
        <w:gridCol w:w="1388"/>
        <w:gridCol w:w="2660"/>
      </w:tblGrid>
      <w:tr w:rsidR="00BE05A1" w:rsidRPr="00A5539A" w14:paraId="3E2CF5BD" w14:textId="77777777" w:rsidTr="00B577B7">
        <w:trPr>
          <w:cantSplit/>
          <w:trHeight w:val="1510"/>
        </w:trPr>
        <w:tc>
          <w:tcPr>
            <w:tcW w:w="1981" w:type="pct"/>
            <w:gridSpan w:val="2"/>
            <w:tcBorders>
              <w:top w:val="single" w:sz="12" w:space="0" w:color="000000"/>
              <w:left w:val="single" w:sz="12" w:space="0" w:color="000000"/>
              <w:bottom w:val="single" w:sz="4" w:space="0" w:color="000000"/>
              <w:right w:val="single" w:sz="12" w:space="0" w:color="000000"/>
            </w:tcBorders>
            <w:shd w:val="clear" w:color="auto" w:fill="FFFFFF"/>
            <w:tcMar>
              <w:top w:w="0" w:type="dxa"/>
              <w:left w:w="0" w:type="dxa"/>
              <w:bottom w:w="0" w:type="dxa"/>
              <w:right w:w="0" w:type="dxa"/>
            </w:tcMar>
          </w:tcPr>
          <w:p w14:paraId="7065F8FD" w14:textId="4CB779E8" w:rsidR="00BE05A1" w:rsidRPr="00A5539A" w:rsidRDefault="00786AA9" w:rsidP="00B8227F">
            <w:pPr>
              <w:spacing w:after="0" w:line="240" w:lineRule="auto"/>
              <w:jc w:val="both"/>
              <w:rPr>
                <w:rFonts w:ascii="Times New Roman" w:hAnsi="Times New Roman"/>
                <w:sz w:val="20"/>
                <w:szCs w:val="20"/>
                <w:lang w:val="sq-AL"/>
              </w:rPr>
            </w:pPr>
            <w:r w:rsidRPr="00A5539A">
              <w:rPr>
                <w:rFonts w:ascii="Times New Roman" w:hAnsi="Times New Roman"/>
                <w:sz w:val="20"/>
                <w:szCs w:val="20"/>
                <w:lang w:val="sq-AL"/>
              </w:rPr>
              <w:t>Rregullorja e Deleguar e Komisionit (BE) 2015/761 e datës 17 dhjetor 2014, që plotëson Direktivën 2004/109/KE të Parlamentit Evropian dhe të Këshillit në lidhje me disa standarde teknike rregullatore për zotërimet e mëdha</w:t>
            </w:r>
          </w:p>
        </w:tc>
        <w:tc>
          <w:tcPr>
            <w:tcW w:w="3019" w:type="pct"/>
            <w:gridSpan w:val="5"/>
            <w:tcBorders>
              <w:top w:val="single" w:sz="12" w:space="0" w:color="000000"/>
              <w:left w:val="single" w:sz="12" w:space="0" w:color="000000"/>
              <w:bottom w:val="single" w:sz="4" w:space="0" w:color="000000"/>
              <w:right w:val="single" w:sz="12" w:space="0" w:color="000000"/>
            </w:tcBorders>
            <w:shd w:val="clear" w:color="auto" w:fill="FFFFFF"/>
            <w:tcMar>
              <w:top w:w="0" w:type="dxa"/>
              <w:left w:w="0" w:type="dxa"/>
              <w:bottom w:w="0" w:type="dxa"/>
              <w:right w:w="0" w:type="dxa"/>
            </w:tcMar>
          </w:tcPr>
          <w:p w14:paraId="130E081C" w14:textId="4E8BC68C" w:rsidR="00BE05A1" w:rsidRPr="00A5539A" w:rsidRDefault="00E715A0">
            <w:pPr>
              <w:jc w:val="both"/>
              <w:rPr>
                <w:rFonts w:ascii="Times New Roman" w:hAnsi="Times New Roman"/>
                <w:sz w:val="20"/>
                <w:szCs w:val="20"/>
                <w:lang w:val="sq-AL"/>
              </w:rPr>
            </w:pPr>
            <w:r w:rsidRPr="00A5539A">
              <w:rPr>
                <w:rFonts w:ascii="Times New Roman" w:hAnsi="Times New Roman"/>
                <w:sz w:val="20"/>
                <w:szCs w:val="20"/>
                <w:lang w:val="sq-AL"/>
              </w:rPr>
              <w:t>Ligji Shqiptar</w:t>
            </w:r>
          </w:p>
          <w:p w14:paraId="3ACCD7EE" w14:textId="1081DBAE" w:rsidR="00E715A0" w:rsidRPr="00A5539A" w:rsidRDefault="00E715A0" w:rsidP="00F84D5B">
            <w:pPr>
              <w:numPr>
                <w:ilvl w:val="0"/>
                <w:numId w:val="20"/>
              </w:numPr>
              <w:jc w:val="both"/>
              <w:rPr>
                <w:rFonts w:ascii="Times New Roman" w:hAnsi="Times New Roman"/>
                <w:sz w:val="20"/>
                <w:szCs w:val="20"/>
                <w:lang w:val="sq-AL"/>
              </w:rPr>
            </w:pPr>
            <w:r w:rsidRPr="00A5539A">
              <w:rPr>
                <w:rFonts w:ascii="Times New Roman" w:hAnsi="Times New Roman"/>
                <w:sz w:val="20"/>
                <w:szCs w:val="20"/>
                <w:lang w:val="sq-AL"/>
              </w:rPr>
              <w:t xml:space="preserve">Projektligj për Kërkesat e Transparencës për Emetuesit e Titujve </w:t>
            </w:r>
          </w:p>
          <w:p w14:paraId="3E0A95C4" w14:textId="62F01DF8" w:rsidR="00BE05A1" w:rsidRPr="00A5539A" w:rsidRDefault="00BE05A1" w:rsidP="00E715A0">
            <w:pPr>
              <w:jc w:val="both"/>
              <w:rPr>
                <w:rFonts w:ascii="Times New Roman" w:hAnsi="Times New Roman"/>
                <w:sz w:val="20"/>
                <w:szCs w:val="20"/>
                <w:lang w:val="sq-AL"/>
              </w:rPr>
            </w:pPr>
            <w:r w:rsidRPr="00A5539A">
              <w:rPr>
                <w:rFonts w:ascii="Times New Roman" w:hAnsi="Times New Roman"/>
                <w:sz w:val="20"/>
                <w:szCs w:val="20"/>
                <w:lang w:val="sq-AL"/>
              </w:rPr>
              <w:t xml:space="preserve">F </w:t>
            </w:r>
            <w:r w:rsidR="00165091" w:rsidRPr="00A5539A">
              <w:rPr>
                <w:rFonts w:ascii="Times New Roman" w:hAnsi="Times New Roman"/>
                <w:sz w:val="20"/>
                <w:szCs w:val="20"/>
                <w:lang w:val="sq-AL"/>
              </w:rPr>
              <w:t>–</w:t>
            </w:r>
            <w:r w:rsidRPr="00A5539A">
              <w:rPr>
                <w:rFonts w:ascii="Times New Roman" w:hAnsi="Times New Roman"/>
                <w:sz w:val="20"/>
                <w:szCs w:val="20"/>
                <w:lang w:val="sq-AL"/>
              </w:rPr>
              <w:t xml:space="preserve"> </w:t>
            </w:r>
            <w:r w:rsidR="00A5539A" w:rsidRPr="00A5539A">
              <w:rPr>
                <w:rFonts w:ascii="Times New Roman" w:hAnsi="Times New Roman"/>
                <w:sz w:val="20"/>
                <w:szCs w:val="20"/>
                <w:lang w:val="sq-AL"/>
              </w:rPr>
              <w:t>Përputhshmëri e plotë</w:t>
            </w:r>
          </w:p>
          <w:p w14:paraId="37206848" w14:textId="5E47CC9E" w:rsidR="00BE05A1" w:rsidRPr="00A5539A" w:rsidRDefault="00BE05A1">
            <w:pPr>
              <w:spacing w:after="0"/>
              <w:jc w:val="both"/>
              <w:rPr>
                <w:rFonts w:ascii="Times New Roman" w:hAnsi="Times New Roman"/>
                <w:sz w:val="20"/>
                <w:szCs w:val="20"/>
                <w:lang w:val="sq-AL"/>
              </w:rPr>
            </w:pPr>
            <w:r w:rsidRPr="00A5539A">
              <w:rPr>
                <w:rFonts w:ascii="Times New Roman" w:hAnsi="Times New Roman"/>
                <w:sz w:val="20"/>
                <w:szCs w:val="20"/>
                <w:lang w:val="sq-AL"/>
              </w:rPr>
              <w:t xml:space="preserve">P </w:t>
            </w:r>
            <w:r w:rsidR="00165091" w:rsidRPr="00A5539A">
              <w:rPr>
                <w:rFonts w:ascii="Times New Roman" w:hAnsi="Times New Roman"/>
                <w:sz w:val="20"/>
                <w:szCs w:val="20"/>
                <w:lang w:val="sq-AL"/>
              </w:rPr>
              <w:t>–</w:t>
            </w:r>
            <w:r w:rsidRPr="00A5539A">
              <w:rPr>
                <w:rFonts w:ascii="Times New Roman" w:hAnsi="Times New Roman"/>
                <w:sz w:val="20"/>
                <w:szCs w:val="20"/>
                <w:lang w:val="sq-AL"/>
              </w:rPr>
              <w:t xml:space="preserve"> </w:t>
            </w:r>
            <w:r w:rsidR="00A5539A" w:rsidRPr="00A5539A">
              <w:rPr>
                <w:rFonts w:ascii="Times New Roman" w:hAnsi="Times New Roman"/>
                <w:sz w:val="20"/>
                <w:szCs w:val="20"/>
                <w:lang w:val="sq-AL"/>
              </w:rPr>
              <w:t>Përputhshmëri e pjesshmë</w:t>
            </w:r>
          </w:p>
          <w:p w14:paraId="714D5118" w14:textId="2381FD3E" w:rsidR="00BE05A1" w:rsidRPr="00A5539A" w:rsidRDefault="00BE05A1">
            <w:pPr>
              <w:spacing w:after="0"/>
              <w:jc w:val="both"/>
              <w:rPr>
                <w:rFonts w:ascii="Times New Roman" w:hAnsi="Times New Roman"/>
                <w:sz w:val="20"/>
                <w:szCs w:val="20"/>
                <w:lang w:val="sq-AL"/>
              </w:rPr>
            </w:pPr>
            <w:r w:rsidRPr="00A5539A">
              <w:rPr>
                <w:rFonts w:ascii="Times New Roman" w:hAnsi="Times New Roman"/>
                <w:sz w:val="20"/>
                <w:szCs w:val="20"/>
                <w:lang w:val="sq-AL"/>
              </w:rPr>
              <w:t xml:space="preserve">N </w:t>
            </w:r>
            <w:r w:rsidR="00D11F94" w:rsidRPr="00A5539A">
              <w:rPr>
                <w:rFonts w:ascii="Times New Roman" w:hAnsi="Times New Roman"/>
                <w:sz w:val="20"/>
                <w:szCs w:val="20"/>
                <w:lang w:val="sq-AL"/>
              </w:rPr>
              <w:t>–</w:t>
            </w:r>
            <w:r w:rsidRPr="00A5539A">
              <w:rPr>
                <w:rFonts w:ascii="Times New Roman" w:hAnsi="Times New Roman"/>
                <w:sz w:val="20"/>
                <w:szCs w:val="20"/>
                <w:lang w:val="sq-AL"/>
              </w:rPr>
              <w:t xml:space="preserve"> </w:t>
            </w:r>
            <w:r w:rsidR="00A5539A" w:rsidRPr="00A5539A">
              <w:rPr>
                <w:rFonts w:ascii="Times New Roman" w:hAnsi="Times New Roman"/>
                <w:sz w:val="20"/>
                <w:szCs w:val="20"/>
                <w:lang w:val="sq-AL"/>
              </w:rPr>
              <w:t>E papërputhur</w:t>
            </w:r>
          </w:p>
        </w:tc>
      </w:tr>
      <w:tr w:rsidR="0014443A" w:rsidRPr="00A5539A" w14:paraId="65146670" w14:textId="77777777" w:rsidTr="00B577B7">
        <w:trPr>
          <w:cantSplit/>
          <w:trHeight w:val="24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DDC1C6A" w14:textId="77777777" w:rsidR="00BE05A1" w:rsidRPr="00A5539A" w:rsidRDefault="00BE05A1">
            <w:pPr>
              <w:jc w:val="center"/>
              <w:rPr>
                <w:rFonts w:ascii="Times New Roman" w:hAnsi="Times New Roman"/>
                <w:sz w:val="20"/>
                <w:szCs w:val="20"/>
                <w:lang w:val="sq-AL"/>
              </w:rPr>
            </w:pPr>
            <w:r w:rsidRPr="00A5539A">
              <w:rPr>
                <w:rFonts w:ascii="Times New Roman" w:hAnsi="Times New Roman"/>
                <w:sz w:val="20"/>
                <w:szCs w:val="20"/>
                <w:lang w:val="sq-AL"/>
              </w:rPr>
              <w:t>1</w:t>
            </w: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03AF6A8" w14:textId="77777777" w:rsidR="00BE05A1" w:rsidRPr="00A5539A" w:rsidRDefault="00BE05A1">
            <w:pPr>
              <w:jc w:val="center"/>
              <w:rPr>
                <w:rFonts w:ascii="Times New Roman" w:hAnsi="Times New Roman"/>
                <w:sz w:val="20"/>
                <w:szCs w:val="20"/>
                <w:lang w:val="sq-AL"/>
              </w:rPr>
            </w:pPr>
            <w:r w:rsidRPr="00A5539A">
              <w:rPr>
                <w:rFonts w:ascii="Times New Roman" w:hAnsi="Times New Roman"/>
                <w:sz w:val="20"/>
                <w:szCs w:val="20"/>
                <w:lang w:val="sq-AL"/>
              </w:rPr>
              <w:t>2</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115774D" w14:textId="77777777" w:rsidR="00BE05A1" w:rsidRPr="00A5539A" w:rsidRDefault="00BE05A1">
            <w:pPr>
              <w:jc w:val="center"/>
              <w:rPr>
                <w:rFonts w:ascii="Times New Roman" w:hAnsi="Times New Roman"/>
                <w:sz w:val="20"/>
                <w:szCs w:val="20"/>
                <w:lang w:val="sq-AL"/>
              </w:rPr>
            </w:pPr>
            <w:r w:rsidRPr="00A5539A">
              <w:rPr>
                <w:rFonts w:ascii="Times New Roman" w:hAnsi="Times New Roman"/>
                <w:sz w:val="20"/>
                <w:szCs w:val="20"/>
                <w:lang w:val="sq-AL"/>
              </w:rPr>
              <w:t>3</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8EB0DF" w14:textId="77777777" w:rsidR="00BE05A1" w:rsidRPr="00A5539A" w:rsidRDefault="00BE05A1">
            <w:pPr>
              <w:jc w:val="center"/>
              <w:rPr>
                <w:rFonts w:ascii="Times New Roman" w:hAnsi="Times New Roman"/>
                <w:sz w:val="20"/>
                <w:szCs w:val="20"/>
                <w:lang w:val="sq-AL"/>
              </w:rPr>
            </w:pPr>
            <w:r w:rsidRPr="00A5539A">
              <w:rPr>
                <w:rFonts w:ascii="Times New Roman" w:hAnsi="Times New Roman"/>
                <w:sz w:val="20"/>
                <w:szCs w:val="20"/>
                <w:lang w:val="sq-AL"/>
              </w:rPr>
              <w:t>4</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242411" w14:textId="77777777" w:rsidR="00BE05A1" w:rsidRPr="00A5539A" w:rsidRDefault="00BE05A1">
            <w:pPr>
              <w:jc w:val="center"/>
              <w:rPr>
                <w:rFonts w:ascii="Times New Roman" w:hAnsi="Times New Roman"/>
                <w:sz w:val="20"/>
                <w:szCs w:val="20"/>
                <w:lang w:val="sq-AL"/>
              </w:rPr>
            </w:pPr>
            <w:r w:rsidRPr="00A5539A">
              <w:rPr>
                <w:rFonts w:ascii="Times New Roman" w:hAnsi="Times New Roman"/>
                <w:sz w:val="20"/>
                <w:szCs w:val="20"/>
                <w:lang w:val="sq-AL"/>
              </w:rPr>
              <w:t>5</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887DD6" w14:textId="77777777" w:rsidR="00BE05A1" w:rsidRPr="00A5539A" w:rsidRDefault="00BE05A1">
            <w:pPr>
              <w:ind w:firstLine="251"/>
              <w:jc w:val="center"/>
              <w:rPr>
                <w:rFonts w:ascii="Times New Roman" w:hAnsi="Times New Roman"/>
                <w:sz w:val="20"/>
                <w:szCs w:val="20"/>
                <w:lang w:val="sq-AL"/>
              </w:rPr>
            </w:pPr>
            <w:r w:rsidRPr="00A5539A">
              <w:rPr>
                <w:rFonts w:ascii="Times New Roman" w:hAnsi="Times New Roman"/>
                <w:sz w:val="20"/>
                <w:szCs w:val="20"/>
                <w:lang w:val="sq-AL"/>
              </w:rPr>
              <w:t>6</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0505688" w14:textId="77777777" w:rsidR="00BE05A1" w:rsidRPr="00A5539A" w:rsidRDefault="00BE05A1">
            <w:pPr>
              <w:jc w:val="center"/>
              <w:rPr>
                <w:rFonts w:ascii="Times New Roman" w:hAnsi="Times New Roman"/>
                <w:sz w:val="20"/>
                <w:szCs w:val="20"/>
                <w:lang w:val="sq-AL"/>
              </w:rPr>
            </w:pPr>
            <w:r w:rsidRPr="00A5539A">
              <w:rPr>
                <w:rFonts w:ascii="Times New Roman" w:hAnsi="Times New Roman"/>
                <w:sz w:val="20"/>
                <w:szCs w:val="20"/>
                <w:lang w:val="sq-AL"/>
              </w:rPr>
              <w:t>7</w:t>
            </w:r>
          </w:p>
        </w:tc>
      </w:tr>
      <w:tr w:rsidR="0014443A" w:rsidRPr="00A5539A" w14:paraId="582F8E22"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AAAB805" w14:textId="4A61FCC6" w:rsidR="00BE05A1" w:rsidRPr="00A5539A" w:rsidRDefault="00A6490B">
            <w:pPr>
              <w:jc w:val="center"/>
              <w:rPr>
                <w:rFonts w:ascii="Times New Roman" w:hAnsi="Times New Roman"/>
                <w:sz w:val="20"/>
                <w:szCs w:val="20"/>
                <w:lang w:val="sq-AL"/>
              </w:rPr>
            </w:pPr>
            <w:r w:rsidRPr="00A5539A">
              <w:rPr>
                <w:rFonts w:ascii="Times New Roman" w:hAnsi="Times New Roman"/>
                <w:sz w:val="20"/>
                <w:szCs w:val="20"/>
                <w:lang w:val="sq-AL"/>
              </w:rPr>
              <w:t>Neni</w:t>
            </w: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2626FC8" w14:textId="1D5E90AE" w:rsidR="00BE05A1" w:rsidRPr="00A5539A" w:rsidRDefault="00BE05A1">
            <w:pPr>
              <w:jc w:val="center"/>
              <w:rPr>
                <w:rFonts w:ascii="Times New Roman" w:hAnsi="Times New Roman"/>
                <w:sz w:val="20"/>
                <w:szCs w:val="20"/>
                <w:lang w:val="sq-AL"/>
              </w:rPr>
            </w:pPr>
            <w:r w:rsidRPr="00A5539A">
              <w:rPr>
                <w:rFonts w:ascii="Times New Roman" w:hAnsi="Times New Roman"/>
                <w:sz w:val="20"/>
                <w:szCs w:val="20"/>
                <w:lang w:val="sq-AL"/>
              </w:rPr>
              <w:t>Te</w:t>
            </w:r>
            <w:r w:rsidR="008A6AAE" w:rsidRPr="00A5539A">
              <w:rPr>
                <w:rFonts w:ascii="Times New Roman" w:hAnsi="Times New Roman"/>
                <w:sz w:val="20"/>
                <w:szCs w:val="20"/>
                <w:lang w:val="sq-AL"/>
              </w:rPr>
              <w:t>kst</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5672EEF" w14:textId="0E043801" w:rsidR="00BE05A1" w:rsidRPr="00A5539A" w:rsidRDefault="00BE05A1">
            <w:pPr>
              <w:jc w:val="center"/>
              <w:rPr>
                <w:rFonts w:ascii="Times New Roman" w:hAnsi="Times New Roman"/>
                <w:sz w:val="20"/>
                <w:szCs w:val="20"/>
                <w:lang w:val="sq-AL"/>
              </w:rPr>
            </w:pPr>
            <w:r w:rsidRPr="00A5539A">
              <w:rPr>
                <w:rFonts w:ascii="Times New Roman" w:hAnsi="Times New Roman"/>
                <w:sz w:val="20"/>
                <w:szCs w:val="20"/>
                <w:lang w:val="sq-AL"/>
              </w:rPr>
              <w:t>Referenc</w:t>
            </w:r>
            <w:r w:rsidR="008A6AAE" w:rsidRPr="00A5539A">
              <w:rPr>
                <w:rFonts w:ascii="Times New Roman" w:hAnsi="Times New Roman"/>
                <w:sz w:val="20"/>
                <w:szCs w:val="20"/>
                <w:lang w:val="sq-AL"/>
              </w:rPr>
              <w:t>a</w:t>
            </w:r>
          </w:p>
          <w:p w14:paraId="12807A84" w14:textId="77777777" w:rsidR="00BE05A1" w:rsidRPr="00A5539A" w:rsidRDefault="00BE05A1">
            <w:pPr>
              <w:jc w:val="center"/>
              <w:rPr>
                <w:rFonts w:ascii="Times New Roman" w:hAnsi="Times New Roman"/>
                <w:sz w:val="20"/>
                <w:szCs w:val="20"/>
                <w:lang w:val="sq-AL"/>
              </w:rPr>
            </w:pP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E8DECF" w14:textId="4A0BF895" w:rsidR="00BE05A1" w:rsidRPr="00A5539A" w:rsidRDefault="008A6AAE">
            <w:pPr>
              <w:jc w:val="center"/>
              <w:rPr>
                <w:rFonts w:ascii="Times New Roman" w:hAnsi="Times New Roman"/>
                <w:sz w:val="20"/>
                <w:szCs w:val="20"/>
                <w:lang w:val="sq-AL"/>
              </w:rPr>
            </w:pPr>
            <w:r w:rsidRPr="00A5539A">
              <w:rPr>
                <w:rFonts w:ascii="Times New Roman" w:hAnsi="Times New Roman"/>
                <w:sz w:val="20"/>
                <w:szCs w:val="20"/>
                <w:lang w:val="sq-AL"/>
              </w:rPr>
              <w:t>Neni</w:t>
            </w:r>
          </w:p>
          <w:p w14:paraId="31B8A8A1" w14:textId="77777777" w:rsidR="00BE05A1" w:rsidRPr="00A5539A" w:rsidRDefault="00BE05A1">
            <w:pPr>
              <w:jc w:val="center"/>
              <w:rPr>
                <w:rFonts w:ascii="Times New Roman" w:hAnsi="Times New Roman"/>
                <w:sz w:val="20"/>
                <w:szCs w:val="20"/>
                <w:lang w:val="sq-AL"/>
              </w:rPr>
            </w:pP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2A04E1" w14:textId="53B70E0C" w:rsidR="00BE05A1" w:rsidRPr="00A5539A" w:rsidRDefault="008A6AAE">
            <w:pPr>
              <w:jc w:val="center"/>
              <w:rPr>
                <w:rFonts w:ascii="Times New Roman" w:hAnsi="Times New Roman"/>
                <w:b/>
                <w:bCs/>
                <w:sz w:val="20"/>
                <w:szCs w:val="20"/>
                <w:lang w:val="sq-AL"/>
              </w:rPr>
            </w:pPr>
            <w:r w:rsidRPr="00A5539A">
              <w:rPr>
                <w:rFonts w:ascii="Times New Roman" w:hAnsi="Times New Roman"/>
                <w:b/>
                <w:bCs/>
                <w:sz w:val="20"/>
                <w:szCs w:val="20"/>
                <w:lang w:val="sq-AL"/>
              </w:rPr>
              <w:t>P</w:t>
            </w:r>
            <w:r w:rsidR="00A5539A" w:rsidRPr="00A5539A">
              <w:rPr>
                <w:rFonts w:ascii="Times New Roman" w:eastAsia="Times New Roman" w:hAnsi="Times New Roman"/>
                <w:b/>
                <w:bCs/>
                <w:sz w:val="20"/>
                <w:szCs w:val="20"/>
                <w:lang w:val="sq-AL"/>
              </w:rPr>
              <w:t>ë</w:t>
            </w:r>
            <w:r w:rsidRPr="00A5539A">
              <w:rPr>
                <w:rFonts w:ascii="Times New Roman" w:hAnsi="Times New Roman"/>
                <w:b/>
                <w:bCs/>
                <w:sz w:val="20"/>
                <w:szCs w:val="20"/>
                <w:lang w:val="sq-AL"/>
              </w:rPr>
              <w:t>rmbajtja</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09DDCB" w14:textId="0B9E33A2" w:rsidR="00BE05A1" w:rsidRPr="00A5539A" w:rsidRDefault="00585ADD">
            <w:pPr>
              <w:jc w:val="center"/>
              <w:rPr>
                <w:rFonts w:ascii="Times New Roman" w:hAnsi="Times New Roman"/>
                <w:sz w:val="20"/>
                <w:szCs w:val="20"/>
                <w:lang w:val="sq-AL"/>
              </w:rPr>
            </w:pPr>
            <w:r w:rsidRPr="00A5539A">
              <w:rPr>
                <w:rFonts w:ascii="Times New Roman" w:hAnsi="Times New Roman"/>
                <w:b/>
                <w:bCs/>
                <w:sz w:val="20"/>
                <w:szCs w:val="20"/>
                <w:lang w:val="sq-AL"/>
              </w:rPr>
              <w:t>P</w:t>
            </w:r>
            <w:r w:rsidR="0046460A" w:rsidRPr="00A5539A">
              <w:rPr>
                <w:rFonts w:ascii="Times New Roman" w:eastAsia="Times New Roman" w:hAnsi="Times New Roman"/>
                <w:b/>
                <w:bCs/>
                <w:sz w:val="20"/>
                <w:szCs w:val="20"/>
                <w:lang w:val="sq-AL"/>
              </w:rPr>
              <w:t>ë</w:t>
            </w:r>
            <w:r w:rsidRPr="00A5539A">
              <w:rPr>
                <w:rFonts w:ascii="Times New Roman" w:hAnsi="Times New Roman"/>
                <w:b/>
                <w:bCs/>
                <w:sz w:val="20"/>
                <w:szCs w:val="20"/>
                <w:lang w:val="sq-AL"/>
              </w:rPr>
              <w:t>rp</w:t>
            </w:r>
            <w:r w:rsidR="0046460A" w:rsidRPr="00A5539A">
              <w:rPr>
                <w:rFonts w:ascii="Times New Roman" w:hAnsi="Times New Roman"/>
                <w:b/>
                <w:bCs/>
                <w:sz w:val="20"/>
                <w:szCs w:val="20"/>
                <w:lang w:val="sq-AL"/>
              </w:rPr>
              <w:t>u</w:t>
            </w:r>
            <w:r w:rsidRPr="00A5539A">
              <w:rPr>
                <w:rFonts w:ascii="Times New Roman" w:hAnsi="Times New Roman"/>
                <w:b/>
                <w:bCs/>
                <w:sz w:val="20"/>
                <w:szCs w:val="20"/>
                <w:lang w:val="sq-AL"/>
              </w:rPr>
              <w:t>thshm</w:t>
            </w:r>
            <w:r w:rsidR="0046460A" w:rsidRPr="00A5539A">
              <w:rPr>
                <w:rFonts w:ascii="Times New Roman" w:eastAsia="Times New Roman" w:hAnsi="Times New Roman"/>
                <w:b/>
                <w:bCs/>
                <w:sz w:val="20"/>
                <w:szCs w:val="20"/>
                <w:lang w:val="sq-AL"/>
              </w:rPr>
              <w:t>ë</w:t>
            </w:r>
            <w:r w:rsidRPr="00A5539A">
              <w:rPr>
                <w:rFonts w:ascii="Times New Roman" w:hAnsi="Times New Roman"/>
                <w:b/>
                <w:bCs/>
                <w:sz w:val="20"/>
                <w:szCs w:val="20"/>
                <w:lang w:val="sq-AL"/>
              </w:rPr>
              <w:t>ri</w:t>
            </w:r>
            <w:r w:rsidRPr="00A5539A">
              <w:rPr>
                <w:rFonts w:ascii="Times New Roman" w:hAnsi="Times New Roman"/>
                <w:sz w:val="20"/>
                <w:szCs w:val="20"/>
                <w:lang w:val="sq-AL"/>
              </w:rPr>
              <w:t>a</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48E751C" w14:textId="1EE942F9" w:rsidR="00BE05A1" w:rsidRPr="00A5539A" w:rsidRDefault="0046460A">
            <w:pPr>
              <w:jc w:val="center"/>
              <w:rPr>
                <w:rFonts w:ascii="Times New Roman" w:hAnsi="Times New Roman"/>
                <w:b/>
                <w:bCs/>
                <w:sz w:val="20"/>
                <w:szCs w:val="20"/>
                <w:lang w:val="sq-AL"/>
              </w:rPr>
            </w:pPr>
            <w:r w:rsidRPr="00A5539A">
              <w:rPr>
                <w:rFonts w:ascii="Times New Roman" w:hAnsi="Times New Roman"/>
                <w:b/>
                <w:bCs/>
                <w:sz w:val="20"/>
                <w:szCs w:val="20"/>
                <w:lang w:val="sq-AL"/>
              </w:rPr>
              <w:t>Sh</w:t>
            </w:r>
            <w:r w:rsidR="00990296" w:rsidRPr="00A5539A">
              <w:rPr>
                <w:rFonts w:ascii="Times New Roman" w:eastAsia="Times New Roman" w:hAnsi="Times New Roman"/>
                <w:b/>
                <w:bCs/>
                <w:sz w:val="20"/>
                <w:szCs w:val="20"/>
                <w:lang w:val="sq-AL"/>
              </w:rPr>
              <w:t>ënime</w:t>
            </w:r>
          </w:p>
        </w:tc>
      </w:tr>
      <w:tr w:rsidR="0014443A" w:rsidRPr="00A5539A" w14:paraId="0F51F246"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7ED8CA7" w14:textId="1B0C5FFB" w:rsidR="00D727B0" w:rsidRPr="00A5539A" w:rsidRDefault="00786AA9" w:rsidP="00D727B0">
            <w:pPr>
              <w:spacing w:after="120" w:line="240" w:lineRule="auto"/>
              <w:jc w:val="center"/>
              <w:rPr>
                <w:rFonts w:ascii="Times New Roman" w:hAnsi="Times New Roman"/>
                <w:b/>
                <w:bCs/>
                <w:sz w:val="20"/>
                <w:szCs w:val="20"/>
                <w:lang w:val="sq-AL"/>
              </w:rPr>
            </w:pPr>
            <w:r w:rsidRPr="00A5539A">
              <w:rPr>
                <w:rFonts w:ascii="Times New Roman" w:hAnsi="Times New Roman"/>
                <w:b/>
                <w:bCs/>
                <w:sz w:val="20"/>
                <w:szCs w:val="20"/>
                <w:lang w:val="sq-AL"/>
              </w:rPr>
              <w:t>Neni 1</w:t>
            </w:r>
          </w:p>
          <w:p w14:paraId="34DEC3CA" w14:textId="782AECC4" w:rsidR="00786AA9" w:rsidRPr="00A5539A" w:rsidRDefault="00786AA9" w:rsidP="00D727B0">
            <w:pPr>
              <w:spacing w:after="120" w:line="240" w:lineRule="auto"/>
              <w:jc w:val="center"/>
              <w:rPr>
                <w:rFonts w:ascii="Times New Roman" w:hAnsi="Times New Roman"/>
                <w:b/>
                <w:bCs/>
                <w:sz w:val="20"/>
                <w:szCs w:val="20"/>
                <w:lang w:val="sq-AL"/>
              </w:rPr>
            </w:pPr>
            <w:r w:rsidRPr="00A5539A">
              <w:rPr>
                <w:rFonts w:ascii="Times New Roman" w:hAnsi="Times New Roman"/>
                <w:b/>
                <w:bCs/>
                <w:sz w:val="20"/>
                <w:szCs w:val="20"/>
                <w:lang w:val="sq-AL"/>
              </w:rPr>
              <w:t>Objekti</w:t>
            </w:r>
          </w:p>
          <w:p w14:paraId="68A2AF96" w14:textId="21CA24A0" w:rsidR="00017594" w:rsidRPr="00A5539A" w:rsidRDefault="00017594" w:rsidP="00786AA9">
            <w:pPr>
              <w:spacing w:after="120" w:line="240" w:lineRule="auto"/>
              <w:rPr>
                <w:rFonts w:ascii="Times New Roman" w:hAnsi="Times New Roman"/>
                <w:sz w:val="20"/>
                <w:szCs w:val="20"/>
                <w:lang w:val="sq-AL"/>
              </w:rPr>
            </w:pP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43707B3" w14:textId="08DE4EF1" w:rsidR="00017594" w:rsidRPr="00A5539A" w:rsidRDefault="00AC4C36" w:rsidP="008632A4">
            <w:pPr>
              <w:spacing w:after="120" w:line="240" w:lineRule="auto"/>
              <w:jc w:val="both"/>
              <w:rPr>
                <w:rFonts w:ascii="Times New Roman" w:hAnsi="Times New Roman"/>
                <w:sz w:val="20"/>
                <w:szCs w:val="20"/>
                <w:lang w:val="sq-AL"/>
              </w:rPr>
            </w:pPr>
            <w:r w:rsidRPr="00A5539A">
              <w:rPr>
                <w:rFonts w:ascii="Times New Roman" w:eastAsia="Times New Roman" w:hAnsi="Times New Roman"/>
                <w:sz w:val="20"/>
                <w:szCs w:val="20"/>
                <w:lang w:val="sq-AL"/>
              </w:rPr>
              <w:t>Kjo Rregullore përcakton rregulla të detajuara për zbatimin e nenit 9(6b), nenit 13(1a)(a) dhe (b) dhe nenit 13(4) të Direktivës 2004/109/KE.</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E2F41AF" w14:textId="4944436C" w:rsidR="00017594" w:rsidRPr="00A5539A" w:rsidRDefault="002E5647" w:rsidP="00017594">
            <w:pPr>
              <w:spacing w:after="120" w:line="240" w:lineRule="auto"/>
              <w:jc w:val="center"/>
              <w:rPr>
                <w:rFonts w:ascii="Times New Roman" w:hAnsi="Times New Roman"/>
                <w:sz w:val="20"/>
                <w:szCs w:val="20"/>
                <w:lang w:val="sq-AL"/>
              </w:rPr>
            </w:pPr>
            <w:r w:rsidRPr="00A5539A">
              <w:rPr>
                <w:rFonts w:ascii="Times New Roman" w:hAnsi="Times New Roman"/>
                <w:sz w:val="20"/>
                <w:szCs w:val="20"/>
                <w:lang w:val="sq-AL"/>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DD4F6B" w14:textId="7FDA902A" w:rsidR="00502ABC" w:rsidRPr="00A5539A" w:rsidRDefault="009C6801" w:rsidP="002E5647">
            <w:pPr>
              <w:spacing w:after="120" w:line="240" w:lineRule="auto"/>
              <w:rPr>
                <w:rFonts w:ascii="Times New Roman" w:hAnsi="Times New Roman"/>
                <w:sz w:val="20"/>
                <w:szCs w:val="20"/>
                <w:lang w:val="sq-AL"/>
              </w:rPr>
            </w:pPr>
            <w:r w:rsidRPr="00A5539A">
              <w:rPr>
                <w:rFonts w:ascii="Times New Roman" w:hAnsi="Times New Roman"/>
                <w:sz w:val="20"/>
                <w:szCs w:val="20"/>
                <w:lang w:val="sq-AL"/>
              </w:rPr>
              <w:t>n/a</w:t>
            </w:r>
          </w:p>
          <w:p w14:paraId="22E8DA87" w14:textId="77777777" w:rsidR="00502ABC" w:rsidRPr="00A5539A" w:rsidRDefault="00502ABC" w:rsidP="002E5647">
            <w:pPr>
              <w:spacing w:after="120" w:line="240" w:lineRule="auto"/>
              <w:rPr>
                <w:rFonts w:ascii="Times New Roman" w:hAnsi="Times New Roman"/>
                <w:sz w:val="20"/>
                <w:szCs w:val="20"/>
                <w:lang w:val="sq-AL"/>
              </w:rPr>
            </w:pPr>
          </w:p>
          <w:p w14:paraId="5615A79A" w14:textId="77777777" w:rsidR="00502ABC" w:rsidRPr="00A5539A" w:rsidRDefault="00502ABC" w:rsidP="002E5647">
            <w:pPr>
              <w:spacing w:after="120" w:line="240" w:lineRule="auto"/>
              <w:rPr>
                <w:rFonts w:ascii="Times New Roman" w:hAnsi="Times New Roman"/>
                <w:sz w:val="20"/>
                <w:szCs w:val="20"/>
                <w:lang w:val="sq-AL"/>
              </w:rPr>
            </w:pPr>
          </w:p>
          <w:p w14:paraId="79915E9A" w14:textId="77777777" w:rsidR="00502ABC" w:rsidRPr="00A5539A" w:rsidRDefault="00502ABC" w:rsidP="002E5647">
            <w:pPr>
              <w:spacing w:after="120" w:line="240" w:lineRule="auto"/>
              <w:rPr>
                <w:rFonts w:ascii="Times New Roman" w:hAnsi="Times New Roman"/>
                <w:sz w:val="20"/>
                <w:szCs w:val="20"/>
                <w:lang w:val="sq-AL"/>
              </w:rPr>
            </w:pPr>
          </w:p>
          <w:p w14:paraId="45F7A061" w14:textId="54956B85" w:rsidR="00502ABC" w:rsidRPr="00A5539A" w:rsidRDefault="00502ABC" w:rsidP="002E5647">
            <w:pPr>
              <w:spacing w:after="120" w:line="240" w:lineRule="auto"/>
              <w:rPr>
                <w:rFonts w:ascii="Times New Roman" w:hAnsi="Times New Roman"/>
                <w:sz w:val="20"/>
                <w:szCs w:val="20"/>
                <w:lang w:val="sq-AL"/>
              </w:rPr>
            </w:pP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D07FDB" w14:textId="441B8871" w:rsidR="00502ABC" w:rsidRPr="00A5539A" w:rsidRDefault="00990296" w:rsidP="00502ABC">
            <w:pPr>
              <w:pStyle w:val="NoSpacing"/>
              <w:rPr>
                <w:rFonts w:ascii="Times New Roman" w:hAnsi="Times New Roman"/>
                <w:sz w:val="20"/>
                <w:szCs w:val="20"/>
                <w:lang w:val="sq-AL"/>
              </w:rPr>
            </w:pPr>
            <w:r w:rsidRPr="00A5539A">
              <w:rPr>
                <w:rFonts w:ascii="Times New Roman" w:hAnsi="Times New Roman"/>
                <w:sz w:val="20"/>
                <w:szCs w:val="20"/>
                <w:lang w:val="sq-AL"/>
              </w:rPr>
              <w:t>n/a</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C5CD80" w14:textId="25C70E6C" w:rsidR="00017594" w:rsidRPr="00A5539A" w:rsidRDefault="00017594" w:rsidP="00017594">
            <w:pPr>
              <w:spacing w:after="120" w:line="240" w:lineRule="auto"/>
              <w:jc w:val="center"/>
              <w:rPr>
                <w:rFonts w:ascii="Times New Roman" w:hAnsi="Times New Roman"/>
                <w:b/>
                <w:bCs/>
                <w:sz w:val="20"/>
                <w:szCs w:val="20"/>
                <w:lang w:val="sq-AL"/>
              </w:rPr>
            </w:pP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3697247" w14:textId="357770FF" w:rsidR="00017594" w:rsidRPr="00A5539A" w:rsidRDefault="005735FD" w:rsidP="008632A4">
            <w:pPr>
              <w:rPr>
                <w:rFonts w:ascii="Times New Roman" w:hAnsi="Times New Roman"/>
                <w:sz w:val="20"/>
                <w:szCs w:val="20"/>
                <w:lang w:val="sq-AL"/>
              </w:rPr>
            </w:pPr>
            <w:r w:rsidRPr="00A5539A">
              <w:rPr>
                <w:rFonts w:ascii="Times New Roman" w:hAnsi="Times New Roman"/>
                <w:sz w:val="20"/>
                <w:szCs w:val="20"/>
                <w:lang w:val="sq-AL"/>
              </w:rPr>
              <w:t>Nuk ka nevoj</w:t>
            </w:r>
            <w:r w:rsidR="00A5539A" w:rsidRPr="00A5539A">
              <w:rPr>
                <w:rFonts w:ascii="Times New Roman" w:hAnsi="Times New Roman"/>
                <w:sz w:val="20"/>
                <w:szCs w:val="20"/>
                <w:lang w:val="sq-AL"/>
              </w:rPr>
              <w:t>ë</w:t>
            </w:r>
            <w:r w:rsidRPr="00A5539A">
              <w:rPr>
                <w:rFonts w:ascii="Times New Roman" w:hAnsi="Times New Roman"/>
                <w:sz w:val="20"/>
                <w:szCs w:val="20"/>
                <w:lang w:val="sq-AL"/>
              </w:rPr>
              <w:t xml:space="preserve"> p</w:t>
            </w:r>
            <w:r w:rsidR="00A5539A" w:rsidRPr="00A5539A">
              <w:rPr>
                <w:rFonts w:ascii="Times New Roman" w:hAnsi="Times New Roman"/>
                <w:sz w:val="20"/>
                <w:szCs w:val="20"/>
                <w:lang w:val="sq-AL"/>
              </w:rPr>
              <w:t>ë</w:t>
            </w:r>
            <w:r w:rsidRPr="00A5539A">
              <w:rPr>
                <w:rFonts w:ascii="Times New Roman" w:hAnsi="Times New Roman"/>
                <w:sz w:val="20"/>
                <w:szCs w:val="20"/>
                <w:lang w:val="sq-AL"/>
              </w:rPr>
              <w:t>r transpozim</w:t>
            </w:r>
          </w:p>
        </w:tc>
      </w:tr>
      <w:tr w:rsidR="0014443A" w:rsidRPr="00A5539A" w14:paraId="16125815"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C9BD58A" w14:textId="77777777" w:rsidR="00B4533A" w:rsidRPr="00A5539A" w:rsidRDefault="00B4533A" w:rsidP="00B4533A">
            <w:pPr>
              <w:spacing w:after="120" w:line="240" w:lineRule="auto"/>
              <w:jc w:val="center"/>
              <w:rPr>
                <w:rFonts w:ascii="Times New Roman" w:hAnsi="Times New Roman"/>
                <w:b/>
                <w:bCs/>
                <w:sz w:val="20"/>
                <w:szCs w:val="20"/>
                <w:lang w:val="sq-AL"/>
              </w:rPr>
            </w:pPr>
            <w:r w:rsidRPr="00A5539A">
              <w:rPr>
                <w:rFonts w:ascii="Times New Roman" w:hAnsi="Times New Roman"/>
                <w:b/>
                <w:bCs/>
                <w:sz w:val="20"/>
                <w:szCs w:val="20"/>
                <w:lang w:val="sq-AL"/>
              </w:rPr>
              <w:t>Neni 2</w:t>
            </w:r>
          </w:p>
          <w:p w14:paraId="6D31C290" w14:textId="115BF497" w:rsidR="008632A4" w:rsidRPr="00A5539A" w:rsidRDefault="00B4533A" w:rsidP="00B4533A">
            <w:pPr>
              <w:spacing w:after="120" w:line="240" w:lineRule="auto"/>
              <w:jc w:val="center"/>
              <w:rPr>
                <w:rFonts w:ascii="Times New Roman" w:hAnsi="Times New Roman"/>
                <w:b/>
                <w:bCs/>
                <w:sz w:val="20"/>
                <w:szCs w:val="20"/>
                <w:lang w:val="sq-AL"/>
              </w:rPr>
            </w:pPr>
            <w:r w:rsidRPr="00A5539A">
              <w:rPr>
                <w:rFonts w:ascii="Times New Roman" w:hAnsi="Times New Roman"/>
                <w:b/>
                <w:bCs/>
                <w:sz w:val="20"/>
                <w:szCs w:val="20"/>
                <w:lang w:val="sq-AL"/>
              </w:rPr>
              <w:t>Agregimi i zotërimeve</w:t>
            </w: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901FFFB" w14:textId="5FDA193F" w:rsidR="008632A4" w:rsidRPr="00A5539A" w:rsidRDefault="00B4533A" w:rsidP="008632A4">
            <w:pPr>
              <w:spacing w:after="120" w:line="240" w:lineRule="auto"/>
              <w:jc w:val="both"/>
              <w:rPr>
                <w:rFonts w:ascii="Times New Roman" w:eastAsia="Times New Roman" w:hAnsi="Times New Roman"/>
                <w:sz w:val="20"/>
                <w:szCs w:val="20"/>
                <w:lang w:val="sq-AL"/>
              </w:rPr>
            </w:pPr>
            <w:r w:rsidRPr="00A5539A">
              <w:rPr>
                <w:rFonts w:ascii="Times New Roman" w:eastAsia="Times New Roman" w:hAnsi="Times New Roman"/>
                <w:sz w:val="20"/>
                <w:szCs w:val="20"/>
                <w:lang w:val="sq-AL"/>
              </w:rPr>
              <w:t>Për qëllimet e llogaritjes së pragut prej 5 % të përmendur në nenin 9(5) dhe (6) të Direktivës 2004/109/KE, zotërimet sipas neneve 9, 10 dhe 13 të asaj Direktive do të agregohen.</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CC608CA" w14:textId="30F34304" w:rsidR="008632A4" w:rsidRPr="00A5539A" w:rsidRDefault="00F84D5B" w:rsidP="00017594">
            <w:pPr>
              <w:spacing w:after="120" w:line="240" w:lineRule="auto"/>
              <w:jc w:val="center"/>
              <w:rPr>
                <w:rFonts w:ascii="Times New Roman" w:hAnsi="Times New Roman"/>
                <w:sz w:val="20"/>
                <w:szCs w:val="20"/>
                <w:lang w:val="sq-AL"/>
              </w:rPr>
            </w:pPr>
            <w:r w:rsidRPr="00A5539A">
              <w:rPr>
                <w:rFonts w:ascii="Times New Roman" w:hAnsi="Times New Roman"/>
                <w:sz w:val="20"/>
                <w:szCs w:val="20"/>
                <w:lang w:val="sq-AL"/>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4C0798" w14:textId="48831B9E" w:rsidR="008632A4" w:rsidRPr="00A5539A" w:rsidRDefault="0014443A" w:rsidP="002E5647">
            <w:pPr>
              <w:spacing w:after="120" w:line="240" w:lineRule="auto"/>
              <w:rPr>
                <w:rFonts w:ascii="Times New Roman" w:hAnsi="Times New Roman"/>
                <w:sz w:val="20"/>
                <w:szCs w:val="20"/>
                <w:lang w:val="sq-AL"/>
              </w:rPr>
            </w:pPr>
            <w:r w:rsidRPr="00A5539A">
              <w:rPr>
                <w:rFonts w:ascii="Times New Roman" w:hAnsi="Times New Roman"/>
                <w:sz w:val="20"/>
                <w:szCs w:val="20"/>
                <w:lang w:val="sq-AL"/>
              </w:rPr>
              <w:t>Neni 12 pika 8</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CC46BB" w14:textId="71BE651E" w:rsidR="008632A4" w:rsidRPr="00A5539A" w:rsidRDefault="0032154E" w:rsidP="008632A4">
            <w:pPr>
              <w:pStyle w:val="NoSpacing"/>
              <w:rPr>
                <w:rFonts w:ascii="Times New Roman" w:hAnsi="Times New Roman"/>
                <w:sz w:val="20"/>
                <w:szCs w:val="20"/>
                <w:lang w:val="sq-AL"/>
              </w:rPr>
            </w:pPr>
            <w:r w:rsidRPr="0032154E">
              <w:rPr>
                <w:rFonts w:ascii="Times New Roman" w:hAnsi="Times New Roman"/>
                <w:sz w:val="20"/>
                <w:szCs w:val="20"/>
                <w:lang w:val="sq-AL"/>
              </w:rPr>
              <w:t>Me qellim llogaritjen e kufirit prej 5% të parashikuar në pikat 7 dhe 8 të këtij neni, pjesëmarrjet sipas neneve 12, 13 dhe 20, të këtij ligji, llogariten si agregate/bashkohen dhe në rastin e një grupi shoqërish, pjesëmarrjet grumbullohen në nivel grupi</w:t>
            </w:r>
            <w:r w:rsidR="0032035A">
              <w:rPr>
                <w:rFonts w:ascii="Times New Roman" w:hAnsi="Times New Roman"/>
                <w:sz w:val="20"/>
                <w:szCs w:val="20"/>
                <w:lang w:val="sq-AL"/>
              </w:rPr>
              <w:t xml:space="preserve">, sipas parimit </w:t>
            </w:r>
            <w:r w:rsidR="00B153F2">
              <w:rPr>
                <w:rFonts w:ascii="Times New Roman" w:hAnsi="Times New Roman"/>
                <w:sz w:val="20"/>
                <w:szCs w:val="20"/>
                <w:lang w:val="sq-AL"/>
              </w:rPr>
              <w:t>t</w:t>
            </w:r>
            <w:r w:rsidR="003C774D" w:rsidRPr="003C774D">
              <w:rPr>
                <w:rFonts w:ascii="Times New Roman" w:hAnsi="Times New Roman"/>
                <w:sz w:val="20"/>
                <w:szCs w:val="20"/>
                <w:lang w:val="sq-AL"/>
              </w:rPr>
              <w:t>ë</w:t>
            </w:r>
            <w:r w:rsidR="00B153F2">
              <w:rPr>
                <w:rFonts w:ascii="Times New Roman" w:hAnsi="Times New Roman"/>
                <w:sz w:val="20"/>
                <w:szCs w:val="20"/>
                <w:lang w:val="sq-AL"/>
              </w:rPr>
              <w:t xml:space="preserve"> </w:t>
            </w:r>
            <w:r w:rsidR="003C774D">
              <w:rPr>
                <w:rFonts w:ascii="Times New Roman" w:hAnsi="Times New Roman"/>
                <w:sz w:val="20"/>
                <w:szCs w:val="20"/>
                <w:lang w:val="sq-AL"/>
              </w:rPr>
              <w:t>g</w:t>
            </w:r>
            <w:r w:rsidR="003C774D" w:rsidRPr="003C774D">
              <w:rPr>
                <w:rFonts w:ascii="Times New Roman" w:hAnsi="Times New Roman"/>
                <w:sz w:val="20"/>
                <w:szCs w:val="20"/>
                <w:lang w:val="sq-AL"/>
              </w:rPr>
              <w:t>ë</w:t>
            </w:r>
            <w:r w:rsidR="003C774D">
              <w:rPr>
                <w:rFonts w:ascii="Times New Roman" w:hAnsi="Times New Roman"/>
                <w:sz w:val="20"/>
                <w:szCs w:val="20"/>
                <w:lang w:val="sq-AL"/>
              </w:rPr>
              <w:t>rm</w:t>
            </w:r>
            <w:r w:rsidR="003C774D" w:rsidRPr="003C774D">
              <w:rPr>
                <w:rFonts w:ascii="Times New Roman" w:hAnsi="Times New Roman"/>
                <w:sz w:val="20"/>
                <w:szCs w:val="20"/>
                <w:lang w:val="sq-AL"/>
              </w:rPr>
              <w:t>ë</w:t>
            </w:r>
            <w:r w:rsidR="003C774D">
              <w:rPr>
                <w:rFonts w:ascii="Times New Roman" w:hAnsi="Times New Roman"/>
                <w:sz w:val="20"/>
                <w:szCs w:val="20"/>
                <w:lang w:val="sq-AL"/>
              </w:rPr>
              <w:t>s (e) t</w:t>
            </w:r>
            <w:r w:rsidR="003C774D" w:rsidRPr="003C774D">
              <w:rPr>
                <w:rFonts w:ascii="Times New Roman" w:hAnsi="Times New Roman"/>
                <w:sz w:val="20"/>
                <w:szCs w:val="20"/>
                <w:lang w:val="sq-AL"/>
              </w:rPr>
              <w:t>ë</w:t>
            </w:r>
            <w:r w:rsidR="003C774D">
              <w:rPr>
                <w:rFonts w:ascii="Times New Roman" w:hAnsi="Times New Roman"/>
                <w:sz w:val="20"/>
                <w:szCs w:val="20"/>
                <w:lang w:val="sq-AL"/>
              </w:rPr>
              <w:t xml:space="preserve"> nenit 13. </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C25F14" w14:textId="68C76A17" w:rsidR="008632A4" w:rsidRPr="00A5539A" w:rsidRDefault="0014443A" w:rsidP="00017594">
            <w:pPr>
              <w:spacing w:after="120" w:line="240" w:lineRule="auto"/>
              <w:jc w:val="center"/>
              <w:rPr>
                <w:rFonts w:ascii="Times New Roman" w:hAnsi="Times New Roman"/>
                <w:b/>
                <w:bCs/>
                <w:sz w:val="20"/>
                <w:szCs w:val="20"/>
                <w:lang w:val="sq-AL"/>
              </w:rPr>
            </w:pPr>
            <w:r w:rsidRPr="00A5539A">
              <w:rPr>
                <w:rFonts w:ascii="Times New Roman" w:hAnsi="Times New Roman"/>
                <w:b/>
                <w:bCs/>
                <w:sz w:val="20"/>
                <w:szCs w:val="20"/>
                <w:lang w:val="sq-AL"/>
              </w:rPr>
              <w:t>F</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C678BA" w14:textId="4C2CE992" w:rsidR="008632A4" w:rsidRPr="00A5539A" w:rsidRDefault="009B3AB4" w:rsidP="008632A4">
            <w:pPr>
              <w:rPr>
                <w:rFonts w:ascii="Times New Roman" w:hAnsi="Times New Roman"/>
                <w:sz w:val="20"/>
                <w:szCs w:val="20"/>
                <w:lang w:val="sq-AL"/>
              </w:rPr>
            </w:pPr>
            <w:r w:rsidRPr="00A5539A">
              <w:rPr>
                <w:rFonts w:ascii="Times New Roman" w:hAnsi="Times New Roman"/>
                <w:sz w:val="20"/>
                <w:szCs w:val="20"/>
                <w:lang w:val="sq-AL"/>
              </w:rPr>
              <w:t>Neni 12, pika 8 e ligjit transpozon nenin 2 dhe 3 t</w:t>
            </w:r>
            <w:r w:rsidR="00A5539A" w:rsidRPr="00A5539A">
              <w:rPr>
                <w:rFonts w:ascii="Times New Roman" w:hAnsi="Times New Roman"/>
                <w:sz w:val="20"/>
                <w:szCs w:val="20"/>
                <w:lang w:val="sq-AL"/>
              </w:rPr>
              <w:t>ë</w:t>
            </w:r>
            <w:r w:rsidRPr="00A5539A">
              <w:rPr>
                <w:rFonts w:ascii="Times New Roman" w:hAnsi="Times New Roman"/>
                <w:sz w:val="20"/>
                <w:szCs w:val="20"/>
                <w:lang w:val="sq-AL"/>
              </w:rPr>
              <w:t xml:space="preserve"> Rregullores</w:t>
            </w:r>
            <w:r w:rsidR="00527591" w:rsidRPr="00A5539A">
              <w:rPr>
                <w:rFonts w:ascii="Times New Roman" w:hAnsi="Times New Roman"/>
                <w:sz w:val="20"/>
                <w:szCs w:val="20"/>
                <w:lang w:val="sq-AL"/>
              </w:rPr>
              <w:t xml:space="preserve"> pasi pjesa e fundit e fjalis</w:t>
            </w:r>
            <w:r w:rsidR="00A5539A" w:rsidRPr="00A5539A">
              <w:rPr>
                <w:rFonts w:ascii="Times New Roman" w:hAnsi="Times New Roman"/>
                <w:sz w:val="20"/>
                <w:szCs w:val="20"/>
                <w:lang w:val="sq-AL"/>
              </w:rPr>
              <w:t>ë</w:t>
            </w:r>
            <w:r w:rsidR="00527591" w:rsidRPr="00A5539A">
              <w:rPr>
                <w:rFonts w:ascii="Times New Roman" w:hAnsi="Times New Roman"/>
                <w:sz w:val="20"/>
                <w:szCs w:val="20"/>
                <w:lang w:val="sq-AL"/>
              </w:rPr>
              <w:t xml:space="preserve"> </w:t>
            </w:r>
            <w:r w:rsidR="009C6801" w:rsidRPr="00A5539A">
              <w:rPr>
                <w:rFonts w:ascii="Times New Roman" w:hAnsi="Times New Roman"/>
                <w:sz w:val="20"/>
                <w:szCs w:val="20"/>
                <w:lang w:val="sq-AL"/>
              </w:rPr>
              <w:t>rregulloren p</w:t>
            </w:r>
            <w:r w:rsidR="00A5539A" w:rsidRPr="00A5539A">
              <w:rPr>
                <w:rFonts w:ascii="Times New Roman" w:hAnsi="Times New Roman"/>
                <w:sz w:val="20"/>
                <w:szCs w:val="20"/>
                <w:lang w:val="sq-AL"/>
              </w:rPr>
              <w:t>ë</w:t>
            </w:r>
            <w:r w:rsidR="009C6801" w:rsidRPr="00A5539A">
              <w:rPr>
                <w:rFonts w:ascii="Times New Roman" w:hAnsi="Times New Roman"/>
                <w:sz w:val="20"/>
                <w:szCs w:val="20"/>
                <w:lang w:val="sq-AL"/>
              </w:rPr>
              <w:t>rllogaritjen n</w:t>
            </w:r>
            <w:r w:rsidR="00A5539A" w:rsidRPr="00A5539A">
              <w:rPr>
                <w:rFonts w:ascii="Times New Roman" w:hAnsi="Times New Roman"/>
                <w:sz w:val="20"/>
                <w:szCs w:val="20"/>
                <w:lang w:val="sq-AL"/>
              </w:rPr>
              <w:t>ë</w:t>
            </w:r>
            <w:r w:rsidR="009C6801" w:rsidRPr="00A5539A">
              <w:rPr>
                <w:rFonts w:ascii="Times New Roman" w:hAnsi="Times New Roman"/>
                <w:sz w:val="20"/>
                <w:szCs w:val="20"/>
                <w:lang w:val="sq-AL"/>
              </w:rPr>
              <w:t xml:space="preserve"> nivel grupi</w:t>
            </w:r>
          </w:p>
        </w:tc>
      </w:tr>
      <w:tr w:rsidR="0014443A" w:rsidRPr="00A5539A" w14:paraId="4D0806F2"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8E2BE35" w14:textId="77777777" w:rsidR="00B4533A" w:rsidRPr="00A5539A" w:rsidRDefault="00B4533A" w:rsidP="00B4533A">
            <w:pPr>
              <w:spacing w:after="120" w:line="240" w:lineRule="auto"/>
              <w:jc w:val="center"/>
              <w:rPr>
                <w:rFonts w:ascii="Times New Roman" w:hAnsi="Times New Roman"/>
                <w:b/>
                <w:bCs/>
                <w:sz w:val="20"/>
                <w:szCs w:val="20"/>
                <w:lang w:val="sq-AL"/>
              </w:rPr>
            </w:pPr>
            <w:r w:rsidRPr="00A5539A">
              <w:rPr>
                <w:rFonts w:ascii="Times New Roman" w:hAnsi="Times New Roman"/>
                <w:b/>
                <w:bCs/>
                <w:sz w:val="20"/>
                <w:szCs w:val="20"/>
                <w:lang w:val="sq-AL"/>
              </w:rPr>
              <w:t>Neni 3</w:t>
            </w:r>
          </w:p>
          <w:p w14:paraId="0E3C76EA" w14:textId="5DA7E5D9" w:rsidR="0004400E" w:rsidRPr="00A5539A" w:rsidRDefault="00B4533A" w:rsidP="00B4533A">
            <w:pPr>
              <w:spacing w:after="120" w:line="240" w:lineRule="auto"/>
              <w:jc w:val="center"/>
              <w:rPr>
                <w:rFonts w:ascii="Times New Roman" w:hAnsi="Times New Roman"/>
                <w:b/>
                <w:bCs/>
                <w:sz w:val="20"/>
                <w:szCs w:val="20"/>
                <w:lang w:val="sq-AL"/>
              </w:rPr>
            </w:pPr>
            <w:r w:rsidRPr="00A5539A">
              <w:rPr>
                <w:rFonts w:ascii="Times New Roman" w:hAnsi="Times New Roman"/>
                <w:b/>
                <w:bCs/>
                <w:sz w:val="20"/>
                <w:szCs w:val="20"/>
                <w:lang w:val="sq-AL"/>
              </w:rPr>
              <w:t>Agregimi i zotërimeve në rastin e një grupi</w:t>
            </w: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0AAB24B" w14:textId="03861047" w:rsidR="0004400E" w:rsidRPr="00A5539A" w:rsidRDefault="009135C7" w:rsidP="008632A4">
            <w:pPr>
              <w:spacing w:after="120" w:line="240" w:lineRule="auto"/>
              <w:jc w:val="both"/>
              <w:rPr>
                <w:rFonts w:ascii="Times New Roman" w:eastAsia="Times New Roman" w:hAnsi="Times New Roman"/>
                <w:sz w:val="20"/>
                <w:szCs w:val="20"/>
                <w:lang w:val="sq-AL"/>
              </w:rPr>
            </w:pPr>
            <w:r w:rsidRPr="00A5539A">
              <w:rPr>
                <w:rFonts w:ascii="Times New Roman" w:eastAsia="Times New Roman" w:hAnsi="Times New Roman"/>
                <w:sz w:val="20"/>
                <w:szCs w:val="20"/>
                <w:lang w:val="sq-AL"/>
              </w:rPr>
              <w:t>Për qëllimet e llogaritjes së pragut prej 5 % të përmendur në nenin 9(5) dhe (6) të Direktivës 2004/109/KE në rastin e një grupi shoqërish, zotërimet do të agregohen në nivel grupi sipas parimit të përcaktuar në nenin 10(e) të asaj Direktive.</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F86C56E" w14:textId="5104547A" w:rsidR="0004400E" w:rsidRPr="00A5539A" w:rsidRDefault="009C6801" w:rsidP="00017594">
            <w:pPr>
              <w:spacing w:after="120" w:line="240" w:lineRule="auto"/>
              <w:jc w:val="center"/>
              <w:rPr>
                <w:rFonts w:ascii="Times New Roman" w:hAnsi="Times New Roman"/>
                <w:sz w:val="20"/>
                <w:szCs w:val="20"/>
                <w:lang w:val="sq-AL"/>
              </w:rPr>
            </w:pPr>
            <w:r w:rsidRPr="00A5539A">
              <w:rPr>
                <w:rFonts w:ascii="Times New Roman" w:hAnsi="Times New Roman"/>
                <w:sz w:val="20"/>
                <w:szCs w:val="20"/>
                <w:lang w:val="sq-AL"/>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50F32A" w14:textId="05F2224F" w:rsidR="0004400E" w:rsidRPr="00A5539A" w:rsidRDefault="007D2DFE" w:rsidP="002E5647">
            <w:pPr>
              <w:spacing w:after="120" w:line="240" w:lineRule="auto"/>
              <w:rPr>
                <w:rFonts w:ascii="Times New Roman" w:hAnsi="Times New Roman"/>
                <w:sz w:val="20"/>
                <w:szCs w:val="20"/>
                <w:lang w:val="sq-AL"/>
              </w:rPr>
            </w:pPr>
            <w:r w:rsidRPr="00A5539A">
              <w:rPr>
                <w:rFonts w:ascii="Times New Roman" w:hAnsi="Times New Roman"/>
                <w:sz w:val="20"/>
                <w:szCs w:val="20"/>
                <w:lang w:val="sq-AL"/>
              </w:rPr>
              <w:t>Neni 12 pika 8</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8D62CE" w14:textId="0C0F4799" w:rsidR="0004400E" w:rsidRPr="00A5539A" w:rsidRDefault="007D2DFE" w:rsidP="008632A4">
            <w:pPr>
              <w:pStyle w:val="NoSpacing"/>
              <w:rPr>
                <w:rFonts w:ascii="Times New Roman" w:hAnsi="Times New Roman"/>
                <w:sz w:val="20"/>
                <w:szCs w:val="20"/>
                <w:lang w:val="sq-AL"/>
              </w:rPr>
            </w:pPr>
            <w:r w:rsidRPr="00A5539A">
              <w:rPr>
                <w:rFonts w:ascii="Times New Roman" w:hAnsi="Times New Roman"/>
                <w:sz w:val="20"/>
                <w:szCs w:val="20"/>
                <w:lang w:val="sq-AL"/>
              </w:rPr>
              <w:t>Me qellim llogaritjen e kufirit prej 5% t</w:t>
            </w:r>
            <w:r w:rsidR="00A5539A" w:rsidRPr="00A5539A">
              <w:rPr>
                <w:rFonts w:ascii="Times New Roman" w:hAnsi="Times New Roman"/>
                <w:sz w:val="20"/>
                <w:szCs w:val="20"/>
                <w:lang w:val="sq-AL"/>
              </w:rPr>
              <w:t>ë</w:t>
            </w:r>
            <w:r w:rsidRPr="00A5539A">
              <w:rPr>
                <w:rFonts w:ascii="Times New Roman" w:hAnsi="Times New Roman"/>
                <w:sz w:val="20"/>
                <w:szCs w:val="20"/>
                <w:lang w:val="sq-AL"/>
              </w:rPr>
              <w:t xml:space="preserve"> parashikuar n</w:t>
            </w:r>
            <w:r w:rsidR="00A5539A" w:rsidRPr="00A5539A">
              <w:rPr>
                <w:rFonts w:ascii="Times New Roman" w:hAnsi="Times New Roman"/>
                <w:sz w:val="20"/>
                <w:szCs w:val="20"/>
                <w:lang w:val="sq-AL"/>
              </w:rPr>
              <w:t>ë</w:t>
            </w:r>
            <w:r w:rsidRPr="00A5539A">
              <w:rPr>
                <w:rFonts w:ascii="Times New Roman" w:hAnsi="Times New Roman"/>
                <w:sz w:val="20"/>
                <w:szCs w:val="20"/>
                <w:lang w:val="sq-AL"/>
              </w:rPr>
              <w:t xml:space="preserve"> pikat 7 dhe 8 t</w:t>
            </w:r>
            <w:r w:rsidR="00A5539A" w:rsidRPr="00A5539A">
              <w:rPr>
                <w:rFonts w:ascii="Times New Roman" w:hAnsi="Times New Roman"/>
                <w:sz w:val="20"/>
                <w:szCs w:val="20"/>
                <w:lang w:val="sq-AL"/>
              </w:rPr>
              <w:t>ë</w:t>
            </w:r>
            <w:r w:rsidRPr="00A5539A">
              <w:rPr>
                <w:rFonts w:ascii="Times New Roman" w:hAnsi="Times New Roman"/>
                <w:sz w:val="20"/>
                <w:szCs w:val="20"/>
                <w:lang w:val="sq-AL"/>
              </w:rPr>
              <w:t xml:space="preserve"> k</w:t>
            </w:r>
            <w:r w:rsidR="00A5539A" w:rsidRPr="00A5539A">
              <w:rPr>
                <w:rFonts w:ascii="Times New Roman" w:hAnsi="Times New Roman"/>
                <w:sz w:val="20"/>
                <w:szCs w:val="20"/>
                <w:lang w:val="sq-AL"/>
              </w:rPr>
              <w:t>ë</w:t>
            </w:r>
            <w:r w:rsidRPr="00A5539A">
              <w:rPr>
                <w:rFonts w:ascii="Times New Roman" w:hAnsi="Times New Roman"/>
                <w:sz w:val="20"/>
                <w:szCs w:val="20"/>
                <w:lang w:val="sq-AL"/>
              </w:rPr>
              <w:t>tij neni, pjes</w:t>
            </w:r>
            <w:r w:rsidR="00A5539A" w:rsidRPr="00A5539A">
              <w:rPr>
                <w:rFonts w:ascii="Times New Roman" w:hAnsi="Times New Roman"/>
                <w:sz w:val="20"/>
                <w:szCs w:val="20"/>
                <w:lang w:val="sq-AL"/>
              </w:rPr>
              <w:t>ë</w:t>
            </w:r>
            <w:r w:rsidRPr="00A5539A">
              <w:rPr>
                <w:rFonts w:ascii="Times New Roman" w:hAnsi="Times New Roman"/>
                <w:sz w:val="20"/>
                <w:szCs w:val="20"/>
                <w:lang w:val="sq-AL"/>
              </w:rPr>
              <w:t>marrjet sipas neneve 12, 13 dhe 20, t</w:t>
            </w:r>
            <w:r w:rsidR="00A5539A" w:rsidRPr="00A5539A">
              <w:rPr>
                <w:rFonts w:ascii="Times New Roman" w:hAnsi="Times New Roman"/>
                <w:sz w:val="20"/>
                <w:szCs w:val="20"/>
                <w:lang w:val="sq-AL"/>
              </w:rPr>
              <w:t>ë</w:t>
            </w:r>
            <w:r w:rsidRPr="00A5539A">
              <w:rPr>
                <w:rFonts w:ascii="Times New Roman" w:hAnsi="Times New Roman"/>
                <w:sz w:val="20"/>
                <w:szCs w:val="20"/>
                <w:lang w:val="sq-AL"/>
              </w:rPr>
              <w:t xml:space="preserve"> k</w:t>
            </w:r>
            <w:r w:rsidR="00A5539A" w:rsidRPr="00A5539A">
              <w:rPr>
                <w:rFonts w:ascii="Times New Roman" w:hAnsi="Times New Roman"/>
                <w:sz w:val="20"/>
                <w:szCs w:val="20"/>
                <w:lang w:val="sq-AL"/>
              </w:rPr>
              <w:t>ë</w:t>
            </w:r>
            <w:r w:rsidRPr="00A5539A">
              <w:rPr>
                <w:rFonts w:ascii="Times New Roman" w:hAnsi="Times New Roman"/>
                <w:sz w:val="20"/>
                <w:szCs w:val="20"/>
                <w:lang w:val="sq-AL"/>
              </w:rPr>
              <w:t>tij ligji, llogariten si agregate/bashkohen dhe në rastin e një grupi shoqërish, pjesëmarrjet grumbullohen në nivel grupi</w:t>
            </w:r>
            <w:r w:rsidR="003C774D">
              <w:rPr>
                <w:rFonts w:ascii="Times New Roman" w:hAnsi="Times New Roman"/>
                <w:sz w:val="20"/>
                <w:szCs w:val="20"/>
                <w:lang w:val="sq-AL"/>
              </w:rPr>
              <w:t xml:space="preserve">, </w:t>
            </w:r>
            <w:r w:rsidR="003C774D">
              <w:rPr>
                <w:rFonts w:ascii="Times New Roman" w:hAnsi="Times New Roman"/>
                <w:sz w:val="20"/>
                <w:szCs w:val="20"/>
                <w:lang w:val="sq-AL"/>
              </w:rPr>
              <w:t>sipas parimit t</w:t>
            </w:r>
            <w:r w:rsidR="003C774D" w:rsidRPr="003C774D">
              <w:rPr>
                <w:rFonts w:ascii="Times New Roman" w:hAnsi="Times New Roman"/>
                <w:sz w:val="20"/>
                <w:szCs w:val="20"/>
                <w:lang w:val="sq-AL"/>
              </w:rPr>
              <w:t>ë</w:t>
            </w:r>
            <w:r w:rsidR="003C774D">
              <w:rPr>
                <w:rFonts w:ascii="Times New Roman" w:hAnsi="Times New Roman"/>
                <w:sz w:val="20"/>
                <w:szCs w:val="20"/>
                <w:lang w:val="sq-AL"/>
              </w:rPr>
              <w:t xml:space="preserve"> g</w:t>
            </w:r>
            <w:r w:rsidR="003C774D" w:rsidRPr="003C774D">
              <w:rPr>
                <w:rFonts w:ascii="Times New Roman" w:hAnsi="Times New Roman"/>
                <w:sz w:val="20"/>
                <w:szCs w:val="20"/>
                <w:lang w:val="sq-AL"/>
              </w:rPr>
              <w:t>ë</w:t>
            </w:r>
            <w:r w:rsidR="003C774D">
              <w:rPr>
                <w:rFonts w:ascii="Times New Roman" w:hAnsi="Times New Roman"/>
                <w:sz w:val="20"/>
                <w:szCs w:val="20"/>
                <w:lang w:val="sq-AL"/>
              </w:rPr>
              <w:t>rm</w:t>
            </w:r>
            <w:r w:rsidR="003C774D" w:rsidRPr="003C774D">
              <w:rPr>
                <w:rFonts w:ascii="Times New Roman" w:hAnsi="Times New Roman"/>
                <w:sz w:val="20"/>
                <w:szCs w:val="20"/>
                <w:lang w:val="sq-AL"/>
              </w:rPr>
              <w:t>ë</w:t>
            </w:r>
            <w:r w:rsidR="003C774D">
              <w:rPr>
                <w:rFonts w:ascii="Times New Roman" w:hAnsi="Times New Roman"/>
                <w:sz w:val="20"/>
                <w:szCs w:val="20"/>
                <w:lang w:val="sq-AL"/>
              </w:rPr>
              <w:t>s (e) t</w:t>
            </w:r>
            <w:r w:rsidR="003C774D" w:rsidRPr="003C774D">
              <w:rPr>
                <w:rFonts w:ascii="Times New Roman" w:hAnsi="Times New Roman"/>
                <w:sz w:val="20"/>
                <w:szCs w:val="20"/>
                <w:lang w:val="sq-AL"/>
              </w:rPr>
              <w:t>ë</w:t>
            </w:r>
            <w:r w:rsidR="003C774D">
              <w:rPr>
                <w:rFonts w:ascii="Times New Roman" w:hAnsi="Times New Roman"/>
                <w:sz w:val="20"/>
                <w:szCs w:val="20"/>
                <w:lang w:val="sq-AL"/>
              </w:rPr>
              <w:t xml:space="preserve"> nenit 13.</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145CCB" w14:textId="6171F8DF" w:rsidR="0004400E" w:rsidRPr="00A5539A" w:rsidRDefault="00527591" w:rsidP="00017594">
            <w:pPr>
              <w:spacing w:after="120" w:line="240" w:lineRule="auto"/>
              <w:jc w:val="center"/>
              <w:rPr>
                <w:rFonts w:ascii="Times New Roman" w:hAnsi="Times New Roman"/>
                <w:b/>
                <w:bCs/>
                <w:sz w:val="20"/>
                <w:szCs w:val="20"/>
                <w:lang w:val="sq-AL"/>
              </w:rPr>
            </w:pPr>
            <w:r w:rsidRPr="00A5539A">
              <w:rPr>
                <w:rFonts w:ascii="Times New Roman" w:hAnsi="Times New Roman"/>
                <w:b/>
                <w:bCs/>
                <w:sz w:val="20"/>
                <w:szCs w:val="20"/>
                <w:lang w:val="sq-AL"/>
              </w:rPr>
              <w:t>F</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3389710" w14:textId="77777777" w:rsidR="0004400E" w:rsidRPr="00A5539A" w:rsidRDefault="0004400E" w:rsidP="008632A4">
            <w:pPr>
              <w:rPr>
                <w:rFonts w:ascii="Times New Roman" w:hAnsi="Times New Roman"/>
                <w:sz w:val="20"/>
                <w:szCs w:val="20"/>
                <w:lang w:val="sq-AL"/>
              </w:rPr>
            </w:pPr>
          </w:p>
        </w:tc>
      </w:tr>
      <w:tr w:rsidR="0014443A" w:rsidRPr="00A5539A" w14:paraId="360EEEF2"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5FB9DDA" w14:textId="77777777" w:rsidR="009135C7" w:rsidRPr="00A5539A" w:rsidRDefault="009135C7" w:rsidP="009135C7">
            <w:pPr>
              <w:spacing w:after="120" w:line="240" w:lineRule="auto"/>
              <w:jc w:val="center"/>
              <w:rPr>
                <w:rFonts w:ascii="Times New Roman" w:hAnsi="Times New Roman"/>
                <w:b/>
                <w:bCs/>
                <w:sz w:val="20"/>
                <w:szCs w:val="20"/>
                <w:lang w:val="sq-AL"/>
              </w:rPr>
            </w:pPr>
            <w:r w:rsidRPr="00A5539A">
              <w:rPr>
                <w:rFonts w:ascii="Times New Roman" w:hAnsi="Times New Roman"/>
                <w:b/>
                <w:bCs/>
                <w:sz w:val="20"/>
                <w:szCs w:val="20"/>
                <w:lang w:val="sq-AL"/>
              </w:rPr>
              <w:lastRenderedPageBreak/>
              <w:t>Neni 4</w:t>
            </w:r>
          </w:p>
          <w:p w14:paraId="2F3036DF" w14:textId="40E38BF0" w:rsidR="00731F9B" w:rsidRPr="00A5539A" w:rsidRDefault="009135C7" w:rsidP="009135C7">
            <w:pPr>
              <w:spacing w:after="120" w:line="240" w:lineRule="auto"/>
              <w:jc w:val="center"/>
              <w:rPr>
                <w:rFonts w:ascii="Times New Roman" w:hAnsi="Times New Roman"/>
                <w:b/>
                <w:bCs/>
                <w:sz w:val="20"/>
                <w:szCs w:val="20"/>
                <w:lang w:val="sq-AL"/>
              </w:rPr>
            </w:pPr>
            <w:r w:rsidRPr="00A5539A">
              <w:rPr>
                <w:rFonts w:ascii="Times New Roman" w:hAnsi="Times New Roman"/>
                <w:b/>
                <w:bCs/>
                <w:sz w:val="20"/>
                <w:szCs w:val="20"/>
                <w:lang w:val="sq-AL"/>
              </w:rPr>
              <w:t>Instrumentet financiare të referuara ndaj një shporte aksionesh ose një indeksi</w:t>
            </w: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8923F61" w14:textId="77777777" w:rsidR="009135C7" w:rsidRPr="009135C7" w:rsidRDefault="009135C7" w:rsidP="009135C7">
            <w:pPr>
              <w:numPr>
                <w:ilvl w:val="0"/>
                <w:numId w:val="15"/>
              </w:numPr>
              <w:spacing w:after="120" w:line="240" w:lineRule="auto"/>
              <w:jc w:val="both"/>
              <w:rPr>
                <w:rFonts w:ascii="Times New Roman" w:eastAsia="Times New Roman" w:hAnsi="Times New Roman"/>
                <w:sz w:val="20"/>
                <w:szCs w:val="20"/>
                <w:lang w:val="sq-AL"/>
              </w:rPr>
            </w:pPr>
            <w:r w:rsidRPr="009135C7">
              <w:rPr>
                <w:rFonts w:ascii="Times New Roman" w:eastAsia="Times New Roman" w:hAnsi="Times New Roman"/>
                <w:sz w:val="20"/>
                <w:szCs w:val="20"/>
                <w:lang w:val="sq-AL"/>
              </w:rPr>
              <w:t>Të drejtat e votës të përmendura në nenin 13(1a)(a) të Direktivës 2004/109/KE, në rastin e një instrumenti financiar të referuar ndaj një shporte aksionesh ose një indeksi, do të llogariten mbi bazën e peshës së aksionit në shportën e aksioneve ose në indeks kur zbatohet një nga kushtet e mëposhtme:</w:t>
            </w:r>
          </w:p>
          <w:p w14:paraId="3D961EBE" w14:textId="77777777" w:rsidR="009135C7" w:rsidRPr="009135C7" w:rsidRDefault="009135C7" w:rsidP="009135C7">
            <w:pPr>
              <w:spacing w:after="120" w:line="240" w:lineRule="auto"/>
              <w:jc w:val="both"/>
              <w:rPr>
                <w:rFonts w:ascii="Times New Roman" w:eastAsia="Times New Roman" w:hAnsi="Times New Roman"/>
                <w:sz w:val="20"/>
                <w:szCs w:val="20"/>
                <w:lang w:val="sq-AL"/>
              </w:rPr>
            </w:pPr>
            <w:r w:rsidRPr="009135C7">
              <w:rPr>
                <w:rFonts w:ascii="Times New Roman" w:eastAsia="Times New Roman" w:hAnsi="Times New Roman"/>
                <w:sz w:val="20"/>
                <w:szCs w:val="20"/>
                <w:lang w:val="sq-AL"/>
              </w:rPr>
              <w:t>(a) të drejtat e votës në një emetues të caktuar, të mbajtura përmes instrumenteve financiare të referuara ndaj shportës ose indeksit, përfaqësojnë 1 % ose më shumë të të drejtave të votës që lidhen me aksionet e atij emetuesi;</w:t>
            </w:r>
          </w:p>
          <w:p w14:paraId="432622D5" w14:textId="77777777" w:rsidR="009135C7" w:rsidRPr="009135C7" w:rsidRDefault="009135C7" w:rsidP="009135C7">
            <w:pPr>
              <w:spacing w:after="120" w:line="240" w:lineRule="auto"/>
              <w:jc w:val="both"/>
              <w:rPr>
                <w:rFonts w:ascii="Times New Roman" w:eastAsia="Times New Roman" w:hAnsi="Times New Roman"/>
                <w:sz w:val="20"/>
                <w:szCs w:val="20"/>
                <w:lang w:val="sq-AL"/>
              </w:rPr>
            </w:pPr>
            <w:r w:rsidRPr="009135C7">
              <w:rPr>
                <w:rFonts w:ascii="Times New Roman" w:eastAsia="Times New Roman" w:hAnsi="Times New Roman"/>
                <w:sz w:val="20"/>
                <w:szCs w:val="20"/>
                <w:lang w:val="sq-AL"/>
              </w:rPr>
              <w:t>(b) aksionet në shportë ose indeks përfaqësojnë 20 % ose më shumë të vlerës së letrave me vlerë në shportë ose indeks.</w:t>
            </w:r>
          </w:p>
          <w:p w14:paraId="29132DFB" w14:textId="77777777" w:rsidR="009135C7" w:rsidRPr="009135C7" w:rsidRDefault="009135C7" w:rsidP="009135C7">
            <w:pPr>
              <w:numPr>
                <w:ilvl w:val="0"/>
                <w:numId w:val="16"/>
              </w:numPr>
              <w:spacing w:after="120" w:line="240" w:lineRule="auto"/>
              <w:jc w:val="both"/>
              <w:rPr>
                <w:rFonts w:ascii="Times New Roman" w:eastAsia="Times New Roman" w:hAnsi="Times New Roman"/>
                <w:sz w:val="20"/>
                <w:szCs w:val="20"/>
                <w:lang w:val="sq-AL"/>
              </w:rPr>
            </w:pPr>
            <w:r w:rsidRPr="009135C7">
              <w:rPr>
                <w:rFonts w:ascii="Times New Roman" w:eastAsia="Times New Roman" w:hAnsi="Times New Roman"/>
                <w:sz w:val="20"/>
                <w:szCs w:val="20"/>
                <w:lang w:val="sq-AL"/>
              </w:rPr>
              <w:t>Kur një instrument financiar është i referuar ndaj një serie shportash aksionesh ose indeksesh, të drejtat e votës të mbajtura përmes shportave ose indekseve individuale nuk do të grumbullohen për qëllimet e pragjeve të përcaktuara në paragrafin 1.</w:t>
            </w:r>
          </w:p>
          <w:p w14:paraId="67B5D30A" w14:textId="2174CABC" w:rsidR="00731F9B" w:rsidRPr="00A5539A" w:rsidRDefault="00731F9B" w:rsidP="003B6F80">
            <w:pPr>
              <w:spacing w:after="120" w:line="240" w:lineRule="auto"/>
              <w:jc w:val="both"/>
              <w:rPr>
                <w:rFonts w:ascii="Times New Roman" w:eastAsia="Times New Roman" w:hAnsi="Times New Roman"/>
                <w:sz w:val="20"/>
                <w:szCs w:val="20"/>
                <w:lang w:val="sq-AL"/>
              </w:rPr>
            </w:pP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56E1228" w14:textId="77777777" w:rsidR="00731F9B" w:rsidRPr="00A5539A" w:rsidRDefault="00731F9B" w:rsidP="00017594">
            <w:pPr>
              <w:spacing w:after="120" w:line="240" w:lineRule="auto"/>
              <w:jc w:val="center"/>
              <w:rPr>
                <w:rFonts w:ascii="Times New Roman" w:hAnsi="Times New Roman"/>
                <w:sz w:val="20"/>
                <w:szCs w:val="20"/>
                <w:lang w:val="sq-AL"/>
              </w:rPr>
            </w:pP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BB551C" w14:textId="25D6F057" w:rsidR="00731F9B" w:rsidRPr="00A5539A" w:rsidRDefault="004A317E" w:rsidP="002E5647">
            <w:pPr>
              <w:spacing w:after="120" w:line="240" w:lineRule="auto"/>
              <w:rPr>
                <w:rFonts w:ascii="Times New Roman" w:hAnsi="Times New Roman"/>
                <w:sz w:val="20"/>
                <w:szCs w:val="20"/>
                <w:lang w:val="sq-AL"/>
              </w:rPr>
            </w:pPr>
            <w:r w:rsidRPr="00A5539A">
              <w:rPr>
                <w:rFonts w:ascii="Times New Roman" w:hAnsi="Times New Roman"/>
                <w:sz w:val="20"/>
                <w:szCs w:val="20"/>
                <w:lang w:val="sq-AL"/>
              </w:rPr>
              <w:t xml:space="preserve">Neni </w:t>
            </w:r>
            <w:r w:rsidR="00D22944" w:rsidRPr="00A5539A">
              <w:rPr>
                <w:rFonts w:ascii="Times New Roman" w:hAnsi="Times New Roman"/>
                <w:sz w:val="20"/>
                <w:szCs w:val="20"/>
                <w:lang w:val="sq-AL"/>
              </w:rPr>
              <w:t>20 pika 2 paragrafi 2</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1E8E94" w14:textId="48557F93" w:rsidR="00333B63" w:rsidRPr="00333B63" w:rsidRDefault="00333B63" w:rsidP="00333B63">
            <w:pPr>
              <w:pStyle w:val="NoSpacing"/>
              <w:rPr>
                <w:rFonts w:ascii="Times New Roman" w:hAnsi="Times New Roman"/>
                <w:sz w:val="20"/>
                <w:szCs w:val="20"/>
                <w:lang w:val="sq-AL"/>
              </w:rPr>
            </w:pPr>
            <w:r w:rsidRPr="00333B63">
              <w:rPr>
                <w:rFonts w:ascii="Times New Roman" w:hAnsi="Times New Roman"/>
                <w:sz w:val="20"/>
                <w:szCs w:val="20"/>
                <w:lang w:val="sq-AL"/>
              </w:rPr>
              <w:t>Të drejtat e votës të përmendura në këtë pikë, në rastin e një instrumenti financiar të referuar ndaj një shporte aksionesh ose një indeksi, llogariten mbi bazën e peshës së aksionit në shportën e aksioneve ose në indeks, kur plotësohet një nga kushtet e mëposhtme:</w:t>
            </w:r>
          </w:p>
          <w:p w14:paraId="2A508D32" w14:textId="77777777" w:rsidR="00333B63" w:rsidRPr="00333B63" w:rsidRDefault="00333B63" w:rsidP="00333B63">
            <w:pPr>
              <w:pStyle w:val="NoSpacing"/>
              <w:rPr>
                <w:rFonts w:ascii="Times New Roman" w:hAnsi="Times New Roman"/>
                <w:sz w:val="20"/>
                <w:szCs w:val="20"/>
                <w:lang w:val="sq-AL"/>
              </w:rPr>
            </w:pPr>
            <w:r w:rsidRPr="00333B63">
              <w:rPr>
                <w:rFonts w:ascii="Times New Roman" w:hAnsi="Times New Roman"/>
                <w:sz w:val="20"/>
                <w:szCs w:val="20"/>
                <w:lang w:val="sq-AL"/>
              </w:rPr>
              <w:t>(a)të drejtat e votës në një emetues të caktuar, të mbajtura nëpërmjet instrumenteve financiare të referuara ndaj shportës ose indeksit, përfaqësojnë 1 % ose më shumë të të drejtave të votës që u bashkëlidhen aksioneve të atij emetuesi;</w:t>
            </w:r>
          </w:p>
          <w:p w14:paraId="6F45914D" w14:textId="77777777" w:rsidR="00333B63" w:rsidRDefault="00333B63" w:rsidP="00333B63">
            <w:pPr>
              <w:pStyle w:val="NoSpacing"/>
              <w:rPr>
                <w:rFonts w:ascii="Times New Roman" w:hAnsi="Times New Roman"/>
                <w:sz w:val="20"/>
                <w:szCs w:val="20"/>
                <w:lang w:val="sq-AL"/>
              </w:rPr>
            </w:pPr>
            <w:r w:rsidRPr="00333B63">
              <w:rPr>
                <w:rFonts w:ascii="Times New Roman" w:hAnsi="Times New Roman"/>
                <w:sz w:val="20"/>
                <w:szCs w:val="20"/>
                <w:lang w:val="sq-AL"/>
              </w:rPr>
              <w:t>(b)aksionet në shportë ose në indeks përfaqësojnë 20 % ose më shumë të vlerës së titujve  në shportë ose në indeks.</w:t>
            </w:r>
          </w:p>
          <w:p w14:paraId="6B174A7C" w14:textId="77777777" w:rsidR="00333B63" w:rsidRPr="00333B63" w:rsidRDefault="00333B63" w:rsidP="00333B63">
            <w:pPr>
              <w:pStyle w:val="NoSpacing"/>
              <w:rPr>
                <w:rFonts w:ascii="Times New Roman" w:hAnsi="Times New Roman"/>
                <w:sz w:val="20"/>
                <w:szCs w:val="20"/>
                <w:lang w:val="sq-AL"/>
              </w:rPr>
            </w:pPr>
          </w:p>
          <w:p w14:paraId="6FBCDF12" w14:textId="5AE42484" w:rsidR="00731F9B" w:rsidRPr="00A5539A" w:rsidRDefault="00333B63" w:rsidP="00333B63">
            <w:pPr>
              <w:pStyle w:val="NoSpacing"/>
              <w:rPr>
                <w:rFonts w:ascii="Times New Roman" w:hAnsi="Times New Roman"/>
                <w:sz w:val="20"/>
                <w:szCs w:val="20"/>
                <w:lang w:val="sq-AL"/>
              </w:rPr>
            </w:pPr>
            <w:r w:rsidRPr="00333B63">
              <w:rPr>
                <w:rFonts w:ascii="Times New Roman" w:hAnsi="Times New Roman"/>
                <w:sz w:val="20"/>
                <w:szCs w:val="20"/>
                <w:lang w:val="sq-AL"/>
              </w:rPr>
              <w:t>Kur një instrument financiar i referohet një serie shportash aksionesh ose indeksesh, të drejtat e votës të mbajtura përmes shportave ose indekseve individuale nuk grumbullohen për qëllimet e pragjeve të përcaktuara me sipër.</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C6B5D1" w14:textId="30C1B5C7" w:rsidR="00731F9B" w:rsidRPr="00A5539A" w:rsidRDefault="00A5539A" w:rsidP="00017594">
            <w:pPr>
              <w:spacing w:after="120" w:line="240" w:lineRule="auto"/>
              <w:jc w:val="center"/>
              <w:rPr>
                <w:rFonts w:ascii="Times New Roman" w:hAnsi="Times New Roman"/>
                <w:b/>
                <w:bCs/>
                <w:sz w:val="20"/>
                <w:szCs w:val="20"/>
                <w:lang w:val="sq-AL"/>
              </w:rPr>
            </w:pPr>
            <w:r>
              <w:rPr>
                <w:rFonts w:ascii="Times New Roman" w:hAnsi="Times New Roman"/>
                <w:b/>
                <w:bCs/>
                <w:sz w:val="20"/>
                <w:szCs w:val="20"/>
                <w:lang w:val="sq-AL"/>
              </w:rPr>
              <w:t>F</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139EB91" w14:textId="77777777" w:rsidR="00731F9B" w:rsidRPr="00A5539A" w:rsidRDefault="00731F9B" w:rsidP="008632A4">
            <w:pPr>
              <w:rPr>
                <w:rFonts w:ascii="Times New Roman" w:hAnsi="Times New Roman"/>
                <w:sz w:val="20"/>
                <w:szCs w:val="20"/>
                <w:lang w:val="sq-AL"/>
              </w:rPr>
            </w:pPr>
          </w:p>
        </w:tc>
      </w:tr>
      <w:tr w:rsidR="0014443A" w:rsidRPr="00A5539A" w14:paraId="65CB9BDB"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AE0637B" w14:textId="77777777" w:rsidR="005D6825" w:rsidRPr="00A5539A" w:rsidRDefault="005D6825" w:rsidP="005D6825">
            <w:pPr>
              <w:spacing w:after="120" w:line="240" w:lineRule="auto"/>
              <w:jc w:val="center"/>
              <w:rPr>
                <w:rFonts w:ascii="Times New Roman" w:hAnsi="Times New Roman"/>
                <w:b/>
                <w:bCs/>
                <w:sz w:val="20"/>
                <w:szCs w:val="20"/>
                <w:lang w:val="sq-AL"/>
              </w:rPr>
            </w:pPr>
            <w:r w:rsidRPr="00A5539A">
              <w:rPr>
                <w:rFonts w:ascii="Times New Roman" w:hAnsi="Times New Roman"/>
                <w:b/>
                <w:bCs/>
                <w:sz w:val="20"/>
                <w:szCs w:val="20"/>
                <w:lang w:val="sq-AL"/>
              </w:rPr>
              <w:t>Neni 5</w:t>
            </w:r>
          </w:p>
          <w:p w14:paraId="64D2D1F0" w14:textId="5D550A52" w:rsidR="003B6F80" w:rsidRPr="00A5539A" w:rsidRDefault="005D6825" w:rsidP="005D6825">
            <w:pPr>
              <w:spacing w:after="120" w:line="240" w:lineRule="auto"/>
              <w:jc w:val="center"/>
              <w:rPr>
                <w:rFonts w:ascii="Times New Roman" w:hAnsi="Times New Roman"/>
                <w:b/>
                <w:bCs/>
                <w:sz w:val="20"/>
                <w:szCs w:val="20"/>
                <w:lang w:val="sq-AL"/>
              </w:rPr>
            </w:pPr>
            <w:r w:rsidRPr="00A5539A">
              <w:rPr>
                <w:rFonts w:ascii="Times New Roman" w:hAnsi="Times New Roman"/>
                <w:b/>
                <w:bCs/>
                <w:sz w:val="20"/>
                <w:szCs w:val="20"/>
                <w:lang w:val="sq-AL"/>
              </w:rPr>
              <w:t>Instrumentet financiare që parashikojnë ekskluzivisht shlyerje në para</w:t>
            </w: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6CCC825" w14:textId="4972B646" w:rsidR="003B6F80" w:rsidRPr="00A5539A" w:rsidRDefault="005D6825" w:rsidP="005D6825">
            <w:pPr>
              <w:numPr>
                <w:ilvl w:val="0"/>
                <w:numId w:val="17"/>
              </w:numPr>
              <w:spacing w:after="120" w:line="240" w:lineRule="auto"/>
              <w:jc w:val="both"/>
              <w:rPr>
                <w:rFonts w:ascii="Times New Roman" w:eastAsia="Times New Roman" w:hAnsi="Times New Roman"/>
                <w:sz w:val="20"/>
                <w:szCs w:val="20"/>
                <w:lang w:val="sq-AL"/>
              </w:rPr>
            </w:pPr>
            <w:r w:rsidRPr="00A5539A">
              <w:rPr>
                <w:rFonts w:ascii="Times New Roman" w:eastAsia="Times New Roman" w:hAnsi="Times New Roman"/>
                <w:sz w:val="20"/>
                <w:szCs w:val="20"/>
                <w:lang w:val="sq-AL"/>
              </w:rPr>
              <w:t>Numri i të drejtave të votës të përmendura në nenin 13(1a)(b) të Direktivës 2004/109/KE që lidhen me instrumente financiare të cilat parashikojnë vetëm shlyerje në para, me një profil pagese linear dhe simetrik me aksionin bazë, do të llogaritet mbi bazë të rregulluar sipas deltës, ku pozicioni në para është i barabartë me 1.</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26F2C1" w14:textId="12676CFC" w:rsidR="003B6F80" w:rsidRPr="00A5539A" w:rsidRDefault="00A5539A" w:rsidP="00017594">
            <w:pPr>
              <w:spacing w:after="120" w:line="240" w:lineRule="auto"/>
              <w:jc w:val="center"/>
              <w:rPr>
                <w:rFonts w:ascii="Times New Roman" w:hAnsi="Times New Roman"/>
                <w:sz w:val="20"/>
                <w:szCs w:val="20"/>
                <w:lang w:val="sq-AL"/>
              </w:rPr>
            </w:pPr>
            <w:r>
              <w:rPr>
                <w:rFonts w:ascii="Times New Roman" w:hAnsi="Times New Roman"/>
                <w:sz w:val="20"/>
                <w:szCs w:val="20"/>
                <w:lang w:val="sq-AL"/>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3BC29C" w14:textId="4B993172" w:rsidR="003B6F80" w:rsidRPr="00A5539A" w:rsidRDefault="00DF01DA" w:rsidP="002E5647">
            <w:pPr>
              <w:spacing w:after="120" w:line="240" w:lineRule="auto"/>
              <w:rPr>
                <w:rFonts w:ascii="Times New Roman" w:hAnsi="Times New Roman"/>
                <w:sz w:val="20"/>
                <w:szCs w:val="20"/>
                <w:lang w:val="sq-AL"/>
              </w:rPr>
            </w:pPr>
            <w:r w:rsidRPr="00A5539A">
              <w:rPr>
                <w:rFonts w:ascii="Times New Roman" w:hAnsi="Times New Roman"/>
                <w:sz w:val="20"/>
                <w:szCs w:val="20"/>
                <w:lang w:val="sq-AL"/>
              </w:rPr>
              <w:t>Neni 20 pika 3</w:t>
            </w:r>
            <w:r w:rsidR="000D723C">
              <w:rPr>
                <w:rFonts w:ascii="Times New Roman" w:hAnsi="Times New Roman"/>
                <w:sz w:val="20"/>
                <w:szCs w:val="20"/>
                <w:lang w:val="sq-AL"/>
              </w:rPr>
              <w:t xml:space="preserve"> paragrafi 1</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A5B51D" w14:textId="7694DEDC" w:rsidR="003B6F80" w:rsidRPr="00A5539A" w:rsidRDefault="00630E7C" w:rsidP="008632A4">
            <w:pPr>
              <w:pStyle w:val="NoSpacing"/>
              <w:rPr>
                <w:rFonts w:ascii="Times New Roman" w:hAnsi="Times New Roman"/>
                <w:sz w:val="20"/>
                <w:szCs w:val="20"/>
                <w:lang w:val="sq-AL"/>
              </w:rPr>
            </w:pPr>
            <w:r w:rsidRPr="00630E7C">
              <w:rPr>
                <w:rFonts w:ascii="Times New Roman" w:hAnsi="Times New Roman"/>
                <w:sz w:val="20"/>
                <w:szCs w:val="20"/>
                <w:lang w:val="sq-AL"/>
              </w:rPr>
              <w:t>Numri i të drejtave të votës, që lidhen me instrumente financiare të cilat parashikojnë ekskluzivisht shlyerje në para dhe kanë një profil linear e simetrik kthimi në raport me aksionin bazë, llogaritet mbi bazë të rregulluar sipas deltës, ku pozicioni në para konsiderohet i barabartë me 1.</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21D639" w14:textId="24CCC349" w:rsidR="003B6F80" w:rsidRPr="00A5539A" w:rsidRDefault="00A5539A" w:rsidP="00017594">
            <w:pPr>
              <w:spacing w:after="120" w:line="240" w:lineRule="auto"/>
              <w:jc w:val="center"/>
              <w:rPr>
                <w:rFonts w:ascii="Times New Roman" w:hAnsi="Times New Roman"/>
                <w:b/>
                <w:bCs/>
                <w:sz w:val="20"/>
                <w:szCs w:val="20"/>
                <w:lang w:val="sq-AL"/>
              </w:rPr>
            </w:pPr>
            <w:r>
              <w:rPr>
                <w:rFonts w:ascii="Times New Roman" w:hAnsi="Times New Roman"/>
                <w:b/>
                <w:bCs/>
                <w:sz w:val="20"/>
                <w:szCs w:val="20"/>
                <w:lang w:val="sq-AL"/>
              </w:rPr>
              <w:t>F</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2244DDB" w14:textId="77777777" w:rsidR="003B6F80" w:rsidRPr="00A5539A" w:rsidRDefault="003B6F80" w:rsidP="008632A4">
            <w:pPr>
              <w:rPr>
                <w:rFonts w:ascii="Times New Roman" w:hAnsi="Times New Roman"/>
                <w:sz w:val="20"/>
                <w:szCs w:val="20"/>
                <w:lang w:val="sq-AL"/>
              </w:rPr>
            </w:pPr>
          </w:p>
        </w:tc>
      </w:tr>
      <w:tr w:rsidR="0014443A" w:rsidRPr="00A5539A" w14:paraId="068B6759"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66551C3" w14:textId="77777777" w:rsidR="000119A8" w:rsidRPr="00A5539A" w:rsidRDefault="000119A8" w:rsidP="003B6F80">
            <w:pPr>
              <w:spacing w:after="120" w:line="240" w:lineRule="auto"/>
              <w:jc w:val="center"/>
              <w:rPr>
                <w:rFonts w:ascii="Times New Roman" w:hAnsi="Times New Roman"/>
                <w:b/>
                <w:bCs/>
                <w:sz w:val="20"/>
                <w:szCs w:val="20"/>
                <w:lang w:val="sq-AL"/>
              </w:rPr>
            </w:pP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7FE8320" w14:textId="7A6B7F90" w:rsidR="000119A8" w:rsidRPr="00A5539A" w:rsidRDefault="001E4B91" w:rsidP="001E4B91">
            <w:pPr>
              <w:numPr>
                <w:ilvl w:val="0"/>
                <w:numId w:val="17"/>
              </w:numPr>
              <w:spacing w:after="120" w:line="240" w:lineRule="auto"/>
              <w:jc w:val="both"/>
              <w:rPr>
                <w:rFonts w:ascii="Times New Roman" w:eastAsia="Times New Roman" w:hAnsi="Times New Roman"/>
                <w:sz w:val="20"/>
                <w:szCs w:val="20"/>
                <w:lang w:val="sq-AL"/>
              </w:rPr>
            </w:pPr>
            <w:r w:rsidRPr="00A5539A">
              <w:rPr>
                <w:rFonts w:ascii="Times New Roman" w:eastAsia="Times New Roman" w:hAnsi="Times New Roman"/>
                <w:sz w:val="20"/>
                <w:szCs w:val="20"/>
                <w:lang w:val="sq-AL"/>
              </w:rPr>
              <w:t>Numri i të drejtave të votës që lidhen me një instrument financiar të shlyer vetëm në para, pa një profil pagese linear dhe simetrik me aksionin bazë, do të llogaritet mbi bazë të rregulluar sipas deltës, duke përdorur një model standard të pranuar përgjithësisht për vlerësim.</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9F941EF" w14:textId="5E6C82C9" w:rsidR="000119A8" w:rsidRPr="00A5539A" w:rsidRDefault="00A5539A" w:rsidP="00017594">
            <w:pPr>
              <w:spacing w:after="120" w:line="240" w:lineRule="auto"/>
              <w:jc w:val="center"/>
              <w:rPr>
                <w:rFonts w:ascii="Times New Roman" w:hAnsi="Times New Roman"/>
                <w:sz w:val="20"/>
                <w:szCs w:val="20"/>
                <w:lang w:val="sq-AL"/>
              </w:rPr>
            </w:pPr>
            <w:r>
              <w:rPr>
                <w:rFonts w:ascii="Times New Roman" w:hAnsi="Times New Roman"/>
                <w:sz w:val="20"/>
                <w:szCs w:val="20"/>
                <w:lang w:val="sq-AL"/>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634977" w14:textId="29CC0364" w:rsidR="000119A8" w:rsidRPr="00A5539A" w:rsidRDefault="00A5539A" w:rsidP="002E5647">
            <w:pPr>
              <w:spacing w:after="120" w:line="240" w:lineRule="auto"/>
              <w:rPr>
                <w:rFonts w:ascii="Times New Roman" w:hAnsi="Times New Roman"/>
                <w:sz w:val="20"/>
                <w:szCs w:val="20"/>
                <w:lang w:val="sq-AL"/>
              </w:rPr>
            </w:pPr>
            <w:r>
              <w:rPr>
                <w:rFonts w:ascii="Times New Roman" w:hAnsi="Times New Roman"/>
                <w:sz w:val="20"/>
                <w:szCs w:val="20"/>
                <w:lang w:val="sq-AL"/>
              </w:rPr>
              <w:t>Neni 20 pika 3 paragrafi</w:t>
            </w:r>
            <w:r w:rsidR="000D723C">
              <w:rPr>
                <w:rFonts w:ascii="Times New Roman" w:hAnsi="Times New Roman"/>
                <w:sz w:val="20"/>
                <w:szCs w:val="20"/>
                <w:lang w:val="sq-AL"/>
              </w:rPr>
              <w:t xml:space="preserve"> 2</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061354" w14:textId="38672A92" w:rsidR="000119A8" w:rsidRPr="00A5539A" w:rsidRDefault="00AA29F0" w:rsidP="008632A4">
            <w:pPr>
              <w:pStyle w:val="NoSpacing"/>
              <w:rPr>
                <w:rFonts w:ascii="Times New Roman" w:hAnsi="Times New Roman"/>
                <w:sz w:val="20"/>
                <w:szCs w:val="20"/>
                <w:lang w:val="sq-AL"/>
              </w:rPr>
            </w:pPr>
            <w:r w:rsidRPr="00AA29F0">
              <w:rPr>
                <w:rFonts w:ascii="Times New Roman" w:hAnsi="Times New Roman"/>
                <w:sz w:val="20"/>
                <w:szCs w:val="20"/>
                <w:lang w:val="sq-AL"/>
              </w:rPr>
              <w:t>Numri i të drejtave të votës që lidhen me një instrument financiar të shlyer ekskluzivisht në para, i cili nuk ka një profil linear e simetrik kthimi në raport me aksionin bazë, llogaritet mbi bazë të rregulluar sipas deltës, duke përdorur një model standard çmimi të pranuar gjerësisht.</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2040BB" w14:textId="03E24CDD" w:rsidR="000119A8" w:rsidRPr="00A5539A" w:rsidRDefault="00A5539A" w:rsidP="00017594">
            <w:pPr>
              <w:spacing w:after="120" w:line="240" w:lineRule="auto"/>
              <w:jc w:val="center"/>
              <w:rPr>
                <w:rFonts w:ascii="Times New Roman" w:hAnsi="Times New Roman"/>
                <w:b/>
                <w:bCs/>
                <w:sz w:val="20"/>
                <w:szCs w:val="20"/>
                <w:lang w:val="sq-AL"/>
              </w:rPr>
            </w:pPr>
            <w:r>
              <w:rPr>
                <w:rFonts w:ascii="Times New Roman" w:hAnsi="Times New Roman"/>
                <w:b/>
                <w:bCs/>
                <w:sz w:val="20"/>
                <w:szCs w:val="20"/>
                <w:lang w:val="sq-AL"/>
              </w:rPr>
              <w:t>F</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25FF6CA" w14:textId="77777777" w:rsidR="000119A8" w:rsidRPr="00A5539A" w:rsidRDefault="000119A8" w:rsidP="008632A4">
            <w:pPr>
              <w:rPr>
                <w:rFonts w:ascii="Times New Roman" w:hAnsi="Times New Roman"/>
                <w:sz w:val="20"/>
                <w:szCs w:val="20"/>
                <w:lang w:val="sq-AL"/>
              </w:rPr>
            </w:pPr>
          </w:p>
        </w:tc>
      </w:tr>
      <w:tr w:rsidR="0014443A" w:rsidRPr="00A5539A" w14:paraId="2DEAAA7E"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E3FF89" w14:textId="77777777" w:rsidR="000119A8" w:rsidRPr="00A5539A" w:rsidRDefault="000119A8" w:rsidP="003B6F80">
            <w:pPr>
              <w:spacing w:after="120" w:line="240" w:lineRule="auto"/>
              <w:jc w:val="center"/>
              <w:rPr>
                <w:rFonts w:ascii="Times New Roman" w:hAnsi="Times New Roman"/>
                <w:b/>
                <w:bCs/>
                <w:sz w:val="20"/>
                <w:szCs w:val="20"/>
                <w:lang w:val="sq-AL"/>
              </w:rPr>
            </w:pP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95F94EC" w14:textId="694C4E5D" w:rsidR="001E4B91" w:rsidRPr="001E4B91" w:rsidRDefault="001E4B91" w:rsidP="001E4B91">
            <w:pPr>
              <w:numPr>
                <w:ilvl w:val="0"/>
                <w:numId w:val="17"/>
              </w:numPr>
              <w:spacing w:after="120" w:line="240" w:lineRule="auto"/>
              <w:jc w:val="both"/>
              <w:rPr>
                <w:rFonts w:ascii="Times New Roman" w:eastAsia="Times New Roman" w:hAnsi="Times New Roman"/>
                <w:sz w:val="20"/>
                <w:szCs w:val="20"/>
                <w:lang w:val="sq-AL"/>
              </w:rPr>
            </w:pPr>
            <w:r w:rsidRPr="001E4B91">
              <w:rPr>
                <w:rFonts w:ascii="Times New Roman" w:eastAsia="Times New Roman" w:hAnsi="Times New Roman"/>
                <w:sz w:val="20"/>
                <w:szCs w:val="20"/>
                <w:lang w:val="sq-AL"/>
              </w:rPr>
              <w:t>Një model standard i pranuar përgjithësisht për vlerësim do të jetë një model që përdoret zakonisht në industrinë financiare për atë instrument financiar dhe që është mjaftueshëm i qëndrueshëm për të marrë parasysh elementet që janë të rëndësishme për vlerësimin e instrumentit. Elementet e rëndësishme për vlerësimin do të përfshijnë të paktën të gjitha sa vijon:</w:t>
            </w:r>
          </w:p>
          <w:p w14:paraId="22E1040B" w14:textId="77777777" w:rsidR="001E4B91" w:rsidRPr="001E4B91" w:rsidRDefault="001E4B91" w:rsidP="001E4B91">
            <w:pPr>
              <w:spacing w:after="120" w:line="240" w:lineRule="auto"/>
              <w:jc w:val="both"/>
              <w:rPr>
                <w:rFonts w:ascii="Times New Roman" w:eastAsia="Times New Roman" w:hAnsi="Times New Roman"/>
                <w:sz w:val="20"/>
                <w:szCs w:val="20"/>
                <w:lang w:val="sq-AL"/>
              </w:rPr>
            </w:pPr>
            <w:r w:rsidRPr="001E4B91">
              <w:rPr>
                <w:rFonts w:ascii="Times New Roman" w:eastAsia="Times New Roman" w:hAnsi="Times New Roman"/>
                <w:sz w:val="20"/>
                <w:szCs w:val="20"/>
                <w:lang w:val="sq-AL"/>
              </w:rPr>
              <w:t>(a) norma e interesit;</w:t>
            </w:r>
            <w:r w:rsidRPr="001E4B91">
              <w:rPr>
                <w:rFonts w:ascii="Times New Roman" w:eastAsia="Times New Roman" w:hAnsi="Times New Roman"/>
                <w:sz w:val="20"/>
                <w:szCs w:val="20"/>
                <w:lang w:val="sq-AL"/>
              </w:rPr>
              <w:br/>
              <w:t>(b) pagesat e dividendëve;</w:t>
            </w:r>
            <w:r w:rsidRPr="001E4B91">
              <w:rPr>
                <w:rFonts w:ascii="Times New Roman" w:eastAsia="Times New Roman" w:hAnsi="Times New Roman"/>
                <w:sz w:val="20"/>
                <w:szCs w:val="20"/>
                <w:lang w:val="sq-AL"/>
              </w:rPr>
              <w:br/>
              <w:t>(c) koha deri në maturim;</w:t>
            </w:r>
            <w:r w:rsidRPr="001E4B91">
              <w:rPr>
                <w:rFonts w:ascii="Times New Roman" w:eastAsia="Times New Roman" w:hAnsi="Times New Roman"/>
                <w:sz w:val="20"/>
                <w:szCs w:val="20"/>
                <w:lang w:val="sq-AL"/>
              </w:rPr>
              <w:br/>
              <w:t>(d) paqëndrueshmëria;</w:t>
            </w:r>
            <w:r w:rsidRPr="001E4B91">
              <w:rPr>
                <w:rFonts w:ascii="Times New Roman" w:eastAsia="Times New Roman" w:hAnsi="Times New Roman"/>
                <w:sz w:val="20"/>
                <w:szCs w:val="20"/>
                <w:lang w:val="sq-AL"/>
              </w:rPr>
              <w:br/>
              <w:t>(e) çmimi i aksionit bazë.</w:t>
            </w:r>
          </w:p>
          <w:p w14:paraId="28CEFC5E" w14:textId="2B821B57" w:rsidR="000119A8" w:rsidRPr="00A5539A" w:rsidRDefault="000119A8" w:rsidP="00353073">
            <w:pPr>
              <w:spacing w:after="120" w:line="240" w:lineRule="auto"/>
              <w:jc w:val="both"/>
              <w:rPr>
                <w:rFonts w:ascii="Times New Roman" w:eastAsia="Times New Roman" w:hAnsi="Times New Roman"/>
                <w:sz w:val="20"/>
                <w:szCs w:val="20"/>
                <w:lang w:val="sq-AL"/>
              </w:rPr>
            </w:pP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7B47492" w14:textId="1BAB66B8" w:rsidR="000119A8" w:rsidRPr="00A5539A" w:rsidRDefault="00A5539A" w:rsidP="00017594">
            <w:pPr>
              <w:spacing w:after="120" w:line="240" w:lineRule="auto"/>
              <w:jc w:val="center"/>
              <w:rPr>
                <w:rFonts w:ascii="Times New Roman" w:hAnsi="Times New Roman"/>
                <w:sz w:val="20"/>
                <w:szCs w:val="20"/>
                <w:lang w:val="sq-AL"/>
              </w:rPr>
            </w:pPr>
            <w:r>
              <w:rPr>
                <w:rFonts w:ascii="Times New Roman" w:hAnsi="Times New Roman"/>
                <w:sz w:val="20"/>
                <w:szCs w:val="20"/>
                <w:lang w:val="sq-AL"/>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E8D762" w14:textId="19AC380E" w:rsidR="000119A8" w:rsidRPr="00A5539A" w:rsidRDefault="000D723C" w:rsidP="002E5647">
            <w:pPr>
              <w:spacing w:after="120" w:line="240" w:lineRule="auto"/>
              <w:rPr>
                <w:rFonts w:ascii="Times New Roman" w:hAnsi="Times New Roman"/>
                <w:sz w:val="20"/>
                <w:szCs w:val="20"/>
                <w:lang w:val="sq-AL"/>
              </w:rPr>
            </w:pPr>
            <w:r>
              <w:rPr>
                <w:rFonts w:ascii="Times New Roman" w:hAnsi="Times New Roman"/>
                <w:sz w:val="20"/>
                <w:szCs w:val="20"/>
                <w:lang w:val="sq-AL"/>
              </w:rPr>
              <w:t xml:space="preserve">Neni 20 pika 3 paragrafi </w:t>
            </w:r>
            <w:r w:rsidR="004F375B">
              <w:rPr>
                <w:rFonts w:ascii="Times New Roman" w:hAnsi="Times New Roman"/>
                <w:sz w:val="20"/>
                <w:szCs w:val="20"/>
                <w:lang w:val="sq-AL"/>
              </w:rPr>
              <w:t>3</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0685C7" w14:textId="66630AB5" w:rsidR="0069190A" w:rsidRPr="0069190A" w:rsidRDefault="0069190A" w:rsidP="0069190A">
            <w:pPr>
              <w:pStyle w:val="NoSpacing"/>
              <w:rPr>
                <w:rFonts w:ascii="Times New Roman" w:hAnsi="Times New Roman"/>
                <w:sz w:val="20"/>
                <w:szCs w:val="20"/>
                <w:lang w:val="sq-AL"/>
              </w:rPr>
            </w:pPr>
            <w:r w:rsidRPr="0069190A">
              <w:rPr>
                <w:rFonts w:ascii="Times New Roman" w:hAnsi="Times New Roman"/>
                <w:sz w:val="20"/>
                <w:szCs w:val="20"/>
                <w:lang w:val="sq-AL"/>
              </w:rPr>
              <w:t xml:space="preserve">Një model standard çmimi i pranuar gjerësisht është një model që përdoret zakonisht në industrinë financiare për atë instrument financiar dhe që është mjaftueshëm i qëndrueshëm për të marrë parasysh elementet që janë të rëndësishëm për vlerësimin e instrumentit. Elementet që janë të </w:t>
            </w:r>
            <w:r w:rsidR="00ED68CF" w:rsidRPr="0069190A">
              <w:rPr>
                <w:rFonts w:ascii="Times New Roman" w:hAnsi="Times New Roman"/>
                <w:sz w:val="20"/>
                <w:szCs w:val="20"/>
                <w:lang w:val="sq-AL"/>
              </w:rPr>
              <w:t xml:space="preserve">rëndësishëm </w:t>
            </w:r>
            <w:r w:rsidRPr="0069190A">
              <w:rPr>
                <w:rFonts w:ascii="Times New Roman" w:hAnsi="Times New Roman"/>
                <w:sz w:val="20"/>
                <w:szCs w:val="20"/>
                <w:lang w:val="sq-AL"/>
              </w:rPr>
              <w:t>për vlerësimin përfshijnë të paktën:</w:t>
            </w:r>
          </w:p>
          <w:p w14:paraId="5946CC5A" w14:textId="77777777" w:rsidR="0069190A" w:rsidRPr="0069190A" w:rsidRDefault="0069190A" w:rsidP="0069190A">
            <w:pPr>
              <w:pStyle w:val="NoSpacing"/>
              <w:rPr>
                <w:rFonts w:ascii="Times New Roman" w:hAnsi="Times New Roman"/>
                <w:sz w:val="20"/>
                <w:szCs w:val="20"/>
                <w:lang w:val="sq-AL"/>
              </w:rPr>
            </w:pPr>
            <w:r w:rsidRPr="0069190A">
              <w:rPr>
                <w:rFonts w:ascii="Times New Roman" w:hAnsi="Times New Roman"/>
                <w:sz w:val="20"/>
                <w:szCs w:val="20"/>
                <w:lang w:val="sq-AL"/>
              </w:rPr>
              <w:t>(a)normën e interesit;</w:t>
            </w:r>
          </w:p>
          <w:p w14:paraId="0C1A8738" w14:textId="77777777" w:rsidR="0069190A" w:rsidRPr="0069190A" w:rsidRDefault="0069190A" w:rsidP="0069190A">
            <w:pPr>
              <w:pStyle w:val="NoSpacing"/>
              <w:rPr>
                <w:rFonts w:ascii="Times New Roman" w:hAnsi="Times New Roman"/>
                <w:sz w:val="20"/>
                <w:szCs w:val="20"/>
                <w:lang w:val="sq-AL"/>
              </w:rPr>
            </w:pPr>
            <w:r w:rsidRPr="0069190A">
              <w:rPr>
                <w:rFonts w:ascii="Times New Roman" w:hAnsi="Times New Roman"/>
                <w:sz w:val="20"/>
                <w:szCs w:val="20"/>
                <w:lang w:val="sq-AL"/>
              </w:rPr>
              <w:t>(b)pagesat e dividendëve;</w:t>
            </w:r>
          </w:p>
          <w:p w14:paraId="70C21FBF" w14:textId="77777777" w:rsidR="0069190A" w:rsidRPr="0069190A" w:rsidRDefault="0069190A" w:rsidP="0069190A">
            <w:pPr>
              <w:pStyle w:val="NoSpacing"/>
              <w:rPr>
                <w:rFonts w:ascii="Times New Roman" w:hAnsi="Times New Roman"/>
                <w:sz w:val="20"/>
                <w:szCs w:val="20"/>
                <w:lang w:val="sq-AL"/>
              </w:rPr>
            </w:pPr>
            <w:r w:rsidRPr="0069190A">
              <w:rPr>
                <w:rFonts w:ascii="Times New Roman" w:hAnsi="Times New Roman"/>
                <w:sz w:val="20"/>
                <w:szCs w:val="20"/>
                <w:lang w:val="sq-AL"/>
              </w:rPr>
              <w:t>(c)kohën deri në maturim;</w:t>
            </w:r>
          </w:p>
          <w:p w14:paraId="6248C943" w14:textId="77777777" w:rsidR="0069190A" w:rsidRPr="0069190A" w:rsidRDefault="0069190A" w:rsidP="0069190A">
            <w:pPr>
              <w:pStyle w:val="NoSpacing"/>
              <w:rPr>
                <w:rFonts w:ascii="Times New Roman" w:hAnsi="Times New Roman"/>
                <w:sz w:val="20"/>
                <w:szCs w:val="20"/>
                <w:lang w:val="sq-AL"/>
              </w:rPr>
            </w:pPr>
            <w:r w:rsidRPr="0069190A">
              <w:rPr>
                <w:rFonts w:ascii="Times New Roman" w:hAnsi="Times New Roman"/>
                <w:sz w:val="20"/>
                <w:szCs w:val="20"/>
                <w:lang w:val="sq-AL"/>
              </w:rPr>
              <w:t>(d)paqëndrueshmërinë (volatilitetin);</w:t>
            </w:r>
          </w:p>
          <w:p w14:paraId="0F9BBC59" w14:textId="1D5DF851" w:rsidR="000119A8" w:rsidRPr="00A5539A" w:rsidRDefault="0069190A" w:rsidP="0069190A">
            <w:pPr>
              <w:pStyle w:val="NoSpacing"/>
              <w:rPr>
                <w:rFonts w:ascii="Times New Roman" w:hAnsi="Times New Roman"/>
                <w:sz w:val="20"/>
                <w:szCs w:val="20"/>
                <w:lang w:val="sq-AL"/>
              </w:rPr>
            </w:pPr>
            <w:r w:rsidRPr="0069190A">
              <w:rPr>
                <w:rFonts w:ascii="Times New Roman" w:hAnsi="Times New Roman"/>
                <w:sz w:val="20"/>
                <w:szCs w:val="20"/>
                <w:lang w:val="sq-AL"/>
              </w:rPr>
              <w:t>(e)çmimin e aksionit bazë.</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954B77" w14:textId="165A0F8F" w:rsidR="000119A8" w:rsidRPr="00A5539A" w:rsidRDefault="000D723C" w:rsidP="00017594">
            <w:pPr>
              <w:spacing w:after="120" w:line="240" w:lineRule="auto"/>
              <w:jc w:val="center"/>
              <w:rPr>
                <w:rFonts w:ascii="Times New Roman" w:hAnsi="Times New Roman"/>
                <w:b/>
                <w:bCs/>
                <w:sz w:val="20"/>
                <w:szCs w:val="20"/>
                <w:lang w:val="sq-AL"/>
              </w:rPr>
            </w:pPr>
            <w:r>
              <w:rPr>
                <w:rFonts w:ascii="Times New Roman" w:hAnsi="Times New Roman"/>
                <w:b/>
                <w:bCs/>
                <w:sz w:val="20"/>
                <w:szCs w:val="20"/>
                <w:lang w:val="sq-AL"/>
              </w:rPr>
              <w:t>F</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E7D09B8" w14:textId="77777777" w:rsidR="000119A8" w:rsidRPr="00A5539A" w:rsidRDefault="000119A8" w:rsidP="008632A4">
            <w:pPr>
              <w:rPr>
                <w:rFonts w:ascii="Times New Roman" w:hAnsi="Times New Roman"/>
                <w:sz w:val="20"/>
                <w:szCs w:val="20"/>
                <w:lang w:val="sq-AL"/>
              </w:rPr>
            </w:pPr>
          </w:p>
        </w:tc>
      </w:tr>
      <w:tr w:rsidR="0014443A" w:rsidRPr="00A5539A" w14:paraId="25B50541"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CF9EB1E" w14:textId="77777777" w:rsidR="00353073" w:rsidRPr="00A5539A" w:rsidRDefault="00353073" w:rsidP="003B6F80">
            <w:pPr>
              <w:spacing w:after="120" w:line="240" w:lineRule="auto"/>
              <w:jc w:val="center"/>
              <w:rPr>
                <w:rFonts w:ascii="Times New Roman" w:hAnsi="Times New Roman"/>
                <w:b/>
                <w:bCs/>
                <w:sz w:val="20"/>
                <w:szCs w:val="20"/>
                <w:lang w:val="sq-AL"/>
              </w:rPr>
            </w:pP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A9011FC" w14:textId="77777777" w:rsidR="00992285" w:rsidRPr="00992285" w:rsidRDefault="00992285" w:rsidP="00992285">
            <w:pPr>
              <w:numPr>
                <w:ilvl w:val="0"/>
                <w:numId w:val="19"/>
              </w:numPr>
              <w:spacing w:after="120" w:line="240" w:lineRule="auto"/>
              <w:jc w:val="both"/>
              <w:rPr>
                <w:rFonts w:ascii="Times New Roman" w:eastAsia="Times New Roman" w:hAnsi="Times New Roman"/>
                <w:sz w:val="20"/>
                <w:szCs w:val="20"/>
                <w:lang w:val="sq-AL"/>
              </w:rPr>
            </w:pPr>
            <w:r w:rsidRPr="00992285">
              <w:rPr>
                <w:rFonts w:ascii="Times New Roman" w:eastAsia="Times New Roman" w:hAnsi="Times New Roman"/>
                <w:sz w:val="20"/>
                <w:szCs w:val="20"/>
                <w:lang w:val="sq-AL"/>
              </w:rPr>
              <w:t>Gjatë përcaktimit të deltës, mbajtësi i instrumentit financiar do të sigurojë të gjitha sa vijon:</w:t>
            </w:r>
          </w:p>
          <w:p w14:paraId="540EAF43" w14:textId="77777777" w:rsidR="00992285" w:rsidRPr="00992285" w:rsidRDefault="00992285" w:rsidP="00992285">
            <w:pPr>
              <w:spacing w:after="120" w:line="240" w:lineRule="auto"/>
              <w:jc w:val="both"/>
              <w:rPr>
                <w:rFonts w:ascii="Times New Roman" w:eastAsia="Times New Roman" w:hAnsi="Times New Roman"/>
                <w:sz w:val="20"/>
                <w:szCs w:val="20"/>
                <w:lang w:val="sq-AL"/>
              </w:rPr>
            </w:pPr>
            <w:r w:rsidRPr="00992285">
              <w:rPr>
                <w:rFonts w:ascii="Times New Roman" w:eastAsia="Times New Roman" w:hAnsi="Times New Roman"/>
                <w:sz w:val="20"/>
                <w:szCs w:val="20"/>
                <w:lang w:val="sq-AL"/>
              </w:rPr>
              <w:t>(a) që modeli i përdorur mbulon kompleksitetin dhe rrezikun e çdo instrumenti financiar;</w:t>
            </w:r>
            <w:r w:rsidRPr="00992285">
              <w:rPr>
                <w:rFonts w:ascii="Times New Roman" w:eastAsia="Times New Roman" w:hAnsi="Times New Roman"/>
                <w:sz w:val="20"/>
                <w:szCs w:val="20"/>
                <w:lang w:val="sq-AL"/>
              </w:rPr>
              <w:br/>
              <w:t>(b) që i njëjti model përdoret në mënyrë të qëndrueshme për llogaritjen e numrit të të drejtave të votës për një instrument financiar të caktuar.</w:t>
            </w:r>
          </w:p>
          <w:p w14:paraId="0ABDA130" w14:textId="73F49F4C" w:rsidR="00353073" w:rsidRPr="00A5539A" w:rsidRDefault="00353073" w:rsidP="00B437AA">
            <w:pPr>
              <w:spacing w:after="120" w:line="240" w:lineRule="auto"/>
              <w:jc w:val="both"/>
              <w:rPr>
                <w:rFonts w:ascii="Times New Roman" w:eastAsia="Times New Roman" w:hAnsi="Times New Roman"/>
                <w:sz w:val="20"/>
                <w:szCs w:val="20"/>
                <w:lang w:val="sq-AL"/>
              </w:rPr>
            </w:pP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7DD6643" w14:textId="2283AFA8" w:rsidR="00353073" w:rsidRPr="00A5539A" w:rsidRDefault="000D723C" w:rsidP="00017594">
            <w:pPr>
              <w:spacing w:after="120" w:line="240" w:lineRule="auto"/>
              <w:jc w:val="center"/>
              <w:rPr>
                <w:rFonts w:ascii="Times New Roman" w:hAnsi="Times New Roman"/>
                <w:sz w:val="20"/>
                <w:szCs w:val="20"/>
                <w:lang w:val="sq-AL"/>
              </w:rPr>
            </w:pPr>
            <w:r>
              <w:rPr>
                <w:rFonts w:ascii="Times New Roman" w:hAnsi="Times New Roman"/>
                <w:sz w:val="20"/>
                <w:szCs w:val="20"/>
                <w:lang w:val="sq-AL"/>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A8D82D" w14:textId="18EC3115" w:rsidR="00353073" w:rsidRPr="00A5539A" w:rsidRDefault="000D723C" w:rsidP="002E5647">
            <w:pPr>
              <w:spacing w:after="120" w:line="240" w:lineRule="auto"/>
              <w:rPr>
                <w:rFonts w:ascii="Times New Roman" w:hAnsi="Times New Roman"/>
                <w:sz w:val="20"/>
                <w:szCs w:val="20"/>
                <w:lang w:val="sq-AL"/>
              </w:rPr>
            </w:pPr>
            <w:r>
              <w:rPr>
                <w:rFonts w:ascii="Times New Roman" w:hAnsi="Times New Roman"/>
                <w:sz w:val="20"/>
                <w:szCs w:val="20"/>
                <w:lang w:val="sq-AL"/>
              </w:rPr>
              <w:t xml:space="preserve">Neni 20 pika 3 paragrafi </w:t>
            </w:r>
            <w:r w:rsidR="0005068D">
              <w:rPr>
                <w:rFonts w:ascii="Times New Roman" w:hAnsi="Times New Roman"/>
                <w:sz w:val="20"/>
                <w:szCs w:val="20"/>
                <w:lang w:val="sq-AL"/>
              </w:rPr>
              <w:t>4</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B7AE20" w14:textId="77777777" w:rsidR="0005068D" w:rsidRPr="0005068D" w:rsidRDefault="0005068D" w:rsidP="0005068D">
            <w:pPr>
              <w:pStyle w:val="NoSpacing"/>
              <w:rPr>
                <w:rFonts w:ascii="Times New Roman" w:hAnsi="Times New Roman"/>
                <w:sz w:val="20"/>
                <w:szCs w:val="20"/>
                <w:lang w:val="sq-AL"/>
              </w:rPr>
            </w:pPr>
            <w:r w:rsidRPr="0005068D">
              <w:rPr>
                <w:rFonts w:ascii="Times New Roman" w:hAnsi="Times New Roman"/>
                <w:sz w:val="20"/>
                <w:szCs w:val="20"/>
                <w:lang w:val="sq-AL"/>
              </w:rPr>
              <w:t>Gjatë përcaktimit të deltës, mbajtësi i instrumentit financiar duhet të sigurojë që:</w:t>
            </w:r>
          </w:p>
          <w:p w14:paraId="729FC73B" w14:textId="77777777" w:rsidR="0005068D" w:rsidRPr="0005068D" w:rsidRDefault="0005068D" w:rsidP="0005068D">
            <w:pPr>
              <w:pStyle w:val="NoSpacing"/>
              <w:rPr>
                <w:rFonts w:ascii="Times New Roman" w:hAnsi="Times New Roman"/>
                <w:sz w:val="20"/>
                <w:szCs w:val="20"/>
                <w:lang w:val="sq-AL"/>
              </w:rPr>
            </w:pPr>
            <w:r w:rsidRPr="0005068D">
              <w:rPr>
                <w:rFonts w:ascii="Times New Roman" w:hAnsi="Times New Roman"/>
                <w:sz w:val="20"/>
                <w:szCs w:val="20"/>
                <w:lang w:val="sq-AL"/>
              </w:rPr>
              <w:t>(i)modeli i përdorur të mbulojë kompleksitetin dhe rrezikun e çdo instrumenti financiar;</w:t>
            </w:r>
          </w:p>
          <w:p w14:paraId="2F7A2D43" w14:textId="76AB18D1" w:rsidR="00353073" w:rsidRPr="00A5539A" w:rsidRDefault="0005068D" w:rsidP="0005068D">
            <w:pPr>
              <w:pStyle w:val="NoSpacing"/>
              <w:rPr>
                <w:rFonts w:ascii="Times New Roman" w:hAnsi="Times New Roman"/>
                <w:sz w:val="20"/>
                <w:szCs w:val="20"/>
                <w:lang w:val="sq-AL"/>
              </w:rPr>
            </w:pPr>
            <w:r w:rsidRPr="0005068D">
              <w:rPr>
                <w:rFonts w:ascii="Times New Roman" w:hAnsi="Times New Roman"/>
                <w:sz w:val="20"/>
                <w:szCs w:val="20"/>
                <w:lang w:val="sq-AL"/>
              </w:rPr>
              <w:t>(ii)i njëjti model të përdoret në mënyrë të qëndrueshme për llogaritjen e numrit të të drejtave të votës për një instrument financiar të caktuar.</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272101" w14:textId="07425240" w:rsidR="00353073" w:rsidRPr="00A5539A" w:rsidRDefault="000D723C" w:rsidP="00017594">
            <w:pPr>
              <w:spacing w:after="120" w:line="240" w:lineRule="auto"/>
              <w:jc w:val="center"/>
              <w:rPr>
                <w:rFonts w:ascii="Times New Roman" w:hAnsi="Times New Roman"/>
                <w:b/>
                <w:bCs/>
                <w:sz w:val="20"/>
                <w:szCs w:val="20"/>
                <w:lang w:val="sq-AL"/>
              </w:rPr>
            </w:pPr>
            <w:r>
              <w:rPr>
                <w:rFonts w:ascii="Times New Roman" w:hAnsi="Times New Roman"/>
                <w:b/>
                <w:bCs/>
                <w:sz w:val="20"/>
                <w:szCs w:val="20"/>
                <w:lang w:val="sq-AL"/>
              </w:rPr>
              <w:t>F</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2A1002" w14:textId="77777777" w:rsidR="00353073" w:rsidRPr="00A5539A" w:rsidRDefault="00353073" w:rsidP="008632A4">
            <w:pPr>
              <w:rPr>
                <w:rFonts w:ascii="Times New Roman" w:hAnsi="Times New Roman"/>
                <w:sz w:val="20"/>
                <w:szCs w:val="20"/>
                <w:lang w:val="sq-AL"/>
              </w:rPr>
            </w:pPr>
          </w:p>
        </w:tc>
      </w:tr>
      <w:tr w:rsidR="0014443A" w:rsidRPr="00A5539A" w14:paraId="29B67A1B"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1128660" w14:textId="77777777" w:rsidR="00B437AA" w:rsidRPr="00A5539A" w:rsidRDefault="00B437AA" w:rsidP="003B6F80">
            <w:pPr>
              <w:spacing w:after="120" w:line="240" w:lineRule="auto"/>
              <w:jc w:val="center"/>
              <w:rPr>
                <w:rFonts w:ascii="Times New Roman" w:hAnsi="Times New Roman"/>
                <w:b/>
                <w:bCs/>
                <w:sz w:val="20"/>
                <w:szCs w:val="20"/>
                <w:lang w:val="sq-AL"/>
              </w:rPr>
            </w:pP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EB9D656" w14:textId="5BE45664" w:rsidR="00B437AA" w:rsidRPr="00A5539A" w:rsidRDefault="00992285" w:rsidP="00992285">
            <w:pPr>
              <w:numPr>
                <w:ilvl w:val="0"/>
                <w:numId w:val="19"/>
              </w:numPr>
              <w:spacing w:after="120" w:line="240" w:lineRule="auto"/>
              <w:jc w:val="both"/>
              <w:rPr>
                <w:rFonts w:ascii="Times New Roman" w:eastAsia="Times New Roman" w:hAnsi="Times New Roman"/>
                <w:sz w:val="20"/>
                <w:szCs w:val="20"/>
                <w:lang w:val="sq-AL"/>
              </w:rPr>
            </w:pPr>
            <w:r w:rsidRPr="00A5539A">
              <w:rPr>
                <w:rFonts w:ascii="Times New Roman" w:eastAsia="Times New Roman" w:hAnsi="Times New Roman"/>
                <w:sz w:val="20"/>
                <w:szCs w:val="20"/>
                <w:lang w:val="sq-AL"/>
              </w:rPr>
              <w:t>Sistemet e teknologjisë së informacionit të përdorura për të kryer llogaritjen e deltës duhet të sigurojnë raportim të qëndrueshëm, të saktë dhe në kohë të të drejtave të votës.</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A606355" w14:textId="28AE58AD" w:rsidR="00B437AA" w:rsidRPr="00A5539A" w:rsidRDefault="000D723C" w:rsidP="00017594">
            <w:pPr>
              <w:spacing w:after="120" w:line="240" w:lineRule="auto"/>
              <w:jc w:val="center"/>
              <w:rPr>
                <w:rFonts w:ascii="Times New Roman" w:hAnsi="Times New Roman"/>
                <w:sz w:val="20"/>
                <w:szCs w:val="20"/>
                <w:lang w:val="sq-AL"/>
              </w:rPr>
            </w:pPr>
            <w:r>
              <w:rPr>
                <w:rFonts w:ascii="Times New Roman" w:hAnsi="Times New Roman"/>
                <w:sz w:val="20"/>
                <w:szCs w:val="20"/>
                <w:lang w:val="sq-AL"/>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CF6F4C" w14:textId="4D5CEC50" w:rsidR="00B437AA" w:rsidRPr="00A5539A" w:rsidRDefault="000D723C" w:rsidP="002E5647">
            <w:pPr>
              <w:spacing w:after="120" w:line="240" w:lineRule="auto"/>
              <w:rPr>
                <w:rFonts w:ascii="Times New Roman" w:hAnsi="Times New Roman"/>
                <w:sz w:val="20"/>
                <w:szCs w:val="20"/>
                <w:lang w:val="sq-AL"/>
              </w:rPr>
            </w:pPr>
            <w:r>
              <w:rPr>
                <w:rFonts w:ascii="Times New Roman" w:hAnsi="Times New Roman"/>
                <w:sz w:val="20"/>
                <w:szCs w:val="20"/>
                <w:lang w:val="sq-AL"/>
              </w:rPr>
              <w:t xml:space="preserve">Neni 20 pika 3 paragrafi </w:t>
            </w:r>
            <w:r w:rsidR="0005068D">
              <w:rPr>
                <w:rFonts w:ascii="Times New Roman" w:hAnsi="Times New Roman"/>
                <w:sz w:val="20"/>
                <w:szCs w:val="20"/>
                <w:lang w:val="sq-AL"/>
              </w:rPr>
              <w:t>5</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CB02E0" w14:textId="77777777" w:rsidR="000F464C" w:rsidRPr="00A5539A" w:rsidRDefault="000F464C" w:rsidP="000F464C">
            <w:pPr>
              <w:pStyle w:val="NoSpacing"/>
              <w:rPr>
                <w:rFonts w:ascii="Times New Roman" w:hAnsi="Times New Roman"/>
                <w:sz w:val="20"/>
                <w:szCs w:val="20"/>
                <w:lang w:val="sq-AL"/>
              </w:rPr>
            </w:pPr>
            <w:r w:rsidRPr="00A5539A">
              <w:rPr>
                <w:rFonts w:ascii="Times New Roman" w:hAnsi="Times New Roman"/>
                <w:sz w:val="20"/>
                <w:szCs w:val="20"/>
                <w:lang w:val="sq-AL"/>
              </w:rPr>
              <w:t>Sistemet e teknologjisë së informacionit të përdorura për kryerjen e llogaritjes së deltës duhet të sigurojnë raportim të qëndrueshëm, të saktë dhe në kohë të të drejtave të votës.</w:t>
            </w:r>
          </w:p>
          <w:p w14:paraId="66ED9205" w14:textId="77777777" w:rsidR="00B437AA" w:rsidRPr="00A5539A" w:rsidRDefault="00B437AA" w:rsidP="008632A4">
            <w:pPr>
              <w:pStyle w:val="NoSpacing"/>
              <w:rPr>
                <w:rFonts w:ascii="Times New Roman" w:hAnsi="Times New Roman"/>
                <w:sz w:val="20"/>
                <w:szCs w:val="20"/>
                <w:lang w:val="sq-AL"/>
              </w:rPr>
            </w:pP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07BABC" w14:textId="77777777" w:rsidR="00B437AA" w:rsidRPr="00A5539A" w:rsidRDefault="00B437AA" w:rsidP="00017594">
            <w:pPr>
              <w:spacing w:after="120" w:line="240" w:lineRule="auto"/>
              <w:jc w:val="center"/>
              <w:rPr>
                <w:rFonts w:ascii="Times New Roman" w:hAnsi="Times New Roman"/>
                <w:b/>
                <w:bCs/>
                <w:sz w:val="20"/>
                <w:szCs w:val="20"/>
                <w:lang w:val="sq-AL"/>
              </w:rPr>
            </w:pP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A938DE0" w14:textId="77777777" w:rsidR="00B437AA" w:rsidRPr="00A5539A" w:rsidRDefault="00B437AA" w:rsidP="008632A4">
            <w:pPr>
              <w:rPr>
                <w:rFonts w:ascii="Times New Roman" w:hAnsi="Times New Roman"/>
                <w:sz w:val="20"/>
                <w:szCs w:val="20"/>
                <w:lang w:val="sq-AL"/>
              </w:rPr>
            </w:pPr>
          </w:p>
        </w:tc>
      </w:tr>
      <w:tr w:rsidR="0014443A" w:rsidRPr="00A5539A" w14:paraId="2EF7D778"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A5A3986" w14:textId="77777777" w:rsidR="00B437AA" w:rsidRPr="00A5539A" w:rsidRDefault="00B437AA" w:rsidP="003B6F80">
            <w:pPr>
              <w:spacing w:after="120" w:line="240" w:lineRule="auto"/>
              <w:jc w:val="center"/>
              <w:rPr>
                <w:rFonts w:ascii="Times New Roman" w:hAnsi="Times New Roman"/>
                <w:b/>
                <w:bCs/>
                <w:sz w:val="20"/>
                <w:szCs w:val="20"/>
                <w:lang w:val="sq-AL"/>
              </w:rPr>
            </w:pP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25D9788" w14:textId="7015DC51" w:rsidR="00B437AA" w:rsidRPr="00A5539A" w:rsidRDefault="00992285" w:rsidP="00992285">
            <w:pPr>
              <w:numPr>
                <w:ilvl w:val="0"/>
                <w:numId w:val="19"/>
              </w:numPr>
              <w:spacing w:after="120" w:line="240" w:lineRule="auto"/>
              <w:jc w:val="both"/>
              <w:rPr>
                <w:rFonts w:ascii="Times New Roman" w:eastAsia="Times New Roman" w:hAnsi="Times New Roman"/>
                <w:sz w:val="20"/>
                <w:szCs w:val="20"/>
                <w:lang w:val="sq-AL"/>
              </w:rPr>
            </w:pPr>
            <w:r w:rsidRPr="00A5539A">
              <w:rPr>
                <w:rFonts w:ascii="Times New Roman" w:eastAsia="Times New Roman" w:hAnsi="Times New Roman"/>
                <w:sz w:val="20"/>
                <w:szCs w:val="20"/>
                <w:lang w:val="sq-AL"/>
              </w:rPr>
              <w:t>Numri i të drejtave të votës do të llogaritet çdo ditë, duke marrë parasysh çmimin e fundit të mbylljes së aksionit bazë. Mbajtësi i instrumentit financiar duhet të njoftojë emetuesin kur arrin, tejkalon ose bie nën pragjet e parashikuara në nenin 9(1) të Direktivës 2004/109/KE.</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B8B0BAE" w14:textId="438CBA31" w:rsidR="00B437AA" w:rsidRPr="00A5539A" w:rsidRDefault="000D723C" w:rsidP="00017594">
            <w:pPr>
              <w:spacing w:after="120" w:line="240" w:lineRule="auto"/>
              <w:jc w:val="center"/>
              <w:rPr>
                <w:rFonts w:ascii="Times New Roman" w:hAnsi="Times New Roman"/>
                <w:sz w:val="20"/>
                <w:szCs w:val="20"/>
                <w:lang w:val="sq-AL"/>
              </w:rPr>
            </w:pPr>
            <w:r>
              <w:rPr>
                <w:rFonts w:ascii="Times New Roman" w:hAnsi="Times New Roman"/>
                <w:sz w:val="20"/>
                <w:szCs w:val="20"/>
                <w:lang w:val="sq-AL"/>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4BF2CB" w14:textId="0D2A3E8D" w:rsidR="00B437AA" w:rsidRPr="00A5539A" w:rsidRDefault="000D723C" w:rsidP="002E5647">
            <w:pPr>
              <w:spacing w:after="120" w:line="240" w:lineRule="auto"/>
              <w:rPr>
                <w:rFonts w:ascii="Times New Roman" w:hAnsi="Times New Roman"/>
                <w:sz w:val="20"/>
                <w:szCs w:val="20"/>
                <w:lang w:val="sq-AL"/>
              </w:rPr>
            </w:pPr>
            <w:r>
              <w:rPr>
                <w:rFonts w:ascii="Times New Roman" w:hAnsi="Times New Roman"/>
                <w:sz w:val="20"/>
                <w:szCs w:val="20"/>
                <w:lang w:val="sq-AL"/>
              </w:rPr>
              <w:t>Neni 20 pika 3 paragrafi 6</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AE34C1" w14:textId="7F636C51" w:rsidR="00B437AA" w:rsidRPr="00A5539A" w:rsidRDefault="000F464C" w:rsidP="008632A4">
            <w:pPr>
              <w:pStyle w:val="NoSpacing"/>
              <w:rPr>
                <w:rFonts w:ascii="Times New Roman" w:hAnsi="Times New Roman"/>
                <w:sz w:val="20"/>
                <w:szCs w:val="20"/>
                <w:lang w:val="sq-AL"/>
              </w:rPr>
            </w:pPr>
            <w:r w:rsidRPr="00A5539A">
              <w:rPr>
                <w:rFonts w:ascii="Times New Roman" w:hAnsi="Times New Roman"/>
                <w:sz w:val="20"/>
                <w:szCs w:val="20"/>
                <w:lang w:val="sq-AL"/>
              </w:rPr>
              <w:t>Numri i të drejtave të votës llogaritet çdo ditë, duke marrë parasysh çmimin e fundit të mbylljes së aksionit bazë. Mbajtësi i instrumentit financiar njofton emetuesin kur arrin, tejkalon ose bie nën pragjet e parashikuara në nenin 12, pika 1 te ketij ligji.</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2AB63D" w14:textId="24ED63A0" w:rsidR="00B437AA" w:rsidRPr="00A5539A" w:rsidRDefault="000D723C" w:rsidP="00017594">
            <w:pPr>
              <w:spacing w:after="120" w:line="240" w:lineRule="auto"/>
              <w:jc w:val="center"/>
              <w:rPr>
                <w:rFonts w:ascii="Times New Roman" w:hAnsi="Times New Roman"/>
                <w:b/>
                <w:bCs/>
                <w:sz w:val="20"/>
                <w:szCs w:val="20"/>
                <w:lang w:val="sq-AL"/>
              </w:rPr>
            </w:pPr>
            <w:r>
              <w:rPr>
                <w:rFonts w:ascii="Times New Roman" w:hAnsi="Times New Roman"/>
                <w:b/>
                <w:bCs/>
                <w:sz w:val="20"/>
                <w:szCs w:val="20"/>
                <w:lang w:val="sq-AL"/>
              </w:rPr>
              <w:t>F</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B9E322D" w14:textId="77777777" w:rsidR="00B437AA" w:rsidRPr="00A5539A" w:rsidRDefault="00B437AA" w:rsidP="008632A4">
            <w:pPr>
              <w:rPr>
                <w:rFonts w:ascii="Times New Roman" w:hAnsi="Times New Roman"/>
                <w:sz w:val="20"/>
                <w:szCs w:val="20"/>
                <w:lang w:val="sq-AL"/>
              </w:rPr>
            </w:pPr>
          </w:p>
        </w:tc>
      </w:tr>
      <w:tr w:rsidR="0014443A" w:rsidRPr="00A5539A" w14:paraId="41518FCD"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ADE5D65" w14:textId="5CD89FA8" w:rsidR="00D35D7B" w:rsidRPr="00A5539A" w:rsidRDefault="00073D82" w:rsidP="00D35D7B">
            <w:pPr>
              <w:spacing w:after="120" w:line="240" w:lineRule="auto"/>
              <w:jc w:val="center"/>
              <w:rPr>
                <w:rFonts w:ascii="Times New Roman" w:hAnsi="Times New Roman"/>
                <w:b/>
                <w:bCs/>
                <w:sz w:val="20"/>
                <w:szCs w:val="20"/>
                <w:lang w:val="sq-AL"/>
              </w:rPr>
            </w:pPr>
            <w:r w:rsidRPr="00A5539A">
              <w:rPr>
                <w:rFonts w:ascii="Times New Roman" w:hAnsi="Times New Roman"/>
                <w:b/>
                <w:bCs/>
                <w:sz w:val="20"/>
                <w:szCs w:val="20"/>
                <w:lang w:val="sq-AL"/>
              </w:rPr>
              <w:t>Neni 6</w:t>
            </w:r>
            <w:r w:rsidRPr="00A5539A">
              <w:rPr>
                <w:rFonts w:ascii="Times New Roman" w:hAnsi="Times New Roman"/>
                <w:b/>
                <w:bCs/>
                <w:sz w:val="20"/>
                <w:szCs w:val="20"/>
                <w:lang w:val="sq-AL"/>
              </w:rPr>
              <w:br/>
              <w:t>Transaksionet në shërbim të klientit</w:t>
            </w: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FB1A529" w14:textId="63A98E83" w:rsidR="00D35D7B" w:rsidRPr="00A5539A" w:rsidRDefault="00073D82" w:rsidP="00B437AA">
            <w:pPr>
              <w:spacing w:after="120" w:line="240" w:lineRule="auto"/>
              <w:jc w:val="both"/>
              <w:rPr>
                <w:rFonts w:ascii="Times New Roman" w:eastAsia="Times New Roman" w:hAnsi="Times New Roman"/>
                <w:sz w:val="20"/>
                <w:szCs w:val="20"/>
                <w:lang w:val="sq-AL"/>
              </w:rPr>
            </w:pPr>
            <w:r w:rsidRPr="00A5539A">
              <w:rPr>
                <w:rFonts w:ascii="Times New Roman" w:eastAsia="Times New Roman" w:hAnsi="Times New Roman"/>
                <w:sz w:val="20"/>
                <w:szCs w:val="20"/>
                <w:lang w:val="sq-AL"/>
              </w:rPr>
              <w:t>Përjashtimi i përmendur në nenin 9(6) të Direktivës 2004/109/KE do të zbatohet për instrumentet financiare të mbajtura nga një person fizik ose juridik që përmbush urdhrat e marra nga klientët, i përgjigjet kërkesës së një klienti për të tregtuar jo mbi bazë pronësore, ose mbulon pozicionet që rrjedhin nga këto veprime.</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D19FBF3" w14:textId="08CFBF5F" w:rsidR="00D35D7B" w:rsidRPr="00A5539A" w:rsidRDefault="000D723C" w:rsidP="00017594">
            <w:pPr>
              <w:spacing w:after="120" w:line="240" w:lineRule="auto"/>
              <w:jc w:val="center"/>
              <w:rPr>
                <w:rFonts w:ascii="Times New Roman" w:hAnsi="Times New Roman"/>
                <w:sz w:val="20"/>
                <w:szCs w:val="20"/>
                <w:lang w:val="sq-AL"/>
              </w:rPr>
            </w:pPr>
            <w:r>
              <w:rPr>
                <w:rFonts w:ascii="Times New Roman" w:hAnsi="Times New Roman"/>
                <w:sz w:val="20"/>
                <w:szCs w:val="20"/>
                <w:lang w:val="sq-AL"/>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E35BE4" w14:textId="729786E3" w:rsidR="00D35D7B" w:rsidRPr="00A5539A" w:rsidRDefault="00E6577B" w:rsidP="002E5647">
            <w:pPr>
              <w:spacing w:after="120" w:line="240" w:lineRule="auto"/>
              <w:rPr>
                <w:rFonts w:ascii="Times New Roman" w:hAnsi="Times New Roman"/>
                <w:sz w:val="20"/>
                <w:szCs w:val="20"/>
                <w:lang w:val="sq-AL"/>
              </w:rPr>
            </w:pPr>
            <w:r w:rsidRPr="00A5539A">
              <w:rPr>
                <w:rFonts w:ascii="Times New Roman" w:hAnsi="Times New Roman"/>
                <w:sz w:val="20"/>
                <w:szCs w:val="20"/>
                <w:lang w:val="sq-AL"/>
              </w:rPr>
              <w:t xml:space="preserve">Neni 12 pika </w:t>
            </w:r>
            <w:r w:rsidR="007D74E4" w:rsidRPr="00A5539A">
              <w:rPr>
                <w:rFonts w:ascii="Times New Roman" w:hAnsi="Times New Roman"/>
                <w:sz w:val="20"/>
                <w:szCs w:val="20"/>
                <w:lang w:val="sq-AL"/>
              </w:rPr>
              <w:t>6 paragrafi 2</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48FFAA" w14:textId="77344A31" w:rsidR="00D35D7B" w:rsidRPr="00A5539A" w:rsidRDefault="00E6577B" w:rsidP="008632A4">
            <w:pPr>
              <w:pStyle w:val="NoSpacing"/>
              <w:rPr>
                <w:rFonts w:ascii="Times New Roman" w:hAnsi="Times New Roman"/>
                <w:sz w:val="20"/>
                <w:szCs w:val="20"/>
                <w:lang w:val="sq-AL"/>
              </w:rPr>
            </w:pPr>
            <w:r w:rsidRPr="00A5539A">
              <w:rPr>
                <w:rFonts w:ascii="Times New Roman" w:hAnsi="Times New Roman"/>
                <w:sz w:val="20"/>
                <w:szCs w:val="20"/>
                <w:lang w:val="sq-AL"/>
              </w:rPr>
              <w:t>Përjashtimi sipas k</w:t>
            </w:r>
            <w:r w:rsidR="00A5539A" w:rsidRPr="00A5539A">
              <w:rPr>
                <w:rFonts w:ascii="Times New Roman" w:hAnsi="Times New Roman"/>
                <w:sz w:val="20"/>
                <w:szCs w:val="20"/>
                <w:lang w:val="sq-AL"/>
              </w:rPr>
              <w:t>ë</w:t>
            </w:r>
            <w:r w:rsidRPr="00A5539A">
              <w:rPr>
                <w:rFonts w:ascii="Times New Roman" w:hAnsi="Times New Roman"/>
                <w:sz w:val="20"/>
                <w:szCs w:val="20"/>
                <w:lang w:val="sq-AL"/>
              </w:rPr>
              <w:t>saj pike, zbatohet për instrumentet financiare të mbajtura nga një person fizik ose juridik, i cili ekzekuton urdhra të marrë nga klientët, i përgjigjet kërkesës së një klienti për të kryer tregti jo për llogari të vet (jo mbi bazë pronësore), ose mbulon rrezikun e pozicioneve që lindin nga këto transaksione.</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84DB53" w14:textId="4213A8DF" w:rsidR="00D35D7B" w:rsidRPr="00A5539A" w:rsidRDefault="000D723C" w:rsidP="00017594">
            <w:pPr>
              <w:spacing w:after="120" w:line="240" w:lineRule="auto"/>
              <w:jc w:val="center"/>
              <w:rPr>
                <w:rFonts w:ascii="Times New Roman" w:hAnsi="Times New Roman"/>
                <w:b/>
                <w:bCs/>
                <w:sz w:val="20"/>
                <w:szCs w:val="20"/>
                <w:lang w:val="sq-AL"/>
              </w:rPr>
            </w:pPr>
            <w:r>
              <w:rPr>
                <w:rFonts w:ascii="Times New Roman" w:hAnsi="Times New Roman"/>
                <w:b/>
                <w:bCs/>
                <w:sz w:val="20"/>
                <w:szCs w:val="20"/>
                <w:lang w:val="sq-AL"/>
              </w:rPr>
              <w:t>F</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FDECC55" w14:textId="77777777" w:rsidR="00D35D7B" w:rsidRPr="00A5539A" w:rsidRDefault="00D35D7B" w:rsidP="008632A4">
            <w:pPr>
              <w:rPr>
                <w:rFonts w:ascii="Times New Roman" w:hAnsi="Times New Roman"/>
                <w:sz w:val="20"/>
                <w:szCs w:val="20"/>
                <w:lang w:val="sq-AL"/>
              </w:rPr>
            </w:pPr>
          </w:p>
        </w:tc>
      </w:tr>
      <w:tr w:rsidR="0014443A" w:rsidRPr="00A5539A" w14:paraId="77888701"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9152C7A" w14:textId="6A9160D3" w:rsidR="00D35D7B" w:rsidRPr="00A5539A" w:rsidRDefault="00073D82" w:rsidP="00CC2C9D">
            <w:pPr>
              <w:spacing w:after="120" w:line="240" w:lineRule="auto"/>
              <w:jc w:val="center"/>
              <w:rPr>
                <w:rFonts w:ascii="Times New Roman" w:hAnsi="Times New Roman"/>
                <w:b/>
                <w:bCs/>
                <w:sz w:val="20"/>
                <w:szCs w:val="20"/>
                <w:lang w:val="sq-AL"/>
              </w:rPr>
            </w:pPr>
            <w:r w:rsidRPr="00A5539A">
              <w:rPr>
                <w:rFonts w:ascii="Times New Roman" w:hAnsi="Times New Roman"/>
                <w:b/>
                <w:bCs/>
                <w:sz w:val="20"/>
                <w:szCs w:val="20"/>
                <w:lang w:val="sq-AL"/>
              </w:rPr>
              <w:t>Neni 7</w:t>
            </w:r>
            <w:r w:rsidRPr="00A5539A">
              <w:rPr>
                <w:rFonts w:ascii="Times New Roman" w:hAnsi="Times New Roman"/>
                <w:b/>
                <w:bCs/>
                <w:sz w:val="20"/>
                <w:szCs w:val="20"/>
                <w:lang w:val="sq-AL"/>
              </w:rPr>
              <w:br/>
              <w:t>Hyrja në fuqi dhe zbatimi</w:t>
            </w: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C74AA31" w14:textId="77777777" w:rsidR="00A6490B" w:rsidRPr="00A6490B" w:rsidRDefault="00A6490B" w:rsidP="00A6490B">
            <w:pPr>
              <w:spacing w:after="120" w:line="240" w:lineRule="auto"/>
              <w:jc w:val="both"/>
              <w:rPr>
                <w:rFonts w:ascii="Times New Roman" w:eastAsia="Times New Roman" w:hAnsi="Times New Roman"/>
                <w:sz w:val="20"/>
                <w:szCs w:val="20"/>
                <w:lang w:val="sq-AL"/>
              </w:rPr>
            </w:pPr>
            <w:r w:rsidRPr="00A6490B">
              <w:rPr>
                <w:rFonts w:ascii="Times New Roman" w:eastAsia="Times New Roman" w:hAnsi="Times New Roman"/>
                <w:sz w:val="20"/>
                <w:szCs w:val="20"/>
                <w:lang w:val="sq-AL"/>
              </w:rPr>
              <w:t>Kjo Rregullore do të hyjë në fuqi në ditën e njëzetë pas botimit të saj në Gazetën Zyrtare të Bashkimit Evropian.</w:t>
            </w:r>
          </w:p>
          <w:p w14:paraId="72B1CB2D" w14:textId="77777777" w:rsidR="00A6490B" w:rsidRPr="00A6490B" w:rsidRDefault="00A6490B" w:rsidP="00A6490B">
            <w:pPr>
              <w:spacing w:after="120" w:line="240" w:lineRule="auto"/>
              <w:jc w:val="both"/>
              <w:rPr>
                <w:rFonts w:ascii="Times New Roman" w:eastAsia="Times New Roman" w:hAnsi="Times New Roman"/>
                <w:sz w:val="20"/>
                <w:szCs w:val="20"/>
                <w:lang w:val="sq-AL"/>
              </w:rPr>
            </w:pPr>
            <w:r w:rsidRPr="00A6490B">
              <w:rPr>
                <w:rFonts w:ascii="Times New Roman" w:eastAsia="Times New Roman" w:hAnsi="Times New Roman"/>
                <w:sz w:val="20"/>
                <w:szCs w:val="20"/>
                <w:lang w:val="sq-AL"/>
              </w:rPr>
              <w:t>Ajo do të zbatohet nga 26 nëntor 2015.</w:t>
            </w:r>
          </w:p>
          <w:p w14:paraId="4C581C96" w14:textId="720C72FF" w:rsidR="00D35D7B" w:rsidRPr="00A5539A" w:rsidRDefault="00A6490B" w:rsidP="00CC2C9D">
            <w:pPr>
              <w:spacing w:after="120" w:line="240" w:lineRule="auto"/>
              <w:jc w:val="both"/>
              <w:rPr>
                <w:rFonts w:ascii="Times New Roman" w:eastAsia="Times New Roman" w:hAnsi="Times New Roman"/>
                <w:sz w:val="20"/>
                <w:szCs w:val="20"/>
                <w:lang w:val="sq-AL"/>
              </w:rPr>
            </w:pPr>
            <w:r w:rsidRPr="00A6490B">
              <w:rPr>
                <w:rFonts w:ascii="Times New Roman" w:eastAsia="Times New Roman" w:hAnsi="Times New Roman"/>
                <w:sz w:val="20"/>
                <w:szCs w:val="20"/>
                <w:lang w:val="sq-AL"/>
              </w:rPr>
              <w:t>Kjo Rregullore është detyruese në tërësinë e saj dhe drejtpërdrejt e zbatueshme në të gjitha Shtetet Anëtare.</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B4D7F48" w14:textId="77777777" w:rsidR="00D35D7B" w:rsidRPr="00A5539A" w:rsidRDefault="00D35D7B" w:rsidP="00017594">
            <w:pPr>
              <w:spacing w:after="120" w:line="240" w:lineRule="auto"/>
              <w:jc w:val="center"/>
              <w:rPr>
                <w:rFonts w:ascii="Times New Roman" w:hAnsi="Times New Roman"/>
                <w:sz w:val="20"/>
                <w:szCs w:val="20"/>
                <w:lang w:val="sq-AL"/>
              </w:rPr>
            </w:pP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18D05D" w14:textId="6B350058" w:rsidR="00D35D7B" w:rsidRPr="00A5539A" w:rsidRDefault="00B527AB" w:rsidP="002E5647">
            <w:pPr>
              <w:spacing w:after="120" w:line="240" w:lineRule="auto"/>
              <w:rPr>
                <w:rFonts w:ascii="Times New Roman" w:hAnsi="Times New Roman"/>
                <w:sz w:val="20"/>
                <w:szCs w:val="20"/>
                <w:lang w:val="sq-AL"/>
              </w:rPr>
            </w:pPr>
            <w:r w:rsidRPr="00A5539A">
              <w:rPr>
                <w:rFonts w:ascii="Times New Roman" w:hAnsi="Times New Roman"/>
                <w:sz w:val="20"/>
                <w:szCs w:val="20"/>
                <w:lang w:val="sq-AL"/>
              </w:rPr>
              <w:t>n/a</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FE4625" w14:textId="327EE46A" w:rsidR="00D35D7B" w:rsidRPr="00A5539A" w:rsidRDefault="00B527AB" w:rsidP="008632A4">
            <w:pPr>
              <w:pStyle w:val="NoSpacing"/>
              <w:rPr>
                <w:rFonts w:ascii="Times New Roman" w:hAnsi="Times New Roman"/>
                <w:sz w:val="20"/>
                <w:szCs w:val="20"/>
                <w:lang w:val="sq-AL"/>
              </w:rPr>
            </w:pPr>
            <w:r w:rsidRPr="00A5539A">
              <w:rPr>
                <w:rFonts w:ascii="Times New Roman" w:hAnsi="Times New Roman"/>
                <w:sz w:val="20"/>
                <w:szCs w:val="20"/>
                <w:lang w:val="sq-AL"/>
              </w:rPr>
              <w:t>n/a</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D5C26D" w14:textId="37AD08EF" w:rsidR="00D35D7B" w:rsidRPr="00A5539A" w:rsidRDefault="00B527AB" w:rsidP="00017594">
            <w:pPr>
              <w:spacing w:after="120" w:line="240" w:lineRule="auto"/>
              <w:jc w:val="center"/>
              <w:rPr>
                <w:rFonts w:ascii="Times New Roman" w:hAnsi="Times New Roman"/>
                <w:b/>
                <w:bCs/>
                <w:sz w:val="20"/>
                <w:szCs w:val="20"/>
                <w:lang w:val="sq-AL"/>
              </w:rPr>
            </w:pPr>
            <w:r w:rsidRPr="00A5539A">
              <w:rPr>
                <w:rFonts w:ascii="Times New Roman" w:hAnsi="Times New Roman"/>
                <w:b/>
                <w:bCs/>
                <w:sz w:val="20"/>
                <w:szCs w:val="20"/>
                <w:lang w:val="sq-AL"/>
              </w:rPr>
              <w:t>n/a</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9907FED" w14:textId="21A88489" w:rsidR="00D35D7B" w:rsidRPr="00A5539A" w:rsidRDefault="00B527AB" w:rsidP="008632A4">
            <w:pPr>
              <w:rPr>
                <w:rFonts w:ascii="Times New Roman" w:hAnsi="Times New Roman"/>
                <w:sz w:val="20"/>
                <w:szCs w:val="20"/>
                <w:lang w:val="sq-AL"/>
              </w:rPr>
            </w:pPr>
            <w:r w:rsidRPr="00A5539A">
              <w:rPr>
                <w:rFonts w:ascii="Times New Roman" w:hAnsi="Times New Roman"/>
                <w:sz w:val="20"/>
                <w:szCs w:val="20"/>
                <w:lang w:val="sq-AL"/>
              </w:rPr>
              <w:t>Hyrja n</w:t>
            </w:r>
            <w:r w:rsidR="00A5539A" w:rsidRPr="00A5539A">
              <w:rPr>
                <w:rFonts w:ascii="Times New Roman" w:hAnsi="Times New Roman"/>
                <w:sz w:val="20"/>
                <w:szCs w:val="20"/>
                <w:lang w:val="sq-AL"/>
              </w:rPr>
              <w:t>ë</w:t>
            </w:r>
            <w:r w:rsidRPr="00A5539A">
              <w:rPr>
                <w:rFonts w:ascii="Times New Roman" w:hAnsi="Times New Roman"/>
                <w:sz w:val="20"/>
                <w:szCs w:val="20"/>
                <w:lang w:val="sq-AL"/>
              </w:rPr>
              <w:t xml:space="preserve"> fuqi sipas dispozit</w:t>
            </w:r>
            <w:r w:rsidR="00A5539A" w:rsidRPr="00A5539A">
              <w:rPr>
                <w:rFonts w:ascii="Times New Roman" w:hAnsi="Times New Roman"/>
                <w:sz w:val="20"/>
                <w:szCs w:val="20"/>
                <w:lang w:val="sq-AL"/>
              </w:rPr>
              <w:t>ë</w:t>
            </w:r>
            <w:r w:rsidRPr="00A5539A">
              <w:rPr>
                <w:rFonts w:ascii="Times New Roman" w:hAnsi="Times New Roman"/>
                <w:sz w:val="20"/>
                <w:szCs w:val="20"/>
                <w:lang w:val="sq-AL"/>
              </w:rPr>
              <w:t>s s</w:t>
            </w:r>
            <w:r w:rsidR="00A5539A" w:rsidRPr="00A5539A">
              <w:rPr>
                <w:rFonts w:ascii="Times New Roman" w:hAnsi="Times New Roman"/>
                <w:sz w:val="20"/>
                <w:szCs w:val="20"/>
                <w:lang w:val="sq-AL"/>
              </w:rPr>
              <w:t>ë</w:t>
            </w:r>
            <w:r w:rsidRPr="00A5539A">
              <w:rPr>
                <w:rFonts w:ascii="Times New Roman" w:hAnsi="Times New Roman"/>
                <w:sz w:val="20"/>
                <w:szCs w:val="20"/>
                <w:lang w:val="sq-AL"/>
              </w:rPr>
              <w:t xml:space="preserve"> p</w:t>
            </w:r>
            <w:r w:rsidR="00A5539A" w:rsidRPr="00A5539A">
              <w:rPr>
                <w:rFonts w:ascii="Times New Roman" w:hAnsi="Times New Roman"/>
                <w:sz w:val="20"/>
                <w:szCs w:val="20"/>
                <w:lang w:val="sq-AL"/>
              </w:rPr>
              <w:t>ë</w:t>
            </w:r>
            <w:r w:rsidRPr="00A5539A">
              <w:rPr>
                <w:rFonts w:ascii="Times New Roman" w:hAnsi="Times New Roman"/>
                <w:sz w:val="20"/>
                <w:szCs w:val="20"/>
                <w:lang w:val="sq-AL"/>
              </w:rPr>
              <w:t>rgjithshme</w:t>
            </w:r>
          </w:p>
        </w:tc>
      </w:tr>
    </w:tbl>
    <w:p w14:paraId="54376A0B" w14:textId="77777777" w:rsidR="00B577B7" w:rsidRDefault="00B577B7">
      <w:pPr>
        <w:spacing w:after="0" w:line="240" w:lineRule="auto"/>
        <w:jc w:val="both"/>
        <w:rPr>
          <w:rFonts w:ascii="Times New Roman" w:hAnsi="Times New Roman"/>
          <w:sz w:val="18"/>
        </w:rPr>
      </w:pPr>
    </w:p>
    <w:p w14:paraId="3787A3F7" w14:textId="77777777" w:rsidR="00B577B7" w:rsidRDefault="00B577B7">
      <w:pPr>
        <w:spacing w:after="0" w:line="240" w:lineRule="auto"/>
        <w:jc w:val="both"/>
        <w:rPr>
          <w:rFonts w:ascii="Times New Roman" w:hAnsi="Times New Roman"/>
          <w:sz w:val="18"/>
        </w:rPr>
      </w:pPr>
    </w:p>
    <w:p w14:paraId="00275C9C" w14:textId="77777777" w:rsidR="00B577B7" w:rsidRDefault="00B577B7">
      <w:pPr>
        <w:spacing w:after="0" w:line="240" w:lineRule="auto"/>
        <w:jc w:val="both"/>
        <w:rPr>
          <w:rFonts w:ascii="Times New Roman" w:hAnsi="Times New Roman"/>
          <w:sz w:val="18"/>
        </w:rPr>
      </w:pPr>
    </w:p>
    <w:p w14:paraId="38DC0E81" w14:textId="77777777" w:rsidR="00BE05A1" w:rsidRDefault="00BE05A1">
      <w:pPr>
        <w:pStyle w:val="FreeForm"/>
        <w:ind w:left="5"/>
        <w:rPr>
          <w:sz w:val="18"/>
        </w:rPr>
      </w:pPr>
    </w:p>
    <w:p w14:paraId="6D253A82" w14:textId="77777777" w:rsidR="00BE05A1" w:rsidRDefault="00BE05A1">
      <w:pPr>
        <w:pStyle w:val="BodyA"/>
        <w:jc w:val="both"/>
        <w:rPr>
          <w:rFonts w:ascii="Times New Roman" w:eastAsia="Times New Roman" w:hAnsi="Times New Roman"/>
          <w:color w:val="auto"/>
          <w:sz w:val="20"/>
          <w:lang w:bidi="x-none"/>
        </w:rPr>
      </w:pPr>
    </w:p>
    <w:sectPr w:rsidR="00BE05A1" w:rsidSect="00017594">
      <w:headerReference w:type="default" r:id="rId11"/>
      <w:footerReference w:type="even" r:id="rId12"/>
      <w:footerReference w:type="default" r:id="rId13"/>
      <w:pgSz w:w="16840" w:h="11900" w:orient="landscape"/>
      <w:pgMar w:top="1134" w:right="1956" w:bottom="1134" w:left="1134" w:header="85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4DC7" w14:textId="77777777" w:rsidR="00966FB2" w:rsidRDefault="00966FB2">
      <w:pPr>
        <w:spacing w:after="0" w:line="240" w:lineRule="auto"/>
      </w:pPr>
      <w:r>
        <w:separator/>
      </w:r>
    </w:p>
  </w:endnote>
  <w:endnote w:type="continuationSeparator" w:id="0">
    <w:p w14:paraId="4A6DF4E3" w14:textId="77777777" w:rsidR="00966FB2" w:rsidRDefault="0096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ヒラギノ角ゴ Pro W3">
    <w:altName w:val="MS Mincho"/>
    <w:charset w:val="00"/>
    <w:family w:val="roman"/>
    <w:pitch w:val="default"/>
  </w:font>
  <w:font w:name="Helvetica">
    <w:panose1 w:val="020B0604020202020204"/>
    <w:charset w:val="00"/>
    <w:family w:val="auto"/>
    <w:pitch w:val="variable"/>
    <w:sig w:usb0="E00002FF" w:usb1="5000785B"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8F6A" w14:textId="77777777" w:rsidR="008050EF" w:rsidRDefault="008050EF">
    <w:pPr>
      <w:pStyle w:val="HeaderFooterA"/>
      <w:jc w:val="center"/>
      <w:rPr>
        <w:rFonts w:ascii="Times New Roman" w:eastAsia="Times New Roman" w:hAnsi="Times New Roman"/>
        <w:color w:val="auto"/>
        <w:lang w:bidi="x-none"/>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BF18C0">
      <w:rPr>
        <w:rFonts w:ascii="Times New Roman" w:hAnsi="Times New Roman"/>
        <w:noProof/>
      </w:rPr>
      <w:t>2</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8957" w14:textId="77777777" w:rsidR="008050EF" w:rsidRDefault="008050EF">
    <w:pPr>
      <w:pStyle w:val="HeaderFooterA"/>
      <w:jc w:val="center"/>
      <w:rPr>
        <w:rFonts w:ascii="Times New Roman" w:eastAsia="Times New Roman" w:hAnsi="Times New Roman"/>
        <w:color w:val="auto"/>
        <w:lang w:bidi="x-none"/>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BF18C0">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8DF3" w14:textId="77777777" w:rsidR="00966FB2" w:rsidRDefault="00966FB2">
      <w:pPr>
        <w:spacing w:after="0" w:line="240" w:lineRule="auto"/>
      </w:pPr>
      <w:r>
        <w:separator/>
      </w:r>
    </w:p>
  </w:footnote>
  <w:footnote w:type="continuationSeparator" w:id="0">
    <w:p w14:paraId="49664366" w14:textId="77777777" w:rsidR="00966FB2" w:rsidRDefault="0096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05F1" w14:textId="4DB0C7AC" w:rsidR="00A5539A" w:rsidRPr="000630A1" w:rsidRDefault="00A5539A" w:rsidP="00A5539A">
    <w:pPr>
      <w:pStyle w:val="Header"/>
      <w:jc w:val="right"/>
      <w:rPr>
        <w:rFonts w:ascii="Times New Roman" w:eastAsia="Times New Roman" w:hAnsi="Times New Roman"/>
        <w:bCs/>
        <w:i/>
        <w:iCs/>
        <w:color w:val="auto"/>
        <w:sz w:val="20"/>
        <w:szCs w:val="20"/>
        <w:lang w:val="en-GB" w:eastAsia="ar-SA"/>
      </w:rPr>
    </w:pPr>
    <w:r>
      <w:rPr>
        <w:rFonts w:ascii="Times New Roman" w:eastAsia="Times New Roman" w:hAnsi="Times New Roman"/>
        <w:bCs/>
        <w:i/>
        <w:iCs/>
        <w:color w:val="auto"/>
        <w:sz w:val="20"/>
        <w:szCs w:val="20"/>
        <w:lang w:val="en-GB" w:eastAsia="ar-SA"/>
      </w:rPr>
      <w:t>February_2026_Draft 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943F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FFEBFC2"/>
    <w:lvl w:ilvl="0">
      <w:start w:val="1"/>
      <w:numFmt w:val="decimal"/>
      <w:isLgl/>
      <w:lvlText w:val="%1."/>
      <w:lvlJc w:val="left"/>
      <w:pPr>
        <w:tabs>
          <w:tab w:val="num" w:pos="360"/>
        </w:tabs>
        <w:ind w:left="360" w:firstLine="0"/>
      </w:pPr>
      <w:rPr>
        <w:rFonts w:hint="default"/>
        <w:position w:val="0"/>
        <w:sz w:val="22"/>
      </w:rPr>
    </w:lvl>
    <w:lvl w:ilvl="1">
      <w:start w:val="1"/>
      <w:numFmt w:val="decimal"/>
      <w:isLgl/>
      <w:lvlText w:val="%1.%2."/>
      <w:lvlJc w:val="left"/>
      <w:pPr>
        <w:tabs>
          <w:tab w:val="num" w:pos="360"/>
        </w:tabs>
        <w:ind w:left="360" w:firstLine="0"/>
      </w:pPr>
      <w:rPr>
        <w:rFonts w:hint="default"/>
        <w:position w:val="0"/>
        <w:sz w:val="18"/>
        <w:szCs w:val="18"/>
      </w:rPr>
    </w:lvl>
    <w:lvl w:ilvl="2">
      <w:start w:val="1"/>
      <w:numFmt w:val="decimal"/>
      <w:isLgl/>
      <w:lvlText w:val="%1.%2.%3."/>
      <w:lvlJc w:val="left"/>
      <w:pPr>
        <w:tabs>
          <w:tab w:val="num" w:pos="720"/>
        </w:tabs>
        <w:ind w:left="720" w:firstLine="0"/>
      </w:pPr>
      <w:rPr>
        <w:rFonts w:hint="default"/>
        <w:position w:val="0"/>
        <w:sz w:val="22"/>
      </w:rPr>
    </w:lvl>
    <w:lvl w:ilvl="3">
      <w:start w:val="1"/>
      <w:numFmt w:val="decimal"/>
      <w:isLgl/>
      <w:lvlText w:val="%1.%2.%3.%4."/>
      <w:lvlJc w:val="left"/>
      <w:pPr>
        <w:tabs>
          <w:tab w:val="num" w:pos="720"/>
        </w:tabs>
        <w:ind w:left="720" w:firstLine="0"/>
      </w:pPr>
      <w:rPr>
        <w:rFonts w:hint="default"/>
        <w:position w:val="0"/>
        <w:sz w:val="22"/>
      </w:rPr>
    </w:lvl>
    <w:lvl w:ilvl="4">
      <w:start w:val="1"/>
      <w:numFmt w:val="decimal"/>
      <w:isLgl/>
      <w:lvlText w:val="%1.%2.%3.%4.%5."/>
      <w:lvlJc w:val="left"/>
      <w:pPr>
        <w:tabs>
          <w:tab w:val="num" w:pos="720"/>
        </w:tabs>
        <w:ind w:left="720" w:firstLine="0"/>
      </w:pPr>
      <w:rPr>
        <w:rFonts w:hint="default"/>
        <w:position w:val="0"/>
        <w:sz w:val="22"/>
      </w:rPr>
    </w:lvl>
    <w:lvl w:ilvl="5">
      <w:start w:val="1"/>
      <w:numFmt w:val="decimal"/>
      <w:isLgl/>
      <w:lvlText w:val="%1.%2.%3.%4.%5.%6."/>
      <w:lvlJc w:val="left"/>
      <w:pPr>
        <w:tabs>
          <w:tab w:val="num" w:pos="1080"/>
        </w:tabs>
        <w:ind w:left="1080" w:firstLine="0"/>
      </w:pPr>
      <w:rPr>
        <w:rFonts w:hint="default"/>
        <w:position w:val="0"/>
        <w:sz w:val="22"/>
      </w:rPr>
    </w:lvl>
    <w:lvl w:ilvl="6">
      <w:start w:val="1"/>
      <w:numFmt w:val="decimal"/>
      <w:isLgl/>
      <w:lvlText w:val="%1.%2.%3.%4.%5.%6.%7."/>
      <w:lvlJc w:val="left"/>
      <w:pPr>
        <w:tabs>
          <w:tab w:val="num" w:pos="1080"/>
        </w:tabs>
        <w:ind w:left="1080" w:firstLine="0"/>
      </w:pPr>
      <w:rPr>
        <w:rFonts w:hint="default"/>
        <w:position w:val="0"/>
        <w:sz w:val="22"/>
      </w:rPr>
    </w:lvl>
    <w:lvl w:ilvl="7">
      <w:start w:val="1"/>
      <w:numFmt w:val="decimal"/>
      <w:isLgl/>
      <w:lvlText w:val="%1.%2.%3.%4.%5.%6.%7.%8."/>
      <w:lvlJc w:val="left"/>
      <w:pPr>
        <w:tabs>
          <w:tab w:val="num" w:pos="1080"/>
        </w:tabs>
        <w:ind w:left="1080" w:firstLine="0"/>
      </w:pPr>
      <w:rPr>
        <w:rFonts w:hint="default"/>
        <w:position w:val="0"/>
        <w:sz w:val="22"/>
      </w:rPr>
    </w:lvl>
    <w:lvl w:ilvl="8">
      <w:start w:val="1"/>
      <w:numFmt w:val="decimal"/>
      <w:isLgl/>
      <w:lvlText w:val="%1.%2.%3.%4.%5.%6.%7.%8.%9."/>
      <w:lvlJc w:val="left"/>
      <w:pPr>
        <w:tabs>
          <w:tab w:val="num" w:pos="1440"/>
        </w:tabs>
        <w:ind w:left="1440" w:firstLine="0"/>
      </w:pPr>
      <w:rPr>
        <w:rFonts w:hint="default"/>
        <w:position w:val="0"/>
        <w:sz w:val="22"/>
      </w:rPr>
    </w:lvl>
  </w:abstractNum>
  <w:abstractNum w:abstractNumId="2" w15:restartNumberingAfterBreak="0">
    <w:nsid w:val="00000002"/>
    <w:multiLevelType w:val="multilevel"/>
    <w:tmpl w:val="999CA4D2"/>
    <w:name w:val="WW8Num6"/>
    <w:lvl w:ilvl="0">
      <w:start w:val="1"/>
      <w:numFmt w:val="decimal"/>
      <w:lvlText w:val="%1."/>
      <w:lvlJc w:val="left"/>
      <w:pPr>
        <w:tabs>
          <w:tab w:val="num" w:pos="720"/>
        </w:tabs>
        <w:ind w:left="720" w:hanging="360"/>
      </w:pPr>
      <w:rPr>
        <w:rFonts w:ascii="Times New Roman" w:hAnsi="Times New Roman" w:cs="Times New Roman"/>
        <w:b w:val="0"/>
        <w:color w:val="000000"/>
        <w:lang w:val="it-I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3"/>
    <w:multiLevelType w:val="multilevel"/>
    <w:tmpl w:val="00000003"/>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453141"/>
    <w:multiLevelType w:val="hybridMultilevel"/>
    <w:tmpl w:val="F1167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378B4"/>
    <w:multiLevelType w:val="hybridMultilevel"/>
    <w:tmpl w:val="6A7A6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A697C"/>
    <w:multiLevelType w:val="multilevel"/>
    <w:tmpl w:val="1B501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445138"/>
    <w:multiLevelType w:val="multilevel"/>
    <w:tmpl w:val="4BAA4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402288"/>
    <w:multiLevelType w:val="multilevel"/>
    <w:tmpl w:val="F1EEF7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A37142"/>
    <w:multiLevelType w:val="hybridMultilevel"/>
    <w:tmpl w:val="EB18B57E"/>
    <w:lvl w:ilvl="0" w:tplc="8AF444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A7312"/>
    <w:multiLevelType w:val="hybridMultilevel"/>
    <w:tmpl w:val="EE141E1E"/>
    <w:lvl w:ilvl="0" w:tplc="271E2F6E">
      <w:start w:val="18"/>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76FE0"/>
    <w:multiLevelType w:val="hybridMultilevel"/>
    <w:tmpl w:val="D07A5500"/>
    <w:lvl w:ilvl="0" w:tplc="EFDC7548">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86964"/>
    <w:multiLevelType w:val="hybridMultilevel"/>
    <w:tmpl w:val="E5EE9310"/>
    <w:lvl w:ilvl="0" w:tplc="6D6651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209A8"/>
    <w:multiLevelType w:val="hybridMultilevel"/>
    <w:tmpl w:val="22AA2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4E28FA"/>
    <w:multiLevelType w:val="hybridMultilevel"/>
    <w:tmpl w:val="2ECA864A"/>
    <w:lvl w:ilvl="0" w:tplc="26B66F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F75A7"/>
    <w:multiLevelType w:val="hybridMultilevel"/>
    <w:tmpl w:val="60DC6F06"/>
    <w:lvl w:ilvl="0" w:tplc="D9BEE86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FE460A"/>
    <w:multiLevelType w:val="hybridMultilevel"/>
    <w:tmpl w:val="4926B812"/>
    <w:lvl w:ilvl="0" w:tplc="7782514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A62F5A"/>
    <w:multiLevelType w:val="hybridMultilevel"/>
    <w:tmpl w:val="D98ED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9A66C2"/>
    <w:multiLevelType w:val="hybridMultilevel"/>
    <w:tmpl w:val="C7AED1E0"/>
    <w:lvl w:ilvl="0" w:tplc="120818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9145D3"/>
    <w:multiLevelType w:val="multilevel"/>
    <w:tmpl w:val="E33ADC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482692">
    <w:abstractNumId w:val="1"/>
  </w:num>
  <w:num w:numId="2" w16cid:durableId="1172984434">
    <w:abstractNumId w:val="4"/>
  </w:num>
  <w:num w:numId="3" w16cid:durableId="623274173">
    <w:abstractNumId w:val="16"/>
  </w:num>
  <w:num w:numId="4" w16cid:durableId="1935631868">
    <w:abstractNumId w:val="17"/>
  </w:num>
  <w:num w:numId="5" w16cid:durableId="1026447187">
    <w:abstractNumId w:val="0"/>
  </w:num>
  <w:num w:numId="6" w16cid:durableId="1367212993">
    <w:abstractNumId w:val="2"/>
  </w:num>
  <w:num w:numId="7" w16cid:durableId="1127746720">
    <w:abstractNumId w:val="3"/>
  </w:num>
  <w:num w:numId="8" w16cid:durableId="1983272062">
    <w:abstractNumId w:val="14"/>
  </w:num>
  <w:num w:numId="9" w16cid:durableId="648247867">
    <w:abstractNumId w:val="15"/>
  </w:num>
  <w:num w:numId="10" w16cid:durableId="299309452">
    <w:abstractNumId w:val="9"/>
  </w:num>
  <w:num w:numId="11" w16cid:durableId="1773352287">
    <w:abstractNumId w:val="12"/>
  </w:num>
  <w:num w:numId="12" w16cid:durableId="2057583969">
    <w:abstractNumId w:val="11"/>
  </w:num>
  <w:num w:numId="13" w16cid:durableId="446628810">
    <w:abstractNumId w:val="10"/>
  </w:num>
  <w:num w:numId="14" w16cid:durableId="1358045496">
    <w:abstractNumId w:val="18"/>
  </w:num>
  <w:num w:numId="15" w16cid:durableId="208231209">
    <w:abstractNumId w:val="6"/>
  </w:num>
  <w:num w:numId="16" w16cid:durableId="1592156784">
    <w:abstractNumId w:val="19"/>
  </w:num>
  <w:num w:numId="17" w16cid:durableId="1764690694">
    <w:abstractNumId w:val="13"/>
  </w:num>
  <w:num w:numId="18" w16cid:durableId="1077753070">
    <w:abstractNumId w:val="7"/>
  </w:num>
  <w:num w:numId="19" w16cid:durableId="1388258642">
    <w:abstractNumId w:val="8"/>
  </w:num>
  <w:num w:numId="20" w16cid:durableId="549654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656"/>
    <w:rsid w:val="000119A8"/>
    <w:rsid w:val="00015D16"/>
    <w:rsid w:val="00017594"/>
    <w:rsid w:val="00032015"/>
    <w:rsid w:val="00041D3B"/>
    <w:rsid w:val="0004400E"/>
    <w:rsid w:val="000453CD"/>
    <w:rsid w:val="00047962"/>
    <w:rsid w:val="0005068D"/>
    <w:rsid w:val="00056863"/>
    <w:rsid w:val="000628B9"/>
    <w:rsid w:val="000630A1"/>
    <w:rsid w:val="00073D82"/>
    <w:rsid w:val="00092690"/>
    <w:rsid w:val="0009531E"/>
    <w:rsid w:val="00097D4A"/>
    <w:rsid w:val="000A3CD6"/>
    <w:rsid w:val="000D723C"/>
    <w:rsid w:val="000E223A"/>
    <w:rsid w:val="000F464C"/>
    <w:rsid w:val="001267A0"/>
    <w:rsid w:val="0014443A"/>
    <w:rsid w:val="0015732B"/>
    <w:rsid w:val="00164FCB"/>
    <w:rsid w:val="00165091"/>
    <w:rsid w:val="00165AC3"/>
    <w:rsid w:val="001973D8"/>
    <w:rsid w:val="001B0F1B"/>
    <w:rsid w:val="001E4B91"/>
    <w:rsid w:val="0020307C"/>
    <w:rsid w:val="0021046C"/>
    <w:rsid w:val="002443A1"/>
    <w:rsid w:val="0027150B"/>
    <w:rsid w:val="00275186"/>
    <w:rsid w:val="00276FAD"/>
    <w:rsid w:val="00292A17"/>
    <w:rsid w:val="002A1D58"/>
    <w:rsid w:val="002A4380"/>
    <w:rsid w:val="002B68E2"/>
    <w:rsid w:val="002D5352"/>
    <w:rsid w:val="002E4EA7"/>
    <w:rsid w:val="002E5647"/>
    <w:rsid w:val="0032035A"/>
    <w:rsid w:val="0032154E"/>
    <w:rsid w:val="003336F2"/>
    <w:rsid w:val="00333B63"/>
    <w:rsid w:val="00353073"/>
    <w:rsid w:val="003604FD"/>
    <w:rsid w:val="00372E16"/>
    <w:rsid w:val="00395B15"/>
    <w:rsid w:val="003B6F80"/>
    <w:rsid w:val="003C774D"/>
    <w:rsid w:val="003D5D3C"/>
    <w:rsid w:val="00404DD0"/>
    <w:rsid w:val="0041587B"/>
    <w:rsid w:val="0046460A"/>
    <w:rsid w:val="00473B62"/>
    <w:rsid w:val="004A0656"/>
    <w:rsid w:val="004A0EB4"/>
    <w:rsid w:val="004A317E"/>
    <w:rsid w:val="004B276C"/>
    <w:rsid w:val="004B2CCD"/>
    <w:rsid w:val="004F375B"/>
    <w:rsid w:val="00502ABC"/>
    <w:rsid w:val="005058D0"/>
    <w:rsid w:val="00505D77"/>
    <w:rsid w:val="00527591"/>
    <w:rsid w:val="00534CB3"/>
    <w:rsid w:val="005662A3"/>
    <w:rsid w:val="005735FD"/>
    <w:rsid w:val="00582400"/>
    <w:rsid w:val="00585ADD"/>
    <w:rsid w:val="005D6825"/>
    <w:rsid w:val="005E170D"/>
    <w:rsid w:val="005E1902"/>
    <w:rsid w:val="005F1813"/>
    <w:rsid w:val="00615B17"/>
    <w:rsid w:val="00630E7C"/>
    <w:rsid w:val="00645583"/>
    <w:rsid w:val="006842F7"/>
    <w:rsid w:val="0069190A"/>
    <w:rsid w:val="006B0C76"/>
    <w:rsid w:val="006B0D2A"/>
    <w:rsid w:val="006B7238"/>
    <w:rsid w:val="00730EAE"/>
    <w:rsid w:val="00731F9B"/>
    <w:rsid w:val="00736CA9"/>
    <w:rsid w:val="00771DC1"/>
    <w:rsid w:val="00786AA9"/>
    <w:rsid w:val="007A2575"/>
    <w:rsid w:val="007C14A8"/>
    <w:rsid w:val="007C2207"/>
    <w:rsid w:val="007D2DFE"/>
    <w:rsid w:val="007D74E4"/>
    <w:rsid w:val="008050EF"/>
    <w:rsid w:val="008115CA"/>
    <w:rsid w:val="008632A4"/>
    <w:rsid w:val="008A6AAE"/>
    <w:rsid w:val="008A7B37"/>
    <w:rsid w:val="00901CF8"/>
    <w:rsid w:val="009135C7"/>
    <w:rsid w:val="00925F11"/>
    <w:rsid w:val="009449EB"/>
    <w:rsid w:val="00966FB2"/>
    <w:rsid w:val="00967251"/>
    <w:rsid w:val="00977D52"/>
    <w:rsid w:val="00987BA0"/>
    <w:rsid w:val="00990296"/>
    <w:rsid w:val="00992285"/>
    <w:rsid w:val="009B3AB4"/>
    <w:rsid w:val="009C6801"/>
    <w:rsid w:val="009D3022"/>
    <w:rsid w:val="00A22CD7"/>
    <w:rsid w:val="00A271AE"/>
    <w:rsid w:val="00A37C13"/>
    <w:rsid w:val="00A5539A"/>
    <w:rsid w:val="00A6490B"/>
    <w:rsid w:val="00A81AAF"/>
    <w:rsid w:val="00A84AE4"/>
    <w:rsid w:val="00A869E7"/>
    <w:rsid w:val="00AA29F0"/>
    <w:rsid w:val="00AB1CD9"/>
    <w:rsid w:val="00AC0066"/>
    <w:rsid w:val="00AC15F5"/>
    <w:rsid w:val="00AC4C36"/>
    <w:rsid w:val="00AE2FCC"/>
    <w:rsid w:val="00B153F2"/>
    <w:rsid w:val="00B20564"/>
    <w:rsid w:val="00B2320C"/>
    <w:rsid w:val="00B42AC9"/>
    <w:rsid w:val="00B437AA"/>
    <w:rsid w:val="00B4533A"/>
    <w:rsid w:val="00B527AB"/>
    <w:rsid w:val="00B577B7"/>
    <w:rsid w:val="00B663AA"/>
    <w:rsid w:val="00B8227F"/>
    <w:rsid w:val="00BC3C44"/>
    <w:rsid w:val="00BD20CF"/>
    <w:rsid w:val="00BE05A1"/>
    <w:rsid w:val="00BE14CD"/>
    <w:rsid w:val="00BF18C0"/>
    <w:rsid w:val="00C46D2A"/>
    <w:rsid w:val="00C55ACD"/>
    <w:rsid w:val="00C56AB8"/>
    <w:rsid w:val="00C73EDE"/>
    <w:rsid w:val="00C76091"/>
    <w:rsid w:val="00C9186C"/>
    <w:rsid w:val="00CB25C7"/>
    <w:rsid w:val="00CC2C9D"/>
    <w:rsid w:val="00CD0728"/>
    <w:rsid w:val="00CD0FA5"/>
    <w:rsid w:val="00CE0B7A"/>
    <w:rsid w:val="00D11F94"/>
    <w:rsid w:val="00D125D0"/>
    <w:rsid w:val="00D22944"/>
    <w:rsid w:val="00D35D7B"/>
    <w:rsid w:val="00D361AD"/>
    <w:rsid w:val="00D42A64"/>
    <w:rsid w:val="00D45BD2"/>
    <w:rsid w:val="00D727B0"/>
    <w:rsid w:val="00D72FBB"/>
    <w:rsid w:val="00D8292E"/>
    <w:rsid w:val="00DA1A6B"/>
    <w:rsid w:val="00DD3C91"/>
    <w:rsid w:val="00DF01DA"/>
    <w:rsid w:val="00E04198"/>
    <w:rsid w:val="00E05117"/>
    <w:rsid w:val="00E172FC"/>
    <w:rsid w:val="00E45B12"/>
    <w:rsid w:val="00E6089E"/>
    <w:rsid w:val="00E6577B"/>
    <w:rsid w:val="00E67AA5"/>
    <w:rsid w:val="00E715A0"/>
    <w:rsid w:val="00E87AF3"/>
    <w:rsid w:val="00E972FA"/>
    <w:rsid w:val="00EA4424"/>
    <w:rsid w:val="00EB591C"/>
    <w:rsid w:val="00EC7D92"/>
    <w:rsid w:val="00ED68CF"/>
    <w:rsid w:val="00EE6C4E"/>
    <w:rsid w:val="00F258B0"/>
    <w:rsid w:val="00F27A62"/>
    <w:rsid w:val="00F35D43"/>
    <w:rsid w:val="00F527B9"/>
    <w:rsid w:val="00F84D5B"/>
    <w:rsid w:val="00F94B13"/>
    <w:rsid w:val="00FB08BF"/>
    <w:rsid w:val="00FD5994"/>
    <w:rsid w:val="00FE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90D6D58"/>
  <w15:chartTrackingRefBased/>
  <w15:docId w15:val="{032DC667-97D1-4603-BE78-9573CEDF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12960"/>
      </w:tabs>
    </w:pPr>
    <w:rPr>
      <w:rFonts w:ascii="Helvetica" w:eastAsia="ヒラギノ角ゴ Pro W3" w:hAnsi="Helvetica"/>
      <w:color w:val="000000"/>
    </w:rPr>
  </w:style>
  <w:style w:type="paragraph" w:customStyle="1" w:styleId="Caption1">
    <w:name w:val="Caption1"/>
    <w:next w:val="Normal"/>
    <w:pPr>
      <w:ind w:right="360"/>
      <w:jc w:val="both"/>
    </w:pPr>
    <w:rPr>
      <w:rFonts w:ascii="Times New Roman Bold" w:eastAsia="ヒラギノ角ゴ Pro W3" w:hAnsi="Times New Roman Bold"/>
      <w:color w:val="000000"/>
      <w:sz w:val="28"/>
    </w:rPr>
  </w:style>
  <w:style w:type="paragraph" w:customStyle="1" w:styleId="FreeForm">
    <w:name w:val="Free Form"/>
    <w:autoRedefine/>
    <w:rPr>
      <w:rFonts w:eastAsia="ヒラギノ角ゴ Pro W3"/>
      <w:color w:val="000000"/>
    </w:rPr>
  </w:style>
  <w:style w:type="paragraph" w:customStyle="1" w:styleId="FreeFormA">
    <w:name w:val="Free Form A"/>
    <w:autoRedefine/>
    <w:rsid w:val="00041D3B"/>
    <w:pPr>
      <w:jc w:val="both"/>
    </w:pPr>
    <w:rPr>
      <w:rFonts w:eastAsia="ヒラギノ角ゴ Pro W3"/>
      <w:b/>
      <w:color w:val="000000"/>
      <w:sz w:val="18"/>
      <w:szCs w:val="18"/>
    </w:rPr>
  </w:style>
  <w:style w:type="paragraph" w:customStyle="1" w:styleId="BodyA">
    <w:name w:val="Body A"/>
    <w:autoRedefine/>
    <w:rPr>
      <w:rFonts w:ascii="Helvetica" w:eastAsia="ヒラギノ角ゴ Pro W3" w:hAnsi="Helvetica"/>
      <w:color w:val="000000"/>
      <w:sz w:val="24"/>
    </w:rPr>
  </w:style>
  <w:style w:type="paragraph" w:styleId="Header">
    <w:name w:val="header"/>
    <w:basedOn w:val="Normal"/>
    <w:link w:val="HeaderChar"/>
    <w:locked/>
    <w:rsid w:val="00017594"/>
    <w:pPr>
      <w:tabs>
        <w:tab w:val="center" w:pos="4680"/>
        <w:tab w:val="right" w:pos="9360"/>
      </w:tabs>
    </w:pPr>
  </w:style>
  <w:style w:type="character" w:customStyle="1" w:styleId="HeaderChar">
    <w:name w:val="Header Char"/>
    <w:link w:val="Header"/>
    <w:rsid w:val="00017594"/>
    <w:rPr>
      <w:rFonts w:ascii="Lucida Grande" w:eastAsia="ヒラギノ角ゴ Pro W3" w:hAnsi="Lucida Grande"/>
      <w:color w:val="000000"/>
      <w:sz w:val="22"/>
      <w:szCs w:val="24"/>
    </w:rPr>
  </w:style>
  <w:style w:type="paragraph" w:styleId="Footer">
    <w:name w:val="footer"/>
    <w:basedOn w:val="Normal"/>
    <w:link w:val="FooterChar"/>
    <w:locked/>
    <w:rsid w:val="00017594"/>
    <w:pPr>
      <w:tabs>
        <w:tab w:val="center" w:pos="4680"/>
        <w:tab w:val="right" w:pos="9360"/>
      </w:tabs>
    </w:pPr>
  </w:style>
  <w:style w:type="character" w:customStyle="1" w:styleId="FooterChar">
    <w:name w:val="Footer Char"/>
    <w:link w:val="Footer"/>
    <w:rsid w:val="00017594"/>
    <w:rPr>
      <w:rFonts w:ascii="Lucida Grande" w:eastAsia="ヒラギノ角ゴ Pro W3" w:hAnsi="Lucida Grande"/>
      <w:color w:val="000000"/>
      <w:sz w:val="22"/>
      <w:szCs w:val="24"/>
    </w:rPr>
  </w:style>
  <w:style w:type="character" w:styleId="CommentReference">
    <w:name w:val="annotation reference"/>
    <w:locked/>
    <w:rsid w:val="000E223A"/>
    <w:rPr>
      <w:sz w:val="16"/>
      <w:szCs w:val="16"/>
    </w:rPr>
  </w:style>
  <w:style w:type="paragraph" w:styleId="CommentText">
    <w:name w:val="annotation text"/>
    <w:basedOn w:val="Normal"/>
    <w:link w:val="CommentTextChar"/>
    <w:locked/>
    <w:rsid w:val="000E223A"/>
    <w:rPr>
      <w:sz w:val="20"/>
      <w:szCs w:val="20"/>
    </w:rPr>
  </w:style>
  <w:style w:type="character" w:customStyle="1" w:styleId="CommentTextChar">
    <w:name w:val="Comment Text Char"/>
    <w:link w:val="CommentText"/>
    <w:rsid w:val="000E223A"/>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0E223A"/>
    <w:rPr>
      <w:b/>
      <w:bCs/>
    </w:rPr>
  </w:style>
  <w:style w:type="character" w:customStyle="1" w:styleId="CommentSubjectChar">
    <w:name w:val="Comment Subject Char"/>
    <w:link w:val="CommentSubject"/>
    <w:rsid w:val="000E223A"/>
    <w:rPr>
      <w:rFonts w:ascii="Lucida Grande" w:eastAsia="ヒラギノ角ゴ Pro W3" w:hAnsi="Lucida Grande"/>
      <w:b/>
      <w:bCs/>
      <w:color w:val="000000"/>
    </w:rPr>
  </w:style>
  <w:style w:type="character" w:styleId="Hyperlink">
    <w:name w:val="Hyperlink"/>
    <w:locked/>
    <w:rsid w:val="00D72FBB"/>
    <w:rPr>
      <w:color w:val="467886"/>
      <w:u w:val="single"/>
    </w:rPr>
  </w:style>
  <w:style w:type="character" w:styleId="UnresolvedMention">
    <w:name w:val="Unresolved Mention"/>
    <w:uiPriority w:val="99"/>
    <w:semiHidden/>
    <w:unhideWhenUsed/>
    <w:rsid w:val="00D72FBB"/>
    <w:rPr>
      <w:color w:val="605E5C"/>
      <w:shd w:val="clear" w:color="auto" w:fill="E1DFDD"/>
    </w:rPr>
  </w:style>
  <w:style w:type="paragraph" w:styleId="NoSpacing">
    <w:name w:val="No Spacing"/>
    <w:uiPriority w:val="1"/>
    <w:qFormat/>
    <w:rsid w:val="00502ABC"/>
    <w:rPr>
      <w:rFonts w:ascii="Lucida Grande" w:eastAsia="ヒラギノ角ゴ Pro W3" w:hAnsi="Lucida Grande"/>
      <w:color w:val="000000"/>
      <w:sz w:val="22"/>
      <w:szCs w:val="24"/>
    </w:rPr>
  </w:style>
  <w:style w:type="paragraph" w:customStyle="1" w:styleId="Default">
    <w:name w:val="Default"/>
    <w:rsid w:val="00EA4424"/>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BB3ADA16F5CF42A17A30A0C44363AC" ma:contentTypeVersion="13" ma:contentTypeDescription="Create a new document." ma:contentTypeScope="" ma:versionID="c032fcb2b49ba30b5765a5fffe1b8a89">
  <xsd:schema xmlns:xsd="http://www.w3.org/2001/XMLSchema" xmlns:xs="http://www.w3.org/2001/XMLSchema" xmlns:p="http://schemas.microsoft.com/office/2006/metadata/properties" xmlns:ns2="1cfad844-3db3-41e5-89a4-428e329e7e22" xmlns:ns3="8cbaee50-3f96-4133-a499-af36e2ff8918" targetNamespace="http://schemas.microsoft.com/office/2006/metadata/properties" ma:root="true" ma:fieldsID="3bb9891120d6e7b9bac988bbc4351fb3" ns2:_="" ns3:_="">
    <xsd:import namespace="1cfad844-3db3-41e5-89a4-428e329e7e22"/>
    <xsd:import namespace="8cbaee50-3f96-4133-a499-af36e2ff89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ad844-3db3-41e5-89a4-428e329e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aee50-3f96-4133-a499-af36e2ff89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2ccbbd-6f5d-4d8e-b1c1-451f410a7584}" ma:internalName="TaxCatchAll" ma:showField="CatchAllData" ma:web="8cbaee50-3f96-4133-a499-af36e2ff891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fad844-3db3-41e5-89a4-428e329e7e22">
      <Terms xmlns="http://schemas.microsoft.com/office/infopath/2007/PartnerControls"/>
    </lcf76f155ced4ddcb4097134ff3c332f>
    <TaxCatchAll xmlns="8cbaee50-3f96-4133-a499-af36e2ff891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906BB-FEAC-4D6E-825C-47B739FCF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ad844-3db3-41e5-89a4-428e329e7e22"/>
    <ds:schemaRef ds:uri="8cbaee50-3f96-4133-a499-af36e2ff8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26510-5934-477A-9B9F-2DE3AF6BF90C}">
  <ds:schemaRefs>
    <ds:schemaRef ds:uri="http://schemas.openxmlformats.org/officeDocument/2006/bibliography"/>
  </ds:schemaRefs>
</ds:datastoreItem>
</file>

<file path=customXml/itemProps3.xml><?xml version="1.0" encoding="utf-8"?>
<ds:datastoreItem xmlns:ds="http://schemas.openxmlformats.org/officeDocument/2006/customXml" ds:itemID="{B2ACE1B1-B76E-4D57-A987-008A21599A8E}">
  <ds:schemaRefs>
    <ds:schemaRef ds:uri="http://schemas.microsoft.com/office/2006/metadata/properties"/>
    <ds:schemaRef ds:uri="http://schemas.microsoft.com/office/infopath/2007/PartnerControls"/>
    <ds:schemaRef ds:uri="1cfad844-3db3-41e5-89a4-428e329e7e22"/>
    <ds:schemaRef ds:uri="8cbaee50-3f96-4133-a499-af36e2ff8918"/>
  </ds:schemaRefs>
</ds:datastoreItem>
</file>

<file path=customXml/itemProps4.xml><?xml version="1.0" encoding="utf-8"?>
<ds:datastoreItem xmlns:ds="http://schemas.openxmlformats.org/officeDocument/2006/customXml" ds:itemID="{6420BEE9-281F-484B-8304-9DCF617FC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abode</dc:creator>
  <cp:keywords/>
  <cp:lastModifiedBy>Bode, Armando GIZ AL</cp:lastModifiedBy>
  <cp:revision>120</cp:revision>
  <dcterms:created xsi:type="dcterms:W3CDTF">2025-11-20T14:01:00Z</dcterms:created>
  <dcterms:modified xsi:type="dcterms:W3CDTF">2026-03-06T08:18:00Z</dcterms:modified>
</cp:coreProperties>
</file>