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5328"/>
        <w:gridCol w:w="4824"/>
      </w:tblGrid>
      <w:tr w:rsidR="00981417" w:rsidRPr="005D5EFB" w14:paraId="40E0D0EB" w14:textId="77777777">
        <w:trPr>
          <w:jc w:val="center"/>
        </w:trPr>
        <w:tc>
          <w:tcPr>
            <w:tcW w:w="10152" w:type="dxa"/>
            <w:gridSpan w:val="2"/>
            <w:shd w:val="clear" w:color="auto" w:fill="D9D9D9"/>
          </w:tcPr>
          <w:p w14:paraId="2929BA67" w14:textId="77777777" w:rsidR="00981417" w:rsidRPr="00B256EB" w:rsidRDefault="00000000">
            <w:pPr>
              <w:pStyle w:val="TitleRia"/>
              <w:rPr>
                <w:lang w:val="it-IT"/>
              </w:rPr>
            </w:pPr>
            <w:r w:rsidRPr="00B256EB">
              <w:rPr>
                <w:sz w:val="22"/>
                <w:lang w:val="it-IT"/>
              </w:rPr>
              <w:t>RAPORTI I VLERËSIMIT TË NDIKIMIT</w:t>
            </w:r>
          </w:p>
        </w:tc>
      </w:tr>
      <w:tr w:rsidR="00981417" w:rsidRPr="005D5EFB" w14:paraId="0C90D458" w14:textId="77777777">
        <w:trPr>
          <w:jc w:val="center"/>
        </w:trPr>
        <w:tc>
          <w:tcPr>
            <w:tcW w:w="5328" w:type="dxa"/>
          </w:tcPr>
          <w:p w14:paraId="0BBBAD80" w14:textId="77777777" w:rsidR="00981417" w:rsidRPr="00B256EB" w:rsidRDefault="00000000">
            <w:pPr>
              <w:spacing w:after="0"/>
              <w:rPr>
                <w:lang w:val="it-IT"/>
              </w:rPr>
            </w:pPr>
            <w:r w:rsidRPr="00B256EB">
              <w:rPr>
                <w:b/>
                <w:lang w:val="it-IT"/>
              </w:rPr>
              <w:t>EMËRTIMI I PROPOZIMIT TË POLITIKËS</w:t>
            </w:r>
          </w:p>
        </w:tc>
        <w:tc>
          <w:tcPr>
            <w:tcW w:w="4824" w:type="dxa"/>
          </w:tcPr>
          <w:p w14:paraId="39FBD115" w14:textId="77777777" w:rsidR="00981417" w:rsidRPr="00E240BD" w:rsidRDefault="00000000">
            <w:pPr>
              <w:rPr>
                <w:rFonts w:cs="Times New Roman"/>
                <w:sz w:val="24"/>
                <w:szCs w:val="24"/>
                <w:lang w:val="pt-BR"/>
              </w:rPr>
            </w:pPr>
            <w:r w:rsidRPr="00E240BD">
              <w:rPr>
                <w:rFonts w:cs="Times New Roman"/>
                <w:sz w:val="24"/>
                <w:szCs w:val="24"/>
                <w:lang w:val="pt-BR"/>
              </w:rPr>
              <w:t>Projektligj "Për kërkesat e transparencës për emetuesit e titujve"</w:t>
            </w:r>
          </w:p>
        </w:tc>
      </w:tr>
      <w:tr w:rsidR="00981417" w:rsidRPr="00E67D32" w14:paraId="2EAAB8A8" w14:textId="77777777">
        <w:trPr>
          <w:jc w:val="center"/>
        </w:trPr>
        <w:tc>
          <w:tcPr>
            <w:tcW w:w="5328" w:type="dxa"/>
          </w:tcPr>
          <w:p w14:paraId="2B2EF2E9" w14:textId="77777777" w:rsidR="00981417" w:rsidRDefault="00000000">
            <w:pPr>
              <w:spacing w:after="0"/>
            </w:pPr>
            <w:r>
              <w:rPr>
                <w:b/>
              </w:rPr>
              <w:t>MINISTRIA UDHËHEQËSE</w:t>
            </w:r>
          </w:p>
        </w:tc>
        <w:tc>
          <w:tcPr>
            <w:tcW w:w="4824" w:type="dxa"/>
          </w:tcPr>
          <w:p w14:paraId="43299E4D" w14:textId="19402E16" w:rsidR="00981417" w:rsidRPr="00E67D32" w:rsidRDefault="00000000">
            <w:pPr>
              <w:rPr>
                <w:rFonts w:cs="Times New Roman"/>
                <w:sz w:val="24"/>
                <w:szCs w:val="24"/>
                <w:lang w:val="fr-FR"/>
              </w:rPr>
            </w:pPr>
            <w:r w:rsidRPr="00E67D32">
              <w:rPr>
                <w:rFonts w:cs="Times New Roman"/>
                <w:sz w:val="24"/>
                <w:szCs w:val="24"/>
                <w:lang w:val="fr-FR"/>
              </w:rPr>
              <w:t>Ministria e Ekonomisë dhe Inovacionit (MEI)</w:t>
            </w:r>
          </w:p>
        </w:tc>
      </w:tr>
      <w:tr w:rsidR="00981417" w14:paraId="5059EE3A" w14:textId="77777777">
        <w:trPr>
          <w:jc w:val="center"/>
        </w:trPr>
        <w:tc>
          <w:tcPr>
            <w:tcW w:w="5328" w:type="dxa"/>
          </w:tcPr>
          <w:p w14:paraId="667ABFD9" w14:textId="77777777" w:rsidR="00981417" w:rsidRDefault="00000000">
            <w:pPr>
              <w:spacing w:after="0"/>
            </w:pPr>
            <w:r>
              <w:rPr>
                <w:b/>
              </w:rPr>
              <w:t>FAZA E POLITIKËS/VLERËSIMIT TË NDIKIMIT</w:t>
            </w:r>
          </w:p>
        </w:tc>
        <w:tc>
          <w:tcPr>
            <w:tcW w:w="4824" w:type="dxa"/>
          </w:tcPr>
          <w:p w14:paraId="0E1ED83A" w14:textId="66080364" w:rsidR="00981417" w:rsidRPr="00E240BD" w:rsidRDefault="00C8235E">
            <w:pPr>
              <w:rPr>
                <w:rFonts w:cs="Times New Roman"/>
                <w:sz w:val="24"/>
                <w:szCs w:val="24"/>
              </w:rPr>
            </w:pPr>
            <w:r w:rsidRPr="00E240BD">
              <w:rPr>
                <w:rFonts w:cs="Times New Roman"/>
                <w:sz w:val="24"/>
                <w:szCs w:val="24"/>
              </w:rPr>
              <w:t>Zhvillim</w:t>
            </w:r>
            <w:r w:rsidR="005D43D1" w:rsidRPr="00E240BD">
              <w:rPr>
                <w:rFonts w:cs="Times New Roman"/>
                <w:sz w:val="24"/>
                <w:szCs w:val="24"/>
              </w:rPr>
              <w:t xml:space="preserve">. Shërben si </w:t>
            </w:r>
            <w:r w:rsidR="00096D17">
              <w:rPr>
                <w:rFonts w:cs="Times New Roman"/>
                <w:sz w:val="24"/>
                <w:szCs w:val="24"/>
              </w:rPr>
              <w:t>s</w:t>
            </w:r>
            <w:r w:rsidRPr="00E240BD">
              <w:rPr>
                <w:rFonts w:cs="Times New Roman"/>
                <w:sz w:val="24"/>
                <w:szCs w:val="24"/>
              </w:rPr>
              <w:t>hoqërues i projektligjit (për konsultim publik dhe miratim)</w:t>
            </w:r>
          </w:p>
        </w:tc>
      </w:tr>
      <w:tr w:rsidR="00981417" w:rsidRPr="00E67D32" w14:paraId="7DF9DA2F" w14:textId="77777777">
        <w:trPr>
          <w:jc w:val="center"/>
        </w:trPr>
        <w:tc>
          <w:tcPr>
            <w:tcW w:w="5328" w:type="dxa"/>
          </w:tcPr>
          <w:p w14:paraId="25151A03" w14:textId="77777777" w:rsidR="00981417" w:rsidRPr="00B256EB" w:rsidRDefault="00000000">
            <w:pPr>
              <w:spacing w:after="0"/>
              <w:rPr>
                <w:lang w:val="it-IT"/>
              </w:rPr>
            </w:pPr>
            <w:r w:rsidRPr="00B256EB">
              <w:rPr>
                <w:b/>
                <w:lang w:val="it-IT"/>
              </w:rPr>
              <w:t>BURIMI I PROPOZIMIT TË POLITIKËS</w:t>
            </w:r>
          </w:p>
        </w:tc>
        <w:tc>
          <w:tcPr>
            <w:tcW w:w="4824" w:type="dxa"/>
          </w:tcPr>
          <w:p w14:paraId="3593B0FE" w14:textId="66BC3DC7" w:rsidR="00981417" w:rsidRPr="00E240BD" w:rsidRDefault="00000000" w:rsidP="00C8235E">
            <w:pPr>
              <w:jc w:val="both"/>
              <w:rPr>
                <w:rFonts w:cs="Times New Roman"/>
                <w:sz w:val="24"/>
                <w:szCs w:val="24"/>
                <w:lang w:val="it-IT"/>
              </w:rPr>
            </w:pPr>
            <w:r w:rsidRPr="00E240BD">
              <w:rPr>
                <w:rFonts w:cs="Times New Roman"/>
                <w:sz w:val="24"/>
                <w:szCs w:val="24"/>
                <w:lang w:val="it-IT"/>
              </w:rPr>
              <w:t xml:space="preserve">Përafrimi me acquis të Bashkimit Evropian në kuadër të Kapitullit </w:t>
            </w:r>
            <w:r w:rsidR="00B256EB" w:rsidRPr="00E240BD">
              <w:rPr>
                <w:rFonts w:cs="Times New Roman"/>
                <w:sz w:val="24"/>
                <w:szCs w:val="24"/>
                <w:lang w:val="it-IT"/>
              </w:rPr>
              <w:t>6</w:t>
            </w:r>
            <w:r w:rsidRPr="00E240BD">
              <w:rPr>
                <w:rFonts w:cs="Times New Roman"/>
                <w:sz w:val="24"/>
                <w:szCs w:val="24"/>
                <w:lang w:val="it-IT"/>
              </w:rPr>
              <w:t xml:space="preserve"> "</w:t>
            </w:r>
            <w:r w:rsidR="00B256EB" w:rsidRPr="00E240BD">
              <w:rPr>
                <w:rFonts w:cs="Times New Roman"/>
                <w:sz w:val="24"/>
                <w:szCs w:val="24"/>
                <w:lang w:val="it-IT"/>
              </w:rPr>
              <w:t>Legjislac</w:t>
            </w:r>
            <w:r w:rsidR="00463878">
              <w:rPr>
                <w:rFonts w:cs="Times New Roman"/>
                <w:sz w:val="24"/>
                <w:szCs w:val="24"/>
                <w:lang w:val="it-IT"/>
              </w:rPr>
              <w:t>ioni për Shoqëritë Tregatre</w:t>
            </w:r>
            <w:r w:rsidRPr="00E240BD">
              <w:rPr>
                <w:rFonts w:cs="Times New Roman"/>
                <w:sz w:val="24"/>
                <w:szCs w:val="24"/>
                <w:lang w:val="it-IT"/>
              </w:rPr>
              <w:t>" dhe nevoja për një regjim të unifikuar të transparencës për emetuesit e titujve të pranuar për tregtim në tregje të rregulluara.</w:t>
            </w:r>
          </w:p>
        </w:tc>
      </w:tr>
      <w:tr w:rsidR="00981417" w:rsidRPr="005D5EFB" w14:paraId="23AB5651" w14:textId="77777777">
        <w:trPr>
          <w:jc w:val="center"/>
        </w:trPr>
        <w:tc>
          <w:tcPr>
            <w:tcW w:w="5328" w:type="dxa"/>
          </w:tcPr>
          <w:p w14:paraId="75343C13" w14:textId="77777777" w:rsidR="00981417" w:rsidRPr="00B256EB" w:rsidRDefault="00000000">
            <w:pPr>
              <w:spacing w:after="0"/>
              <w:rPr>
                <w:lang w:val="it-IT"/>
              </w:rPr>
            </w:pPr>
            <w:r w:rsidRPr="00B256EB">
              <w:rPr>
                <w:b/>
                <w:lang w:val="it-IT"/>
              </w:rPr>
              <w:t>DIREKTIVË/RREGULLORE E BE-së</w:t>
            </w:r>
          </w:p>
        </w:tc>
        <w:tc>
          <w:tcPr>
            <w:tcW w:w="4824" w:type="dxa"/>
          </w:tcPr>
          <w:p w14:paraId="651EC169" w14:textId="77777777" w:rsidR="005D5EFB" w:rsidRPr="00E240BD" w:rsidRDefault="005D5EFB" w:rsidP="00233D57">
            <w:pPr>
              <w:widowControl w:val="0"/>
              <w:spacing w:after="0"/>
              <w:jc w:val="both"/>
              <w:rPr>
                <w:rFonts w:cs="Times New Roman"/>
                <w:sz w:val="24"/>
                <w:szCs w:val="24"/>
                <w:lang w:val="sq-AL"/>
              </w:rPr>
            </w:pPr>
          </w:p>
          <w:p w14:paraId="17A45E64"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1. Direktiva bazë</w:t>
            </w:r>
          </w:p>
          <w:p w14:paraId="17C5DAFA" w14:textId="77777777" w:rsidR="005D5EFB" w:rsidRPr="00E240BD" w:rsidRDefault="005D5EFB" w:rsidP="005D5EFB">
            <w:pPr>
              <w:widowControl w:val="0"/>
              <w:spacing w:after="0"/>
              <w:jc w:val="both"/>
              <w:rPr>
                <w:rFonts w:cs="Times New Roman"/>
                <w:sz w:val="24"/>
                <w:szCs w:val="24"/>
                <w:lang w:val="sq-AL"/>
              </w:rPr>
            </w:pPr>
          </w:p>
          <w:p w14:paraId="1C6E6896"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Direktiva 2004/109/KE e Parlamentit Evropian dhe e Këshillit, e datës 15 dhjetor 2004, për harmonizimin e kërkesave të transparencës në lidhje me informacionin për emetuesit, titujt e të cilëve janë pranuar për tregtim në një treg të rregulluar dhe për ndryshimin e Direktivës 2001/34/KE.</w:t>
            </w:r>
          </w:p>
          <w:p w14:paraId="52AF0C12"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390, 31.12.2004, fq. 38–57.</w:t>
            </w:r>
          </w:p>
          <w:p w14:paraId="206EF69E" w14:textId="77777777" w:rsidR="005D5EFB" w:rsidRPr="00E240BD" w:rsidRDefault="005D5EFB" w:rsidP="005D5EFB">
            <w:pPr>
              <w:widowControl w:val="0"/>
              <w:spacing w:after="0"/>
              <w:jc w:val="both"/>
              <w:rPr>
                <w:rFonts w:cs="Times New Roman"/>
                <w:sz w:val="24"/>
                <w:szCs w:val="24"/>
                <w:lang w:val="sq-AL"/>
              </w:rPr>
            </w:pPr>
          </w:p>
          <w:p w14:paraId="5BF7CA56"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2. Aktet ndryshuese të Direktivës së Transparencës</w:t>
            </w:r>
          </w:p>
          <w:p w14:paraId="4C1A3542" w14:textId="77777777" w:rsidR="005D5EFB" w:rsidRPr="00E240BD" w:rsidRDefault="005D5EFB" w:rsidP="005D5EFB">
            <w:pPr>
              <w:widowControl w:val="0"/>
              <w:spacing w:after="0"/>
              <w:jc w:val="both"/>
              <w:rPr>
                <w:rFonts w:cs="Times New Roman"/>
                <w:sz w:val="24"/>
                <w:szCs w:val="24"/>
                <w:lang w:val="sq-AL"/>
              </w:rPr>
            </w:pPr>
          </w:p>
          <w:p w14:paraId="247A1406"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Direktiva 2008/22/KE e Parlamentit Evropian dhe e Këshillit, e datës 11 mars 2008, për ndryshimin e Direktivës 2004/109/KE për harmonizimin e kërkesave të transparencës në lidhje me informacionin për emetuesit, titujt e të cilëve janë pranuar për tregtim në një treg të rregulluar, në lidhje me kompetencat zbatuese të dhëna Komisionit.</w:t>
            </w:r>
          </w:p>
          <w:p w14:paraId="7A5EE4FF"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76, 19.3.2008, fq. 50–51.</w:t>
            </w:r>
          </w:p>
          <w:p w14:paraId="2583FB08" w14:textId="77777777" w:rsidR="005D5EFB" w:rsidRPr="00E240BD" w:rsidRDefault="005D5EFB" w:rsidP="005D5EFB">
            <w:pPr>
              <w:widowControl w:val="0"/>
              <w:spacing w:after="0"/>
              <w:jc w:val="both"/>
              <w:rPr>
                <w:rFonts w:cs="Times New Roman"/>
                <w:sz w:val="24"/>
                <w:szCs w:val="24"/>
                <w:lang w:val="sq-AL"/>
              </w:rPr>
            </w:pPr>
          </w:p>
          <w:p w14:paraId="53422710"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Direktiva 2010/73/BE e Parlamentit Evropian dhe e Këshillit, e datës 24 nëntor 2010, për ndryshimin e Direktivës 2003/71/KE për prospektin dhe të Direktivës 2004/109/KE për harmonizimin e kërkesave të transparencës në lidhje me informacionin për emetuesit, titujt e të cilëve janë pranuar për tregtim në një treg të rregulluar.</w:t>
            </w:r>
          </w:p>
          <w:p w14:paraId="2BE183C1"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327, 11.12.2010, fq. 1–12.</w:t>
            </w:r>
          </w:p>
          <w:p w14:paraId="05884F05" w14:textId="77777777" w:rsidR="005D5EFB" w:rsidRPr="00E240BD" w:rsidRDefault="005D5EFB" w:rsidP="005D5EFB">
            <w:pPr>
              <w:widowControl w:val="0"/>
              <w:spacing w:after="0"/>
              <w:jc w:val="both"/>
              <w:rPr>
                <w:rFonts w:cs="Times New Roman"/>
                <w:sz w:val="24"/>
                <w:szCs w:val="24"/>
                <w:lang w:val="sq-AL"/>
              </w:rPr>
            </w:pPr>
          </w:p>
          <w:p w14:paraId="594C265E"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 xml:space="preserve">Direktiva 2010/78/BE e Parlamentit Evropian dhe e Këshillit, e datës 24 nëntor 2010, për ndryshimin e Direktivave 98/26/KE, 2002/87/KE, 2003/6/KE, 2003/41/KE, 2003/71/KE, 2004/39/KE, 2004/109/KE, 2005/60/KE, 2006/48/KE dhe 2006/49/KE në </w:t>
            </w:r>
            <w:r w:rsidRPr="00E240BD">
              <w:rPr>
                <w:rFonts w:cs="Times New Roman"/>
                <w:sz w:val="24"/>
                <w:szCs w:val="24"/>
                <w:lang w:val="sq-AL"/>
              </w:rPr>
              <w:lastRenderedPageBreak/>
              <w:t>lidhje me kompetencat e Autoritetit Evropian të Mbikëqyrjes (Autoriteti Bankar Evropian, Autoriteti Evropian i Sigurimeve dhe Pensioneve Profesionale dhe Autoriteti Evropian i Letrave me Vlerë dhe Tregjeve).</w:t>
            </w:r>
          </w:p>
          <w:p w14:paraId="5968BCCA"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331, 15.12.2010, fq. 120–161.</w:t>
            </w:r>
          </w:p>
          <w:p w14:paraId="221F66A7" w14:textId="77777777" w:rsidR="005D5EFB" w:rsidRPr="00E240BD" w:rsidRDefault="005D5EFB" w:rsidP="005D5EFB">
            <w:pPr>
              <w:widowControl w:val="0"/>
              <w:spacing w:after="0"/>
              <w:jc w:val="both"/>
              <w:rPr>
                <w:rFonts w:cs="Times New Roman"/>
                <w:sz w:val="24"/>
                <w:szCs w:val="24"/>
                <w:lang w:val="sq-AL"/>
              </w:rPr>
            </w:pPr>
          </w:p>
          <w:p w14:paraId="29B1E345"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Direktiva 2013/50/BE e Parlamentit Evropian dhe e Këshillit, e datës 22 tetor 2013, për ndryshimin e Direktivës 2004/109/KE për harmonizimin e kërkesave të transparencës në lidhje me informacionin për emetuesit, titujt e të cilëve janë pranuar për tregtim në një treg të rregulluar, të Direktivës 2003/71/KE për prospektin dhe të Direktivës 2007/14/KE të Komisionit.</w:t>
            </w:r>
          </w:p>
          <w:p w14:paraId="2868964D"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294, 6.11.2013, fq. 13–27.</w:t>
            </w:r>
          </w:p>
          <w:p w14:paraId="4F5ABF58" w14:textId="77777777" w:rsidR="005D5EFB" w:rsidRPr="00E240BD" w:rsidRDefault="005D5EFB" w:rsidP="005D5EFB">
            <w:pPr>
              <w:widowControl w:val="0"/>
              <w:spacing w:after="0"/>
              <w:jc w:val="both"/>
              <w:rPr>
                <w:rFonts w:cs="Times New Roman"/>
                <w:sz w:val="24"/>
                <w:szCs w:val="24"/>
                <w:lang w:val="sq-AL"/>
              </w:rPr>
            </w:pPr>
          </w:p>
          <w:p w14:paraId="676B75B9"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Rregullorja (BE) 2021/337 e Parlamentit Evropian dhe e Këshillit, e datës 16 shkurt 2021, për ndryshimin e Rregullores (BE) 2017/1129 në lidhje me prospektin e rimëkëmbjes së BE-së dhe për ndryshimin e Rregullores (BE) nr. 596/2014 dhe të Direktivës 2004/109/KE për të mbështetur rimëkëmbjen nga kriza COVID-19.</w:t>
            </w:r>
          </w:p>
          <w:p w14:paraId="2090237C"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68, 26.2.2021, fq. 1–13.</w:t>
            </w:r>
          </w:p>
          <w:p w14:paraId="54AE0764" w14:textId="77777777" w:rsidR="005D5EFB" w:rsidRPr="00E240BD" w:rsidRDefault="005D5EFB" w:rsidP="005D5EFB">
            <w:pPr>
              <w:widowControl w:val="0"/>
              <w:spacing w:after="0"/>
              <w:jc w:val="both"/>
              <w:rPr>
                <w:rFonts w:cs="Times New Roman"/>
                <w:sz w:val="24"/>
                <w:szCs w:val="24"/>
                <w:lang w:val="sq-AL"/>
              </w:rPr>
            </w:pPr>
          </w:p>
          <w:p w14:paraId="335E5BC6"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Direktiva (BE) 2022/2464 e Parlamentit Evropian dhe e Këshillit, e datës 14 dhjetor 2022, për ndryshimin e Rregullores (BE) nr. 537/2014, të Direktivës 2004/109/KE, të Direktivës 2006/43/KE dhe të Direktivës 2013/34/BE në lidhje me raportimin e qëndrueshmërisë së korporatave (Corporate Sustainability Reporting Directive – CSRD).</w:t>
            </w:r>
          </w:p>
          <w:p w14:paraId="45F3899B"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322, 16.12.2022, fq. 15–80.</w:t>
            </w:r>
          </w:p>
          <w:p w14:paraId="2AF2CE82" w14:textId="77777777" w:rsidR="005D5EFB" w:rsidRPr="00E240BD" w:rsidRDefault="005D5EFB" w:rsidP="005D5EFB">
            <w:pPr>
              <w:widowControl w:val="0"/>
              <w:spacing w:after="0"/>
              <w:jc w:val="both"/>
              <w:rPr>
                <w:rFonts w:cs="Times New Roman"/>
                <w:sz w:val="24"/>
                <w:szCs w:val="24"/>
                <w:lang w:val="sq-AL"/>
              </w:rPr>
            </w:pPr>
          </w:p>
          <w:p w14:paraId="3FE92AD7"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Direktiva (BE) 2023/2864 e Parlamentit Evropian dhe e Këshillit, e datës 13 dhjetor 2023, për ndryshimin e disa direktivave në lidhje me krijimin dhe funksionimin e pikës së vetme evropiane të aksesit (European Single Access Point – ESAP).</w:t>
            </w:r>
          </w:p>
          <w:p w14:paraId="6F1D5D3C"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20.12.2023.</w:t>
            </w:r>
          </w:p>
          <w:p w14:paraId="548EAC8C" w14:textId="77777777" w:rsidR="005D5EFB" w:rsidRPr="00E240BD" w:rsidRDefault="005D5EFB" w:rsidP="005D5EFB">
            <w:pPr>
              <w:widowControl w:val="0"/>
              <w:spacing w:after="0"/>
              <w:jc w:val="both"/>
              <w:rPr>
                <w:rFonts w:cs="Times New Roman"/>
                <w:sz w:val="24"/>
                <w:szCs w:val="24"/>
                <w:lang w:val="sq-AL"/>
              </w:rPr>
            </w:pPr>
          </w:p>
          <w:p w14:paraId="007E6A7A"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3. Aktet zbatuese dhe deleguese</w:t>
            </w:r>
          </w:p>
          <w:p w14:paraId="0CC78837" w14:textId="77777777" w:rsidR="005D5EFB" w:rsidRPr="00E240BD" w:rsidRDefault="005D5EFB" w:rsidP="005D5EFB">
            <w:pPr>
              <w:widowControl w:val="0"/>
              <w:spacing w:after="0"/>
              <w:jc w:val="both"/>
              <w:rPr>
                <w:rFonts w:cs="Times New Roman"/>
                <w:sz w:val="24"/>
                <w:szCs w:val="24"/>
                <w:lang w:val="sq-AL"/>
              </w:rPr>
            </w:pPr>
          </w:p>
          <w:p w14:paraId="5DC15ACE"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 xml:space="preserve">Direktiva 2007/14/KE e Komisionit, e datës 8 mars 2007, që përcakton rregulla të detajuara për zbatimin e disa dispozitave të Direktivës 2004/109/KE për harmonizimin e kërkesave të transparencës në lidhje me informacionin për emetuesit, titujt e të cilëve janë pranuar për </w:t>
            </w:r>
            <w:r w:rsidRPr="00E240BD">
              <w:rPr>
                <w:rFonts w:cs="Times New Roman"/>
                <w:sz w:val="24"/>
                <w:szCs w:val="24"/>
                <w:lang w:val="sq-AL"/>
              </w:rPr>
              <w:lastRenderedPageBreak/>
              <w:t>tregtim në një treg të rregulluar.</w:t>
            </w:r>
          </w:p>
          <w:p w14:paraId="5DC57859"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69, 9.3.2007, fq. 27–36.</w:t>
            </w:r>
          </w:p>
          <w:p w14:paraId="7BA6D8E0" w14:textId="77777777" w:rsidR="005D5EFB" w:rsidRPr="00E240BD" w:rsidRDefault="005D5EFB" w:rsidP="005D5EFB">
            <w:pPr>
              <w:widowControl w:val="0"/>
              <w:spacing w:after="0"/>
              <w:jc w:val="both"/>
              <w:rPr>
                <w:rFonts w:cs="Times New Roman"/>
                <w:sz w:val="24"/>
                <w:szCs w:val="24"/>
                <w:lang w:val="sq-AL"/>
              </w:rPr>
            </w:pPr>
          </w:p>
          <w:p w14:paraId="4ADB14D1" w14:textId="77777777"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Rregullorja e Deleguar e Komisionit (BE) 2015/761 e datës 17 dhjetor 2014, që plotëson Direktivën 2004/109/KE të Parlamentit Evropian dhe të Këshillit në lidhje me standardet teknike rregullatore për zotërimet e mëdha.</w:t>
            </w:r>
          </w:p>
          <w:p w14:paraId="4FCA6BE0" w14:textId="51BA711D" w:rsidR="005D5EFB" w:rsidRPr="00E240BD" w:rsidRDefault="005D5EFB" w:rsidP="005D5EFB">
            <w:pPr>
              <w:widowControl w:val="0"/>
              <w:spacing w:after="0"/>
              <w:jc w:val="both"/>
              <w:rPr>
                <w:rFonts w:cs="Times New Roman"/>
                <w:sz w:val="24"/>
                <w:szCs w:val="24"/>
                <w:lang w:val="sq-AL"/>
              </w:rPr>
            </w:pPr>
            <w:r w:rsidRPr="00E240BD">
              <w:rPr>
                <w:rFonts w:cs="Times New Roman"/>
                <w:sz w:val="24"/>
                <w:szCs w:val="24"/>
                <w:lang w:val="sq-AL"/>
              </w:rPr>
              <w:t>Referenca: OJ L 120, 13.5.2015, fq. 2–5.</w:t>
            </w:r>
          </w:p>
          <w:p w14:paraId="6FF1A09B" w14:textId="7A16AB13" w:rsidR="00233D57" w:rsidRPr="00E240BD" w:rsidRDefault="00233D57">
            <w:pPr>
              <w:rPr>
                <w:rFonts w:cs="Times New Roman"/>
                <w:sz w:val="24"/>
                <w:szCs w:val="24"/>
                <w:lang w:val="sq-AL"/>
              </w:rPr>
            </w:pPr>
          </w:p>
        </w:tc>
      </w:tr>
      <w:tr w:rsidR="00981417" w:rsidRPr="00D9729C" w14:paraId="5ACA36D8" w14:textId="77777777">
        <w:trPr>
          <w:jc w:val="center"/>
        </w:trPr>
        <w:tc>
          <w:tcPr>
            <w:tcW w:w="5328" w:type="dxa"/>
          </w:tcPr>
          <w:p w14:paraId="7F1B2C93" w14:textId="77777777" w:rsidR="00981417" w:rsidRDefault="00000000">
            <w:pPr>
              <w:spacing w:after="0"/>
            </w:pPr>
            <w:r>
              <w:rPr>
                <w:b/>
              </w:rPr>
              <w:lastRenderedPageBreak/>
              <w:t>PUBLIKIMET DHE STRATEGJITË E LIDHURA</w:t>
            </w:r>
          </w:p>
        </w:tc>
        <w:tc>
          <w:tcPr>
            <w:tcW w:w="4824" w:type="dxa"/>
          </w:tcPr>
          <w:p w14:paraId="6498B5B7" w14:textId="3560B835" w:rsidR="00D9729C" w:rsidRPr="00E240BD" w:rsidRDefault="00D9729C">
            <w:pPr>
              <w:rPr>
                <w:rFonts w:cs="Times New Roman"/>
                <w:sz w:val="24"/>
                <w:szCs w:val="24"/>
              </w:rPr>
            </w:pPr>
          </w:p>
          <w:p w14:paraId="49654203" w14:textId="607A7A40" w:rsidR="00D9729C" w:rsidRPr="00E240BD" w:rsidRDefault="00D9729C" w:rsidP="00E85008">
            <w:pPr>
              <w:pStyle w:val="ListParagraph"/>
              <w:numPr>
                <w:ilvl w:val="0"/>
                <w:numId w:val="10"/>
              </w:numPr>
              <w:rPr>
                <w:rFonts w:cs="Times New Roman"/>
                <w:sz w:val="24"/>
                <w:szCs w:val="24"/>
              </w:rPr>
            </w:pPr>
            <w:r w:rsidRPr="00E240BD">
              <w:rPr>
                <w:rFonts w:cs="Times New Roman"/>
                <w:sz w:val="24"/>
                <w:szCs w:val="24"/>
              </w:rPr>
              <w:t>Legjislacioni që rregullon tregjet e kapitalit/tregjet e instrumenteve financiare</w:t>
            </w:r>
          </w:p>
          <w:p w14:paraId="7C6B02D8" w14:textId="77777777" w:rsidR="00D9729C" w:rsidRPr="00E240BD" w:rsidRDefault="00D9729C" w:rsidP="00E85008">
            <w:pPr>
              <w:pStyle w:val="ListParagraph"/>
              <w:numPr>
                <w:ilvl w:val="0"/>
                <w:numId w:val="10"/>
              </w:numPr>
              <w:rPr>
                <w:rFonts w:cs="Times New Roman"/>
                <w:sz w:val="24"/>
                <w:szCs w:val="24"/>
              </w:rPr>
            </w:pPr>
            <w:r w:rsidRPr="00E240BD">
              <w:rPr>
                <w:rFonts w:cs="Times New Roman"/>
                <w:sz w:val="24"/>
                <w:szCs w:val="24"/>
              </w:rPr>
              <w:t>Legjislacioni për kontabilitetin dhe pasqyrat financiare  dhe aktet nënligjore përkatëse.</w:t>
            </w:r>
            <w:r w:rsidRPr="00E240BD">
              <w:rPr>
                <w:rFonts w:cs="Times New Roman"/>
                <w:sz w:val="24"/>
                <w:szCs w:val="24"/>
              </w:rPr>
              <w:br/>
              <w:t xml:space="preserve">- Legjislacioni për audituesin ligjor </w:t>
            </w:r>
          </w:p>
          <w:p w14:paraId="508A0AB9" w14:textId="3A161687" w:rsidR="00981417" w:rsidRPr="00E240BD" w:rsidRDefault="00000000" w:rsidP="00E85008">
            <w:pPr>
              <w:pStyle w:val="ListParagraph"/>
              <w:numPr>
                <w:ilvl w:val="0"/>
                <w:numId w:val="10"/>
              </w:numPr>
              <w:rPr>
                <w:rFonts w:cs="Times New Roman"/>
                <w:sz w:val="24"/>
                <w:szCs w:val="24"/>
              </w:rPr>
            </w:pPr>
            <w:r w:rsidRPr="00E240BD">
              <w:rPr>
                <w:rFonts w:cs="Times New Roman"/>
                <w:sz w:val="24"/>
                <w:szCs w:val="24"/>
              </w:rPr>
              <w:t>Programi Kombëtar për Integrimin Evropian (PKIE)</w:t>
            </w:r>
          </w:p>
        </w:tc>
      </w:tr>
      <w:tr w:rsidR="00981417" w14:paraId="2D9D29B4" w14:textId="77777777">
        <w:trPr>
          <w:jc w:val="center"/>
        </w:trPr>
        <w:tc>
          <w:tcPr>
            <w:tcW w:w="5328" w:type="dxa"/>
          </w:tcPr>
          <w:p w14:paraId="1AA6DBEE" w14:textId="77777777" w:rsidR="00981417" w:rsidRDefault="00000000">
            <w:pPr>
              <w:spacing w:after="0"/>
            </w:pPr>
            <w:r>
              <w:rPr>
                <w:b/>
              </w:rPr>
              <w:t>DATA E KONSULTIMIT PUBLIK</w:t>
            </w:r>
          </w:p>
        </w:tc>
        <w:tc>
          <w:tcPr>
            <w:tcW w:w="4824" w:type="dxa"/>
          </w:tcPr>
          <w:p w14:paraId="0E4FFCAD" w14:textId="0A757D65" w:rsidR="00981417" w:rsidRPr="00E240BD" w:rsidRDefault="00E67D32">
            <w:pPr>
              <w:rPr>
                <w:rFonts w:cs="Times New Roman"/>
                <w:sz w:val="24"/>
                <w:szCs w:val="24"/>
              </w:rPr>
            </w:pPr>
            <w:r>
              <w:rPr>
                <w:rFonts w:cs="Times New Roman"/>
                <w:sz w:val="24"/>
                <w:szCs w:val="24"/>
              </w:rPr>
              <w:t>18.03.2026-20.04.2026</w:t>
            </w:r>
          </w:p>
        </w:tc>
      </w:tr>
      <w:tr w:rsidR="00981417" w14:paraId="7DD9FA1F" w14:textId="77777777">
        <w:trPr>
          <w:jc w:val="center"/>
        </w:trPr>
        <w:tc>
          <w:tcPr>
            <w:tcW w:w="5328" w:type="dxa"/>
          </w:tcPr>
          <w:p w14:paraId="0155A25B" w14:textId="77777777" w:rsidR="00981417" w:rsidRPr="00B256EB" w:rsidRDefault="00000000">
            <w:pPr>
              <w:spacing w:after="0"/>
              <w:rPr>
                <w:lang w:val="it-IT"/>
              </w:rPr>
            </w:pPr>
            <w:r w:rsidRPr="00B256EB">
              <w:rPr>
                <w:b/>
                <w:lang w:val="it-IT"/>
              </w:rPr>
              <w:t>DATA E VLERËSIMIT TË NDIKIMIT</w:t>
            </w:r>
          </w:p>
        </w:tc>
        <w:tc>
          <w:tcPr>
            <w:tcW w:w="4824" w:type="dxa"/>
          </w:tcPr>
          <w:p w14:paraId="4D4226DE" w14:textId="77777777" w:rsidR="00981417" w:rsidRPr="00E240BD" w:rsidRDefault="00000000">
            <w:pPr>
              <w:rPr>
                <w:rFonts w:cs="Times New Roman"/>
                <w:sz w:val="24"/>
                <w:szCs w:val="24"/>
              </w:rPr>
            </w:pPr>
            <w:r w:rsidRPr="00E240BD">
              <w:rPr>
                <w:rFonts w:cs="Times New Roman"/>
                <w:sz w:val="24"/>
                <w:szCs w:val="24"/>
              </w:rPr>
              <w:t>06/03/2026</w:t>
            </w:r>
          </w:p>
        </w:tc>
      </w:tr>
      <w:tr w:rsidR="00981417" w14:paraId="1390B017" w14:textId="77777777">
        <w:trPr>
          <w:jc w:val="center"/>
        </w:trPr>
        <w:tc>
          <w:tcPr>
            <w:tcW w:w="5328" w:type="dxa"/>
          </w:tcPr>
          <w:p w14:paraId="2E5D7D03" w14:textId="77777777" w:rsidR="00981417" w:rsidRDefault="00000000">
            <w:pPr>
              <w:spacing w:after="0"/>
            </w:pPr>
            <w:r>
              <w:rPr>
                <w:b/>
              </w:rPr>
              <w:t>A E KA SHQYRTUAR KRYEMINISTRIA VLERËSIMIN E NDIKIMIT?</w:t>
            </w:r>
            <w:r>
              <w:rPr>
                <w:b/>
              </w:rPr>
              <w:br/>
              <w:t>NËSE PO, JEPNI DATËN E SHQYRTIMIT</w:t>
            </w:r>
          </w:p>
        </w:tc>
        <w:tc>
          <w:tcPr>
            <w:tcW w:w="4824" w:type="dxa"/>
          </w:tcPr>
          <w:p w14:paraId="53919868" w14:textId="77777777" w:rsidR="00981417" w:rsidRPr="00E240BD" w:rsidRDefault="00000000">
            <w:pPr>
              <w:rPr>
                <w:rFonts w:cs="Times New Roman"/>
                <w:sz w:val="24"/>
                <w:szCs w:val="24"/>
              </w:rPr>
            </w:pPr>
            <w:r w:rsidRPr="00E240BD">
              <w:rPr>
                <w:rFonts w:cs="Times New Roman"/>
                <w:sz w:val="24"/>
                <w:szCs w:val="24"/>
              </w:rPr>
              <w:t>Jo (në momentin e përgatitjes së kësaj RIA).</w:t>
            </w:r>
          </w:p>
        </w:tc>
      </w:tr>
      <w:tr w:rsidR="00981417" w:rsidRPr="005D5EFB" w14:paraId="4BB1209E" w14:textId="77777777">
        <w:trPr>
          <w:jc w:val="center"/>
        </w:trPr>
        <w:tc>
          <w:tcPr>
            <w:tcW w:w="5328" w:type="dxa"/>
          </w:tcPr>
          <w:p w14:paraId="30C021D2" w14:textId="77777777" w:rsidR="00981417" w:rsidRPr="00B256EB" w:rsidRDefault="00000000">
            <w:pPr>
              <w:spacing w:after="0"/>
              <w:rPr>
                <w:lang w:val="it-IT"/>
              </w:rPr>
            </w:pPr>
            <w:r w:rsidRPr="00B256EB">
              <w:rPr>
                <w:b/>
                <w:lang w:val="it-IT"/>
              </w:rPr>
              <w:t>NUMRI I VLERËSIMIT TË NDIKIMIT</w:t>
            </w:r>
          </w:p>
        </w:tc>
        <w:tc>
          <w:tcPr>
            <w:tcW w:w="4824" w:type="dxa"/>
          </w:tcPr>
          <w:p w14:paraId="55DE495C" w14:textId="07805FBD" w:rsidR="00981417" w:rsidRPr="00E240BD" w:rsidRDefault="00981417">
            <w:pPr>
              <w:rPr>
                <w:rFonts w:cs="Times New Roman"/>
                <w:sz w:val="24"/>
                <w:szCs w:val="24"/>
                <w:lang w:val="it-IT"/>
              </w:rPr>
            </w:pPr>
          </w:p>
        </w:tc>
      </w:tr>
      <w:tr w:rsidR="00981417" w:rsidRPr="005D5EFB" w14:paraId="3AE8683A" w14:textId="77777777">
        <w:trPr>
          <w:jc w:val="center"/>
        </w:trPr>
        <w:tc>
          <w:tcPr>
            <w:tcW w:w="5328" w:type="dxa"/>
          </w:tcPr>
          <w:p w14:paraId="653D3133" w14:textId="77777777" w:rsidR="00981417" w:rsidRDefault="00000000">
            <w:pPr>
              <w:spacing w:after="0"/>
            </w:pPr>
            <w:r>
              <w:rPr>
                <w:b/>
              </w:rPr>
              <w:t>TË DHËNA KONTAKTI</w:t>
            </w:r>
            <w:r>
              <w:rPr>
                <w:b/>
              </w:rPr>
              <w:br/>
              <w:t>(EMRI, E-MAIL, NUMRI I TELEFONIT TË PERSONIT TË KONTAKTIT)</w:t>
            </w:r>
          </w:p>
        </w:tc>
        <w:tc>
          <w:tcPr>
            <w:tcW w:w="4824" w:type="dxa"/>
          </w:tcPr>
          <w:p w14:paraId="7A2A9085" w14:textId="77777777" w:rsidR="00D9729C" w:rsidRPr="00E240BD" w:rsidRDefault="00D9729C">
            <w:pPr>
              <w:spacing w:after="0"/>
              <w:rPr>
                <w:rFonts w:cs="Times New Roman"/>
                <w:sz w:val="24"/>
                <w:szCs w:val="24"/>
              </w:rPr>
            </w:pPr>
            <w:r w:rsidRPr="00E240BD">
              <w:rPr>
                <w:rFonts w:cs="Times New Roman"/>
                <w:sz w:val="24"/>
                <w:szCs w:val="24"/>
              </w:rPr>
              <w:t>Patris Poshnjari</w:t>
            </w:r>
          </w:p>
          <w:p w14:paraId="1058B352" w14:textId="6EC04B2C" w:rsidR="006D2E73" w:rsidRPr="00E240BD" w:rsidRDefault="00D9729C">
            <w:pPr>
              <w:spacing w:after="0"/>
              <w:rPr>
                <w:rFonts w:cs="Times New Roman"/>
                <w:sz w:val="24"/>
                <w:szCs w:val="24"/>
              </w:rPr>
            </w:pPr>
            <w:r w:rsidRPr="00E240BD">
              <w:rPr>
                <w:rFonts w:cs="Times New Roman"/>
                <w:sz w:val="24"/>
                <w:szCs w:val="24"/>
              </w:rPr>
              <w:t>Drejtor, Drejto</w:t>
            </w:r>
            <w:r w:rsidR="008B5CCC" w:rsidRPr="00E240BD">
              <w:rPr>
                <w:rFonts w:cs="Times New Roman"/>
                <w:sz w:val="24"/>
                <w:szCs w:val="24"/>
              </w:rPr>
              <w:t>r</w:t>
            </w:r>
            <w:r w:rsidRPr="00E240BD">
              <w:rPr>
                <w:rFonts w:cs="Times New Roman"/>
                <w:sz w:val="24"/>
                <w:szCs w:val="24"/>
              </w:rPr>
              <w:t>ia e Mbikëqyrjes së Tregjeve të Kapitalit</w:t>
            </w:r>
          </w:p>
          <w:p w14:paraId="0D66569E" w14:textId="6E49629A" w:rsidR="00D9729C" w:rsidRPr="00E240BD" w:rsidRDefault="00D9729C">
            <w:pPr>
              <w:spacing w:after="0"/>
              <w:rPr>
                <w:rFonts w:cs="Times New Roman"/>
                <w:sz w:val="24"/>
                <w:szCs w:val="24"/>
                <w:lang w:val="it-IT"/>
              </w:rPr>
            </w:pPr>
            <w:r w:rsidRPr="00E240BD">
              <w:rPr>
                <w:rFonts w:cs="Times New Roman"/>
                <w:sz w:val="24"/>
                <w:szCs w:val="24"/>
                <w:lang w:val="it-IT"/>
              </w:rPr>
              <w:t>Autoriteti i Mbikëqyrjes Financiare</w:t>
            </w:r>
          </w:p>
          <w:p w14:paraId="301BFE5E" w14:textId="509852C6" w:rsidR="00D9729C" w:rsidRPr="00E240BD" w:rsidRDefault="00D9729C">
            <w:pPr>
              <w:spacing w:after="0"/>
              <w:rPr>
                <w:rFonts w:cs="Times New Roman"/>
                <w:sz w:val="24"/>
                <w:szCs w:val="24"/>
                <w:lang w:val="it-IT"/>
              </w:rPr>
            </w:pPr>
            <w:hyperlink r:id="rId8" w:history="1">
              <w:r w:rsidRPr="00E240BD">
                <w:rPr>
                  <w:rStyle w:val="Hyperlink"/>
                  <w:rFonts w:cs="Times New Roman"/>
                  <w:color w:val="auto"/>
                  <w:sz w:val="24"/>
                  <w:szCs w:val="24"/>
                  <w:u w:val="none"/>
                  <w:lang w:val="it-IT"/>
                </w:rPr>
                <w:t>patris.poshnjari@amf.gov.al</w:t>
              </w:r>
            </w:hyperlink>
          </w:p>
          <w:p w14:paraId="77956FA1" w14:textId="19BA63F5" w:rsidR="00D9729C" w:rsidRPr="00E240BD" w:rsidRDefault="00D9729C">
            <w:pPr>
              <w:spacing w:after="0"/>
              <w:rPr>
                <w:rFonts w:cs="Times New Roman"/>
                <w:sz w:val="24"/>
                <w:szCs w:val="24"/>
                <w:lang w:val="it-IT"/>
              </w:rPr>
            </w:pPr>
            <w:r w:rsidRPr="00E240BD">
              <w:rPr>
                <w:rFonts w:cs="Times New Roman"/>
                <w:sz w:val="24"/>
                <w:szCs w:val="24"/>
                <w:lang w:val="it-IT"/>
              </w:rPr>
              <w:t>Cel: +355 68 2751817</w:t>
            </w:r>
          </w:p>
        </w:tc>
      </w:tr>
      <w:tr w:rsidR="00981417" w:rsidRPr="005D5EFB" w14:paraId="21EDAAD2" w14:textId="77777777">
        <w:trPr>
          <w:jc w:val="center"/>
        </w:trPr>
        <w:tc>
          <w:tcPr>
            <w:tcW w:w="5328" w:type="dxa"/>
          </w:tcPr>
          <w:p w14:paraId="00F352EA" w14:textId="77777777" w:rsidR="00981417" w:rsidRPr="005D5EFB" w:rsidRDefault="00981417">
            <w:pPr>
              <w:rPr>
                <w:lang w:val="it-IT"/>
              </w:rPr>
            </w:pPr>
          </w:p>
        </w:tc>
        <w:tc>
          <w:tcPr>
            <w:tcW w:w="4824" w:type="dxa"/>
          </w:tcPr>
          <w:p w14:paraId="11C08652" w14:textId="1C5BC424" w:rsidR="00981417" w:rsidRPr="005D5EFB" w:rsidRDefault="00981417">
            <w:pPr>
              <w:rPr>
                <w:lang w:val="it-IT"/>
              </w:rPr>
            </w:pPr>
          </w:p>
        </w:tc>
      </w:tr>
      <w:tr w:rsidR="00981417" w:rsidRPr="005D5EFB" w14:paraId="78AFFA11" w14:textId="77777777">
        <w:trPr>
          <w:jc w:val="center"/>
        </w:trPr>
        <w:tc>
          <w:tcPr>
            <w:tcW w:w="10152" w:type="dxa"/>
            <w:gridSpan w:val="2"/>
            <w:shd w:val="clear" w:color="auto" w:fill="D9D9D9"/>
          </w:tcPr>
          <w:p w14:paraId="35BEEDA7" w14:textId="77777777" w:rsidR="00981417" w:rsidRPr="005D5EFB" w:rsidRDefault="00000000">
            <w:pPr>
              <w:pStyle w:val="TitleRia"/>
              <w:rPr>
                <w:lang w:val="it-IT"/>
              </w:rPr>
            </w:pPr>
            <w:r w:rsidRPr="005D5EFB">
              <w:rPr>
                <w:sz w:val="22"/>
                <w:lang w:val="it-IT"/>
              </w:rPr>
              <w:t>PJESA 1: PËRMBLEDHJE EKZEKUTIVE (maksimumi 2 faqe)</w:t>
            </w:r>
          </w:p>
        </w:tc>
      </w:tr>
      <w:tr w:rsidR="00981417" w:rsidRPr="00E67D32" w14:paraId="09FEC75A" w14:textId="77777777">
        <w:trPr>
          <w:jc w:val="center"/>
        </w:trPr>
        <w:tc>
          <w:tcPr>
            <w:tcW w:w="10152" w:type="dxa"/>
            <w:gridSpan w:val="2"/>
          </w:tcPr>
          <w:p w14:paraId="0A061690" w14:textId="77777777" w:rsidR="00035F44" w:rsidRPr="005D5EFB" w:rsidRDefault="00035F44">
            <w:pPr>
              <w:rPr>
                <w:lang w:val="it-IT"/>
              </w:rPr>
            </w:pPr>
          </w:p>
          <w:p w14:paraId="7ACE9133" w14:textId="77777777" w:rsidR="00035F44" w:rsidRPr="00DC2146" w:rsidRDefault="00035F44" w:rsidP="00035F44">
            <w:pPr>
              <w:spacing w:after="0" w:line="276" w:lineRule="auto"/>
              <w:jc w:val="both"/>
              <w:rPr>
                <w:rFonts w:cs="Times New Roman"/>
                <w:i/>
                <w:sz w:val="24"/>
                <w:szCs w:val="24"/>
                <w:lang w:val="sq-AL" w:eastAsia="en-GB"/>
              </w:rPr>
            </w:pPr>
            <w:r w:rsidRPr="00035F44">
              <w:rPr>
                <w:rFonts w:cs="Times New Roman"/>
                <w:i/>
                <w:sz w:val="24"/>
                <w:szCs w:val="24"/>
                <w:lang w:val="en-GB" w:eastAsia="en-GB"/>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0" w:name="PerkufizimProblemi"/>
            <w:r w:rsidRPr="00035F44">
              <w:rPr>
                <w:rFonts w:cs="Times New Roman"/>
                <w:i/>
                <w:sz w:val="24"/>
                <w:szCs w:val="24"/>
                <w:lang w:val="sq-AL" w:eastAsia="en-GB"/>
              </w:rPr>
              <w:instrText xml:space="preserve"> FORMTEXT </w:instrText>
            </w:r>
            <w:r w:rsidRPr="00035F44">
              <w:rPr>
                <w:rFonts w:cs="Times New Roman"/>
                <w:i/>
                <w:sz w:val="24"/>
                <w:szCs w:val="24"/>
                <w:lang w:val="en-GB" w:eastAsia="en-GB"/>
              </w:rPr>
            </w:r>
            <w:r w:rsidRPr="00035F44">
              <w:rPr>
                <w:rFonts w:cs="Times New Roman"/>
                <w:i/>
                <w:sz w:val="24"/>
                <w:szCs w:val="24"/>
                <w:lang w:val="en-GB" w:eastAsia="en-GB"/>
              </w:rPr>
              <w:fldChar w:fldCharType="separate"/>
            </w:r>
            <w:r w:rsidRPr="00035F44">
              <w:rPr>
                <w:rFonts w:cs="Times New Roman"/>
                <w:i/>
                <w:noProof/>
                <w:sz w:val="24"/>
                <w:szCs w:val="24"/>
                <w:lang w:val="sq-AL" w:eastAsia="en-GB"/>
              </w:rPr>
              <w:t xml:space="preserve">Cili është problemi në shqyrtim dhe cilat janë shkaqet e tij? Jepni arsyet e nevojës së ndërhyrjes së qeverisë. (jo më shumë se 10 rreshta) </w:t>
            </w:r>
            <w:r w:rsidRPr="00035F44">
              <w:rPr>
                <w:rFonts w:cs="Times New Roman"/>
                <w:i/>
                <w:sz w:val="24"/>
                <w:szCs w:val="24"/>
                <w:lang w:val="en-GB" w:eastAsia="en-GB"/>
              </w:rPr>
              <w:fldChar w:fldCharType="end"/>
            </w:r>
            <w:bookmarkEnd w:id="0"/>
          </w:p>
          <w:p w14:paraId="7882D7CC" w14:textId="77777777" w:rsidR="005075E2" w:rsidRDefault="005075E2" w:rsidP="00983B0E">
            <w:pPr>
              <w:jc w:val="both"/>
              <w:rPr>
                <w:rFonts w:cs="Times New Roman"/>
                <w:i/>
                <w:sz w:val="24"/>
                <w:szCs w:val="24"/>
                <w:lang w:val="sq-AL" w:eastAsia="en-GB"/>
              </w:rPr>
            </w:pPr>
          </w:p>
          <w:p w14:paraId="754F3796" w14:textId="209468BD" w:rsidR="00983B0E" w:rsidRPr="00983B0E" w:rsidRDefault="00035F44" w:rsidP="00983B0E">
            <w:pPr>
              <w:jc w:val="both"/>
              <w:rPr>
                <w:rFonts w:cs="Times New Roman"/>
                <w:sz w:val="24"/>
                <w:szCs w:val="24"/>
                <w:lang w:val="sq-AL" w:eastAsia="en-GB"/>
              </w:rPr>
            </w:pPr>
            <w:r w:rsidRPr="00983B0E">
              <w:rPr>
                <w:rFonts w:cs="Times New Roman"/>
                <w:sz w:val="24"/>
                <w:szCs w:val="24"/>
                <w:lang w:val="sq-AL" w:eastAsia="en-GB"/>
              </w:rPr>
              <w:t xml:space="preserve">Kuadri aktual rregullator në Republikën e Shqipërisë që rregullon kërkesat e transparencës për emetuesit e titujve është i fragmentuar dhe i bazuar kryesisht në akte nënligjore, të cilat nuk sigurojnë një harmonizim të plotë me legjislacionin e Bashkimit Evropian, veçanërisht me Direktivën 2004/109/EC, ndryshimet si dhe aktet zbatuese të saj. Kjo situatë krijon mangësi në standardet e publikimit të informacionit periodik dhe të vazhdueshëm nga emetuesit, në raportimin e zotërimeve të rëndësishme në kapital dhe në aksesin e investitorëve në informacion të krahasueshëm dhe të besueshëm. </w:t>
            </w:r>
          </w:p>
          <w:p w14:paraId="14C3961C" w14:textId="114A9552" w:rsidR="00983B0E" w:rsidRPr="00983B0E" w:rsidRDefault="00983B0E" w:rsidP="00983B0E">
            <w:pPr>
              <w:jc w:val="both"/>
              <w:rPr>
                <w:sz w:val="24"/>
                <w:szCs w:val="24"/>
                <w:lang w:val="sq-AL"/>
              </w:rPr>
            </w:pPr>
            <w:r w:rsidRPr="00983B0E">
              <w:rPr>
                <w:sz w:val="24"/>
                <w:szCs w:val="24"/>
                <w:lang w:val="sq-AL"/>
              </w:rPr>
              <w:t>Problemi që synon të adresojë projektligji është mungesa e një kuadri ligjor të unifikuar dhe të përditësuar për transparencën e emetuesve të titujve të pranuar për tregtim në tregje të rregulluara, në përputhje me standardet e Direktivës së Transparencës të BE-së.</w:t>
            </w:r>
          </w:p>
          <w:p w14:paraId="07F22BEB" w14:textId="2E626F0A" w:rsidR="00983B0E" w:rsidRPr="00983B0E" w:rsidRDefault="00252B60" w:rsidP="00252B60">
            <w:pPr>
              <w:jc w:val="both"/>
              <w:rPr>
                <w:sz w:val="24"/>
                <w:szCs w:val="24"/>
                <w:lang w:val="sq-AL"/>
              </w:rPr>
            </w:pPr>
            <w:r w:rsidRPr="00983B0E">
              <w:rPr>
                <w:rFonts w:cs="Times New Roman"/>
                <w:sz w:val="24"/>
                <w:szCs w:val="24"/>
                <w:lang w:val="sq-AL" w:eastAsia="en-GB"/>
              </w:rPr>
              <w:t xml:space="preserve">Kështu, </w:t>
            </w:r>
            <w:r w:rsidRPr="00983B0E">
              <w:rPr>
                <w:sz w:val="24"/>
                <w:szCs w:val="24"/>
                <w:lang w:val="sq-AL"/>
              </w:rPr>
              <w:t xml:space="preserve">kuadri aktual nuk mbulon në mënyrë të plotë kërkesat bashkëkohore për: </w:t>
            </w:r>
          </w:p>
          <w:p w14:paraId="3498B6FA" w14:textId="61B07780" w:rsidR="00983B0E" w:rsidRPr="00983B0E" w:rsidRDefault="00252B60" w:rsidP="00983B0E">
            <w:pPr>
              <w:pStyle w:val="ListParagraph"/>
              <w:numPr>
                <w:ilvl w:val="0"/>
                <w:numId w:val="11"/>
              </w:numPr>
              <w:jc w:val="both"/>
              <w:rPr>
                <w:sz w:val="24"/>
                <w:szCs w:val="24"/>
                <w:lang w:val="sq-AL"/>
              </w:rPr>
            </w:pPr>
            <w:r w:rsidRPr="00983B0E">
              <w:rPr>
                <w:sz w:val="24"/>
                <w:szCs w:val="24"/>
                <w:lang w:val="sq-AL"/>
              </w:rPr>
              <w:t xml:space="preserve">afatet dhe përmbajtjen e plotë të raportimit vjetor/gjashtëmujor; </w:t>
            </w:r>
          </w:p>
          <w:p w14:paraId="18E302B7" w14:textId="77777777" w:rsidR="00983B0E" w:rsidRPr="00983B0E" w:rsidRDefault="00252B60" w:rsidP="00983B0E">
            <w:pPr>
              <w:pStyle w:val="ListParagraph"/>
              <w:numPr>
                <w:ilvl w:val="0"/>
                <w:numId w:val="11"/>
              </w:numPr>
              <w:jc w:val="both"/>
              <w:rPr>
                <w:sz w:val="24"/>
                <w:szCs w:val="24"/>
                <w:lang w:val="sq-AL"/>
              </w:rPr>
            </w:pPr>
            <w:r w:rsidRPr="00983B0E">
              <w:rPr>
                <w:sz w:val="24"/>
                <w:szCs w:val="24"/>
                <w:lang w:val="sq-AL"/>
              </w:rPr>
              <w:lastRenderedPageBreak/>
              <w:t xml:space="preserve">(ii) njoftimin e zotërimeve të mëdha dhe instrumenteve financiare të lidhura; (iii) standardet minimale të shpërndarjes dhe ruajtjes qendrore të informacionit të rregulluar; </w:t>
            </w:r>
          </w:p>
          <w:p w14:paraId="016E60B3" w14:textId="115C8663" w:rsidR="00920041" w:rsidRDefault="00252B60" w:rsidP="00983B0E">
            <w:pPr>
              <w:pStyle w:val="ListParagraph"/>
              <w:numPr>
                <w:ilvl w:val="0"/>
                <w:numId w:val="11"/>
              </w:numPr>
              <w:jc w:val="both"/>
              <w:rPr>
                <w:sz w:val="24"/>
                <w:szCs w:val="24"/>
                <w:lang w:val="sq-AL"/>
              </w:rPr>
            </w:pPr>
            <w:r w:rsidRPr="00983B0E">
              <w:rPr>
                <w:sz w:val="24"/>
                <w:szCs w:val="24"/>
                <w:lang w:val="sq-AL"/>
              </w:rPr>
              <w:t xml:space="preserve">formatet elektronike (ESEF) dhe ndërveprimin/aksesin në nivel BE (ESAP); </w:t>
            </w:r>
          </w:p>
          <w:p w14:paraId="0D8B63E3" w14:textId="02805C2B" w:rsidR="00983B0E" w:rsidRPr="00983B0E" w:rsidRDefault="00252B60" w:rsidP="00983B0E">
            <w:pPr>
              <w:pStyle w:val="ListParagraph"/>
              <w:numPr>
                <w:ilvl w:val="0"/>
                <w:numId w:val="11"/>
              </w:numPr>
              <w:jc w:val="both"/>
              <w:rPr>
                <w:sz w:val="24"/>
                <w:szCs w:val="24"/>
                <w:lang w:val="sq-AL"/>
              </w:rPr>
            </w:pPr>
            <w:r w:rsidRPr="00983B0E">
              <w:rPr>
                <w:sz w:val="24"/>
                <w:szCs w:val="24"/>
                <w:lang w:val="sq-AL"/>
              </w:rPr>
              <w:t xml:space="preserve">kompetencat, procedurat dhe sanksionet proporcionale për zbatimin. </w:t>
            </w:r>
          </w:p>
          <w:p w14:paraId="0C1892DC" w14:textId="76C593CA" w:rsidR="00983B0E" w:rsidRPr="00983B0E" w:rsidRDefault="00252B60" w:rsidP="00920041">
            <w:pPr>
              <w:jc w:val="both"/>
              <w:rPr>
                <w:sz w:val="24"/>
                <w:szCs w:val="24"/>
                <w:lang w:val="sq-AL"/>
              </w:rPr>
            </w:pPr>
            <w:r w:rsidRPr="00983B0E">
              <w:rPr>
                <w:sz w:val="24"/>
                <w:szCs w:val="24"/>
                <w:lang w:val="sq-AL"/>
              </w:rPr>
              <w:t>Kjo krijon asimetri informacioni, rrit rrezikun e mospërputhjes formale/materiale, ul besimin e investitorëve dhe pengon zhvillimin e treg</w:t>
            </w:r>
            <w:r w:rsidR="00983B0E" w:rsidRPr="00983B0E">
              <w:rPr>
                <w:sz w:val="24"/>
                <w:szCs w:val="24"/>
                <w:lang w:val="sq-AL"/>
              </w:rPr>
              <w:t>jeve</w:t>
            </w:r>
            <w:r w:rsidRPr="00983B0E">
              <w:rPr>
                <w:sz w:val="24"/>
                <w:szCs w:val="24"/>
                <w:lang w:val="sq-AL"/>
              </w:rPr>
              <w:t xml:space="preserve"> të kapitalit dhe përputhjen e Shqipërisë me acquis të BE-së </w:t>
            </w:r>
            <w:r w:rsidR="00983B0E" w:rsidRPr="00983B0E">
              <w:rPr>
                <w:sz w:val="24"/>
                <w:szCs w:val="24"/>
                <w:lang w:val="sq-AL"/>
              </w:rPr>
              <w:t xml:space="preserve">në kuadër të </w:t>
            </w:r>
            <w:r w:rsidRPr="00983B0E">
              <w:rPr>
                <w:sz w:val="24"/>
                <w:szCs w:val="24"/>
                <w:lang w:val="sq-AL"/>
              </w:rPr>
              <w:t>Kapitulli</w:t>
            </w:r>
            <w:r w:rsidR="00983B0E" w:rsidRPr="00983B0E">
              <w:rPr>
                <w:sz w:val="24"/>
                <w:szCs w:val="24"/>
                <w:lang w:val="sq-AL"/>
              </w:rPr>
              <w:t>t</w:t>
            </w:r>
            <w:r w:rsidRPr="00983B0E">
              <w:rPr>
                <w:sz w:val="24"/>
                <w:szCs w:val="24"/>
                <w:lang w:val="sq-AL"/>
              </w:rPr>
              <w:t xml:space="preserve"> 6</w:t>
            </w:r>
            <w:r w:rsidR="00983B0E" w:rsidRPr="00983B0E">
              <w:rPr>
                <w:sz w:val="24"/>
                <w:szCs w:val="24"/>
                <w:lang w:val="sq-AL"/>
              </w:rPr>
              <w:t xml:space="preserve"> “</w:t>
            </w:r>
            <w:r w:rsidRPr="00983B0E">
              <w:rPr>
                <w:sz w:val="24"/>
                <w:szCs w:val="24"/>
                <w:lang w:val="sq-AL"/>
              </w:rPr>
              <w:t>Legjislacioni për Shoqëritë Tregtare</w:t>
            </w:r>
            <w:r w:rsidR="00983B0E" w:rsidRPr="00983B0E">
              <w:rPr>
                <w:sz w:val="24"/>
                <w:szCs w:val="24"/>
                <w:lang w:val="sq-AL"/>
              </w:rPr>
              <w:t xml:space="preserve">”. </w:t>
            </w:r>
          </w:p>
          <w:p w14:paraId="3F9F0264" w14:textId="106E70BC" w:rsidR="00252B60" w:rsidRPr="00983B0E" w:rsidRDefault="00252B60" w:rsidP="00920041">
            <w:pPr>
              <w:jc w:val="both"/>
              <w:rPr>
                <w:sz w:val="24"/>
                <w:szCs w:val="24"/>
                <w:lang w:val="sq-AL"/>
              </w:rPr>
            </w:pPr>
            <w:r w:rsidRPr="00983B0E">
              <w:rPr>
                <w:rFonts w:cs="Times New Roman"/>
                <w:sz w:val="24"/>
                <w:szCs w:val="24"/>
                <w:lang w:val="sq-AL" w:eastAsia="en-GB"/>
              </w:rPr>
              <w:t>Për këtë arsye, ndërhyrja është e nevojshme për të krijuar një kuadër të plotë ligjor që garanton transparencë, integritet të tregut dhe përafrim të plotë me acquis të Bashkimit Evropian në fushën e tregjeve të kapitalit.</w:t>
            </w:r>
          </w:p>
          <w:p w14:paraId="7A90399A" w14:textId="61C50D38" w:rsidR="00981417" w:rsidRPr="00035F44" w:rsidRDefault="00981417" w:rsidP="00983B0E">
            <w:pPr>
              <w:rPr>
                <w:lang w:val="sq-AL"/>
              </w:rPr>
            </w:pPr>
          </w:p>
        </w:tc>
      </w:tr>
      <w:tr w:rsidR="00981417" w:rsidRPr="00E67D32" w14:paraId="29D5E0FE" w14:textId="77777777">
        <w:trPr>
          <w:jc w:val="center"/>
        </w:trPr>
        <w:tc>
          <w:tcPr>
            <w:tcW w:w="10152" w:type="dxa"/>
            <w:gridSpan w:val="2"/>
          </w:tcPr>
          <w:p w14:paraId="32F8BCED" w14:textId="77777777" w:rsidR="00E628CE" w:rsidRPr="00E628CE" w:rsidRDefault="00E628CE" w:rsidP="00E628CE">
            <w:pPr>
              <w:spacing w:after="0" w:line="276" w:lineRule="auto"/>
              <w:jc w:val="both"/>
              <w:rPr>
                <w:rFonts w:cs="Times New Roman"/>
                <w:b/>
                <w:i/>
                <w:sz w:val="24"/>
                <w:szCs w:val="24"/>
                <w:lang w:val="sq-AL" w:eastAsia="en-GB"/>
              </w:rPr>
            </w:pPr>
            <w:r w:rsidRPr="00E628CE">
              <w:rPr>
                <w:rFonts w:cs="Times New Roman"/>
                <w:b/>
                <w:sz w:val="24"/>
                <w:szCs w:val="24"/>
                <w:lang w:val="sq-AL" w:eastAsia="en-GB"/>
              </w:rPr>
              <w:lastRenderedPageBreak/>
              <w:t>OBJEKTIVAT</w:t>
            </w:r>
          </w:p>
          <w:p w14:paraId="0B74A239" w14:textId="77777777" w:rsidR="00E628CE" w:rsidRPr="00E628CE" w:rsidRDefault="00E628CE" w:rsidP="00E628CE">
            <w:pPr>
              <w:spacing w:after="0" w:line="276" w:lineRule="auto"/>
              <w:jc w:val="both"/>
              <w:rPr>
                <w:rFonts w:cs="Times New Roman"/>
                <w:i/>
                <w:sz w:val="24"/>
                <w:szCs w:val="24"/>
                <w:lang w:val="sq-AL" w:eastAsia="en-GB"/>
              </w:rPr>
            </w:pPr>
            <w:r w:rsidRPr="00E628CE">
              <w:rPr>
                <w:rFonts w:cs="Times New Roman"/>
                <w:i/>
                <w:sz w:val="24"/>
                <w:szCs w:val="24"/>
                <w:lang w:val="en-GB" w:eastAsia="en-GB"/>
              </w:rPr>
              <w:fldChar w:fldCharType="begin">
                <w:ffData>
                  <w:name w:val="Objektivat"/>
                  <w:enabled w:val="0"/>
                  <w:calcOnExit w:val="0"/>
                  <w:textInput>
                    <w:default w:val="Cilat janë objektivat dhe rezultatet e synuara të propozimit? (jo më shumë se 7  rreshta)"/>
                    <w:maxLength w:val="546"/>
                  </w:textInput>
                </w:ffData>
              </w:fldChar>
            </w:r>
            <w:bookmarkStart w:id="1" w:name="Objektivat"/>
            <w:r w:rsidRPr="00E628CE">
              <w:rPr>
                <w:rFonts w:cs="Times New Roman"/>
                <w:i/>
                <w:sz w:val="24"/>
                <w:szCs w:val="24"/>
                <w:lang w:val="sq-AL" w:eastAsia="en-GB"/>
              </w:rPr>
              <w:instrText xml:space="preserve"> FORMTEXT </w:instrText>
            </w:r>
            <w:r w:rsidRPr="00E628CE">
              <w:rPr>
                <w:rFonts w:cs="Times New Roman"/>
                <w:i/>
                <w:sz w:val="24"/>
                <w:szCs w:val="24"/>
                <w:lang w:val="en-GB" w:eastAsia="en-GB"/>
              </w:rPr>
            </w:r>
            <w:r w:rsidRPr="00E628CE">
              <w:rPr>
                <w:rFonts w:cs="Times New Roman"/>
                <w:i/>
                <w:sz w:val="24"/>
                <w:szCs w:val="24"/>
                <w:lang w:val="en-GB" w:eastAsia="en-GB"/>
              </w:rPr>
              <w:fldChar w:fldCharType="separate"/>
            </w:r>
            <w:r w:rsidRPr="00E628CE">
              <w:rPr>
                <w:rFonts w:cs="Times New Roman"/>
                <w:i/>
                <w:noProof/>
                <w:sz w:val="24"/>
                <w:szCs w:val="24"/>
                <w:lang w:val="sq-AL" w:eastAsia="en-GB"/>
              </w:rPr>
              <w:t>Cilat janë objektivat dhe rezultatet e synuara të propozimit? (jo më shumë se 7  rreshta)</w:t>
            </w:r>
            <w:r w:rsidRPr="00E628CE">
              <w:rPr>
                <w:rFonts w:cs="Times New Roman"/>
                <w:i/>
                <w:sz w:val="24"/>
                <w:szCs w:val="24"/>
                <w:lang w:val="en-GB" w:eastAsia="en-GB"/>
              </w:rPr>
              <w:fldChar w:fldCharType="end"/>
            </w:r>
            <w:bookmarkEnd w:id="1"/>
          </w:p>
          <w:p w14:paraId="55D86E28" w14:textId="77777777" w:rsidR="006F43B5" w:rsidRDefault="006F43B5">
            <w:pPr>
              <w:rPr>
                <w:rFonts w:cs="Times New Roman"/>
                <w:i/>
                <w:sz w:val="24"/>
                <w:szCs w:val="24"/>
                <w:lang w:val="sq-AL" w:eastAsia="en-GB"/>
              </w:rPr>
            </w:pPr>
          </w:p>
          <w:p w14:paraId="6688D164" w14:textId="6F42197B" w:rsidR="00981417" w:rsidRPr="00113547" w:rsidRDefault="00E628CE" w:rsidP="006F43B5">
            <w:pPr>
              <w:jc w:val="both"/>
              <w:rPr>
                <w:sz w:val="24"/>
                <w:szCs w:val="24"/>
                <w:lang w:val="sq-AL"/>
              </w:rPr>
            </w:pPr>
            <w:r w:rsidRPr="00E628CE">
              <w:rPr>
                <w:rFonts w:cs="Times New Roman"/>
                <w:sz w:val="24"/>
                <w:szCs w:val="24"/>
                <w:lang w:val="sq-AL" w:eastAsia="en-GB"/>
              </w:rPr>
              <w:t>Objektivi kryesor i projektligjit është krijimi i një kuadri të plotë dhe të harmonizuar ligjor për transparencën e emetuesve të titujve të pranuar për tregtim në tregjet e rregulluara, në përputhje me legjislacionin e Bashkimit Evropian. Projektligji synon të sigurojë publikimin në kohë dhe në mënyrë të standardizuar të informacionit periodik dhe të vazhdueshëm nga emetuesit, rritjen e transparencës mbi strukturën e zotërimeve në kapital dhe përmirësimin e aksesit të investitorëve në informacion të besueshëm dhe të krahasueshëm.</w:t>
            </w:r>
            <w:r w:rsidRPr="00E628CE">
              <w:rPr>
                <w:sz w:val="24"/>
                <w:szCs w:val="24"/>
                <w:lang w:val="sq-AL"/>
              </w:rPr>
              <w:t xml:space="preserve"> </w:t>
            </w:r>
            <w:r>
              <w:rPr>
                <w:sz w:val="24"/>
                <w:szCs w:val="24"/>
                <w:lang w:val="sq-AL"/>
              </w:rPr>
              <w:t>Përmes</w:t>
            </w:r>
            <w:r w:rsidRPr="00E628CE">
              <w:rPr>
                <w:sz w:val="24"/>
                <w:szCs w:val="24"/>
                <w:lang w:val="sq-AL"/>
              </w:rPr>
              <w:t xml:space="preserve"> vendosjes së detyrimeve të qarta, të zbatueshme dhe të harmonizuara për publikimin/depozitimin e informacionit të rregulluar nga emetuesit e titujve</w:t>
            </w:r>
            <w:r>
              <w:rPr>
                <w:sz w:val="24"/>
                <w:szCs w:val="24"/>
                <w:lang w:val="sq-AL"/>
              </w:rPr>
              <w:t xml:space="preserve"> synohet</w:t>
            </w:r>
            <w:r w:rsidRPr="00E628CE">
              <w:rPr>
                <w:sz w:val="24"/>
                <w:szCs w:val="24"/>
                <w:lang w:val="sq-AL"/>
              </w:rPr>
              <w:t xml:space="preserve"> rritja e transparencës</w:t>
            </w:r>
            <w:r w:rsidR="00113547">
              <w:rPr>
                <w:sz w:val="24"/>
                <w:szCs w:val="24"/>
                <w:lang w:val="sq-AL"/>
              </w:rPr>
              <w:t>,</w:t>
            </w:r>
            <w:r w:rsidRPr="00E628CE">
              <w:rPr>
                <w:sz w:val="24"/>
                <w:szCs w:val="24"/>
                <w:lang w:val="sq-AL"/>
              </w:rPr>
              <w:t xml:space="preserve"> integritetit të tregjeve të kapitalit</w:t>
            </w:r>
            <w:r w:rsidR="00113547">
              <w:rPr>
                <w:sz w:val="24"/>
                <w:szCs w:val="24"/>
                <w:lang w:val="sq-AL"/>
              </w:rPr>
              <w:t xml:space="preserve"> dhe mbrojtja e investitorit. </w:t>
            </w:r>
          </w:p>
        </w:tc>
      </w:tr>
      <w:tr w:rsidR="00981417" w:rsidRPr="00E67D32" w14:paraId="34CB3C94" w14:textId="77777777">
        <w:trPr>
          <w:jc w:val="center"/>
        </w:trPr>
        <w:tc>
          <w:tcPr>
            <w:tcW w:w="10152" w:type="dxa"/>
            <w:gridSpan w:val="2"/>
          </w:tcPr>
          <w:p w14:paraId="0B4B0FF8" w14:textId="77777777" w:rsidR="008D1A9A" w:rsidRPr="00DC2146" w:rsidRDefault="008D1A9A">
            <w:pPr>
              <w:rPr>
                <w:lang w:val="sq-AL"/>
              </w:rPr>
            </w:pPr>
          </w:p>
          <w:p w14:paraId="0CDAD187" w14:textId="77777777" w:rsidR="008D1A9A" w:rsidRPr="008D1A9A" w:rsidRDefault="008D1A9A" w:rsidP="008D1A9A">
            <w:pPr>
              <w:spacing w:after="0" w:line="276" w:lineRule="auto"/>
              <w:jc w:val="both"/>
              <w:rPr>
                <w:rFonts w:cs="Times New Roman"/>
                <w:b/>
                <w:sz w:val="24"/>
                <w:szCs w:val="24"/>
                <w:lang w:val="sq-AL" w:eastAsia="en-GB"/>
              </w:rPr>
            </w:pPr>
            <w:r w:rsidRPr="008D1A9A">
              <w:rPr>
                <w:rFonts w:cs="Times New Roman"/>
                <w:b/>
                <w:sz w:val="24"/>
                <w:szCs w:val="24"/>
                <w:lang w:val="sq-AL" w:eastAsia="en-GB"/>
              </w:rPr>
              <w:t>OPSIONET E POLITIKAVE</w:t>
            </w:r>
          </w:p>
          <w:p w14:paraId="41A4D4B3" w14:textId="77777777" w:rsidR="008D1A9A" w:rsidRPr="008D1A9A" w:rsidRDefault="008D1A9A" w:rsidP="008D1A9A">
            <w:pPr>
              <w:spacing w:after="0" w:line="276" w:lineRule="auto"/>
              <w:jc w:val="both"/>
              <w:rPr>
                <w:rFonts w:cs="Times New Roman"/>
                <w:i/>
                <w:sz w:val="24"/>
                <w:szCs w:val="20"/>
                <w:lang w:val="sq-AL" w:eastAsia="en-GB"/>
              </w:rPr>
            </w:pPr>
            <w:r w:rsidRPr="008D1A9A">
              <w:rPr>
                <w:rFonts w:cs="Times New Roman"/>
                <w:i/>
                <w:sz w:val="24"/>
                <w:szCs w:val="24"/>
                <w:lang w:val="en-GB" w:eastAsia="en-GB"/>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8D1A9A">
              <w:rPr>
                <w:rFonts w:cs="Times New Roman"/>
                <w:i/>
                <w:sz w:val="24"/>
                <w:szCs w:val="20"/>
                <w:lang w:val="sq-AL" w:eastAsia="en-GB"/>
              </w:rPr>
              <w:instrText xml:space="preserve"> FORMTEXT </w:instrText>
            </w:r>
            <w:r w:rsidRPr="008D1A9A">
              <w:rPr>
                <w:rFonts w:cs="Times New Roman"/>
                <w:i/>
                <w:sz w:val="24"/>
                <w:szCs w:val="24"/>
                <w:lang w:val="en-GB" w:eastAsia="en-GB"/>
              </w:rPr>
            </w:r>
            <w:r w:rsidRPr="008D1A9A">
              <w:rPr>
                <w:rFonts w:cs="Times New Roman"/>
                <w:i/>
                <w:sz w:val="24"/>
                <w:szCs w:val="24"/>
                <w:lang w:val="en-GB" w:eastAsia="en-GB"/>
              </w:rPr>
              <w:fldChar w:fldCharType="separate"/>
            </w:r>
            <w:r w:rsidRPr="008D1A9A">
              <w:rPr>
                <w:rFonts w:cs="Times New Roman"/>
                <w:i/>
                <w:sz w:val="24"/>
                <w:szCs w:val="20"/>
                <w:lang w:val="sq-AL" w:eastAsia="en-GB"/>
              </w:rPr>
              <w:t>Cilat janë opsionet kryesore të politikave? Duhet të bëni krahasimin e avantazheve/përfitimeve kryesore dhe të dizavantazheve/kostove të opsioneve të mundshme.  (jo më shumë se 7 rreshta)</w:t>
            </w:r>
            <w:r w:rsidRPr="008D1A9A">
              <w:rPr>
                <w:rFonts w:cs="Times New Roman"/>
                <w:i/>
                <w:sz w:val="24"/>
                <w:szCs w:val="24"/>
                <w:lang w:val="en-GB" w:eastAsia="en-GB"/>
              </w:rPr>
              <w:fldChar w:fldCharType="end"/>
            </w:r>
          </w:p>
          <w:p w14:paraId="1FB20E49" w14:textId="77777777" w:rsidR="008D1A9A" w:rsidRPr="00E53BE3" w:rsidRDefault="008D1A9A">
            <w:pPr>
              <w:rPr>
                <w:lang w:val="sq-AL"/>
              </w:rPr>
            </w:pPr>
          </w:p>
          <w:p w14:paraId="3AC19DE4" w14:textId="615397FD" w:rsidR="00E53BE3" w:rsidRPr="00E53BE3" w:rsidRDefault="00E53BE3" w:rsidP="00E53BE3">
            <w:pPr>
              <w:spacing w:after="0"/>
              <w:jc w:val="both"/>
              <w:rPr>
                <w:rFonts w:cs="Times New Roman"/>
                <w:sz w:val="24"/>
                <w:szCs w:val="24"/>
                <w:lang w:val="sq-AL" w:eastAsia="en-GB"/>
              </w:rPr>
            </w:pPr>
            <w:r w:rsidRPr="00E53BE3">
              <w:rPr>
                <w:rFonts w:cs="Times New Roman"/>
                <w:sz w:val="24"/>
                <w:szCs w:val="24"/>
                <w:lang w:val="sq-AL" w:eastAsia="en-GB"/>
              </w:rPr>
              <w:t xml:space="preserve">Opsionet e mëposhtme janë vlerësuar në funksion të arritjes së objektivave të politikës për transpozimin e </w:t>
            </w:r>
            <w:r w:rsidRPr="00233D57">
              <w:rPr>
                <w:rFonts w:cs="Times New Roman"/>
                <w:sz w:val="24"/>
                <w:szCs w:val="24"/>
                <w:lang w:val="sq-AL"/>
              </w:rPr>
              <w:t>Direktiv</w:t>
            </w:r>
            <w:r w:rsidRPr="00E53BE3">
              <w:rPr>
                <w:rFonts w:cs="Times New Roman"/>
                <w:sz w:val="24"/>
                <w:szCs w:val="24"/>
                <w:lang w:val="sq-AL"/>
              </w:rPr>
              <w:t>ës</w:t>
            </w:r>
            <w:r w:rsidR="000E7D57">
              <w:rPr>
                <w:rFonts w:cs="Times New Roman"/>
                <w:sz w:val="24"/>
                <w:szCs w:val="24"/>
                <w:lang w:val="sq-AL"/>
              </w:rPr>
              <w:t xml:space="preserve"> bazë</w:t>
            </w:r>
            <w:r w:rsidRPr="00233D57">
              <w:rPr>
                <w:rFonts w:cs="Times New Roman"/>
                <w:sz w:val="24"/>
                <w:szCs w:val="24"/>
                <w:lang w:val="sq-AL"/>
              </w:rPr>
              <w:t xml:space="preserve"> 2004/109/KE e Parlamentit Evropian dhe e Këshillit, e datës 15 dhjetor 2004, për harmonizimin e kërkesave të transparencës në lidhje me informacionin për emetuesit, titujt e të cilëve janë pranuar për tregtim në një treg të rregulluar</w:t>
            </w:r>
            <w:r w:rsidR="000E7D57">
              <w:rPr>
                <w:rFonts w:cs="Times New Roman"/>
                <w:sz w:val="24"/>
                <w:szCs w:val="24"/>
                <w:lang w:val="sq-AL"/>
              </w:rPr>
              <w:t xml:space="preserve">, </w:t>
            </w:r>
            <w:r>
              <w:rPr>
                <w:rFonts w:cs="Times New Roman"/>
                <w:sz w:val="24"/>
                <w:szCs w:val="24"/>
                <w:lang w:val="sq-AL"/>
              </w:rPr>
              <w:t>ndryshimet e saj</w:t>
            </w:r>
            <w:r w:rsidR="000E7D57">
              <w:rPr>
                <w:rFonts w:cs="Times New Roman"/>
                <w:sz w:val="24"/>
                <w:szCs w:val="24"/>
                <w:lang w:val="sq-AL"/>
              </w:rPr>
              <w:t xml:space="preserve"> si dhe aktet zbatuese.</w:t>
            </w:r>
          </w:p>
          <w:p w14:paraId="30D303C7" w14:textId="3A479119" w:rsidR="00E53BE3" w:rsidRPr="00E53BE3" w:rsidRDefault="00E53BE3" w:rsidP="00E53BE3">
            <w:pPr>
              <w:spacing w:before="100" w:beforeAutospacing="1" w:after="100" w:afterAutospacing="1"/>
              <w:jc w:val="both"/>
              <w:rPr>
                <w:rFonts w:cs="Times New Roman"/>
                <w:sz w:val="24"/>
                <w:szCs w:val="24"/>
                <w:lang w:val="sq-AL"/>
              </w:rPr>
            </w:pPr>
            <w:r w:rsidRPr="00E53BE3">
              <w:rPr>
                <w:rFonts w:cs="Times New Roman"/>
                <w:b/>
                <w:bCs/>
                <w:sz w:val="24"/>
                <w:szCs w:val="24"/>
                <w:lang w:val="sq-AL"/>
              </w:rPr>
              <w:t>Opsioni 0 – Mosveprimi (ruajtja e kuadrit ekzistues):</w:t>
            </w:r>
            <w:r w:rsidRPr="00E53BE3">
              <w:rPr>
                <w:rFonts w:cs="Times New Roman"/>
                <w:sz w:val="24"/>
                <w:szCs w:val="24"/>
                <w:lang w:val="sq-AL"/>
              </w:rPr>
              <w:t xml:space="preserve"> Ky opsion nënkupton mbajtjen në fuqi të kuadrit aktual rregullator të bazuar kryesisht në akte nënligjore. Avantazhi kryesor është shmangia e kostove shtesë rregullatore për </w:t>
            </w:r>
            <w:r>
              <w:rPr>
                <w:rFonts w:cs="Times New Roman"/>
                <w:sz w:val="24"/>
                <w:szCs w:val="24"/>
                <w:lang w:val="sq-AL"/>
              </w:rPr>
              <w:t>A</w:t>
            </w:r>
            <w:r w:rsidRPr="00E53BE3">
              <w:rPr>
                <w:rFonts w:cs="Times New Roman"/>
                <w:sz w:val="24"/>
                <w:szCs w:val="24"/>
                <w:lang w:val="sq-AL"/>
              </w:rPr>
              <w:t>utoritetin dhe subjektet e tregut. Megjithatë, ky opsion nuk adreson mangësitë ekzistuese në transparencën e tregut dhe nuk siguron përafrim të plotë me legjislacionin e Bashkimit Evropian, duke kufizuar zhvillimin</w:t>
            </w:r>
            <w:r>
              <w:rPr>
                <w:rFonts w:cs="Times New Roman"/>
                <w:sz w:val="24"/>
                <w:szCs w:val="24"/>
                <w:lang w:val="sq-AL"/>
              </w:rPr>
              <w:t xml:space="preserve"> e tregjeve të kapitalit. </w:t>
            </w:r>
            <w:r w:rsidRPr="00E53BE3">
              <w:rPr>
                <w:rFonts w:cs="Times New Roman"/>
                <w:sz w:val="24"/>
                <w:szCs w:val="24"/>
                <w:lang w:val="sq-AL"/>
              </w:rPr>
              <w:t xml:space="preserve"> </w:t>
            </w:r>
          </w:p>
          <w:p w14:paraId="2A44BBDE" w14:textId="02591AEA" w:rsidR="00E53BE3" w:rsidRPr="005A027D" w:rsidRDefault="00E53BE3" w:rsidP="00E53BE3">
            <w:pPr>
              <w:spacing w:before="100" w:beforeAutospacing="1" w:after="100" w:afterAutospacing="1"/>
              <w:jc w:val="both"/>
              <w:rPr>
                <w:rFonts w:cs="Times New Roman"/>
                <w:sz w:val="24"/>
                <w:szCs w:val="24"/>
                <w:lang w:val="sq-AL"/>
              </w:rPr>
            </w:pPr>
            <w:r w:rsidRPr="00E53BE3">
              <w:rPr>
                <w:rFonts w:cs="Times New Roman"/>
                <w:b/>
                <w:bCs/>
                <w:sz w:val="24"/>
                <w:szCs w:val="24"/>
                <w:lang w:val="sq-AL"/>
              </w:rPr>
              <w:t xml:space="preserve">Opsioni </w:t>
            </w:r>
            <w:r w:rsidR="005A027D">
              <w:rPr>
                <w:rFonts w:cs="Times New Roman"/>
                <w:b/>
                <w:bCs/>
                <w:sz w:val="24"/>
                <w:szCs w:val="24"/>
                <w:lang w:val="sq-AL"/>
              </w:rPr>
              <w:t>1</w:t>
            </w:r>
            <w:r w:rsidR="005A027D" w:rsidRPr="00E53BE3">
              <w:rPr>
                <w:rFonts w:cs="Times New Roman"/>
                <w:b/>
                <w:bCs/>
                <w:sz w:val="24"/>
                <w:szCs w:val="24"/>
                <w:lang w:val="sq-AL"/>
              </w:rPr>
              <w:t xml:space="preserve"> </w:t>
            </w:r>
            <w:r w:rsidR="00783865" w:rsidRPr="00E53BE3">
              <w:rPr>
                <w:rFonts w:cs="Times New Roman"/>
                <w:b/>
                <w:bCs/>
                <w:sz w:val="24"/>
                <w:szCs w:val="24"/>
                <w:lang w:val="sq-AL"/>
              </w:rPr>
              <w:t>–</w:t>
            </w:r>
            <w:r w:rsidR="00783865">
              <w:rPr>
                <w:rFonts w:cs="Times New Roman"/>
                <w:b/>
                <w:bCs/>
                <w:sz w:val="24"/>
                <w:szCs w:val="24"/>
                <w:lang w:val="sq-AL"/>
              </w:rPr>
              <w:t xml:space="preserve"> </w:t>
            </w:r>
            <w:r w:rsidR="005A027D" w:rsidRPr="00E53BE3">
              <w:rPr>
                <w:rFonts w:cs="Times New Roman"/>
                <w:b/>
                <w:bCs/>
                <w:sz w:val="24"/>
                <w:szCs w:val="24"/>
                <w:lang w:val="sq-AL"/>
              </w:rPr>
              <w:t>Përfshirja e dispozitave në ligjin për tregjet e kapitalit:</w:t>
            </w:r>
            <w:r w:rsidR="005A027D" w:rsidRPr="00E53BE3">
              <w:rPr>
                <w:rFonts w:cs="Times New Roman"/>
                <w:sz w:val="24"/>
                <w:szCs w:val="24"/>
                <w:lang w:val="sq-AL"/>
              </w:rPr>
              <w:t xml:space="preserve"> Ky opsion do të integronte kërkesat e transparencës në ligjin ekzistues për tregjet e kapitalit. Avantazhi është reduktimi i fragmentimit të legjislacionit dhe konsolidimi i rregullave në një akt të vetëm ligjor. Megjithatë, kjo mund të çojë në mbingarkimin e ligjit për tregjet e kapitalit me dispozita shumë specifike dhe teknike, si dhe të kufizojë qartësinë rregullatore. Në këtë drejtim, një kuadër i veçantë ligjor për transparencën krijon më shumë qartësi dhe strukturë për kërkesat që zbatohen ndaj emetuesve dhe e bën më të lehtë zbatimin dhe interpretimin e tyre nga subjektet e tregut.</w:t>
            </w:r>
          </w:p>
          <w:p w14:paraId="3108932A" w14:textId="7735FCE5" w:rsidR="005A027D" w:rsidRPr="00E53BE3" w:rsidRDefault="005A027D" w:rsidP="005A027D">
            <w:pPr>
              <w:spacing w:before="100" w:beforeAutospacing="1" w:after="100" w:afterAutospacing="1"/>
              <w:jc w:val="both"/>
              <w:rPr>
                <w:rFonts w:cs="Times New Roman"/>
                <w:sz w:val="24"/>
                <w:szCs w:val="24"/>
                <w:lang w:val="sq-AL"/>
              </w:rPr>
            </w:pPr>
            <w:r>
              <w:rPr>
                <w:rFonts w:cs="Times New Roman"/>
                <w:b/>
                <w:bCs/>
                <w:sz w:val="24"/>
                <w:szCs w:val="24"/>
                <w:lang w:val="sq-AL"/>
              </w:rPr>
              <w:t>Opsioni 2</w:t>
            </w:r>
            <w:r w:rsidR="00783865" w:rsidRPr="00E53BE3">
              <w:rPr>
                <w:rFonts w:cs="Times New Roman"/>
                <w:b/>
                <w:bCs/>
                <w:sz w:val="24"/>
                <w:szCs w:val="24"/>
                <w:lang w:val="sq-AL"/>
              </w:rPr>
              <w:t>–</w:t>
            </w:r>
            <w:r>
              <w:rPr>
                <w:rFonts w:cs="Times New Roman"/>
                <w:b/>
                <w:bCs/>
                <w:sz w:val="24"/>
                <w:szCs w:val="24"/>
                <w:lang w:val="sq-AL"/>
              </w:rPr>
              <w:t xml:space="preserve"> (opsioni i preferuar)</w:t>
            </w:r>
            <w:r w:rsidR="0084245F">
              <w:rPr>
                <w:rFonts w:cs="Times New Roman"/>
                <w:b/>
                <w:bCs/>
                <w:sz w:val="24"/>
                <w:szCs w:val="24"/>
                <w:lang w:val="sq-AL"/>
              </w:rPr>
              <w:t xml:space="preserve"> </w:t>
            </w:r>
            <w:r w:rsidRPr="00E53BE3">
              <w:rPr>
                <w:rFonts w:cs="Times New Roman"/>
                <w:b/>
                <w:bCs/>
                <w:sz w:val="24"/>
                <w:szCs w:val="24"/>
                <w:lang w:val="sq-AL"/>
              </w:rPr>
              <w:t>Miratimi i një ligji të ri për kërkesat e transparencës për emetuesit:</w:t>
            </w:r>
            <w:r w:rsidRPr="00E53BE3">
              <w:rPr>
                <w:rFonts w:cs="Times New Roman"/>
                <w:sz w:val="24"/>
                <w:szCs w:val="24"/>
                <w:lang w:val="sq-AL"/>
              </w:rPr>
              <w:t xml:space="preserve"> Ky opsion parashikon krijimin e një kuadri të dedikuar ligjor që rregullon në mënyrë të plotë publikimin e informacionit periodik dhe të vazhdueshëm, raportimin e zotërimeve të rëndësishme në kapital dhe aksesin e publikut në informacionin e rregulluar. Avantazhet përfshijnë rritjen e transparencës, forcimin e mbrojtjes së investitorëve, rritjen e besimit në treg dhe përafrimin e plotë me acquis të Bashkimit Evropian. Disavantazhi lidhet kryesisht me kostot fillestare të përshtatjes për </w:t>
            </w:r>
            <w:r w:rsidRPr="00E53BE3">
              <w:rPr>
                <w:rFonts w:cs="Times New Roman"/>
                <w:sz w:val="24"/>
                <w:szCs w:val="24"/>
                <w:lang w:val="sq-AL"/>
              </w:rPr>
              <w:lastRenderedPageBreak/>
              <w:t xml:space="preserve">emetuesit dhe </w:t>
            </w:r>
            <w:r w:rsidR="00F118DC">
              <w:rPr>
                <w:rFonts w:cs="Times New Roman"/>
                <w:sz w:val="24"/>
                <w:szCs w:val="24"/>
                <w:lang w:val="sq-AL"/>
              </w:rPr>
              <w:t>A</w:t>
            </w:r>
            <w:r w:rsidRPr="00E53BE3">
              <w:rPr>
                <w:rFonts w:cs="Times New Roman"/>
                <w:sz w:val="24"/>
                <w:szCs w:val="24"/>
                <w:lang w:val="sq-AL"/>
              </w:rPr>
              <w:t>utoritetin mbikëqyrës.</w:t>
            </w:r>
          </w:p>
          <w:p w14:paraId="4191BD2D" w14:textId="77777777" w:rsidR="00E53BE3" w:rsidRPr="00E53BE3" w:rsidRDefault="00E53BE3" w:rsidP="00E53BE3">
            <w:pPr>
              <w:spacing w:before="100" w:beforeAutospacing="1" w:after="100" w:afterAutospacing="1"/>
              <w:jc w:val="both"/>
              <w:rPr>
                <w:rFonts w:cs="Times New Roman"/>
                <w:sz w:val="24"/>
                <w:szCs w:val="24"/>
                <w:lang w:val="sq-AL"/>
              </w:rPr>
            </w:pPr>
            <w:r w:rsidRPr="00E53BE3">
              <w:rPr>
                <w:rFonts w:cs="Times New Roman"/>
                <w:b/>
                <w:bCs/>
                <w:sz w:val="24"/>
                <w:szCs w:val="24"/>
                <w:lang w:val="sq-AL"/>
              </w:rPr>
              <w:t xml:space="preserve">Opsioni 3 – (Opsion jo-rregullator): </w:t>
            </w:r>
            <w:r w:rsidRPr="00E53BE3">
              <w:rPr>
                <w:rFonts w:cs="Times New Roman"/>
                <w:sz w:val="24"/>
                <w:szCs w:val="24"/>
                <w:lang w:val="sq-AL"/>
              </w:rPr>
              <w:t>Ky opsion do të konsistonte në nxjerrjen e udhëzimeve ose standardeve vullnetare për transparencën e emetuesve. Avantazhi është kostoja e ulët rregullatore, por ai nuk krijon detyrime ligjore të zbatueshme dhe nuk garanton një nivel të njëtrajtshëm transparence në treg.</w:t>
            </w:r>
          </w:p>
          <w:p w14:paraId="4A093DF2" w14:textId="77777777" w:rsidR="00981417" w:rsidRDefault="00E53BE3" w:rsidP="007161D7">
            <w:pPr>
              <w:spacing w:before="100" w:beforeAutospacing="1" w:after="100" w:afterAutospacing="1"/>
              <w:jc w:val="both"/>
              <w:rPr>
                <w:rFonts w:cs="Times New Roman"/>
                <w:sz w:val="24"/>
                <w:szCs w:val="24"/>
                <w:lang w:val="sq-AL"/>
              </w:rPr>
            </w:pPr>
            <w:r w:rsidRPr="00E53BE3">
              <w:rPr>
                <w:rFonts w:cs="Times New Roman"/>
                <w:sz w:val="24"/>
                <w:szCs w:val="24"/>
                <w:lang w:val="sq-AL"/>
              </w:rPr>
              <w:t xml:space="preserve">Në përfundim, </w:t>
            </w:r>
            <w:r w:rsidRPr="00E53BE3">
              <w:rPr>
                <w:rFonts w:cs="Times New Roman"/>
                <w:b/>
                <w:bCs/>
                <w:sz w:val="24"/>
                <w:szCs w:val="24"/>
                <w:lang w:val="sq-AL"/>
              </w:rPr>
              <w:t xml:space="preserve">Opsioni </w:t>
            </w:r>
            <w:r w:rsidR="00783865">
              <w:rPr>
                <w:rFonts w:cs="Times New Roman"/>
                <w:b/>
                <w:bCs/>
                <w:sz w:val="24"/>
                <w:szCs w:val="24"/>
                <w:lang w:val="sq-AL"/>
              </w:rPr>
              <w:t>2</w:t>
            </w:r>
            <w:r w:rsidRPr="00E53BE3">
              <w:rPr>
                <w:rFonts w:cs="Times New Roman"/>
                <w:sz w:val="24"/>
                <w:szCs w:val="24"/>
                <w:lang w:val="sq-AL"/>
              </w:rPr>
              <w:t xml:space="preserve"> vlerësohet si alternativa më e përshtatshme pasi krijon një kuadër të qartë, të qëndrueshëm dhe të harmonizuar me legjislacionin e Bashkimit Evropian, duke garantuar një nivel më të lartë transparence dhe mbrojtjeje për investitorët.</w:t>
            </w:r>
          </w:p>
          <w:p w14:paraId="1A4DC6AB" w14:textId="3830B368" w:rsidR="007161D7" w:rsidRPr="007161D7" w:rsidRDefault="007161D7" w:rsidP="007161D7">
            <w:pPr>
              <w:spacing w:before="100" w:beforeAutospacing="1" w:after="100" w:afterAutospacing="1"/>
              <w:jc w:val="both"/>
              <w:rPr>
                <w:rFonts w:cs="Times New Roman"/>
                <w:sz w:val="24"/>
                <w:szCs w:val="24"/>
                <w:lang w:val="sq-AL"/>
              </w:rPr>
            </w:pPr>
          </w:p>
        </w:tc>
      </w:tr>
      <w:tr w:rsidR="00981417" w:rsidRPr="00E67D32" w14:paraId="4D4630D7" w14:textId="77777777">
        <w:trPr>
          <w:jc w:val="center"/>
        </w:trPr>
        <w:tc>
          <w:tcPr>
            <w:tcW w:w="10152" w:type="dxa"/>
            <w:gridSpan w:val="2"/>
          </w:tcPr>
          <w:p w14:paraId="71DD2031" w14:textId="77777777" w:rsidR="009779A0" w:rsidRDefault="009779A0" w:rsidP="00241552">
            <w:pPr>
              <w:spacing w:after="0" w:line="276" w:lineRule="auto"/>
              <w:jc w:val="both"/>
              <w:rPr>
                <w:rFonts w:cs="Times New Roman"/>
                <w:b/>
                <w:sz w:val="24"/>
                <w:szCs w:val="24"/>
                <w:lang w:val="sq-AL" w:eastAsia="en-GB"/>
              </w:rPr>
            </w:pPr>
          </w:p>
          <w:p w14:paraId="6CC72948" w14:textId="0D4A2E41" w:rsidR="00241552" w:rsidRPr="00241552" w:rsidRDefault="00241552" w:rsidP="00241552">
            <w:pPr>
              <w:spacing w:after="0" w:line="276" w:lineRule="auto"/>
              <w:jc w:val="both"/>
              <w:rPr>
                <w:rFonts w:cs="Times New Roman"/>
                <w:b/>
                <w:sz w:val="24"/>
                <w:szCs w:val="24"/>
                <w:lang w:val="sq-AL" w:eastAsia="en-GB"/>
              </w:rPr>
            </w:pPr>
            <w:r w:rsidRPr="00241552">
              <w:rPr>
                <w:rFonts w:cs="Times New Roman"/>
                <w:b/>
                <w:sz w:val="24"/>
                <w:szCs w:val="24"/>
                <w:lang w:val="sq-AL" w:eastAsia="en-GB"/>
              </w:rPr>
              <w:t>ANALIZA E NDIKIMEVE</w:t>
            </w:r>
          </w:p>
          <w:p w14:paraId="2F878DDE" w14:textId="77777777" w:rsidR="00241552" w:rsidRPr="00241552" w:rsidRDefault="00241552" w:rsidP="00241552">
            <w:pPr>
              <w:spacing w:after="0" w:line="276" w:lineRule="auto"/>
              <w:jc w:val="both"/>
              <w:rPr>
                <w:rFonts w:cs="Times New Roman"/>
                <w:i/>
                <w:sz w:val="24"/>
                <w:szCs w:val="24"/>
                <w:lang w:val="sq-AL" w:eastAsia="en-GB"/>
              </w:rPr>
            </w:pPr>
            <w:r w:rsidRPr="00241552">
              <w:rPr>
                <w:rFonts w:cs="Times New Roman"/>
                <w:i/>
                <w:sz w:val="24"/>
                <w:szCs w:val="24"/>
                <w:lang w:val="en-GB" w:eastAsia="en-GB"/>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241552">
              <w:rPr>
                <w:rFonts w:cs="Times New Roman"/>
                <w:i/>
                <w:sz w:val="24"/>
                <w:szCs w:val="24"/>
                <w:lang w:val="sq-AL" w:eastAsia="en-GB"/>
              </w:rPr>
              <w:instrText xml:space="preserve"> FORMTEXT </w:instrText>
            </w:r>
            <w:r w:rsidRPr="00241552">
              <w:rPr>
                <w:rFonts w:cs="Times New Roman"/>
                <w:i/>
                <w:sz w:val="24"/>
                <w:szCs w:val="24"/>
                <w:lang w:val="en-GB" w:eastAsia="en-GB"/>
              </w:rPr>
            </w:r>
            <w:r w:rsidRPr="00241552">
              <w:rPr>
                <w:rFonts w:cs="Times New Roman"/>
                <w:i/>
                <w:sz w:val="24"/>
                <w:szCs w:val="24"/>
                <w:lang w:val="en-GB" w:eastAsia="en-GB"/>
              </w:rPr>
              <w:fldChar w:fldCharType="separate"/>
            </w:r>
            <w:r w:rsidRPr="00241552">
              <w:rPr>
                <w:rFonts w:cs="Times New Roman"/>
                <w:i/>
                <w:sz w:val="24"/>
                <w:szCs w:val="24"/>
                <w:lang w:val="sq-AL" w:eastAsia="en-GB"/>
              </w:rPr>
              <w:t>Cilat janë ndikimet e opsionit të preferuar? Kjo duhet të përshkruajë ndikimet në mënyrë sasiore  (monetare) dhe cilësore (narrative) mbi buxhetin dhe grupet e tjera të prekura. (jo më shumë se 10 rreshta)</w:t>
            </w:r>
            <w:r w:rsidRPr="00241552">
              <w:rPr>
                <w:rFonts w:cs="Times New Roman"/>
                <w:i/>
                <w:sz w:val="24"/>
                <w:szCs w:val="24"/>
                <w:lang w:val="en-GB" w:eastAsia="en-GB"/>
              </w:rPr>
              <w:fldChar w:fldCharType="end"/>
            </w:r>
          </w:p>
          <w:p w14:paraId="7970C10E" w14:textId="77777777" w:rsidR="00F118DC" w:rsidRDefault="00F118DC" w:rsidP="00241552">
            <w:pPr>
              <w:jc w:val="both"/>
              <w:rPr>
                <w:rFonts w:cs="Times New Roman"/>
                <w:sz w:val="24"/>
                <w:szCs w:val="24"/>
                <w:lang w:val="sq-AL" w:eastAsia="en-GB"/>
              </w:rPr>
            </w:pPr>
          </w:p>
          <w:p w14:paraId="74F25853" w14:textId="1D399A24" w:rsidR="00241552" w:rsidRPr="00193B8B" w:rsidRDefault="00241552" w:rsidP="00241552">
            <w:pPr>
              <w:jc w:val="both"/>
              <w:rPr>
                <w:sz w:val="24"/>
                <w:szCs w:val="24"/>
                <w:lang w:val="sq-AL"/>
              </w:rPr>
            </w:pPr>
            <w:r w:rsidRPr="00193B8B">
              <w:rPr>
                <w:rFonts w:cs="Times New Roman"/>
                <w:sz w:val="24"/>
                <w:szCs w:val="24"/>
                <w:lang w:val="sq-AL" w:eastAsia="en-GB"/>
              </w:rPr>
              <w:t xml:space="preserve">Opsioni i preferuar, miratimi i një ligji të ri </w:t>
            </w:r>
            <w:r w:rsidR="00B24193">
              <w:rPr>
                <w:rFonts w:cs="Times New Roman"/>
                <w:sz w:val="24"/>
                <w:szCs w:val="24"/>
                <w:lang w:val="sq-AL" w:eastAsia="en-GB"/>
              </w:rPr>
              <w:t xml:space="preserve">të posaçëm </w:t>
            </w:r>
            <w:r w:rsidRPr="00193B8B">
              <w:rPr>
                <w:rFonts w:cs="Times New Roman"/>
                <w:sz w:val="24"/>
                <w:szCs w:val="24"/>
                <w:lang w:val="sq-AL" w:eastAsia="en-GB"/>
              </w:rPr>
              <w:t xml:space="preserve">për kërkesat e transparencës për emetuesit e titujve, pritet të ketë ndikime pozitive në funksionimin dhe zhvillimin e tregut të kapitalit. </w:t>
            </w:r>
            <w:r w:rsidRPr="00193B8B">
              <w:rPr>
                <w:sz w:val="24"/>
                <w:szCs w:val="24"/>
                <w:lang w:val="sq-AL"/>
              </w:rPr>
              <w:t xml:space="preserve"> Ky opsion siguron përputhje të plotë me acquis të BE-së, qartësi ligjore, standardizim të raportimit dhe mekanizma efektivë të depozitimit/aksesit, si dhe një regjim sanksionues proporcional.</w:t>
            </w:r>
          </w:p>
          <w:p w14:paraId="6235F483" w14:textId="0A52DFEF" w:rsidR="009779A0" w:rsidRPr="00193B8B" w:rsidRDefault="00241552" w:rsidP="00241552">
            <w:pPr>
              <w:jc w:val="both"/>
              <w:rPr>
                <w:sz w:val="24"/>
                <w:szCs w:val="24"/>
                <w:lang w:val="sq-AL"/>
              </w:rPr>
            </w:pPr>
            <w:r w:rsidRPr="00193B8B">
              <w:rPr>
                <w:rFonts w:cs="Times New Roman"/>
                <w:sz w:val="24"/>
                <w:szCs w:val="24"/>
                <w:lang w:val="sq-AL" w:eastAsia="en-GB"/>
              </w:rPr>
              <w:t>Projektligji nuk parashikon ndikim financiar</w:t>
            </w:r>
            <w:r w:rsidR="00865AE0">
              <w:rPr>
                <w:rFonts w:cs="Times New Roman"/>
                <w:sz w:val="24"/>
                <w:szCs w:val="24"/>
                <w:lang w:val="sq-AL" w:eastAsia="en-GB"/>
              </w:rPr>
              <w:t xml:space="preserve"> </w:t>
            </w:r>
            <w:r w:rsidR="009779A0" w:rsidRPr="00193B8B">
              <w:rPr>
                <w:rFonts w:cs="Times New Roman"/>
                <w:sz w:val="24"/>
                <w:szCs w:val="24"/>
                <w:lang w:val="sq-AL" w:eastAsia="en-GB"/>
              </w:rPr>
              <w:t>dhe rrjedhimisht kosto shtesë direkte</w:t>
            </w:r>
            <w:r w:rsidRPr="00193B8B">
              <w:rPr>
                <w:rFonts w:cs="Times New Roman"/>
                <w:sz w:val="24"/>
                <w:szCs w:val="24"/>
                <w:lang w:val="sq-AL" w:eastAsia="en-GB"/>
              </w:rPr>
              <w:t xml:space="preserve"> në buxhetin e shtetit, pasi zbatimi dhe mbikëqyrja e tij do të realizohen nga Autoriteti i Mbikëqyrjes Financiare në kuadër të kompetencave dhe strukturave të tij institucionale. </w:t>
            </w:r>
          </w:p>
          <w:p w14:paraId="30DB17A3" w14:textId="77777777" w:rsidR="009779A0" w:rsidRPr="00193B8B" w:rsidRDefault="009779A0" w:rsidP="00241552">
            <w:pPr>
              <w:jc w:val="both"/>
              <w:rPr>
                <w:sz w:val="24"/>
                <w:szCs w:val="24"/>
                <w:lang w:val="sq-AL"/>
              </w:rPr>
            </w:pPr>
            <w:r w:rsidRPr="00193B8B">
              <w:rPr>
                <w:sz w:val="24"/>
                <w:szCs w:val="24"/>
                <w:lang w:val="sq-AL"/>
              </w:rPr>
              <w:t xml:space="preserve">Për subjektet e tregut, me një skenar konservator, kostoja e njëhershme vlerësohet rreth 7.2 milionë lekë në vitin 1, ndërsa kostoja vijuese rreth 5.6 milionë lekë në vit; në vitin 3 parashikohet edhe rreth 3.2 milionë lekë për  përshtatje për formatin unik elektronik. </w:t>
            </w:r>
          </w:p>
          <w:p w14:paraId="7732299E" w14:textId="61BB069C" w:rsidR="00241552" w:rsidRPr="00193B8B" w:rsidRDefault="009779A0" w:rsidP="00241552">
            <w:pPr>
              <w:jc w:val="both"/>
              <w:rPr>
                <w:rFonts w:cs="Times New Roman"/>
                <w:sz w:val="24"/>
                <w:szCs w:val="24"/>
                <w:lang w:val="sq-AL" w:eastAsia="en-GB"/>
              </w:rPr>
            </w:pPr>
            <w:r w:rsidRPr="00193B8B">
              <w:rPr>
                <w:sz w:val="24"/>
                <w:szCs w:val="24"/>
                <w:lang w:val="sq-AL"/>
              </w:rPr>
              <w:t xml:space="preserve">Përfitimet </w:t>
            </w:r>
            <w:r w:rsidR="00865AE0">
              <w:rPr>
                <w:sz w:val="24"/>
                <w:szCs w:val="24"/>
                <w:lang w:val="sq-AL"/>
              </w:rPr>
              <w:t xml:space="preserve">monetare lidhen </w:t>
            </w:r>
            <w:r w:rsidRPr="00193B8B">
              <w:rPr>
                <w:sz w:val="24"/>
                <w:szCs w:val="24"/>
                <w:lang w:val="sq-AL"/>
              </w:rPr>
              <w:t xml:space="preserve">kryesisht </w:t>
            </w:r>
            <w:r w:rsidR="00865AE0">
              <w:rPr>
                <w:sz w:val="24"/>
                <w:szCs w:val="24"/>
                <w:lang w:val="sq-AL"/>
              </w:rPr>
              <w:t xml:space="preserve">,e </w:t>
            </w:r>
            <w:r w:rsidRPr="00193B8B">
              <w:rPr>
                <w:sz w:val="24"/>
                <w:szCs w:val="24"/>
                <w:lang w:val="sq-AL"/>
              </w:rPr>
              <w:t xml:space="preserve">kursime në kostot e kërkimit dhe verifikimit të informacionit, ulje të kostove të kërkesave ad hoc dhe efikasitet më të lartë për investitorët dhe emetuesit </w:t>
            </w:r>
            <w:r w:rsidR="00865AE0">
              <w:rPr>
                <w:sz w:val="24"/>
                <w:szCs w:val="24"/>
                <w:lang w:val="sq-AL"/>
              </w:rPr>
              <w:t xml:space="preserve">e </w:t>
            </w:r>
            <w:r w:rsidRPr="00193B8B">
              <w:rPr>
                <w:sz w:val="24"/>
                <w:szCs w:val="24"/>
                <w:lang w:val="sq-AL"/>
              </w:rPr>
              <w:t>vlerësohen rreth 9.5 milionë lekë në vit. Ndikimi cilësor është pozitiv mbi integritetin e tregut, qeverisjen korporative dhe mbrojtjen e investitorëve.</w:t>
            </w:r>
          </w:p>
          <w:p w14:paraId="48C10C15" w14:textId="5A7386C3" w:rsidR="00241552" w:rsidRPr="00193B8B" w:rsidRDefault="00241552" w:rsidP="00241552">
            <w:pPr>
              <w:jc w:val="both"/>
              <w:rPr>
                <w:sz w:val="24"/>
                <w:szCs w:val="24"/>
                <w:lang w:val="sq-AL"/>
              </w:rPr>
            </w:pPr>
            <w:r w:rsidRPr="00193B8B">
              <w:rPr>
                <w:rFonts w:cs="Times New Roman"/>
                <w:sz w:val="24"/>
                <w:szCs w:val="24"/>
                <w:lang w:val="sq-AL" w:eastAsia="en-GB"/>
              </w:rPr>
              <w:t>Grupet kryesore të prekura janë emetuesit e titujve të pranuar për tregtim në tregjet e rregulluara, investitorët, ndërmjetësit financiarë dhe autoriteti mbikëqyrës. Për emetuesit mund të lindin kosto administrative që lidhen me përgatitjen dhe publikimin e informacionit periodik dhe të vazhdueshëm, si dhe me përmbushjen e kërkesave për raportim dhe transparencë. Investitorët përfitojnë nga rritja e aksesit në informacion të plotë, të besueshëm dhe të krahasueshëm, duke përmirësuar vendimmarrjen e tyre investuese dhe besimin në treg. Ndërmjetësit financiarë dhe pjesëmarrësit e tjerë në treg përfitojnë nga një mjedis më transparent dhe më efikas, ndërsa autoriteti mbikëqyrës përfiton nga një kuadër ligjor më i qartë për ushtrimin e funksioneve të mbikëqyrjes. Në tërësi, projektligji pritet të kontribuojë në rritjen e transparencës, integritetit dhe funksionimit të qëndrueshëm të tregut të kapitalit.</w:t>
            </w:r>
          </w:p>
          <w:p w14:paraId="289E308A" w14:textId="77777777" w:rsidR="00241552" w:rsidRPr="003F6634" w:rsidRDefault="00241552" w:rsidP="00241552">
            <w:pPr>
              <w:rPr>
                <w:b/>
                <w:bCs/>
                <w:sz w:val="24"/>
                <w:szCs w:val="24"/>
                <w:lang w:val="sq-AL"/>
              </w:rPr>
            </w:pPr>
            <w:r w:rsidRPr="003F6634">
              <w:rPr>
                <w:b/>
                <w:bCs/>
                <w:sz w:val="24"/>
                <w:szCs w:val="24"/>
                <w:lang w:val="sq-AL"/>
              </w:rPr>
              <w:t>Ndikimet kryesore të opsionit të preferuar (Opsioni 2):</w:t>
            </w:r>
          </w:p>
          <w:p w14:paraId="57B8DA4D" w14:textId="1D05C421" w:rsidR="00241552" w:rsidRPr="003F6634" w:rsidRDefault="00241552" w:rsidP="00241552">
            <w:pPr>
              <w:rPr>
                <w:sz w:val="24"/>
                <w:szCs w:val="24"/>
                <w:lang w:val="sq-AL"/>
              </w:rPr>
            </w:pPr>
            <w:r w:rsidRPr="003F6634">
              <w:rPr>
                <w:sz w:val="24"/>
                <w:szCs w:val="24"/>
                <w:lang w:val="sq-AL"/>
              </w:rPr>
              <w:t>• Bizneset/emetuesit: kosto për rishikimin e proceseve, përditësimin e politikave të raportimit dhe përshtatjen me formatet elektronike (ESEF nga 2028); kosto të vazhdueshme për raportim, publikim dhe ruajtje 10-vjeçare.</w:t>
            </w:r>
          </w:p>
          <w:p w14:paraId="699B9057" w14:textId="77777777" w:rsidR="00241552" w:rsidRPr="003F6634" w:rsidRDefault="00241552" w:rsidP="00241552">
            <w:pPr>
              <w:rPr>
                <w:sz w:val="24"/>
                <w:szCs w:val="24"/>
                <w:lang w:val="sq-AL"/>
              </w:rPr>
            </w:pPr>
            <w:r w:rsidRPr="003F6634">
              <w:rPr>
                <w:sz w:val="24"/>
                <w:szCs w:val="24"/>
                <w:lang w:val="sq-AL"/>
              </w:rPr>
              <w:t>• Investitorët/aksionarët: përfitime nga akses më i shpejtë, i standardizuar dhe i krahasueshëm në informacion; ulje e asimetrisë së informacionit dhe rritje e mbrojtjes.</w:t>
            </w:r>
          </w:p>
          <w:p w14:paraId="26E57F02" w14:textId="64B0B43D" w:rsidR="00981417" w:rsidRPr="00241552" w:rsidRDefault="00241552" w:rsidP="00C21433">
            <w:pPr>
              <w:rPr>
                <w:lang w:val="sq-AL"/>
              </w:rPr>
            </w:pPr>
            <w:r w:rsidRPr="003F6634">
              <w:rPr>
                <w:sz w:val="24"/>
                <w:szCs w:val="24"/>
                <w:lang w:val="sq-AL"/>
              </w:rPr>
              <w:t>• AMF: përgjegjësi të shtuara për marrjen, publikimin, ruajtjen dhe mbikëqyrjen; kërkesë për akte zbatuese dhe rritje të kapaciteteve/IT.</w:t>
            </w:r>
          </w:p>
        </w:tc>
      </w:tr>
      <w:tr w:rsidR="00981417" w:rsidRPr="00E67D32" w14:paraId="70299084" w14:textId="77777777">
        <w:trPr>
          <w:jc w:val="center"/>
        </w:trPr>
        <w:tc>
          <w:tcPr>
            <w:tcW w:w="10152" w:type="dxa"/>
            <w:gridSpan w:val="2"/>
          </w:tcPr>
          <w:p w14:paraId="0D5468E7" w14:textId="77777777" w:rsidR="00022E4B" w:rsidRPr="00DC2146" w:rsidRDefault="00022E4B">
            <w:pPr>
              <w:rPr>
                <w:lang w:val="sq-AL"/>
              </w:rPr>
            </w:pPr>
          </w:p>
          <w:p w14:paraId="1AA3372F" w14:textId="77777777" w:rsidR="00022E4B" w:rsidRPr="00022E4B" w:rsidRDefault="00022E4B" w:rsidP="00022E4B">
            <w:pPr>
              <w:spacing w:after="0" w:line="276" w:lineRule="auto"/>
              <w:jc w:val="both"/>
              <w:rPr>
                <w:rFonts w:cs="Times New Roman"/>
                <w:b/>
                <w:sz w:val="24"/>
                <w:szCs w:val="24"/>
                <w:lang w:val="sq-AL" w:eastAsia="en-GB"/>
              </w:rPr>
            </w:pPr>
            <w:r w:rsidRPr="00022E4B">
              <w:rPr>
                <w:rFonts w:cs="Times New Roman"/>
                <w:b/>
                <w:sz w:val="24"/>
                <w:szCs w:val="24"/>
                <w:lang w:val="sq-AL" w:eastAsia="en-GB"/>
              </w:rPr>
              <w:lastRenderedPageBreak/>
              <w:t xml:space="preserve">ARSYETIMI I OPSIONIT TË PREFERUAR </w:t>
            </w:r>
          </w:p>
          <w:p w14:paraId="6023D796" w14:textId="0288D6B3" w:rsidR="00022E4B" w:rsidRPr="00022E4B" w:rsidRDefault="00022E4B" w:rsidP="00022E4B">
            <w:pPr>
              <w:rPr>
                <w:lang w:val="sq-AL"/>
              </w:rPr>
            </w:pPr>
            <w:r w:rsidRPr="00022E4B">
              <w:rPr>
                <w:rFonts w:cs="Times New Roman"/>
                <w:i/>
                <w:sz w:val="24"/>
                <w:szCs w:val="24"/>
                <w:lang w:val="en-GB" w:eastAsia="en-GB"/>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022E4B">
              <w:rPr>
                <w:rFonts w:cs="Times New Roman"/>
                <w:i/>
                <w:sz w:val="24"/>
                <w:szCs w:val="24"/>
                <w:lang w:val="sq-AL" w:eastAsia="en-GB"/>
              </w:rPr>
              <w:instrText xml:space="preserve"> FORMTEXT </w:instrText>
            </w:r>
            <w:r w:rsidRPr="00022E4B">
              <w:rPr>
                <w:rFonts w:cs="Times New Roman"/>
                <w:i/>
                <w:sz w:val="24"/>
                <w:szCs w:val="24"/>
                <w:lang w:val="en-GB" w:eastAsia="en-GB"/>
              </w:rPr>
            </w:r>
            <w:r w:rsidRPr="00022E4B">
              <w:rPr>
                <w:rFonts w:cs="Times New Roman"/>
                <w:i/>
                <w:sz w:val="24"/>
                <w:szCs w:val="24"/>
                <w:lang w:val="en-GB" w:eastAsia="en-GB"/>
              </w:rPr>
              <w:fldChar w:fldCharType="separate"/>
            </w:r>
            <w:r w:rsidRPr="00022E4B">
              <w:rPr>
                <w:rFonts w:cs="Times New Roman"/>
                <w:i/>
                <w:noProof/>
                <w:sz w:val="24"/>
                <w:szCs w:val="24"/>
                <w:lang w:val="sq-AL" w:eastAsia="en-GB"/>
              </w:rPr>
              <w:t>Shpjegoni arsyet për zgjedhjen e opsionit të preferuar. Ju lutemi jepni nëse është e mundur koston dhe përfitimin me vlerë të përcaktuar monetare. (jo më shumë se 7 rreshta)</w:t>
            </w:r>
            <w:r w:rsidRPr="00022E4B">
              <w:rPr>
                <w:rFonts w:cs="Times New Roman"/>
                <w:i/>
                <w:sz w:val="24"/>
                <w:szCs w:val="24"/>
                <w:lang w:val="en-GB" w:eastAsia="en-GB"/>
              </w:rPr>
              <w:fldChar w:fldCharType="end"/>
            </w:r>
          </w:p>
          <w:p w14:paraId="58FB059F" w14:textId="77777777" w:rsidR="003F6634" w:rsidRDefault="003F6634" w:rsidP="00022E4B">
            <w:pPr>
              <w:spacing w:after="0"/>
              <w:jc w:val="both"/>
              <w:rPr>
                <w:rFonts w:cs="Times New Roman"/>
                <w:sz w:val="24"/>
                <w:szCs w:val="24"/>
                <w:lang w:val="sq-AL" w:eastAsia="en-GB"/>
              </w:rPr>
            </w:pPr>
          </w:p>
          <w:p w14:paraId="5BD52B4F" w14:textId="53C8CA05" w:rsidR="00022E4B" w:rsidRPr="003F6634" w:rsidRDefault="00022E4B" w:rsidP="00022E4B">
            <w:pPr>
              <w:spacing w:after="0"/>
              <w:jc w:val="both"/>
              <w:rPr>
                <w:rFonts w:cs="Times New Roman"/>
                <w:b/>
                <w:bCs/>
                <w:sz w:val="24"/>
                <w:szCs w:val="24"/>
                <w:lang w:val="sq-AL" w:eastAsia="en-GB"/>
              </w:rPr>
            </w:pPr>
            <w:r w:rsidRPr="003F6634">
              <w:rPr>
                <w:rFonts w:cs="Times New Roman"/>
                <w:sz w:val="24"/>
                <w:szCs w:val="24"/>
                <w:lang w:val="sq-AL" w:eastAsia="en-GB"/>
              </w:rPr>
              <w:t xml:space="preserve">Opsioni i preferuar është miratimi i një ligji të ri për kërkesat e transparencës për emetuesit e titujve, pasi ky opsion siguron krijimin e një kuadri të plotë dhe të qartë ligjor, të harmonizuar me legjislacionin e Bashkimit Evropian. Ky opsion mundëson rregullimin e detajuar të kërkesave për publikimin e informacionit periodik dhe të vazhdueshëm, si dhe raportimin e pjesëmarrjeve të rëndësishme në kapital, duke rritur transparencën dhe besimin në tregjet e kapitalit. Projektligji nuk parashikon kosto për buxhetin e shtetit, ndërsa për subjektet e tregut mund të lindin vetëm kosto administrative të kufizuara që lidhen me përmbushjen e detyrimeve të raportimit. Përfitimet kryesore lidhen me rritjen e transparencës, përmirësimin e mbrojtjes së investitorëve dhe përafrimin e plotë të legjislacionit shqiptar me </w:t>
            </w:r>
            <w:r w:rsidR="003F6634">
              <w:rPr>
                <w:rFonts w:cs="Times New Roman"/>
                <w:sz w:val="24"/>
                <w:szCs w:val="24"/>
                <w:lang w:val="sq-AL" w:eastAsia="en-GB"/>
              </w:rPr>
              <w:t>A</w:t>
            </w:r>
            <w:r w:rsidRPr="003F6634">
              <w:rPr>
                <w:rFonts w:cs="Times New Roman"/>
                <w:sz w:val="24"/>
                <w:szCs w:val="24"/>
                <w:lang w:val="sq-AL" w:eastAsia="en-GB"/>
              </w:rPr>
              <w:t>cquis të Bashkimit Evropian në fushën e tregjeve të kapitalit.</w:t>
            </w:r>
          </w:p>
          <w:p w14:paraId="0EF66B70" w14:textId="335D3392" w:rsidR="00022E4B" w:rsidRPr="003F6634" w:rsidRDefault="00022E4B" w:rsidP="00022E4B">
            <w:pPr>
              <w:jc w:val="both"/>
              <w:rPr>
                <w:rFonts w:cs="Times New Roman"/>
                <w:sz w:val="24"/>
                <w:szCs w:val="24"/>
                <w:lang w:val="sq-AL" w:eastAsia="en-GB"/>
              </w:rPr>
            </w:pPr>
            <w:r w:rsidRPr="003F6634">
              <w:rPr>
                <w:rFonts w:cs="Times New Roman"/>
                <w:sz w:val="24"/>
                <w:szCs w:val="24"/>
                <w:lang w:val="sq-AL" w:eastAsia="en-GB"/>
              </w:rPr>
              <w:t>Projektligji nuk parashikon kosto shtesë për buxhetin e shtetit gjatë periudhës trevjeçare pas hyrjes në fuqi të tij, pasi zbatimi dhe mbikëqyrja e dispozitave të tij do të realizohen nga Autoriteti i Mbikëqyrjes Financiare në kuadër të strukturave dhe burimeve ekzistuese institucionale. Për rrjedhojë, kostoja e përllogaritur për buxhetin e shtetit është 0 (zero) lekë. Kostot që mund të lindin për subjektet e tregut lidhen kryesisht me përmbushjen e detyrimeve të raportimit dhe publikimit të informacionit</w:t>
            </w:r>
            <w:r w:rsidR="003F6634">
              <w:rPr>
                <w:rFonts w:cs="Times New Roman"/>
                <w:sz w:val="24"/>
                <w:szCs w:val="24"/>
                <w:lang w:val="sq-AL" w:eastAsia="en-GB"/>
              </w:rPr>
              <w:t>.</w:t>
            </w:r>
          </w:p>
          <w:p w14:paraId="5473B5FA" w14:textId="77777777" w:rsidR="00E11953" w:rsidRDefault="00E11953" w:rsidP="00022E4B">
            <w:pPr>
              <w:jc w:val="both"/>
              <w:rPr>
                <w:szCs w:val="20"/>
                <w:lang w:val="sq-AL"/>
              </w:rPr>
            </w:pPr>
          </w:p>
          <w:p w14:paraId="5A453570" w14:textId="77777777" w:rsidR="00E11953" w:rsidRPr="00E11953" w:rsidRDefault="00E11953" w:rsidP="00E11953">
            <w:pPr>
              <w:spacing w:after="60"/>
              <w:rPr>
                <w:lang w:val="sq-AL"/>
              </w:rPr>
            </w:pPr>
            <w:r w:rsidRPr="00E11953">
              <w:rPr>
                <w:b/>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jc w:val="center"/>
              <w:tblLook w:val="04A0" w:firstRow="1" w:lastRow="0" w:firstColumn="1" w:lastColumn="0" w:noHBand="0" w:noVBand="1"/>
            </w:tblPr>
            <w:tblGrid>
              <w:gridCol w:w="3308"/>
              <w:gridCol w:w="3309"/>
              <w:gridCol w:w="3309"/>
            </w:tblGrid>
            <w:tr w:rsidR="00E11953" w:rsidRPr="00E67D32" w14:paraId="012134B5" w14:textId="77777777" w:rsidTr="007E7946">
              <w:trPr>
                <w:jc w:val="center"/>
              </w:trPr>
              <w:tc>
                <w:tcPr>
                  <w:tcW w:w="3384" w:type="dxa"/>
                  <w:shd w:val="clear" w:color="auto" w:fill="D9D9D9"/>
                </w:tcPr>
                <w:p w14:paraId="2C1FFAFB" w14:textId="77777777" w:rsidR="00E11953" w:rsidRPr="00DC2146" w:rsidRDefault="00E11953" w:rsidP="00E11953">
                  <w:pPr>
                    <w:jc w:val="center"/>
                    <w:rPr>
                      <w:lang w:val="sq-AL"/>
                    </w:rPr>
                  </w:pPr>
                  <w:r w:rsidRPr="00DC2146">
                    <w:rPr>
                      <w:b/>
                      <w:lang w:val="sq-AL"/>
                    </w:rPr>
                    <w:t>Viti 1</w:t>
                  </w:r>
                </w:p>
              </w:tc>
              <w:tc>
                <w:tcPr>
                  <w:tcW w:w="3384" w:type="dxa"/>
                  <w:shd w:val="clear" w:color="auto" w:fill="D9D9D9"/>
                </w:tcPr>
                <w:p w14:paraId="61EC3B3C" w14:textId="77777777" w:rsidR="00E11953" w:rsidRPr="00DC2146" w:rsidRDefault="00E11953" w:rsidP="00E11953">
                  <w:pPr>
                    <w:jc w:val="center"/>
                    <w:rPr>
                      <w:lang w:val="sq-AL"/>
                    </w:rPr>
                  </w:pPr>
                  <w:r w:rsidRPr="00DC2146">
                    <w:rPr>
                      <w:b/>
                      <w:lang w:val="sq-AL"/>
                    </w:rPr>
                    <w:t>Viti 2</w:t>
                  </w:r>
                </w:p>
              </w:tc>
              <w:tc>
                <w:tcPr>
                  <w:tcW w:w="3384" w:type="dxa"/>
                  <w:shd w:val="clear" w:color="auto" w:fill="D9D9D9"/>
                </w:tcPr>
                <w:p w14:paraId="3EA954A6" w14:textId="77777777" w:rsidR="00E11953" w:rsidRPr="00DC2146" w:rsidRDefault="00E11953" w:rsidP="00E11953">
                  <w:pPr>
                    <w:jc w:val="center"/>
                    <w:rPr>
                      <w:lang w:val="sq-AL"/>
                    </w:rPr>
                  </w:pPr>
                  <w:r w:rsidRPr="00DC2146">
                    <w:rPr>
                      <w:b/>
                      <w:lang w:val="sq-AL"/>
                    </w:rPr>
                    <w:t>Viti 3</w:t>
                  </w:r>
                </w:p>
              </w:tc>
            </w:tr>
            <w:tr w:rsidR="00E11953" w:rsidRPr="00E67D32" w14:paraId="7A2C795D" w14:textId="77777777" w:rsidTr="007E7946">
              <w:trPr>
                <w:jc w:val="center"/>
              </w:trPr>
              <w:tc>
                <w:tcPr>
                  <w:tcW w:w="3384" w:type="dxa"/>
                </w:tcPr>
                <w:p w14:paraId="71EFB368" w14:textId="77777777" w:rsidR="00E11953" w:rsidRPr="00DC2146" w:rsidRDefault="00E11953" w:rsidP="00E11953">
                  <w:pPr>
                    <w:jc w:val="center"/>
                    <w:rPr>
                      <w:lang w:val="sq-AL"/>
                    </w:rPr>
                  </w:pPr>
                  <w:r w:rsidRPr="00DC2146">
                    <w:rPr>
                      <w:lang w:val="sq-AL"/>
                    </w:rPr>
                    <w:t>0</w:t>
                  </w:r>
                </w:p>
              </w:tc>
              <w:tc>
                <w:tcPr>
                  <w:tcW w:w="3384" w:type="dxa"/>
                </w:tcPr>
                <w:p w14:paraId="13C28AB5" w14:textId="77777777" w:rsidR="00E11953" w:rsidRPr="00DC2146" w:rsidRDefault="00E11953" w:rsidP="00E11953">
                  <w:pPr>
                    <w:jc w:val="center"/>
                    <w:rPr>
                      <w:lang w:val="sq-AL"/>
                    </w:rPr>
                  </w:pPr>
                  <w:r w:rsidRPr="00DC2146">
                    <w:rPr>
                      <w:lang w:val="sq-AL"/>
                    </w:rPr>
                    <w:t>0</w:t>
                  </w:r>
                </w:p>
              </w:tc>
              <w:tc>
                <w:tcPr>
                  <w:tcW w:w="3384" w:type="dxa"/>
                </w:tcPr>
                <w:p w14:paraId="294FEC64" w14:textId="77777777" w:rsidR="00E11953" w:rsidRPr="00DC2146" w:rsidRDefault="00E11953" w:rsidP="00E11953">
                  <w:pPr>
                    <w:jc w:val="center"/>
                    <w:rPr>
                      <w:lang w:val="sq-AL"/>
                    </w:rPr>
                  </w:pPr>
                  <w:r w:rsidRPr="00DC2146">
                    <w:rPr>
                      <w:lang w:val="sq-AL"/>
                    </w:rPr>
                    <w:t>0</w:t>
                  </w:r>
                </w:p>
              </w:tc>
            </w:tr>
          </w:tbl>
          <w:p w14:paraId="55261D63" w14:textId="77777777" w:rsidR="00022E4B" w:rsidRPr="00022E4B" w:rsidRDefault="00022E4B">
            <w:pPr>
              <w:rPr>
                <w:lang w:val="sq-AL"/>
              </w:rPr>
            </w:pPr>
          </w:p>
          <w:p w14:paraId="5C3C93DA" w14:textId="77777777" w:rsidR="00193B8B" w:rsidRPr="00193B8B" w:rsidRDefault="00193B8B" w:rsidP="00193B8B">
            <w:pPr>
              <w:pStyle w:val="TitleRia"/>
              <w:spacing w:after="0"/>
              <w:rPr>
                <w:lang w:val="sq-AL"/>
              </w:rPr>
            </w:pPr>
            <w:r w:rsidRPr="00193B8B">
              <w:rPr>
                <w:sz w:val="22"/>
                <w:lang w:val="sq-AL"/>
              </w:rPr>
              <w:t>KONSULTIMI</w:t>
            </w:r>
          </w:p>
          <w:p w14:paraId="1B00F388" w14:textId="77777777" w:rsidR="00193B8B" w:rsidRDefault="00193B8B" w:rsidP="00193B8B">
            <w:pPr>
              <w:pStyle w:val="SubtlePrompt"/>
              <w:rPr>
                <w:i w:val="0"/>
                <w:lang w:val="sq-AL"/>
              </w:rPr>
            </w:pPr>
            <w:r w:rsidRPr="00193B8B">
              <w:rPr>
                <w:i w:val="0"/>
                <w:lang w:val="sq-AL"/>
              </w:rPr>
              <w:t>Jepni një përmbledhje të çdo konsultimi të kryer (me kë dhe si jeni konsultuar?).</w:t>
            </w:r>
          </w:p>
          <w:p w14:paraId="49F2C446" w14:textId="08B3FE0D" w:rsidR="00193B8B" w:rsidRPr="00193B8B" w:rsidRDefault="00193B8B" w:rsidP="00053364">
            <w:pPr>
              <w:pStyle w:val="NormalWeb"/>
              <w:jc w:val="both"/>
              <w:rPr>
                <w:lang w:val="sq-AL"/>
              </w:rPr>
            </w:pPr>
            <w:r w:rsidRPr="00193B8B">
              <w:rPr>
                <w:lang w:val="sq-AL"/>
              </w:rPr>
              <w:t xml:space="preserve">Konsultimi publik për projektligjin është realizuar në disa forma për të siguruar përfshirjen e palëve të interesuara dhe transparencën e procesit. Konkretisht, projektligji është </w:t>
            </w:r>
            <w:r w:rsidRPr="00193B8B">
              <w:rPr>
                <w:rStyle w:val="Strong"/>
                <w:b w:val="0"/>
                <w:bCs w:val="0"/>
                <w:lang w:val="sq-AL"/>
              </w:rPr>
              <w:t>publikuar për konsultim në faqen zyrtare të Autoritetit</w:t>
            </w:r>
            <w:r w:rsidRPr="00193B8B">
              <w:rPr>
                <w:b/>
                <w:bCs/>
                <w:lang w:val="sq-AL"/>
              </w:rPr>
              <w:t xml:space="preserve">, </w:t>
            </w:r>
            <w:r w:rsidRPr="00193B8B">
              <w:rPr>
                <w:lang w:val="sq-AL"/>
              </w:rPr>
              <w:t>si dhe</w:t>
            </w:r>
            <w:r w:rsidRPr="00193B8B">
              <w:rPr>
                <w:b/>
                <w:bCs/>
                <w:lang w:val="sq-AL"/>
              </w:rPr>
              <w:t xml:space="preserve"> </w:t>
            </w:r>
            <w:r w:rsidRPr="00193B8B">
              <w:rPr>
                <w:rStyle w:val="Strong"/>
                <w:b w:val="0"/>
                <w:bCs w:val="0"/>
                <w:lang w:val="sq-AL"/>
              </w:rPr>
              <w:t>është dërguar për mendime dhe komente tek një numër institucionesh dhe palësh të interesuara</w:t>
            </w:r>
            <w:r w:rsidR="001C6970">
              <w:rPr>
                <w:lang w:val="sq-AL"/>
              </w:rPr>
              <w:t xml:space="preserve"> si Bursa Shqiptare e Titujve, Emetues Potencialë, Shoqata e Bankave, Banka e Shqipërisë, etj.</w:t>
            </w:r>
            <w:r w:rsidRPr="00193B8B">
              <w:rPr>
                <w:lang w:val="sq-AL"/>
              </w:rPr>
              <w:t xml:space="preserve"> përfshirë aktorë të</w:t>
            </w:r>
            <w:r w:rsidR="001C6970">
              <w:rPr>
                <w:lang w:val="sq-AL"/>
              </w:rPr>
              <w:t xml:space="preserve"> tjerë të</w:t>
            </w:r>
            <w:r w:rsidRPr="00193B8B">
              <w:rPr>
                <w:lang w:val="sq-AL"/>
              </w:rPr>
              <w:t xml:space="preserve"> tregut financiar</w:t>
            </w:r>
            <w:r w:rsidR="00053364">
              <w:rPr>
                <w:lang w:val="sq-AL"/>
              </w:rPr>
              <w:t>.</w:t>
            </w:r>
          </w:p>
          <w:p w14:paraId="77BEDCCD" w14:textId="656F9B5F" w:rsidR="00981417" w:rsidRPr="00193B8B" w:rsidRDefault="00193B8B" w:rsidP="00193B8B">
            <w:pPr>
              <w:pStyle w:val="NormalWeb"/>
              <w:rPr>
                <w:lang w:val="sq-AL"/>
              </w:rPr>
            </w:pPr>
            <w:r w:rsidRPr="00193B8B">
              <w:rPr>
                <w:lang w:val="sq-AL"/>
              </w:rPr>
              <w:t xml:space="preserve">Gjithashtu, krahas procesit të publikimit, </w:t>
            </w:r>
            <w:r w:rsidRPr="00193B8B">
              <w:rPr>
                <w:rStyle w:val="Strong"/>
                <w:b w:val="0"/>
                <w:bCs w:val="0"/>
                <w:lang w:val="sq-AL"/>
              </w:rPr>
              <w:t>planifikohet organizimi i një tryezë teknike konsultimi me Autoritetin e Mbikëqyrjes Financiare (AMF) dhe palët e tjera të interesuara</w:t>
            </w:r>
            <w:r w:rsidRPr="00193B8B">
              <w:rPr>
                <w:lang w:val="sq-AL"/>
              </w:rPr>
              <w:t xml:space="preserve">, </w:t>
            </w:r>
            <w:r>
              <w:rPr>
                <w:lang w:val="sq-AL"/>
              </w:rPr>
              <w:t>p</w:t>
            </w:r>
            <w:r w:rsidRPr="00193B8B">
              <w:rPr>
                <w:lang w:val="sq-AL"/>
              </w:rPr>
              <w:t>ër të disku</w:t>
            </w:r>
            <w:r>
              <w:rPr>
                <w:lang w:val="sq-AL"/>
              </w:rPr>
              <w:t>tuar</w:t>
            </w:r>
            <w:r w:rsidRPr="00193B8B">
              <w:rPr>
                <w:lang w:val="sq-AL"/>
              </w:rPr>
              <w:t xml:space="preserve"> çështjet kryesore që lidhen me zbatimin e projektligjit.</w:t>
            </w:r>
          </w:p>
        </w:tc>
      </w:tr>
      <w:tr w:rsidR="00981417" w:rsidRPr="00E67D32" w14:paraId="4B9B0816" w14:textId="77777777">
        <w:trPr>
          <w:jc w:val="center"/>
        </w:trPr>
        <w:tc>
          <w:tcPr>
            <w:tcW w:w="10152" w:type="dxa"/>
            <w:gridSpan w:val="2"/>
          </w:tcPr>
          <w:p w14:paraId="5DDAE8D7" w14:textId="77777777" w:rsidR="00193B8B" w:rsidRDefault="00193B8B" w:rsidP="00A7187C">
            <w:pPr>
              <w:spacing w:after="0" w:line="276" w:lineRule="auto"/>
              <w:jc w:val="both"/>
              <w:rPr>
                <w:rFonts w:cs="Times New Roman"/>
                <w:b/>
                <w:sz w:val="24"/>
                <w:szCs w:val="24"/>
                <w:lang w:val="sq-AL" w:eastAsia="en-GB"/>
              </w:rPr>
            </w:pPr>
          </w:p>
          <w:p w14:paraId="264DDDC0" w14:textId="1323C21F" w:rsidR="00A7187C" w:rsidRPr="00A7187C" w:rsidRDefault="00A7187C" w:rsidP="00A7187C">
            <w:pPr>
              <w:spacing w:after="0" w:line="276" w:lineRule="auto"/>
              <w:jc w:val="both"/>
              <w:rPr>
                <w:rFonts w:cs="Times New Roman"/>
                <w:b/>
                <w:sz w:val="24"/>
                <w:szCs w:val="24"/>
                <w:lang w:val="sq-AL" w:eastAsia="en-GB"/>
              </w:rPr>
            </w:pPr>
            <w:r w:rsidRPr="00A7187C">
              <w:rPr>
                <w:rFonts w:cs="Times New Roman"/>
                <w:b/>
                <w:sz w:val="24"/>
                <w:szCs w:val="24"/>
                <w:lang w:val="sq-AL" w:eastAsia="en-GB"/>
              </w:rPr>
              <w:t>ZBATIMI DHE MONITORIMI</w:t>
            </w:r>
          </w:p>
          <w:p w14:paraId="1440E020" w14:textId="77777777" w:rsidR="00A7187C" w:rsidRPr="00A7187C" w:rsidRDefault="00A7187C" w:rsidP="00A7187C">
            <w:pPr>
              <w:spacing w:after="0" w:line="276" w:lineRule="auto"/>
              <w:jc w:val="both"/>
              <w:rPr>
                <w:rFonts w:cs="Times New Roman"/>
                <w:i/>
                <w:sz w:val="24"/>
                <w:szCs w:val="24"/>
                <w:lang w:val="it-IT" w:eastAsia="en-GB"/>
              </w:rPr>
            </w:pPr>
            <w:r w:rsidRPr="00A7187C">
              <w:rPr>
                <w:rFonts w:cs="Times New Roman"/>
                <w:i/>
                <w:sz w:val="24"/>
                <w:szCs w:val="24"/>
                <w:lang w:val="en-GB" w:eastAsia="en-GB"/>
              </w:rPr>
              <w:fldChar w:fldCharType="begin">
                <w:ffData>
                  <w:name w:val="ZbatimiMonitorimi"/>
                  <w:enabled w:val="0"/>
                  <w:calcOnExit w:val="0"/>
                  <w:textInput>
                    <w:default w:val="Si do të organizohen zbatimi dhe monitorimi?(jo më shumë se 5 rreshta)"/>
                    <w:maxLength w:val="462"/>
                  </w:textInput>
                </w:ffData>
              </w:fldChar>
            </w:r>
            <w:bookmarkStart w:id="2" w:name="ZbatimiMonitorimi"/>
            <w:r w:rsidRPr="00A7187C">
              <w:rPr>
                <w:rFonts w:cs="Times New Roman"/>
                <w:i/>
                <w:sz w:val="24"/>
                <w:szCs w:val="24"/>
                <w:lang w:val="it-IT" w:eastAsia="en-GB"/>
              </w:rPr>
              <w:instrText xml:space="preserve"> FORMTEXT </w:instrText>
            </w:r>
            <w:r w:rsidRPr="00A7187C">
              <w:rPr>
                <w:rFonts w:cs="Times New Roman"/>
                <w:i/>
                <w:sz w:val="24"/>
                <w:szCs w:val="24"/>
                <w:lang w:val="en-GB" w:eastAsia="en-GB"/>
              </w:rPr>
            </w:r>
            <w:r w:rsidRPr="00A7187C">
              <w:rPr>
                <w:rFonts w:cs="Times New Roman"/>
                <w:i/>
                <w:sz w:val="24"/>
                <w:szCs w:val="24"/>
                <w:lang w:val="en-GB" w:eastAsia="en-GB"/>
              </w:rPr>
              <w:fldChar w:fldCharType="separate"/>
            </w:r>
            <w:r w:rsidRPr="00A7187C">
              <w:rPr>
                <w:rFonts w:cs="Times New Roman"/>
                <w:i/>
                <w:noProof/>
                <w:sz w:val="24"/>
                <w:szCs w:val="24"/>
                <w:lang w:val="it-IT" w:eastAsia="en-GB"/>
              </w:rPr>
              <w:t>Si do të organizohen zbatimi dhe monitorimi?(jo më shumë se 5 rreshta)</w:t>
            </w:r>
            <w:r w:rsidRPr="00A7187C">
              <w:rPr>
                <w:rFonts w:cs="Times New Roman"/>
                <w:i/>
                <w:sz w:val="24"/>
                <w:szCs w:val="24"/>
                <w:lang w:val="en-GB" w:eastAsia="en-GB"/>
              </w:rPr>
              <w:fldChar w:fldCharType="end"/>
            </w:r>
            <w:bookmarkEnd w:id="2"/>
          </w:p>
          <w:p w14:paraId="0FF61CF6" w14:textId="655A63ED" w:rsidR="00A7187C" w:rsidRPr="00193B8B" w:rsidRDefault="00193B8B" w:rsidP="00193B8B">
            <w:pPr>
              <w:spacing w:after="0" w:line="276" w:lineRule="auto"/>
              <w:jc w:val="both"/>
              <w:rPr>
                <w:rFonts w:cs="Times New Roman"/>
                <w:color w:val="000000"/>
                <w:sz w:val="24"/>
                <w:szCs w:val="24"/>
                <w:lang w:val="sq-AL" w:eastAsia="en-GB"/>
              </w:rPr>
            </w:pPr>
            <w:r w:rsidRPr="00193B8B">
              <w:rPr>
                <w:rFonts w:cs="Times New Roman"/>
                <w:sz w:val="24"/>
                <w:szCs w:val="20"/>
                <w:lang w:val="sq-AL" w:eastAsia="en-GB"/>
              </w:rPr>
              <w:t>Zbatimi dhe monitorimi i këtij ligji do të kryhen nga Autoriteti i Mbikëqyrjes Financiare, në përputhje me kompetencat e tij mbikëqyrëse në fushën e tregjeve të kapitalit. Autoriteti do të mbikëqyrë përmbushjen nga emetuesit të detyrimeve për publikimin dhe raportimin e informacionit sipas kërkesave të ligjit dhe akteve nënligjore të nxjerra në zbatim të tij. Gjithashtu, Autoriteti do të monitorojë funksionimin dhe efektivitetin e kuadrit të ri rregullator dhe, kur është e nevojshme, do të ndërmarrë masa mbikëqyrëse dhe do të përgatisë aktet nënligjore për zbatimin e tij.</w:t>
            </w:r>
            <w:r w:rsidR="00A7187C" w:rsidRPr="00A7187C">
              <w:rPr>
                <w:rFonts w:cs="Times New Roman"/>
                <w:iCs/>
                <w:sz w:val="24"/>
                <w:szCs w:val="24"/>
                <w:lang w:val="sq-AL" w:eastAsia="en-GB"/>
              </w:rPr>
              <w:t xml:space="preserve"> Monitorimi do të realizohet përmes krijimit të një mekanizmi të rregullt vlerësimi që do të analizojë progresin e zbatimit, do të identifikojë pengesat dhe do të sigurojë korrigjime të menjëhershme. Ky proces do të mbështetet </w:t>
            </w:r>
            <w:r w:rsidR="00DC589E">
              <w:rPr>
                <w:rFonts w:cs="Times New Roman"/>
                <w:iCs/>
                <w:sz w:val="24"/>
                <w:szCs w:val="24"/>
                <w:lang w:val="sq-AL" w:eastAsia="en-GB"/>
              </w:rPr>
              <w:t xml:space="preserve">edhe </w:t>
            </w:r>
            <w:r w:rsidR="00A7187C" w:rsidRPr="00A7187C">
              <w:rPr>
                <w:rFonts w:cs="Times New Roman"/>
                <w:iCs/>
                <w:sz w:val="24"/>
                <w:szCs w:val="24"/>
                <w:lang w:val="sq-AL" w:eastAsia="en-GB"/>
              </w:rPr>
              <w:t xml:space="preserve">me ndihmën e ekspertëve ndërkombëtarë dhe asistencën teknike nga BE. Shoqëritë do të duhet të sigurojnë përputhshmërinë me </w:t>
            </w:r>
            <w:r w:rsidR="002B7C54">
              <w:rPr>
                <w:rFonts w:cs="Times New Roman"/>
                <w:iCs/>
                <w:sz w:val="24"/>
                <w:szCs w:val="24"/>
                <w:lang w:val="sq-AL" w:eastAsia="en-GB"/>
              </w:rPr>
              <w:t xml:space="preserve">kërkesat e Ligjit dhe akteve nënligjore në zbatim të tij. </w:t>
            </w:r>
          </w:p>
          <w:p w14:paraId="03360CF0" w14:textId="1EB21754" w:rsidR="00981417" w:rsidRPr="00DC2146" w:rsidRDefault="00981417">
            <w:pPr>
              <w:rPr>
                <w:lang w:val="sq-AL"/>
              </w:rPr>
            </w:pPr>
          </w:p>
        </w:tc>
      </w:tr>
    </w:tbl>
    <w:p w14:paraId="159216FA" w14:textId="77777777" w:rsidR="00981417" w:rsidRPr="00DC2146" w:rsidRDefault="00981417">
      <w:pPr>
        <w:rPr>
          <w:lang w:val="sq-AL"/>
        </w:rPr>
      </w:pPr>
    </w:p>
    <w:tbl>
      <w:tblPr>
        <w:tblStyle w:val="TableGrid"/>
        <w:tblW w:w="0" w:type="auto"/>
        <w:jc w:val="center"/>
        <w:tblLook w:val="04A0" w:firstRow="1" w:lastRow="0" w:firstColumn="1" w:lastColumn="0" w:noHBand="0" w:noVBand="1"/>
      </w:tblPr>
      <w:tblGrid>
        <w:gridCol w:w="10206"/>
      </w:tblGrid>
      <w:tr w:rsidR="00981417" w14:paraId="25A39912" w14:textId="77777777">
        <w:trPr>
          <w:jc w:val="center"/>
        </w:trPr>
        <w:tc>
          <w:tcPr>
            <w:tcW w:w="10206" w:type="dxa"/>
            <w:shd w:val="clear" w:color="auto" w:fill="D9D9D9"/>
          </w:tcPr>
          <w:p w14:paraId="20883D47" w14:textId="77777777" w:rsidR="00981417" w:rsidRDefault="00000000">
            <w:pPr>
              <w:pStyle w:val="TitleRia"/>
            </w:pPr>
            <w:r>
              <w:rPr>
                <w:sz w:val="22"/>
              </w:rPr>
              <w:lastRenderedPageBreak/>
              <w:t>PJESA 2: BAZA KRYESORE E ANALIZËS DHE E PROVAVE</w:t>
            </w:r>
          </w:p>
        </w:tc>
      </w:tr>
    </w:tbl>
    <w:p w14:paraId="10341DEF" w14:textId="77777777" w:rsidR="00981417" w:rsidRDefault="00000000">
      <w:pPr>
        <w:pStyle w:val="HeadingRia"/>
      </w:pPr>
      <w:r>
        <w:t>Historik</w:t>
      </w:r>
    </w:p>
    <w:sdt>
      <w:sdtPr>
        <w:rPr>
          <w:rFonts w:cs="Times New Roman"/>
          <w:i/>
          <w:iCs/>
          <w:sz w:val="24"/>
          <w:szCs w:val="20"/>
          <w:lang w:val="sq-AL" w:eastAsia="en-GB"/>
        </w:rPr>
        <w:id w:val="-1879696236"/>
        <w:lock w:val="contentLocked"/>
        <w:placeholder>
          <w:docPart w:val="4841324AB4DC4F759FE7D522BE5000C2"/>
        </w:placeholder>
      </w:sdtPr>
      <w:sdtContent>
        <w:p w14:paraId="6C842016" w14:textId="77777777" w:rsidR="005129AE" w:rsidRPr="005129AE" w:rsidRDefault="005129AE" w:rsidP="005129AE">
          <w:pPr>
            <w:spacing w:after="0" w:line="276" w:lineRule="auto"/>
            <w:rPr>
              <w:rFonts w:cs="Times New Roman"/>
              <w:i/>
              <w:iCs/>
              <w:sz w:val="24"/>
              <w:szCs w:val="20"/>
              <w:lang w:val="sq-AL" w:eastAsia="en-GB"/>
            </w:rPr>
          </w:pPr>
          <w:r w:rsidRPr="005129AE">
            <w:rPr>
              <w:rFonts w:cs="Times New Roman"/>
              <w:i/>
              <w:sz w:val="24"/>
              <w:szCs w:val="24"/>
              <w:lang w:val="sq-AL" w:eastAsia="en-GB"/>
            </w:rPr>
            <w:t>Jepni kontekstin e politikës.</w:t>
          </w:r>
        </w:p>
      </w:sdtContent>
    </w:sdt>
    <w:p w14:paraId="55D02AA9" w14:textId="77777777" w:rsidR="00DC589E" w:rsidRDefault="00DC589E" w:rsidP="003F2E59">
      <w:pPr>
        <w:jc w:val="both"/>
        <w:rPr>
          <w:sz w:val="24"/>
          <w:szCs w:val="24"/>
          <w:lang w:val="sq-AL"/>
        </w:rPr>
      </w:pPr>
    </w:p>
    <w:p w14:paraId="3A6D1DDC" w14:textId="57B85636" w:rsidR="00981417" w:rsidRPr="00DC2146" w:rsidRDefault="00000000" w:rsidP="003F2E59">
      <w:pPr>
        <w:jc w:val="both"/>
        <w:rPr>
          <w:sz w:val="24"/>
          <w:szCs w:val="24"/>
          <w:lang w:val="sq-AL"/>
        </w:rPr>
      </w:pPr>
      <w:r w:rsidRPr="00DC2146">
        <w:rPr>
          <w:sz w:val="24"/>
          <w:szCs w:val="24"/>
          <w:lang w:val="sq-AL"/>
        </w:rPr>
        <w:t>Transparenca e emetuesve të titujve të pranuar për tregtim në tregje të rregulluara përbën një nga shtyllat themelore të integritetit të tregut të kapitalit. Në të drejtën e BE-së kjo fushë rregullohet kryesisht nga Direktiva 2004/109/EC e Parlamentit Evropian dhe e Këshillit për harmonizimin e kërkesave të transparencës për emetuesit, e plotësuar nga Direktiva 2007/14/EC dhe e ndryshuar nga aktet pasuese të viteve 2008, 2010, 2013, 2021, 2022 dhe 2023. K</w:t>
      </w:r>
      <w:r w:rsidR="005129AE" w:rsidRPr="00DC2146">
        <w:rPr>
          <w:sz w:val="24"/>
          <w:szCs w:val="24"/>
          <w:lang w:val="sq-AL"/>
        </w:rPr>
        <w:t xml:space="preserve">ëto </w:t>
      </w:r>
      <w:r w:rsidRPr="00DC2146">
        <w:rPr>
          <w:sz w:val="24"/>
          <w:szCs w:val="24"/>
          <w:lang w:val="sq-AL"/>
        </w:rPr>
        <w:t xml:space="preserve"> acquis përcakton afatet dhe përmbajtjen minimale të raportimit periodik, rregullat për njoftimin e pjesëmarrjeve të rëndësishme në kapital, përdorimin e mekanizmave zyrtarë të ruajtjes së informacionit të rregulluar, kompetencat e autoriteteve mbikëqyrëse dhe sanksionet.</w:t>
      </w:r>
    </w:p>
    <w:p w14:paraId="071F5811" w14:textId="55EBEBC8" w:rsidR="00981417" w:rsidRPr="00DC2146" w:rsidRDefault="00000000" w:rsidP="003F2E59">
      <w:pPr>
        <w:jc w:val="both"/>
        <w:rPr>
          <w:sz w:val="24"/>
          <w:szCs w:val="24"/>
          <w:lang w:val="sq-AL"/>
        </w:rPr>
      </w:pPr>
      <w:r w:rsidRPr="00DC2146">
        <w:rPr>
          <w:sz w:val="24"/>
          <w:szCs w:val="24"/>
          <w:lang w:val="sq-AL"/>
        </w:rPr>
        <w:t xml:space="preserve">Projektligji "Për kërkesat e transparencës për emetuesit e titujve" synon ta sjellë këtë regjim në legjislacionin shqiptar në formë të plotë, të sistemuar dhe të zbatueshme. Sipas objektit dhe fushës së zbatimit, </w:t>
      </w:r>
      <w:r w:rsidR="005129AE" w:rsidRPr="00DC2146">
        <w:rPr>
          <w:sz w:val="24"/>
          <w:szCs w:val="24"/>
          <w:lang w:val="sq-AL"/>
        </w:rPr>
        <w:t>projektligji</w:t>
      </w:r>
      <w:r w:rsidRPr="00DC2146">
        <w:rPr>
          <w:sz w:val="24"/>
          <w:szCs w:val="24"/>
          <w:lang w:val="sq-AL"/>
        </w:rPr>
        <w:t xml:space="preserve"> mbulon publikimin e informacionit periodik dhe të vazhdueshëm për emetuesit, titujt e të cilëve janë pranuar për tregtim në një treg të rregulluar në Republikën e Shqipërisë ose, sipas rregullave të shtetit të origjinës, edhe në një shtet anëtar të BE-së. </w:t>
      </w:r>
      <w:r w:rsidR="005129AE" w:rsidRPr="00DC2146">
        <w:rPr>
          <w:sz w:val="24"/>
          <w:szCs w:val="24"/>
          <w:lang w:val="sq-AL"/>
        </w:rPr>
        <w:t>Projektligji</w:t>
      </w:r>
      <w:r w:rsidRPr="00DC2146">
        <w:rPr>
          <w:sz w:val="24"/>
          <w:szCs w:val="24"/>
          <w:lang w:val="sq-AL"/>
        </w:rPr>
        <w:t xml:space="preserve"> përcakton qartë rolin e Autoritetit të Mbikëqyrjes Financiare si autoritet kompetent, parashikon miratimin e akteve nënligjore brenda 12 muajve dhe shfuqizon rregulloren ekzistuese të vitit 20</w:t>
      </w:r>
      <w:r w:rsidR="005129AE" w:rsidRPr="00DC2146">
        <w:rPr>
          <w:sz w:val="24"/>
          <w:szCs w:val="24"/>
          <w:lang w:val="sq-AL"/>
        </w:rPr>
        <w:t>23</w:t>
      </w:r>
      <w:r w:rsidRPr="00DC2146">
        <w:rPr>
          <w:sz w:val="24"/>
          <w:szCs w:val="24"/>
          <w:lang w:val="sq-AL"/>
        </w:rPr>
        <w:t xml:space="preserve"> për transparencën e shoqërive të listuara.</w:t>
      </w:r>
    </w:p>
    <w:p w14:paraId="5882412B" w14:textId="77777777" w:rsidR="00981417" w:rsidRPr="00DC2146" w:rsidRDefault="00000000" w:rsidP="003F2E59">
      <w:pPr>
        <w:jc w:val="both"/>
        <w:rPr>
          <w:sz w:val="24"/>
          <w:szCs w:val="24"/>
          <w:lang w:val="sq-AL"/>
        </w:rPr>
      </w:pPr>
      <w:r w:rsidRPr="00DC2146">
        <w:rPr>
          <w:sz w:val="24"/>
          <w:szCs w:val="24"/>
          <w:lang w:val="sq-AL"/>
        </w:rPr>
        <w:t>Materialisht, projektligji pasqyron strukturën e Direktivës së Transparencës: Kreu II rregullon raportet vjetore, raportet gjashtëmujore, transaksionet me palë të lidhura dhe raportin mbi pagesat ndaj institucioneve shtetërore; Kreu III rregullon njoftimet mbi zotërimet e mëdha, instrumentet financiare, informacionin shtesë për mbajtësit e titujve, gjuhët, aksesin në informacionin e rregulluar dhe mekanizmin zyrtar të ruajtjes; Kreu IV dhe V rregullojnë kompetencat e AMF-së, bashkëpunimin, masat paraprake dhe sanksionet. Në këtë mënyrë, drafti kalon nga një regjim kryesisht nënligjor në një regjim ligjor më të qëndrueshëm dhe më afër standardit të BE-së.</w:t>
      </w:r>
    </w:p>
    <w:p w14:paraId="180AE2EB" w14:textId="7DAAA343" w:rsidR="00981417" w:rsidRPr="00DC2146" w:rsidRDefault="00000000" w:rsidP="003F2E59">
      <w:pPr>
        <w:jc w:val="both"/>
        <w:rPr>
          <w:sz w:val="24"/>
          <w:szCs w:val="24"/>
          <w:lang w:val="sq-AL"/>
        </w:rPr>
      </w:pPr>
      <w:r w:rsidRPr="00DC2146">
        <w:rPr>
          <w:sz w:val="24"/>
          <w:szCs w:val="24"/>
          <w:lang w:val="sq-AL"/>
        </w:rPr>
        <w:t xml:space="preserve">Projektligji është </w:t>
      </w:r>
      <w:r w:rsidR="00C34080" w:rsidRPr="00DC2146">
        <w:rPr>
          <w:sz w:val="24"/>
          <w:szCs w:val="24"/>
          <w:lang w:val="sq-AL"/>
        </w:rPr>
        <w:t>hartuar</w:t>
      </w:r>
      <w:r w:rsidRPr="00DC2146">
        <w:rPr>
          <w:sz w:val="24"/>
          <w:szCs w:val="24"/>
          <w:lang w:val="sq-AL"/>
        </w:rPr>
        <w:t xml:space="preserve"> mbi këto akte kryesore të BE-së: Direktiva 2004/109/EC; Direktiva 2007/14/EC; Direktiva 2008/22/EC; Direktiva 2010/73/BE; Direktiva 2013/50/BE; Rregullorja e Deleguar (BE) 2015/761; Rregullorja (BE) 2021/337 dhe standardet për formatin unik elektronik të raportimit; Direktiva (BE) 2022/2464 për raportimin e qëndrueshmërisë; si dhe Direktiva (BE) 2023/2864 dhe Rregullorja (BE) 2023/2859 për Pikën e Vetme Evropiane të Aksesit (ESAP).</w:t>
      </w:r>
    </w:p>
    <w:p w14:paraId="74B0121B" w14:textId="369B094B" w:rsidR="00981417" w:rsidRPr="00DC2146" w:rsidRDefault="00000000" w:rsidP="003F2E59">
      <w:pPr>
        <w:jc w:val="both"/>
        <w:rPr>
          <w:sz w:val="24"/>
          <w:szCs w:val="24"/>
          <w:lang w:val="sq-AL"/>
        </w:rPr>
      </w:pPr>
      <w:r w:rsidRPr="00DC589E">
        <w:rPr>
          <w:i/>
          <w:iCs/>
          <w:sz w:val="24"/>
          <w:szCs w:val="24"/>
          <w:lang w:val="sq-AL"/>
        </w:rPr>
        <w:t>Qëllimi i ndërhyrjes ligjore</w:t>
      </w:r>
      <w:r w:rsidR="00C34080" w:rsidRPr="00DC589E">
        <w:rPr>
          <w:i/>
          <w:iCs/>
          <w:sz w:val="24"/>
          <w:szCs w:val="24"/>
          <w:lang w:val="sq-AL"/>
        </w:rPr>
        <w:t>:</w:t>
      </w:r>
      <w:r w:rsidR="00C34080" w:rsidRPr="00DC2146">
        <w:rPr>
          <w:sz w:val="24"/>
          <w:szCs w:val="24"/>
          <w:lang w:val="sq-AL"/>
        </w:rPr>
        <w:t xml:space="preserve"> </w:t>
      </w:r>
      <w:r w:rsidRPr="00DC2146">
        <w:rPr>
          <w:sz w:val="24"/>
          <w:szCs w:val="24"/>
          <w:lang w:val="sq-AL"/>
        </w:rPr>
        <w:t>Projektligji synon të vendosë një regjim të vetëm, të harmonizuar dhe të zbatueshëm të transparencës, duke përcaktuar qartë: fushën e zbatimit (emetuesit me tituj të pranuar për tregtim në tregje të rregulluara), detyrimet periodike (raportet vjetore/gjashtëmujore dhe raporti mbi pagesat ndaj institucioneve shtetërore), detyrimet e vazhdueshme (njoftimet mbi zotërime të mëdha, ndryshimet në të drejtat e votës dhe informacionin për aksionarët/zotëruesit e titujve të borxhit), si dhe mekanizmat e publikimit/ruajtjes dhe kompetencat sanksionuese të AMF-së.</w:t>
      </w:r>
    </w:p>
    <w:p w14:paraId="21B3939E" w14:textId="274E0AFC" w:rsidR="00981417" w:rsidRPr="00DC589E" w:rsidRDefault="00000000" w:rsidP="00DC589E">
      <w:pPr>
        <w:pStyle w:val="Heading4"/>
        <w:shd w:val="clear" w:color="auto" w:fill="FFFFFF"/>
        <w:spacing w:before="0"/>
        <w:jc w:val="both"/>
        <w:rPr>
          <w:rFonts w:ascii="Times New Roman" w:eastAsia="Times New Roman" w:hAnsi="Times New Roman" w:cs="Times New Roman"/>
          <w:b w:val="0"/>
          <w:bCs w:val="0"/>
          <w:i w:val="0"/>
          <w:iCs w:val="0"/>
          <w:color w:val="auto"/>
          <w:spacing w:val="-12"/>
          <w:sz w:val="24"/>
          <w:szCs w:val="24"/>
          <w:lang w:val="sq-AL"/>
        </w:rPr>
      </w:pPr>
      <w:r w:rsidRPr="00DC589E">
        <w:rPr>
          <w:rFonts w:ascii="Times New Roman" w:hAnsi="Times New Roman" w:cs="Times New Roman"/>
          <w:b w:val="0"/>
          <w:bCs w:val="0"/>
          <w:i w:val="0"/>
          <w:iCs w:val="0"/>
          <w:color w:val="auto"/>
          <w:sz w:val="24"/>
          <w:szCs w:val="24"/>
          <w:lang w:val="sq-AL"/>
        </w:rPr>
        <w:t>Konteksti kombëtar</w:t>
      </w:r>
      <w:r w:rsidR="00C34080" w:rsidRPr="00DC589E">
        <w:rPr>
          <w:rFonts w:ascii="Times New Roman" w:hAnsi="Times New Roman" w:cs="Times New Roman"/>
          <w:b w:val="0"/>
          <w:bCs w:val="0"/>
          <w:i w:val="0"/>
          <w:iCs w:val="0"/>
          <w:color w:val="auto"/>
          <w:sz w:val="24"/>
          <w:szCs w:val="24"/>
          <w:lang w:val="sq-AL"/>
        </w:rPr>
        <w:t xml:space="preserve">: </w:t>
      </w:r>
      <w:r w:rsidRPr="00DC589E">
        <w:rPr>
          <w:rFonts w:ascii="Times New Roman" w:hAnsi="Times New Roman" w:cs="Times New Roman"/>
          <w:b w:val="0"/>
          <w:bCs w:val="0"/>
          <w:i w:val="0"/>
          <w:iCs w:val="0"/>
          <w:color w:val="auto"/>
          <w:sz w:val="24"/>
          <w:szCs w:val="24"/>
          <w:lang w:val="sq-AL"/>
        </w:rPr>
        <w:t>Në Republikën e Shqipërisë, kuadri ligjor i tregjeve të kapitalit është zhvilluar progresivisht, me AMF-në si autoritet kompetent për mbikëqyrjen e treg</w:t>
      </w:r>
      <w:r w:rsidR="00C34080" w:rsidRPr="00DC589E">
        <w:rPr>
          <w:rFonts w:ascii="Times New Roman" w:hAnsi="Times New Roman" w:cs="Times New Roman"/>
          <w:b w:val="0"/>
          <w:bCs w:val="0"/>
          <w:i w:val="0"/>
          <w:iCs w:val="0"/>
          <w:color w:val="auto"/>
          <w:sz w:val="24"/>
          <w:szCs w:val="24"/>
          <w:lang w:val="sq-AL"/>
        </w:rPr>
        <w:t>jeve</w:t>
      </w:r>
      <w:r w:rsidRPr="00DC589E">
        <w:rPr>
          <w:rFonts w:ascii="Times New Roman" w:hAnsi="Times New Roman" w:cs="Times New Roman"/>
          <w:b w:val="0"/>
          <w:bCs w:val="0"/>
          <w:i w:val="0"/>
          <w:iCs w:val="0"/>
          <w:color w:val="auto"/>
          <w:sz w:val="24"/>
          <w:szCs w:val="24"/>
          <w:lang w:val="sq-AL"/>
        </w:rPr>
        <w:t xml:space="preserve"> të kapitalit. Megjithatë, rregullimi i transparencës së emetuesve ka qenë kryesisht i mbështetur në një rregullore të AMF-së </w:t>
      </w:r>
      <w:r w:rsidR="00C34080" w:rsidRPr="00DC589E">
        <w:rPr>
          <w:rFonts w:ascii="Times New Roman" w:hAnsi="Times New Roman" w:cs="Times New Roman"/>
          <w:b w:val="0"/>
          <w:bCs w:val="0"/>
          <w:i w:val="0"/>
          <w:iCs w:val="0"/>
          <w:color w:val="auto"/>
          <w:sz w:val="24"/>
          <w:szCs w:val="24"/>
          <w:lang w:val="sq-AL"/>
        </w:rPr>
        <w:t xml:space="preserve">të vitit </w:t>
      </w:r>
      <w:r w:rsidRPr="00DC589E">
        <w:rPr>
          <w:rFonts w:ascii="Times New Roman" w:hAnsi="Times New Roman" w:cs="Times New Roman"/>
          <w:b w:val="0"/>
          <w:bCs w:val="0"/>
          <w:i w:val="0"/>
          <w:iCs w:val="0"/>
          <w:color w:val="auto"/>
          <w:sz w:val="24"/>
          <w:szCs w:val="24"/>
          <w:lang w:val="sq-AL"/>
        </w:rPr>
        <w:t>20</w:t>
      </w:r>
      <w:r w:rsidR="00C34080" w:rsidRPr="00DC589E">
        <w:rPr>
          <w:rFonts w:ascii="Times New Roman" w:hAnsi="Times New Roman" w:cs="Times New Roman"/>
          <w:b w:val="0"/>
          <w:bCs w:val="0"/>
          <w:i w:val="0"/>
          <w:iCs w:val="0"/>
          <w:color w:val="auto"/>
          <w:sz w:val="24"/>
          <w:szCs w:val="24"/>
          <w:lang w:val="sq-AL"/>
        </w:rPr>
        <w:t>23</w:t>
      </w:r>
      <w:r w:rsidR="00DC589E" w:rsidRPr="00DC589E">
        <w:rPr>
          <w:rFonts w:ascii="Times New Roman" w:hAnsi="Times New Roman" w:cs="Times New Roman"/>
          <w:b w:val="0"/>
          <w:bCs w:val="0"/>
          <w:i w:val="0"/>
          <w:iCs w:val="0"/>
          <w:color w:val="auto"/>
          <w:sz w:val="24"/>
          <w:szCs w:val="24"/>
          <w:lang w:val="sq-AL"/>
        </w:rPr>
        <w:t xml:space="preserve"> (</w:t>
      </w:r>
      <w:hyperlink r:id="rId9" w:history="1">
        <w:r w:rsidR="00DC589E" w:rsidRPr="00DC589E">
          <w:rPr>
            <w:rFonts w:ascii="Times New Roman" w:eastAsia="Times New Roman" w:hAnsi="Times New Roman" w:cs="Times New Roman"/>
            <w:b w:val="0"/>
            <w:bCs w:val="0"/>
            <w:i w:val="0"/>
            <w:iCs w:val="0"/>
            <w:color w:val="auto"/>
            <w:spacing w:val="-12"/>
            <w:sz w:val="24"/>
            <w:szCs w:val="24"/>
            <w:lang w:val="sq-AL"/>
          </w:rPr>
          <w:t>Rregullore nr. 5, datë 26.01.2023 “Për kërkesat e transparencës në lidhje me Informacionin e shoqërive të listuara”</w:t>
        </w:r>
      </w:hyperlink>
      <w:r w:rsidR="00DC589E" w:rsidRPr="00DC589E">
        <w:rPr>
          <w:rFonts w:ascii="Times New Roman" w:eastAsia="Times New Roman" w:hAnsi="Times New Roman" w:cs="Times New Roman"/>
          <w:b w:val="0"/>
          <w:bCs w:val="0"/>
          <w:i w:val="0"/>
          <w:iCs w:val="0"/>
          <w:color w:val="auto"/>
          <w:spacing w:val="-12"/>
          <w:sz w:val="24"/>
          <w:szCs w:val="24"/>
          <w:lang w:val="sq-AL"/>
        </w:rPr>
        <w:t xml:space="preserve">) </w:t>
      </w:r>
      <w:r w:rsidRPr="00DC589E">
        <w:rPr>
          <w:rFonts w:ascii="Times New Roman" w:hAnsi="Times New Roman" w:cs="Times New Roman"/>
          <w:b w:val="0"/>
          <w:bCs w:val="0"/>
          <w:i w:val="0"/>
          <w:iCs w:val="0"/>
          <w:color w:val="auto"/>
          <w:sz w:val="24"/>
          <w:szCs w:val="24"/>
          <w:lang w:val="sq-AL"/>
        </w:rPr>
        <w:t xml:space="preserve">dhe </w:t>
      </w:r>
      <w:r w:rsidR="00C34080" w:rsidRPr="00DC589E">
        <w:rPr>
          <w:rFonts w:ascii="Times New Roman" w:hAnsi="Times New Roman" w:cs="Times New Roman"/>
          <w:b w:val="0"/>
          <w:bCs w:val="0"/>
          <w:i w:val="0"/>
          <w:iCs w:val="0"/>
          <w:color w:val="auto"/>
          <w:sz w:val="24"/>
          <w:szCs w:val="24"/>
          <w:lang w:val="sq-AL"/>
        </w:rPr>
        <w:t xml:space="preserve">disa </w:t>
      </w:r>
      <w:r w:rsidRPr="00DC589E">
        <w:rPr>
          <w:rFonts w:ascii="Times New Roman" w:hAnsi="Times New Roman" w:cs="Times New Roman"/>
          <w:b w:val="0"/>
          <w:bCs w:val="0"/>
          <w:i w:val="0"/>
          <w:iCs w:val="0"/>
          <w:color w:val="auto"/>
          <w:sz w:val="24"/>
          <w:szCs w:val="24"/>
          <w:lang w:val="sq-AL"/>
        </w:rPr>
        <w:t>dispozita të</w:t>
      </w:r>
      <w:r w:rsidR="00C34080" w:rsidRPr="00DC589E">
        <w:rPr>
          <w:rFonts w:ascii="Times New Roman" w:hAnsi="Times New Roman" w:cs="Times New Roman"/>
          <w:b w:val="0"/>
          <w:bCs w:val="0"/>
          <w:i w:val="0"/>
          <w:iCs w:val="0"/>
          <w:color w:val="auto"/>
          <w:sz w:val="24"/>
          <w:szCs w:val="24"/>
          <w:lang w:val="sq-AL"/>
        </w:rPr>
        <w:t xml:space="preserve"> parashkuara në legjislacionin për tregjet e kapitalit</w:t>
      </w:r>
      <w:r w:rsidRPr="00DC589E">
        <w:rPr>
          <w:rFonts w:ascii="Times New Roman" w:hAnsi="Times New Roman" w:cs="Times New Roman"/>
          <w:b w:val="0"/>
          <w:bCs w:val="0"/>
          <w:i w:val="0"/>
          <w:iCs w:val="0"/>
          <w:color w:val="auto"/>
          <w:sz w:val="24"/>
          <w:szCs w:val="24"/>
          <w:lang w:val="sq-AL"/>
        </w:rPr>
        <w:t>, çka nuk siguron të njëjtin nivel koherence dhe siguri juridike si një ligj i posaçëm. Për më tepër, evoluimi i acquis të BE-së kërkon përditësim të vazhdueshëm për elementët teknikë të raportimit dhe shpërndarjes.</w:t>
      </w:r>
    </w:p>
    <w:p w14:paraId="0132C6FB" w14:textId="04F76840" w:rsidR="00981417" w:rsidRPr="00DC2146" w:rsidRDefault="00000000" w:rsidP="003F2E59">
      <w:pPr>
        <w:jc w:val="both"/>
        <w:rPr>
          <w:sz w:val="24"/>
          <w:szCs w:val="24"/>
          <w:lang w:val="sq-AL"/>
        </w:rPr>
      </w:pPr>
      <w:r w:rsidRPr="00DC589E">
        <w:rPr>
          <w:i/>
          <w:iCs/>
          <w:sz w:val="24"/>
          <w:szCs w:val="24"/>
          <w:lang w:val="sq-AL"/>
        </w:rPr>
        <w:t>Aksesimi në nivel BE dhe ESAP</w:t>
      </w:r>
      <w:r w:rsidR="00C34080" w:rsidRPr="00DC589E">
        <w:rPr>
          <w:i/>
          <w:iCs/>
          <w:sz w:val="24"/>
          <w:szCs w:val="24"/>
          <w:lang w:val="sq-AL"/>
        </w:rPr>
        <w:t>:</w:t>
      </w:r>
      <w:r w:rsidR="00C34080" w:rsidRPr="00DC2146">
        <w:rPr>
          <w:sz w:val="24"/>
          <w:szCs w:val="24"/>
          <w:lang w:val="sq-AL"/>
        </w:rPr>
        <w:t xml:space="preserve"> </w:t>
      </w:r>
      <w:r w:rsidRPr="00DC2146">
        <w:rPr>
          <w:sz w:val="24"/>
          <w:szCs w:val="24"/>
          <w:lang w:val="sq-AL"/>
        </w:rPr>
        <w:t>Kuadri i ri evropian synon që informacioni i rregulluar i emetuesve të jetë i aksesueshëm në mënyrë të centralizuar përmes Pikës së Vetme Evropiane të Aksesit (European Single Access Point – ESAP), nëpërmjet mekanizmave kombëtare të ruajtjes dhe metadata standarde. Projektligji përfshin dispozita për ESAP (nenet 31–33) dhe raportimet/koordinimin me ESMA (neni 37), duke parashikuar zbatimin e plotë të këtyre dispozitave nga data e anëtarësimit të Republikës së Shqipërisë në BE (neni 44).</w:t>
      </w:r>
    </w:p>
    <w:p w14:paraId="14082F9A" w14:textId="062A724C" w:rsidR="00981417" w:rsidRPr="00DC2146" w:rsidRDefault="00000000" w:rsidP="003F2E59">
      <w:pPr>
        <w:jc w:val="both"/>
        <w:rPr>
          <w:sz w:val="24"/>
          <w:szCs w:val="24"/>
          <w:lang w:val="sq-AL"/>
        </w:rPr>
      </w:pPr>
      <w:r w:rsidRPr="00DC589E">
        <w:rPr>
          <w:i/>
          <w:iCs/>
          <w:sz w:val="24"/>
          <w:szCs w:val="24"/>
          <w:lang w:val="sq-AL"/>
        </w:rPr>
        <w:lastRenderedPageBreak/>
        <w:t>Digitalizimi i raportimit dhe standardizimi në format elektronik</w:t>
      </w:r>
      <w:r w:rsidRPr="00DC2146">
        <w:rPr>
          <w:sz w:val="24"/>
          <w:szCs w:val="24"/>
          <w:lang w:val="sq-AL"/>
        </w:rPr>
        <w:t>. Një nga zhvillimet më të rëndësishme të viteve të fundit është vendosja e Formatit Unik Elektronik të Raportimit (ESEF) për raportet financiare vjetore, për të rritur përdorshmërinë dhe krahasueshmërinë e pasqyrave financiare dhe për të mundësuar analizë më efikase nga investitorët dhe autoritetet. Projektligji parashikon zbatimin e ESEF për vitet financiare pas 1 janarit 2028 (neni 4) dhe autorizon AMF-në të nxjerrë standardet teknike rregullatore përkatëse në përputhje me Rregulloren e deleguar (BE) 2018/815.</w:t>
      </w:r>
    </w:p>
    <w:p w14:paraId="1916E511" w14:textId="59AC9CFA" w:rsidR="00981417" w:rsidRPr="00DC2146" w:rsidRDefault="00000000" w:rsidP="003F2E59">
      <w:pPr>
        <w:jc w:val="both"/>
        <w:rPr>
          <w:sz w:val="24"/>
          <w:szCs w:val="24"/>
          <w:lang w:val="sq-AL"/>
        </w:rPr>
      </w:pPr>
      <w:r w:rsidRPr="00DC2146">
        <w:rPr>
          <w:sz w:val="24"/>
          <w:szCs w:val="24"/>
          <w:lang w:val="sq-AL"/>
        </w:rPr>
        <w:t>Pas krizës financiare dhe zhvillimeve në qeverisjen korporative, BE-ja përditësoi Direktivën e Transparencës (ndryshimet e vitit 2013) për të rritur efikasitetin e raportimit, për të shmangur mbingarkesën rregullatore (p.sh. heqja e raportimit tremujor të detyrueshëm) dhe për të forcuar transparencën mbi instrumentet financiare që japin ekspozim ekonomik ndaj aksioneve (përfshirë derivativët), si dhe për të unifikuar pragjet/afatet e njoftimeve. Projektligji shqiptar reflekton këtë evolucion duke përfshirë njoftimin mbi instrumentet financiare (nenet 12–21) dhe rregulla për agregimin (neni 16).</w:t>
      </w:r>
    </w:p>
    <w:p w14:paraId="1E5E6C0C" w14:textId="49A8A5BB" w:rsidR="00981417" w:rsidRPr="00DC2146" w:rsidRDefault="00000000" w:rsidP="003F2E59">
      <w:pPr>
        <w:jc w:val="both"/>
        <w:rPr>
          <w:sz w:val="24"/>
          <w:szCs w:val="24"/>
          <w:lang w:val="sq-AL"/>
        </w:rPr>
      </w:pPr>
      <w:r w:rsidRPr="00DC2146">
        <w:rPr>
          <w:sz w:val="24"/>
          <w:szCs w:val="24"/>
          <w:lang w:val="sq-AL"/>
        </w:rPr>
        <w:t>Zbatimi i Direktivës së Transparencës u plotësua me Direktiven 2007/14/EC, e cila përcakton elementë teknikë/standardë (p.sh.</w:t>
      </w:r>
      <w:r w:rsidR="00097EFD">
        <w:rPr>
          <w:sz w:val="24"/>
          <w:szCs w:val="24"/>
          <w:lang w:val="sq-AL"/>
        </w:rPr>
        <w:t xml:space="preserve"> </w:t>
      </w:r>
      <w:r w:rsidR="00DC589E">
        <w:rPr>
          <w:sz w:val="24"/>
          <w:szCs w:val="24"/>
          <w:lang w:val="sq-AL"/>
        </w:rPr>
        <w:t>përkufizime</w:t>
      </w:r>
      <w:r w:rsidRPr="00DC2146">
        <w:rPr>
          <w:sz w:val="24"/>
          <w:szCs w:val="24"/>
          <w:lang w:val="sq-AL"/>
        </w:rPr>
        <w:t>, afate dhe mënyra të paraqitjes së informacionit të rregulluar, formatet e njoftimeve për zotërime të mëdha, si dhe disa aspekte të mekanizmave të ruajtjes dhe shpërndarjes). Përmes këtyre instrumenteve, BE-ja ka synuar të krijojë një “bazë minimale të përbashkët” që të garantojë akses të barabartë dhe të shpejtë në informacionin e emetuesve, pavarësisht shtetit ku tregtohen titujt.</w:t>
      </w:r>
    </w:p>
    <w:p w14:paraId="2763C04C" w14:textId="727AFE75" w:rsidR="00981417" w:rsidRPr="005129AE" w:rsidRDefault="00000000" w:rsidP="003F2E59">
      <w:pPr>
        <w:jc w:val="both"/>
        <w:rPr>
          <w:sz w:val="24"/>
          <w:szCs w:val="24"/>
          <w:lang w:val="it-IT"/>
        </w:rPr>
      </w:pPr>
      <w:r w:rsidRPr="00151A61">
        <w:rPr>
          <w:i/>
          <w:iCs/>
          <w:sz w:val="24"/>
          <w:szCs w:val="24"/>
          <w:lang w:val="it-IT"/>
        </w:rPr>
        <w:t>Konteksti i acquis të BE-së.</w:t>
      </w:r>
      <w:r w:rsidRPr="005129AE">
        <w:rPr>
          <w:sz w:val="24"/>
          <w:szCs w:val="24"/>
          <w:lang w:val="it-IT"/>
        </w:rPr>
        <w:t xml:space="preserve"> Regjimi evropian i transparencës për emetuesit e titujve të pranuar për tregtim në tregje të rregulluara u konsolidua me Direktivën 2004/109/EC (e ashtuquajtura “Direktiva e Transparencës”), e cila vendosi kërkesa minimale për publikimin e informacionit periodik dhe të vazhdueshëm, si dhe për njoftimet mbi zotërimet e mëdha dhe të drejtat e votës. Qëllimi i këtij regjimi është të reduktojë asimetrinë e informacionit midis emetuesve dhe investitorëve, të rrisë integritetin e tregut dhe të lehtësojë funksionimin e tregjeve të kapitalit në kushtet e tregtimit ndërkufitar.</w:t>
      </w:r>
    </w:p>
    <w:p w14:paraId="021A92BE" w14:textId="77777777" w:rsidR="00C34080" w:rsidRDefault="00C34080" w:rsidP="003F2E59">
      <w:pPr>
        <w:jc w:val="both"/>
        <w:rPr>
          <w:lang w:val="it-IT"/>
        </w:rPr>
      </w:pPr>
    </w:p>
    <w:p w14:paraId="6517EE60" w14:textId="77777777" w:rsidR="00C34080" w:rsidRPr="00C34080" w:rsidRDefault="00C34080" w:rsidP="00C34080">
      <w:pPr>
        <w:keepNext/>
        <w:tabs>
          <w:tab w:val="right" w:pos="10206"/>
        </w:tabs>
        <w:spacing w:before="240" w:after="60" w:line="276" w:lineRule="auto"/>
        <w:outlineLvl w:val="0"/>
        <w:rPr>
          <w:rFonts w:cs="Times New Roman"/>
          <w:b/>
          <w:bCs/>
          <w:spacing w:val="-4"/>
          <w:kern w:val="32"/>
          <w:sz w:val="24"/>
          <w:szCs w:val="24"/>
          <w:lang w:val="sq-AL" w:eastAsia="en-GB"/>
        </w:rPr>
      </w:pPr>
      <w:bookmarkStart w:id="3" w:name="_Hlk191987000"/>
      <w:r w:rsidRPr="00C34080">
        <w:rPr>
          <w:rFonts w:cs="Times New Roman"/>
          <w:b/>
          <w:bCs/>
          <w:spacing w:val="-4"/>
          <w:kern w:val="32"/>
          <w:sz w:val="24"/>
          <w:szCs w:val="24"/>
          <w:lang w:val="sq-AL" w:eastAsia="en-GB"/>
        </w:rPr>
        <w:t>Problemi në shqyrtim</w:t>
      </w:r>
    </w:p>
    <w:sdt>
      <w:sdtPr>
        <w:rPr>
          <w:rFonts w:ascii="Calibri" w:hAnsi="Calibri" w:cs="Times New Roman"/>
          <w:szCs w:val="20"/>
          <w:lang w:val="en-GB" w:eastAsia="en-GB"/>
        </w:rPr>
        <w:id w:val="5332828"/>
        <w:lock w:val="contentLocked"/>
        <w:placeholder>
          <w:docPart w:val="9AE0C47DBAE548DA8CB3DABE570B08B6"/>
        </w:placeholder>
      </w:sdtPr>
      <w:sdtContent>
        <w:p w14:paraId="6220C465" w14:textId="77777777" w:rsidR="00C34080" w:rsidRPr="00C34080" w:rsidRDefault="00C34080" w:rsidP="00C34080">
          <w:pPr>
            <w:numPr>
              <w:ilvl w:val="0"/>
              <w:numId w:val="14"/>
            </w:numPr>
            <w:tabs>
              <w:tab w:val="left" w:pos="567"/>
            </w:tabs>
            <w:spacing w:after="0" w:line="276" w:lineRule="auto"/>
            <w:jc w:val="both"/>
            <w:rPr>
              <w:rFonts w:cs="Times New Roman"/>
              <w:i/>
              <w:sz w:val="24"/>
              <w:szCs w:val="24"/>
              <w:lang w:val="en-GB" w:eastAsia="en-GB"/>
            </w:rPr>
          </w:pPr>
          <w:r w:rsidRPr="00C34080">
            <w:rPr>
              <w:rFonts w:cs="Times New Roman"/>
              <w:i/>
              <w:sz w:val="24"/>
              <w:szCs w:val="24"/>
              <w:lang w:val="en-GB" w:eastAsia="en-GB"/>
            </w:rPr>
            <w:t>Përshkruani natyrën e problemit.</w:t>
          </w:r>
        </w:p>
        <w:p w14:paraId="1E1B49A2" w14:textId="77777777" w:rsidR="00C34080" w:rsidRPr="00C34080" w:rsidRDefault="00C34080" w:rsidP="00C34080">
          <w:pPr>
            <w:numPr>
              <w:ilvl w:val="0"/>
              <w:numId w:val="14"/>
            </w:numPr>
            <w:tabs>
              <w:tab w:val="left" w:pos="567"/>
            </w:tabs>
            <w:spacing w:after="0" w:line="276" w:lineRule="auto"/>
            <w:jc w:val="both"/>
            <w:rPr>
              <w:rFonts w:cs="Times New Roman"/>
              <w:i/>
              <w:sz w:val="24"/>
              <w:szCs w:val="24"/>
              <w:lang w:val="en-GB" w:eastAsia="en-GB"/>
            </w:rPr>
          </w:pPr>
          <w:r w:rsidRPr="00C34080">
            <w:rPr>
              <w:rFonts w:cs="Times New Roman"/>
              <w:i/>
              <w:sz w:val="24"/>
              <w:szCs w:val="24"/>
              <w:lang w:val="en-GB" w:eastAsia="en-GB"/>
            </w:rPr>
            <w:t>Identifikoni shkaqet e problemit.</w:t>
          </w:r>
        </w:p>
        <w:p w14:paraId="17E497C2" w14:textId="77777777" w:rsidR="00C34080" w:rsidRPr="00C34080" w:rsidRDefault="00C34080" w:rsidP="00C34080">
          <w:pPr>
            <w:numPr>
              <w:ilvl w:val="0"/>
              <w:numId w:val="14"/>
            </w:numPr>
            <w:tabs>
              <w:tab w:val="left" w:pos="567"/>
            </w:tabs>
            <w:spacing w:after="0" w:line="276" w:lineRule="auto"/>
            <w:jc w:val="both"/>
            <w:rPr>
              <w:rFonts w:cs="Times New Roman"/>
              <w:i/>
              <w:sz w:val="24"/>
              <w:szCs w:val="24"/>
              <w:lang w:val="en-GB" w:eastAsia="en-GB"/>
            </w:rPr>
          </w:pPr>
          <w:r w:rsidRPr="00C34080">
            <w:rPr>
              <w:rFonts w:cs="Times New Roman"/>
              <w:i/>
              <w:sz w:val="24"/>
              <w:szCs w:val="24"/>
              <w:lang w:val="en-GB" w:eastAsia="en-GB"/>
            </w:rPr>
            <w:t>Përshkruani shtrirjen e problemit.</w:t>
          </w:r>
        </w:p>
        <w:p w14:paraId="379EA107" w14:textId="77777777" w:rsidR="00C34080" w:rsidRPr="00C34080" w:rsidRDefault="00C34080" w:rsidP="00C34080">
          <w:pPr>
            <w:numPr>
              <w:ilvl w:val="0"/>
              <w:numId w:val="14"/>
            </w:numPr>
            <w:tabs>
              <w:tab w:val="left" w:pos="567"/>
            </w:tabs>
            <w:spacing w:after="0" w:line="276" w:lineRule="auto"/>
            <w:jc w:val="both"/>
            <w:rPr>
              <w:rFonts w:cs="Times New Roman"/>
              <w:i/>
              <w:sz w:val="24"/>
              <w:szCs w:val="24"/>
              <w:lang w:val="en-GB" w:eastAsia="en-GB"/>
            </w:rPr>
          </w:pPr>
          <w:r w:rsidRPr="00C34080">
            <w:rPr>
              <w:rFonts w:cs="Times New Roman"/>
              <w:i/>
              <w:sz w:val="24"/>
              <w:szCs w:val="24"/>
              <w:lang w:val="en-GB" w:eastAsia="en-GB"/>
            </w:rPr>
            <w:t>Identifikoni grupet e prekura nga ky problem - qeveria / biznesi / shoqëria civile / qytetarët.</w:t>
          </w:r>
        </w:p>
        <w:p w14:paraId="5B94622F" w14:textId="77777777" w:rsidR="00C34080" w:rsidRPr="00C34080" w:rsidRDefault="00C34080" w:rsidP="00C34080">
          <w:pPr>
            <w:numPr>
              <w:ilvl w:val="0"/>
              <w:numId w:val="14"/>
            </w:numPr>
            <w:tabs>
              <w:tab w:val="left" w:pos="567"/>
            </w:tabs>
            <w:spacing w:after="0" w:line="276" w:lineRule="auto"/>
            <w:jc w:val="both"/>
            <w:rPr>
              <w:rFonts w:cs="Times New Roman"/>
              <w:i/>
              <w:sz w:val="24"/>
              <w:szCs w:val="24"/>
              <w:lang w:val="en-GB" w:eastAsia="en-GB"/>
            </w:rPr>
          </w:pPr>
          <w:r w:rsidRPr="00C34080">
            <w:rPr>
              <w:rFonts w:cs="Times New Roman"/>
              <w:i/>
              <w:sz w:val="24"/>
              <w:szCs w:val="24"/>
              <w:lang w:val="en-GB" w:eastAsia="en-GB"/>
            </w:rPr>
            <w:t>Vlerësoni nëse problemi mund të trajtohet ose jo përmes një ndryshimi të politikave.</w:t>
          </w:r>
        </w:p>
      </w:sdtContent>
    </w:sdt>
    <w:bookmarkEnd w:id="3"/>
    <w:p w14:paraId="48439E2D" w14:textId="77777777" w:rsidR="00C34080" w:rsidRPr="00C34080" w:rsidRDefault="00C34080" w:rsidP="003F2E59">
      <w:pPr>
        <w:jc w:val="both"/>
      </w:pPr>
    </w:p>
    <w:p w14:paraId="093D0698" w14:textId="77777777" w:rsidR="00151A61" w:rsidRPr="00151A61" w:rsidRDefault="00000000" w:rsidP="003F2E59">
      <w:pPr>
        <w:jc w:val="both"/>
        <w:rPr>
          <w:i/>
          <w:iCs/>
          <w:sz w:val="24"/>
          <w:szCs w:val="24"/>
        </w:rPr>
      </w:pPr>
      <w:r w:rsidRPr="00151A61">
        <w:rPr>
          <w:i/>
          <w:iCs/>
          <w:sz w:val="24"/>
          <w:szCs w:val="24"/>
        </w:rPr>
        <w:t>Natyra e problemit.</w:t>
      </w:r>
    </w:p>
    <w:p w14:paraId="58D7A264" w14:textId="7D74BAA6" w:rsidR="00981417" w:rsidRPr="00151A61" w:rsidRDefault="00000000" w:rsidP="003F2E59">
      <w:pPr>
        <w:jc w:val="both"/>
        <w:rPr>
          <w:sz w:val="24"/>
          <w:szCs w:val="24"/>
        </w:rPr>
      </w:pPr>
      <w:r w:rsidRPr="00151A61">
        <w:rPr>
          <w:sz w:val="24"/>
          <w:szCs w:val="24"/>
        </w:rPr>
        <w:t>Kuadri aktual shqiptar nuk përmbledh në një akt ligjor të vetëm dhe të përditësuar të gjitha detyrimet materiale të transparencës që kërkohen për emetuesit e titujve. Pjesë të rëndësishme të regjimit mbështeten në rregullore ose në dispozita të shpërndara, gjë që ul sigurinë juridike, rrit rrezikun e interpretimit jo të njëtrajtshëm dhe vështirëson zbatimin konsistent.</w:t>
      </w:r>
    </w:p>
    <w:p w14:paraId="765DB784" w14:textId="77777777" w:rsidR="00151A61" w:rsidRPr="00151A61" w:rsidRDefault="00000000" w:rsidP="003F2E59">
      <w:pPr>
        <w:jc w:val="both"/>
        <w:rPr>
          <w:i/>
          <w:iCs/>
          <w:sz w:val="24"/>
          <w:szCs w:val="24"/>
        </w:rPr>
      </w:pPr>
      <w:r w:rsidRPr="00151A61">
        <w:rPr>
          <w:i/>
          <w:iCs/>
          <w:sz w:val="24"/>
          <w:szCs w:val="24"/>
        </w:rPr>
        <w:t xml:space="preserve">Shkaqet e problemit. </w:t>
      </w:r>
    </w:p>
    <w:p w14:paraId="637DBAE1" w14:textId="13F69924" w:rsidR="00981417" w:rsidRPr="00151A61" w:rsidRDefault="00000000" w:rsidP="003F2E59">
      <w:pPr>
        <w:jc w:val="both"/>
        <w:rPr>
          <w:sz w:val="24"/>
          <w:szCs w:val="24"/>
        </w:rPr>
      </w:pPr>
      <w:r w:rsidRPr="00151A61">
        <w:rPr>
          <w:sz w:val="24"/>
          <w:szCs w:val="24"/>
        </w:rPr>
        <w:t>Shkaku kryesor është evoluimi i acquis të BE-së pas miratimit të rregullave ekzistuese kombëtare. Ndryshimet e Direktivës së Transparencës kanë shtuar kërkesa për agregimin e instrumenteve financiare, ruajtjen qendrore dhe aksesin ndërkufitar në informacion, formatin unik elektronik, referencat ndaj raportimit të qëndrueshmërisë dhe, më së fundi, mekanizmat e ESAP. Kuadri aktual nuk i pasqyron plotësisht këto zhvillime.</w:t>
      </w:r>
    </w:p>
    <w:p w14:paraId="0D25DF70" w14:textId="77777777" w:rsidR="00151A61" w:rsidRPr="00151A61" w:rsidRDefault="00000000" w:rsidP="003F2E59">
      <w:pPr>
        <w:jc w:val="both"/>
        <w:rPr>
          <w:i/>
          <w:iCs/>
          <w:sz w:val="24"/>
          <w:szCs w:val="24"/>
        </w:rPr>
      </w:pPr>
      <w:r w:rsidRPr="00151A61">
        <w:rPr>
          <w:i/>
          <w:iCs/>
          <w:sz w:val="24"/>
          <w:szCs w:val="24"/>
        </w:rPr>
        <w:t>Shtrirja e problemit.</w:t>
      </w:r>
    </w:p>
    <w:p w14:paraId="697740CC" w14:textId="02298026" w:rsidR="00981417" w:rsidRPr="00151A61" w:rsidRDefault="00000000" w:rsidP="003F2E59">
      <w:pPr>
        <w:jc w:val="both"/>
        <w:rPr>
          <w:sz w:val="24"/>
          <w:szCs w:val="24"/>
        </w:rPr>
      </w:pPr>
      <w:r w:rsidRPr="00151A61">
        <w:rPr>
          <w:sz w:val="24"/>
          <w:szCs w:val="24"/>
        </w:rPr>
        <w:t xml:space="preserve"> Problemi prek të gjithë emetuesit e aksioneve ose titujve të borxhit të pranuar për tregtim në tregje të rregulluara, aksionarët ose personat që kalojnë pragjet e njoftimit, shoqëritë komisionere, institucionet e kreditit, kujdestarët, operatorin e tregut, audituesit ligjorë dhe vetë AMF-në si autoritet kompetent.</w:t>
      </w:r>
    </w:p>
    <w:p w14:paraId="1EFDC401" w14:textId="77777777" w:rsidR="00981417" w:rsidRPr="00151A61" w:rsidRDefault="00000000" w:rsidP="003F2E59">
      <w:pPr>
        <w:jc w:val="both"/>
        <w:rPr>
          <w:sz w:val="24"/>
          <w:szCs w:val="24"/>
        </w:rPr>
      </w:pPr>
      <w:r w:rsidRPr="00151A61">
        <w:rPr>
          <w:sz w:val="24"/>
          <w:szCs w:val="24"/>
        </w:rPr>
        <w:t xml:space="preserve">Pasojat kryesore. Mungesa e standardizimit sjell asimetri më të lartë informacioni, ul krahasueshmërinë dhe përdorshmërinë e të dhënave për investitorët, rrit kostot e verifikimit dhe të kërkesave ad hoc, si dhe </w:t>
      </w:r>
      <w:r w:rsidRPr="00151A61">
        <w:rPr>
          <w:sz w:val="24"/>
          <w:szCs w:val="24"/>
        </w:rPr>
        <w:lastRenderedPageBreak/>
        <w:t>dobëson efektivitetin e mbikëqyrjes dhe sanksionimit. Në mungesë të rregullave të qarta për njoftimin e pragjeve, për instrumentet me efekt ekonomik të ngjashëm dhe për ruajtjen qendrore të informacionit, rritet rreziku që tregu të mos reagojë në mënyrë të plotë dhe në kohë ndaj informacionit material.</w:t>
      </w:r>
    </w:p>
    <w:p w14:paraId="08551170" w14:textId="77777777" w:rsidR="00981417" w:rsidRPr="00151A61" w:rsidRDefault="00000000" w:rsidP="003F2E59">
      <w:pPr>
        <w:jc w:val="both"/>
        <w:rPr>
          <w:sz w:val="24"/>
          <w:szCs w:val="24"/>
        </w:rPr>
      </w:pPr>
      <w:r w:rsidRPr="00151A61">
        <w:rPr>
          <w:sz w:val="24"/>
          <w:szCs w:val="24"/>
        </w:rPr>
        <w:t>A mund të trajtohet problemi përmes ndryshimit të politikave? Po. Problemi nuk mund të zgjidhet mjaftueshëm me udhëzime jo detyruese ose me vetërregullim, sepse lidhet me detyrime ligjore të publikimit, afate, standarde minimale, kompetenca të autoritetit dhe masa sanksionuese. Për këtë arsye kërkohet ndërhyrje me ligj dhe akte nënligjore zbatuese.</w:t>
      </w:r>
    </w:p>
    <w:p w14:paraId="021F8DEE" w14:textId="77777777" w:rsidR="00151A61" w:rsidRDefault="00000000" w:rsidP="003F2E59">
      <w:pPr>
        <w:jc w:val="both"/>
        <w:rPr>
          <w:sz w:val="24"/>
          <w:szCs w:val="24"/>
        </w:rPr>
      </w:pPr>
      <w:r w:rsidRPr="00151A61">
        <w:rPr>
          <w:sz w:val="24"/>
          <w:szCs w:val="24"/>
        </w:rPr>
        <w:t xml:space="preserve">Konkluzion mbi nevojën për ndërhyrje. </w:t>
      </w:r>
    </w:p>
    <w:p w14:paraId="428ABC92" w14:textId="00F996EC" w:rsidR="00981417" w:rsidRPr="00151A61" w:rsidRDefault="00000000" w:rsidP="003F2E59">
      <w:pPr>
        <w:jc w:val="both"/>
        <w:rPr>
          <w:sz w:val="24"/>
          <w:szCs w:val="24"/>
        </w:rPr>
      </w:pPr>
      <w:r w:rsidRPr="00151A61">
        <w:rPr>
          <w:sz w:val="24"/>
          <w:szCs w:val="24"/>
        </w:rPr>
        <w:t>Problemi nuk është thjesht teknik, por lidhet me funksionimin e tregut, mbrojtjen e investitorëve dhe përafrimin me acquis të BE-së. Ndërhyrja në nivel ligjor është e nevojshme për të garantuar koherencë, siguri juridike, zbatim të njëtrajtshëm dhe përgatitje për mekanizmat e ardhshëm evropianë.</w:t>
      </w:r>
    </w:p>
    <w:p w14:paraId="0D2A8289" w14:textId="55CA9A43" w:rsidR="00981417" w:rsidRPr="00151A61" w:rsidRDefault="00000000" w:rsidP="003F2E59">
      <w:pPr>
        <w:jc w:val="both"/>
        <w:rPr>
          <w:sz w:val="24"/>
          <w:szCs w:val="24"/>
          <w:lang w:val="it-IT"/>
        </w:rPr>
      </w:pPr>
      <w:r w:rsidRPr="00151A61">
        <w:rPr>
          <w:sz w:val="24"/>
          <w:szCs w:val="24"/>
          <w:lang w:val="it-IT"/>
        </w:rPr>
        <w:t>Pasojat mbi investitorët dhe tregun. Informacioni i pakrahasueshëm, jo i standardizuar ose i vështirë për t’u aksesuar ul cilësinë e vendimmarrjes së investitorëve dhe mund të rrisë premion e rrezikut në treg, duke ndikuar negativisht në koston e kapitalit për emetuesit. Për një treg në zhvillim, ku besimi dhe transparenca janë parakushte për likuiditet, ky problem ka rëndësi të veçantë.</w:t>
      </w:r>
    </w:p>
    <w:p w14:paraId="32DE7DF0" w14:textId="37D64EB3" w:rsidR="00981417" w:rsidRPr="00151A61" w:rsidRDefault="00000000" w:rsidP="003F2E59">
      <w:pPr>
        <w:jc w:val="both"/>
        <w:rPr>
          <w:sz w:val="24"/>
          <w:szCs w:val="24"/>
          <w:lang w:val="it-IT"/>
        </w:rPr>
      </w:pPr>
      <w:r w:rsidRPr="00151A61">
        <w:rPr>
          <w:sz w:val="24"/>
          <w:szCs w:val="24"/>
          <w:lang w:val="it-IT"/>
        </w:rPr>
        <w:t>Problemi i proporcionalitetit dhe i qartësisë së detyrimeve. Një regjim i shpërndarë dhe i vjetëruar rrit gjasat për moszbatim të pavullnetshëm (shkelje formale), veçanërisht kur mungojnë udhëzime standarde për formatet, kanalet e publikimit, ruajtjen dhe njoftimet. Kjo rrit kostot e pajtueshmërisë (compliance) dhe rrezikun ligjor për emetuesit, ndërkohë që redukton efektivitetin e mbikëqyrjes.</w:t>
      </w:r>
    </w:p>
    <w:p w14:paraId="1C92348F" w14:textId="111997E7" w:rsidR="00981417" w:rsidRPr="00151A61" w:rsidRDefault="00000000" w:rsidP="003F2E59">
      <w:pPr>
        <w:jc w:val="both"/>
        <w:rPr>
          <w:sz w:val="24"/>
          <w:szCs w:val="24"/>
          <w:lang w:val="it-IT"/>
        </w:rPr>
      </w:pPr>
      <w:r w:rsidRPr="00151A61">
        <w:rPr>
          <w:sz w:val="24"/>
          <w:szCs w:val="24"/>
          <w:lang w:val="it-IT"/>
        </w:rPr>
        <w:t>Digjitalizimi (ES</w:t>
      </w:r>
      <w:r w:rsidR="00561FB2" w:rsidRPr="00151A61">
        <w:rPr>
          <w:sz w:val="24"/>
          <w:szCs w:val="24"/>
          <w:lang w:val="it-IT"/>
        </w:rPr>
        <w:t>EF</w:t>
      </w:r>
      <w:r w:rsidRPr="00151A61">
        <w:rPr>
          <w:sz w:val="24"/>
          <w:szCs w:val="24"/>
          <w:lang w:val="it-IT"/>
        </w:rPr>
        <w:t>) dhe integrimi me mekanizmat BE. Projektligji vendos një piketë të qartë për zbatimin e ESEF nga 1 janari 2028 (neni 4), si dhe për ESAP/raportimet me ESMA në momentin e anëtarësimit (neni 44). Mungesa e një parashikimi të tillë do të krijonte rrezik të vonesës në përafrim dhe do të rriste kostot e tranzicionit në momentin e integrimit evropian.</w:t>
      </w:r>
    </w:p>
    <w:p w14:paraId="2FF719A8" w14:textId="36A47934" w:rsidR="00981417" w:rsidRPr="00151A61" w:rsidRDefault="00000000" w:rsidP="003F2E59">
      <w:pPr>
        <w:jc w:val="both"/>
        <w:rPr>
          <w:sz w:val="24"/>
          <w:szCs w:val="24"/>
          <w:lang w:val="it-IT"/>
        </w:rPr>
      </w:pPr>
      <w:r w:rsidRPr="00151A61">
        <w:rPr>
          <w:sz w:val="24"/>
          <w:szCs w:val="24"/>
          <w:lang w:val="it-IT"/>
        </w:rPr>
        <w:t>Boshllëqe në mekanizmat e publikimit dhe ruajtjes qendrore. Projektligji vendos standarde minimale për shpërndarjen e informacionit të rregulluar (neni 28), procedurat e ruajtjes qendrore dhe depozitimit (neni 29), si dhe kërkesat për strukturën organizative dhe të dhënat minimale të mekanizmit (neni 30). Ky komponent është kritik për akses të shpejtë, të barabartë dhe jodiskriminues (neni 22) dhe për të garantuar ruajtje të gjatë (10 vjet) të informacionit të publikuar. Në mungesë të një standardizimi të tillë, investitorët dhe publiku ndeshen me vështirësi në gjetjen e informacionit, ndërsa AMF e ka më të vështirë mbikëqyrjen e respektimit të afateve dhe cilësisë së publikimeve.</w:t>
      </w:r>
    </w:p>
    <w:p w14:paraId="35A0155A" w14:textId="2BD48685" w:rsidR="00981417" w:rsidRPr="00151A61" w:rsidRDefault="00000000" w:rsidP="003F2E59">
      <w:pPr>
        <w:jc w:val="both"/>
        <w:rPr>
          <w:sz w:val="24"/>
          <w:szCs w:val="24"/>
          <w:lang w:val="it-IT"/>
        </w:rPr>
      </w:pPr>
      <w:r w:rsidRPr="00151A61">
        <w:rPr>
          <w:sz w:val="24"/>
          <w:szCs w:val="24"/>
          <w:lang w:val="it-IT"/>
        </w:rPr>
        <w:t xml:space="preserve"> Boshllëqe në transparencën e zotërimeve të mëdha dhe instrumenteve financiare. Regjimi i njoftimeve për arritjen/tejkalimin/rënien nën pragjet 5%, 10%, 15%, 20%, 25%, 30%, 50% dhe 75% (neni 12) është një element kyç i Direktivës së Transparencës. Projektligji gjithashtu zgjeron transparencën ndaj instrumenteve financiare që japin të drejtë për të fituar aksione (neni 20) dhe instrumenteve me efekt ekonomik të ngjashëm (neni 21), si dhe rregullon agregimin (neni 16) dhe përjashtime specifike (p.sh. krijuesi i tregut – neni 11). Pa këto rregulla në nivel ligjor, ka risk për “hapësira rregullatore” dhe raportim jo të plotë të ekspozimeve ekonomike ndaj aksioneve.</w:t>
      </w:r>
    </w:p>
    <w:p w14:paraId="595FF6EF" w14:textId="7B1BE4B0" w:rsidR="00981417" w:rsidRPr="00151A61" w:rsidRDefault="00000000" w:rsidP="003F2E59">
      <w:pPr>
        <w:jc w:val="both"/>
        <w:rPr>
          <w:sz w:val="24"/>
          <w:szCs w:val="24"/>
          <w:lang w:val="it-IT"/>
        </w:rPr>
      </w:pPr>
      <w:r w:rsidRPr="00151A61">
        <w:rPr>
          <w:sz w:val="24"/>
          <w:szCs w:val="24"/>
          <w:lang w:val="it-IT"/>
        </w:rPr>
        <w:t>Boshllëqe në raportimin periodik. Projektligji standardizon detyrimet kryesore: raporti financiar vjetor (brenda 4 muajve, disponueshmëri 10-vjeçare, përmbajtje e përcaktuar, publikim i raportit të auditimit dhe – kur aplikohet – raportit të sigurisë mbi qëndrueshmërinë) sipas nenit 4; raporti financiar gjashtëmujor (brenda 3 muajve, disponueshmëri 10-vjeçare, përmbajtje e përcaktuar) sipas nenit 5. Në mungesë të një kuadri të tillë të konsoliduar ligjor, standardizimi dhe verifikueshmëria e kërkesave mbetet më e dobët.</w:t>
      </w:r>
    </w:p>
    <w:p w14:paraId="5191157A" w14:textId="2C2184A3" w:rsidR="00981417" w:rsidRPr="00151A61" w:rsidRDefault="00000000" w:rsidP="003F2E59">
      <w:pPr>
        <w:jc w:val="both"/>
        <w:rPr>
          <w:sz w:val="24"/>
          <w:szCs w:val="24"/>
          <w:lang w:val="it-IT"/>
        </w:rPr>
      </w:pPr>
      <w:r w:rsidRPr="00151A61">
        <w:rPr>
          <w:sz w:val="24"/>
          <w:szCs w:val="24"/>
          <w:lang w:val="it-IT"/>
        </w:rPr>
        <w:t>Mungesa e unifikimit dhe sigurisë juridike. Mbështetja kryesore në një rregullore nënligjore (në vend të një ligji të posaçëm) e bën më të vështirë: (i) përditësimin e koordinuar me ndryshimet e acquis; (ii) zbatimin e njëtrajtshëm ndaj emetuesve të ndryshëm dhe aktorëve të tjerë (aksionarë me zotërime të mëdha, krijues tregu, ndërmjetës financiarë); (iii) ndërveprimin e rregullave të transparencës me mekanizmat e depozitimit/ruajtjes dhe me kompetencat mbikëqyrëse dhe sanksionuese.</w:t>
      </w:r>
    </w:p>
    <w:p w14:paraId="45F1BD51" w14:textId="75C9E7A7" w:rsidR="00981417" w:rsidRPr="00151A61" w:rsidRDefault="00000000" w:rsidP="003F2E59">
      <w:pPr>
        <w:jc w:val="both"/>
        <w:rPr>
          <w:sz w:val="24"/>
          <w:szCs w:val="24"/>
          <w:lang w:val="it-IT"/>
        </w:rPr>
      </w:pPr>
      <w:r w:rsidRPr="00151A61">
        <w:rPr>
          <w:sz w:val="24"/>
          <w:szCs w:val="24"/>
          <w:lang w:val="it-IT"/>
        </w:rPr>
        <w:t xml:space="preserve">Përshkrimi i gjendjes aktuale (bazë). Aktualisht, detyrimet e transparencës për shoqëritë/titujt e listuar janë të rregulluara kryesisht nga: (i) ligji për tregjet e kapitalit (korniza e përgjithshme e funksionimit të tregut dhe detyrimet e përgjithshme të subjekteve); (ii) ligji për kontabilitetin dhe pasqyrat financiare </w:t>
      </w:r>
      <w:r w:rsidRPr="00151A61">
        <w:rPr>
          <w:sz w:val="24"/>
          <w:szCs w:val="24"/>
          <w:lang w:val="it-IT"/>
        </w:rPr>
        <w:lastRenderedPageBreak/>
        <w:t>(rregullat e raportimit financiar, auditimit dhe – kur është e aplikueshme – raportimit të qëndrueshmërisë); (iii) rregullorja e AMF-së e vitit 20</w:t>
      </w:r>
      <w:r w:rsidR="00561FB2" w:rsidRPr="00151A61">
        <w:rPr>
          <w:sz w:val="24"/>
          <w:szCs w:val="24"/>
          <w:lang w:val="it-IT"/>
        </w:rPr>
        <w:t>23</w:t>
      </w:r>
      <w:r w:rsidRPr="00151A61">
        <w:rPr>
          <w:sz w:val="24"/>
          <w:szCs w:val="24"/>
          <w:lang w:val="it-IT"/>
        </w:rPr>
        <w:t xml:space="preserve"> “Për kërkesat e transparencës në lidhje me informacionin e shoqërive të listuara”; si dhe (iv) akte të tjera të lidhura (shoqëritë tregtare, auditimi ligjor, etj.). Ky kombinim krijon një regjim të fragmentuar ku një pjesë e kërkesave janë në nivel nënligjor dhe një pjesë në ligje me objekt të ndryshëm.</w:t>
      </w:r>
    </w:p>
    <w:p w14:paraId="2B023857" w14:textId="77777777" w:rsidR="0073669F" w:rsidRPr="00DC2146" w:rsidRDefault="0073669F" w:rsidP="003F2E59">
      <w:pPr>
        <w:jc w:val="both"/>
        <w:rPr>
          <w:lang w:val="it-IT"/>
        </w:rPr>
      </w:pPr>
    </w:p>
    <w:p w14:paraId="2E0A9FC6" w14:textId="77777777" w:rsidR="0073669F" w:rsidRPr="0073669F" w:rsidRDefault="0073669F" w:rsidP="0073669F">
      <w:pPr>
        <w:keepNext/>
        <w:tabs>
          <w:tab w:val="right" w:pos="10206"/>
        </w:tabs>
        <w:spacing w:before="240" w:after="60" w:line="276" w:lineRule="auto"/>
        <w:outlineLvl w:val="0"/>
        <w:rPr>
          <w:rFonts w:cs="Times New Roman"/>
          <w:b/>
          <w:bCs/>
          <w:spacing w:val="-4"/>
          <w:kern w:val="32"/>
          <w:sz w:val="24"/>
          <w:szCs w:val="24"/>
          <w:lang w:val="sq-AL" w:eastAsia="en-GB"/>
        </w:rPr>
      </w:pPr>
      <w:bookmarkStart w:id="4" w:name="_Hlk191987022"/>
      <w:r w:rsidRPr="0073669F">
        <w:rPr>
          <w:rFonts w:cs="Times New Roman"/>
          <w:b/>
          <w:bCs/>
          <w:spacing w:val="-4"/>
          <w:kern w:val="32"/>
          <w:sz w:val="24"/>
          <w:szCs w:val="24"/>
          <w:lang w:val="sq-AL" w:eastAsia="en-GB"/>
        </w:rPr>
        <w:t xml:space="preserve">Arsyeja e ndërhyrjes </w:t>
      </w:r>
    </w:p>
    <w:sdt>
      <w:sdtPr>
        <w:rPr>
          <w:rFonts w:ascii="Calibri" w:hAnsi="Calibri" w:cs="Times New Roman"/>
          <w:szCs w:val="20"/>
          <w:lang w:val="en-GB" w:eastAsia="en-GB"/>
        </w:rPr>
        <w:id w:val="-1161541828"/>
        <w:lock w:val="contentLocked"/>
        <w:placeholder>
          <w:docPart w:val="D1AEDE2F53264E7CBBE3A74981672064"/>
        </w:placeholder>
      </w:sdtPr>
      <w:sdtEndPr>
        <w:rPr>
          <w:sz w:val="24"/>
          <w:szCs w:val="24"/>
        </w:rPr>
      </w:sdtEndPr>
      <w:sdtContent>
        <w:p w14:paraId="68A047A5" w14:textId="77777777" w:rsidR="0073669F" w:rsidRPr="0073669F" w:rsidRDefault="0073669F" w:rsidP="0073669F">
          <w:pPr>
            <w:numPr>
              <w:ilvl w:val="0"/>
              <w:numId w:val="14"/>
            </w:numPr>
            <w:tabs>
              <w:tab w:val="left" w:pos="567"/>
            </w:tabs>
            <w:spacing w:after="0" w:line="276" w:lineRule="auto"/>
            <w:jc w:val="both"/>
            <w:rPr>
              <w:rFonts w:cs="Times New Roman"/>
              <w:i/>
              <w:sz w:val="24"/>
              <w:szCs w:val="24"/>
              <w:lang w:val="sq-AL" w:eastAsia="en-GB"/>
            </w:rPr>
          </w:pPr>
          <w:r w:rsidRPr="0073669F">
            <w:rPr>
              <w:rFonts w:cs="Times New Roman"/>
              <w:i/>
              <w:sz w:val="24"/>
              <w:szCs w:val="24"/>
              <w:lang w:val="sq-AL" w:eastAsia="en-GB"/>
            </w:rPr>
            <w:t>Shpjegoni pse qeveria e sheh të nevojshme të ndërhyjë.</w:t>
          </w:r>
        </w:p>
        <w:p w14:paraId="67E9612D" w14:textId="77777777" w:rsidR="0073669F" w:rsidRPr="0073669F" w:rsidRDefault="0073669F" w:rsidP="0073669F">
          <w:pPr>
            <w:numPr>
              <w:ilvl w:val="0"/>
              <w:numId w:val="14"/>
            </w:numPr>
            <w:tabs>
              <w:tab w:val="left" w:pos="567"/>
            </w:tabs>
            <w:spacing w:after="0" w:line="276" w:lineRule="auto"/>
            <w:jc w:val="both"/>
            <w:rPr>
              <w:rFonts w:cs="Times New Roman"/>
              <w:i/>
              <w:sz w:val="24"/>
              <w:szCs w:val="24"/>
              <w:lang w:val="sq-AL" w:eastAsia="en-GB"/>
            </w:rPr>
          </w:pPr>
          <w:r w:rsidRPr="0073669F">
            <w:rPr>
              <w:rFonts w:cs="Times New Roman"/>
              <w:i/>
              <w:sz w:val="24"/>
              <w:szCs w:val="24"/>
              <w:lang w:val="sq-AL" w:eastAsia="en-GB"/>
            </w:rPr>
            <w:t>Shpjegoni se çfarë shpreson të trajtojë qeveria nëpërmjet kësaj ndërhyrjeje.</w:t>
          </w:r>
        </w:p>
        <w:p w14:paraId="7F41EC30" w14:textId="77777777" w:rsidR="0073669F" w:rsidRPr="0073669F" w:rsidRDefault="0073669F" w:rsidP="0073669F">
          <w:pPr>
            <w:numPr>
              <w:ilvl w:val="0"/>
              <w:numId w:val="14"/>
            </w:numPr>
            <w:tabs>
              <w:tab w:val="left" w:pos="567"/>
            </w:tabs>
            <w:spacing w:after="0" w:line="276" w:lineRule="auto"/>
            <w:jc w:val="both"/>
            <w:rPr>
              <w:rFonts w:cs="Times New Roman"/>
              <w:i/>
              <w:sz w:val="24"/>
              <w:szCs w:val="24"/>
              <w:lang w:val="sq-AL" w:eastAsia="en-GB"/>
            </w:rPr>
          </w:pPr>
          <w:r w:rsidRPr="0073669F">
            <w:rPr>
              <w:rFonts w:cs="Times New Roman"/>
              <w:i/>
              <w:sz w:val="24"/>
              <w:szCs w:val="24"/>
              <w:lang w:val="sq-AL" w:eastAsia="en-GB"/>
            </w:rPr>
            <w:t>Shpjegoni se si i mbështet kjo ndërhyrje objektivat e nivelit të lartë të qeverisë.</w:t>
          </w:r>
        </w:p>
        <w:p w14:paraId="1F0EDC69" w14:textId="77777777" w:rsidR="0073669F" w:rsidRPr="0073669F" w:rsidRDefault="0073669F" w:rsidP="0073669F">
          <w:pPr>
            <w:numPr>
              <w:ilvl w:val="0"/>
              <w:numId w:val="14"/>
            </w:numPr>
            <w:tabs>
              <w:tab w:val="left" w:pos="567"/>
            </w:tabs>
            <w:spacing w:after="0" w:line="276" w:lineRule="auto"/>
            <w:jc w:val="both"/>
            <w:rPr>
              <w:rFonts w:cs="Times New Roman"/>
              <w:i/>
              <w:sz w:val="24"/>
              <w:szCs w:val="24"/>
              <w:lang w:val="sq-AL" w:eastAsia="en-GB"/>
            </w:rPr>
          </w:pPr>
          <w:r w:rsidRPr="0073669F">
            <w:rPr>
              <w:rFonts w:cs="Times New Roman"/>
              <w:i/>
              <w:sz w:val="24"/>
              <w:szCs w:val="24"/>
              <w:lang w:val="sq-AL" w:eastAsia="en-GB"/>
            </w:rPr>
            <w:t>Rendisni punën ekzistuese që është realizuar tashmë.</w:t>
          </w:r>
        </w:p>
      </w:sdtContent>
    </w:sdt>
    <w:bookmarkEnd w:id="4"/>
    <w:p w14:paraId="2DE6B265" w14:textId="77777777" w:rsidR="0073669F" w:rsidRPr="0073669F" w:rsidRDefault="0073669F" w:rsidP="003F2E59">
      <w:pPr>
        <w:jc w:val="both"/>
        <w:rPr>
          <w:lang w:val="sq-AL"/>
        </w:rPr>
      </w:pPr>
    </w:p>
    <w:p w14:paraId="492911A0" w14:textId="77777777" w:rsidR="0073669F" w:rsidRPr="0073669F" w:rsidRDefault="0073669F" w:rsidP="0073669F">
      <w:pPr>
        <w:spacing w:after="160" w:line="259" w:lineRule="auto"/>
        <w:rPr>
          <w:rFonts w:cs="Times New Roman"/>
          <w:sz w:val="24"/>
          <w:szCs w:val="20"/>
          <w:lang w:val="sq-AL" w:eastAsia="en-GB"/>
        </w:rPr>
      </w:pPr>
      <w:r w:rsidRPr="0073669F">
        <w:rPr>
          <w:rFonts w:cs="Times New Roman"/>
          <w:b/>
          <w:bCs/>
          <w:sz w:val="24"/>
          <w:szCs w:val="20"/>
          <w:lang w:val="sq-AL" w:eastAsia="en-GB"/>
        </w:rPr>
        <w:t>Arsyeja për Ndërhyrje</w:t>
      </w:r>
    </w:p>
    <w:p w14:paraId="0CDEC999" w14:textId="7F70F66C" w:rsidR="00981417" w:rsidRPr="00151A61" w:rsidRDefault="00FF3C23" w:rsidP="003F2E59">
      <w:pPr>
        <w:jc w:val="both"/>
        <w:rPr>
          <w:sz w:val="24"/>
          <w:szCs w:val="24"/>
          <w:lang w:val="sq-AL"/>
        </w:rPr>
      </w:pPr>
      <w:r w:rsidRPr="00151A61">
        <w:rPr>
          <w:sz w:val="24"/>
          <w:szCs w:val="24"/>
          <w:lang w:val="sq-AL"/>
        </w:rPr>
        <w:t>Ndërhyrja është e nevojshme sepse transparenca në tregun e kapitalit ka karakter të qartë interesi publik. Investitorët marrin vendime mbi bazën e informacionit financiar dhe jo financiar të emetuesit; nëse ky informacion është i vonuar, jo i krahasueshëm ose jo i aksesueshëm në mënyrë të barabartë, dëmtohen procesi i formimit të çmimit, besimi i tregut dhe mbrojtja e investitorëve. Kjo është një formë klasike e dështimit të tregut të lidhur me asimetrinë e informacionit dhe me mungesën e nxitjeve të mjaftueshme për standardizim pa ndërhyrje publike.</w:t>
      </w:r>
    </w:p>
    <w:p w14:paraId="59E8A395" w14:textId="77777777" w:rsidR="00981417" w:rsidRPr="00151A61" w:rsidRDefault="00000000" w:rsidP="003F2E59">
      <w:pPr>
        <w:jc w:val="both"/>
        <w:rPr>
          <w:sz w:val="24"/>
          <w:szCs w:val="24"/>
          <w:lang w:val="sq-AL"/>
        </w:rPr>
      </w:pPr>
      <w:r w:rsidRPr="00151A61">
        <w:rPr>
          <w:sz w:val="24"/>
          <w:szCs w:val="24"/>
          <w:lang w:val="sq-AL"/>
        </w:rPr>
        <w:t>Ndërhyrja synon të trajtojë katër boshllëqe kryesore: së pari, mungesën e një regjimi të plotë ligjor për informacionin periodik dhe të vazhdueshëm; së dyti, mosrregullimin e plotë të njoftimeve për pragjet e zotërimeve të mëdha dhe të instrumenteve me efekt ekonomik të ngjashëm; së treti, mungesën e një arkitekture të qartë për depozitimin dhe aksesin jodiskriminues në informacionin e rregulluar; së katërti, nevojën për të lidhur kuadrin shqiptar me zhvillimet e fundit të BE-së lidhur me ESEF, raportimin e qëndrueshmërisë dhe ESAP.</w:t>
      </w:r>
    </w:p>
    <w:p w14:paraId="4CD88363" w14:textId="2E0E187F" w:rsidR="00981417" w:rsidRPr="00151A61" w:rsidRDefault="00000000" w:rsidP="003F2E59">
      <w:pPr>
        <w:jc w:val="both"/>
        <w:rPr>
          <w:sz w:val="24"/>
          <w:szCs w:val="24"/>
          <w:lang w:val="sq-AL"/>
        </w:rPr>
      </w:pPr>
      <w:r w:rsidRPr="00151A61">
        <w:rPr>
          <w:sz w:val="24"/>
          <w:szCs w:val="24"/>
          <w:lang w:val="sq-AL"/>
        </w:rPr>
        <w:t xml:space="preserve">Ndërhyrja mbështet objektivat </w:t>
      </w:r>
      <w:r w:rsidR="00FF3C23" w:rsidRPr="00151A61">
        <w:rPr>
          <w:sz w:val="24"/>
          <w:szCs w:val="24"/>
          <w:lang w:val="sq-AL"/>
        </w:rPr>
        <w:t>kryesore në nivel kombëtar</w:t>
      </w:r>
      <w:r w:rsidRPr="00151A61">
        <w:rPr>
          <w:sz w:val="24"/>
          <w:szCs w:val="24"/>
          <w:lang w:val="sq-AL"/>
        </w:rPr>
        <w:t xml:space="preserve"> për forcimin e tregjeve financiare, mbrojtjen e investitorëve, përafrimin me acquis të BE-së dhe përmirësimin e klimës së financimit për biznesin. Ajo ndërtohet mbi punën ekzistuese të bërë në kuadër të ligjit për tregjet e kapitalit, ligjit për kontabilitetin dhe pasqyrat financiare, ligjit për abuzimin në treg, rregulloreve të AMF-së dhe procesit të përgjithshëm të harmonizimit të legjislacionit financiar me të drejtën e BE-së.</w:t>
      </w:r>
    </w:p>
    <w:p w14:paraId="29355B43" w14:textId="31207B96" w:rsidR="00981417" w:rsidRPr="00151A61" w:rsidRDefault="00000000" w:rsidP="003F2E59">
      <w:pPr>
        <w:jc w:val="both"/>
        <w:rPr>
          <w:sz w:val="24"/>
          <w:szCs w:val="24"/>
          <w:lang w:val="pt-BR"/>
        </w:rPr>
      </w:pPr>
      <w:r w:rsidRPr="00151A61">
        <w:rPr>
          <w:sz w:val="24"/>
          <w:szCs w:val="24"/>
          <w:lang w:val="pt-BR"/>
        </w:rPr>
        <w:t>Koherenca me kuadrin e brendshëm. Projektligji parashikon se dispozitat e tij kanë përparësi ndaj ligjit “Për tregjet e kapitalit” për çështjet që rregullohen prej tij (neni 44), dhe shfuqizon rregulloren e vjetër të AMF-së (neni 45). Kjo shmang mbivendosjet dhe siguron kalim të rregullt në kuadrin e ri.</w:t>
      </w:r>
    </w:p>
    <w:p w14:paraId="7EFADB33" w14:textId="097EE143" w:rsidR="00981417" w:rsidRPr="00151A61" w:rsidRDefault="00000000" w:rsidP="003F2E59">
      <w:pPr>
        <w:jc w:val="both"/>
        <w:rPr>
          <w:sz w:val="24"/>
          <w:szCs w:val="24"/>
          <w:lang w:val="pt-BR"/>
        </w:rPr>
      </w:pPr>
      <w:r w:rsidRPr="00151A61">
        <w:rPr>
          <w:sz w:val="24"/>
          <w:szCs w:val="24"/>
          <w:lang w:val="pt-BR"/>
        </w:rPr>
        <w:t>Rritja e efektivitetit të mbikëqyrjes. Projektligji forcon kompetencat mbikëqyrëse dhe hetimore të AMF-së (nenet 36–38) dhe vendos një regjim sanksionues të qartë (nenet 40–42), duke përfshirë parime të proporcionalitetit, publikimin e vendimeve dhe garancitë procedurale. Këto elemente rrisin efektin parandalues dhe nxisin respektim më të mirë të rregullave.</w:t>
      </w:r>
    </w:p>
    <w:p w14:paraId="78B826C4" w14:textId="0CA17C64" w:rsidR="00981417" w:rsidRPr="00151A61" w:rsidRDefault="00000000" w:rsidP="003F2E59">
      <w:pPr>
        <w:jc w:val="both"/>
        <w:rPr>
          <w:sz w:val="24"/>
          <w:szCs w:val="24"/>
          <w:lang w:val="pt-BR"/>
        </w:rPr>
      </w:pPr>
      <w:r w:rsidRPr="00151A61">
        <w:rPr>
          <w:sz w:val="24"/>
          <w:szCs w:val="24"/>
          <w:lang w:val="pt-BR"/>
        </w:rPr>
        <w:t>Proporcionaliteti dhe kufizimi i fushës së zbatimit. Projektligji zbatohet për emetuesit titujt e të cilëve janë pranuar për tregtim në një treg të rregulluar (neni 2), dhe parashikon përjashtime specifike (p.sh. për shtetet/autoritetet publike për raportime të caktuara) dhe dispozita kalimtare (neni 44). Në këtë mënyrë, ndërhyrja fokusohet te segmenti ku transparenca është më kritike për investitorët dhe ku tregtimi publik krijon nevojë për standarde të njëtrajtshme.</w:t>
      </w:r>
    </w:p>
    <w:p w14:paraId="4BB41521" w14:textId="292D90AD" w:rsidR="00981417" w:rsidRPr="00151A61" w:rsidRDefault="00000000" w:rsidP="003F2E59">
      <w:pPr>
        <w:jc w:val="both"/>
        <w:rPr>
          <w:sz w:val="24"/>
          <w:szCs w:val="24"/>
          <w:lang w:val="pt-BR"/>
        </w:rPr>
      </w:pPr>
      <w:r w:rsidRPr="00151A61">
        <w:rPr>
          <w:sz w:val="24"/>
          <w:szCs w:val="24"/>
          <w:lang w:val="pt-BR"/>
        </w:rPr>
        <w:t>Përgatitja për digjitalizim dhe infrastruktura e informacionit. Përfshirja e ESEF (nga 2028) dhe e dispozitave për ESAP (nga anëtarësimi në BE) krijon një trajektore të qartë tranzicioni, duke shmangur “shokun rregullator” në momentin e integrimit. Kjo i jep kohë emetuesve dhe AMF-së të përgatisin kapacitetet dhe sistemet e nevojshme.</w:t>
      </w:r>
    </w:p>
    <w:p w14:paraId="569B6A6E" w14:textId="5551554F" w:rsidR="00981417" w:rsidRPr="00151A61" w:rsidRDefault="00000000" w:rsidP="003F2E59">
      <w:pPr>
        <w:jc w:val="both"/>
        <w:rPr>
          <w:sz w:val="24"/>
          <w:szCs w:val="24"/>
          <w:lang w:val="pt-BR"/>
        </w:rPr>
      </w:pPr>
      <w:r w:rsidRPr="00151A61">
        <w:rPr>
          <w:sz w:val="24"/>
          <w:szCs w:val="24"/>
          <w:lang w:val="pt-BR"/>
        </w:rPr>
        <w:t>Efikasiteti rregullator dhe ulja e kostove të pajtueshmërisë. Një ligj i posaçëm konsolidon kërkesat dhe rrit parashikueshmërinë: emetuesit kanë “një pikë referimi” të qartë për detyrimet, ndërsa AMF ka një bazë më të fortë për nxjerrjen e udhëzimeve teknike dhe për zbatimin e sanksioneve proporcionale. Kjo ul kostot e interpretimit juridik dhe rrezikun e moszbatimit të pavullnetshëm.</w:t>
      </w:r>
    </w:p>
    <w:p w14:paraId="234ED6D4" w14:textId="1417C74E" w:rsidR="00981417" w:rsidRPr="00DE41C7" w:rsidRDefault="00000000" w:rsidP="003F2E59">
      <w:pPr>
        <w:jc w:val="both"/>
        <w:rPr>
          <w:sz w:val="24"/>
          <w:szCs w:val="24"/>
          <w:lang w:val="pt-BR"/>
        </w:rPr>
      </w:pPr>
      <w:r w:rsidRPr="00DE41C7">
        <w:rPr>
          <w:sz w:val="24"/>
          <w:szCs w:val="24"/>
          <w:lang w:val="pt-BR"/>
        </w:rPr>
        <w:lastRenderedPageBreak/>
        <w:t xml:space="preserve"> Harmonizimi me acquis të BE-së. Projektligji është një masë e drejtpërdrejtë përafruese në kuadër të procesit të integrimit evropian. Përputhja me Direktivën e Transparencës dhe aktet zbatuese krijon një standard të njohur ndërkombëtarisht, i cili lehtëson edhe zhvillimin e tregtimit ndërkufitar dhe rrit atraktivitetin e tregut shqiptar për investitorë institucionalë.</w:t>
      </w:r>
    </w:p>
    <w:p w14:paraId="229446D4" w14:textId="7B3F847A" w:rsidR="00981417" w:rsidRPr="00DE41C7" w:rsidRDefault="00000000" w:rsidP="003F2E59">
      <w:pPr>
        <w:jc w:val="both"/>
        <w:rPr>
          <w:sz w:val="24"/>
          <w:szCs w:val="24"/>
          <w:lang w:val="it-IT"/>
        </w:rPr>
      </w:pPr>
      <w:r w:rsidRPr="00DE41C7">
        <w:rPr>
          <w:sz w:val="24"/>
          <w:szCs w:val="24"/>
          <w:lang w:val="pt-BR"/>
        </w:rPr>
        <w:t xml:space="preserve"> </w:t>
      </w:r>
      <w:r w:rsidRPr="00DE41C7">
        <w:rPr>
          <w:sz w:val="24"/>
          <w:szCs w:val="24"/>
          <w:lang w:val="it-IT"/>
        </w:rPr>
        <w:t>Dështimi i tregut dhe interesi publik. Transparenca në tregjet e kapitalit përbën një “</w:t>
      </w:r>
      <w:r w:rsidR="00FF3C23" w:rsidRPr="00DE41C7">
        <w:rPr>
          <w:sz w:val="24"/>
          <w:szCs w:val="24"/>
          <w:lang w:val="it-IT"/>
        </w:rPr>
        <w:t>të mirë</w:t>
      </w:r>
      <w:r w:rsidRPr="00DE41C7">
        <w:rPr>
          <w:sz w:val="24"/>
          <w:szCs w:val="24"/>
          <w:lang w:val="it-IT"/>
        </w:rPr>
        <w:t xml:space="preserve"> publik</w:t>
      </w:r>
      <w:r w:rsidR="00FF3C23" w:rsidRPr="00DE41C7">
        <w:rPr>
          <w:sz w:val="24"/>
          <w:szCs w:val="24"/>
          <w:lang w:val="it-IT"/>
        </w:rPr>
        <w:t>e</w:t>
      </w:r>
      <w:r w:rsidRPr="00DE41C7">
        <w:rPr>
          <w:sz w:val="24"/>
          <w:szCs w:val="24"/>
          <w:lang w:val="it-IT"/>
        </w:rPr>
        <w:t>” të lidhur me funksionimin e drejtë dhe të rregullt të tregut. Pa rregulla të detyrueshme, emetuesit mund të kenë stimuj të pamjaftueshëm për të publikuar informacion të plotë dhe në kohë, ndërsa investitorët nuk mund të internalizojnë plotësisht kostot e mungesës së transparencës. Kjo justifikon ndërhyrjen rregullatore për të reduktuar asimetrinë e informacionit, për të rritur besimin dhe për të mbrojtur investitorët.</w:t>
      </w:r>
    </w:p>
    <w:p w14:paraId="6F161BCF" w14:textId="77777777" w:rsidR="008A7B85" w:rsidRPr="00DE41C7" w:rsidRDefault="008A7B85" w:rsidP="008A7B85">
      <w:pPr>
        <w:spacing w:before="100" w:beforeAutospacing="1" w:after="100" w:afterAutospacing="1"/>
        <w:rPr>
          <w:rFonts w:cs="Times New Roman"/>
          <w:sz w:val="24"/>
          <w:szCs w:val="24"/>
          <w:lang w:val="sq-AL"/>
        </w:rPr>
      </w:pPr>
      <w:r w:rsidRPr="008A7B85">
        <w:rPr>
          <w:rFonts w:cs="Times New Roman"/>
          <w:b/>
          <w:bCs/>
          <w:sz w:val="24"/>
          <w:szCs w:val="24"/>
          <w:lang w:val="sq-AL"/>
        </w:rPr>
        <w:t>7. Çfarë synon të trajtojë qeveria përmes kësaj ndërhyrjeje</w:t>
      </w:r>
      <w:r w:rsidRPr="008A7B85">
        <w:rPr>
          <w:rFonts w:cs="Times New Roman"/>
          <w:sz w:val="24"/>
          <w:szCs w:val="24"/>
          <w:lang w:val="sq-AL"/>
        </w:rPr>
        <w:br/>
      </w:r>
      <w:r w:rsidRPr="00DE41C7">
        <w:rPr>
          <w:rFonts w:cs="Times New Roman"/>
          <w:sz w:val="24"/>
          <w:szCs w:val="24"/>
          <w:lang w:val="sq-AL"/>
        </w:rPr>
        <w:t>Nëpërmjet këtij projektligji synohet të vendosen rregulla të qarta dhe të harmonizuara për publikimin e informacionit periodik dhe të vazhdueshëm nga emetuesit e titujve, përfshirë raportet financiare vjetore dhe gjashtëmujore, si dhe detyrimet për njoftimin e pjesëmarrjeve të rëndësishme në kapital dhe informacioneve të tjera që ndikojnë në vendimmarrjen e investitorëve. Gjithashtu, ndërhyrja synon të rrisë transparencën dhe integritetin e tregut, duke siguruar që investitorët të kenë akses në informacion të plotë, të saktë dhe në kohë.</w:t>
      </w:r>
    </w:p>
    <w:p w14:paraId="3E35C438" w14:textId="77777777" w:rsidR="008A7B85" w:rsidRPr="008A7B85" w:rsidRDefault="008A7B85" w:rsidP="008A7B85">
      <w:pPr>
        <w:spacing w:before="100" w:beforeAutospacing="1" w:after="100" w:afterAutospacing="1"/>
        <w:jc w:val="both"/>
        <w:rPr>
          <w:rFonts w:cs="Times New Roman"/>
          <w:sz w:val="24"/>
          <w:szCs w:val="24"/>
          <w:lang w:val="sq-AL"/>
        </w:rPr>
      </w:pPr>
      <w:r w:rsidRPr="008A7B85">
        <w:rPr>
          <w:rFonts w:cs="Times New Roman"/>
          <w:b/>
          <w:bCs/>
          <w:sz w:val="24"/>
          <w:szCs w:val="24"/>
          <w:lang w:val="sq-AL"/>
        </w:rPr>
        <w:t>8. Si e mbështet kjo ndërhyrje objektivat e nivelit të lartë të qeverisë</w:t>
      </w:r>
      <w:r w:rsidRPr="008A7B85">
        <w:rPr>
          <w:rFonts w:cs="Times New Roman"/>
          <w:sz w:val="24"/>
          <w:szCs w:val="24"/>
          <w:lang w:val="sq-AL"/>
        </w:rPr>
        <w:br/>
        <w:t>Kjo ndërhyrje mbështet objektivat strategjikë të qeverisë për zhvillimin dhe forcimin e tregjeve financiare, përmirësimin e klimës së investimeve dhe rritjen e besimit të investitorëve në tregun e kapitalit. Gjithashtu, ajo kontribuon në procesin e integrimit evropian të Shqipërisë përmes përafrimit të legjislacionit kombëtar me acquis të Bashkimit Evropian në fushën e tregjeve financiare dhe transparencës së shoqërive të listuara.</w:t>
      </w:r>
    </w:p>
    <w:p w14:paraId="2FB5611A" w14:textId="77777777" w:rsidR="008A7B85" w:rsidRPr="008A7B85" w:rsidRDefault="008A7B85" w:rsidP="008A7B85">
      <w:pPr>
        <w:spacing w:before="100" w:beforeAutospacing="1" w:after="100" w:afterAutospacing="1"/>
        <w:rPr>
          <w:rFonts w:cs="Times New Roman"/>
          <w:sz w:val="24"/>
          <w:szCs w:val="24"/>
          <w:lang w:val="sq-AL"/>
        </w:rPr>
      </w:pPr>
      <w:r w:rsidRPr="008A7B85">
        <w:rPr>
          <w:rFonts w:cs="Times New Roman"/>
          <w:b/>
          <w:bCs/>
          <w:sz w:val="24"/>
          <w:szCs w:val="24"/>
          <w:lang w:val="sq-AL"/>
        </w:rPr>
        <w:t>9. Puna ekzistuese e realizuar</w:t>
      </w:r>
      <w:r w:rsidRPr="008A7B85">
        <w:rPr>
          <w:rFonts w:cs="Times New Roman"/>
          <w:sz w:val="24"/>
          <w:szCs w:val="24"/>
          <w:lang w:val="sq-AL"/>
        </w:rPr>
        <w:br/>
        <w:t xml:space="preserve">Në kuadër të përgatitjes së këtij projektligji është kryer analiza e kuadrit ekzistues ligjor dhe rregullator, si dhe vlerësimi i shkallës së përafrimit me legjislacionin e Bashkimit Evropian. Gjithashtu, është realizuar puna teknike për përafrimin e plotë të Direktivës 2004/109/EC për transparencën dhe akteve të saj ndryshuese. </w:t>
      </w:r>
    </w:p>
    <w:p w14:paraId="30F6FEEF" w14:textId="77777777" w:rsidR="0005175C" w:rsidRPr="00DC2146" w:rsidRDefault="0005175C">
      <w:pPr>
        <w:pStyle w:val="HeadingRia"/>
        <w:rPr>
          <w:lang w:val="sq-AL"/>
        </w:rPr>
      </w:pPr>
    </w:p>
    <w:p w14:paraId="19A47224" w14:textId="77777777" w:rsidR="006B798E" w:rsidRPr="006B798E" w:rsidRDefault="006B798E" w:rsidP="006B798E">
      <w:pPr>
        <w:keepNext/>
        <w:tabs>
          <w:tab w:val="right" w:pos="10206"/>
        </w:tabs>
        <w:spacing w:before="240" w:after="60" w:line="276" w:lineRule="auto"/>
        <w:outlineLvl w:val="0"/>
        <w:rPr>
          <w:rFonts w:cs="Times New Roman"/>
          <w:b/>
          <w:bCs/>
          <w:spacing w:val="-4"/>
          <w:kern w:val="32"/>
          <w:sz w:val="24"/>
          <w:szCs w:val="24"/>
          <w:lang w:val="sq-AL" w:eastAsia="en-GB"/>
        </w:rPr>
      </w:pPr>
      <w:r w:rsidRPr="006B798E">
        <w:rPr>
          <w:rFonts w:cs="Times New Roman"/>
          <w:b/>
          <w:bCs/>
          <w:spacing w:val="-4"/>
          <w:kern w:val="32"/>
          <w:sz w:val="24"/>
          <w:szCs w:val="24"/>
          <w:lang w:val="sq-AL" w:eastAsia="en-GB"/>
        </w:rPr>
        <w:t>Objektivi i politikës</w:t>
      </w:r>
    </w:p>
    <w:sdt>
      <w:sdtPr>
        <w:rPr>
          <w:rFonts w:cs="Times New Roman"/>
          <w:sz w:val="24"/>
          <w:szCs w:val="24"/>
          <w:lang w:val="sq-AL" w:eastAsia="en-GB"/>
        </w:rPr>
        <w:id w:val="-531503755"/>
        <w:lock w:val="contentLocked"/>
        <w:placeholder>
          <w:docPart w:val="29FD326AF2004C6E891972ED68BE0BFE"/>
        </w:placeholder>
      </w:sdtPr>
      <w:sdtContent>
        <w:p w14:paraId="54BB8FF7" w14:textId="77777777" w:rsidR="006B798E" w:rsidRPr="006B798E" w:rsidRDefault="006B798E" w:rsidP="006B798E">
          <w:pPr>
            <w:numPr>
              <w:ilvl w:val="0"/>
              <w:numId w:val="15"/>
            </w:numPr>
            <w:tabs>
              <w:tab w:val="left" w:pos="567"/>
            </w:tabs>
            <w:spacing w:after="0" w:line="276" w:lineRule="auto"/>
            <w:rPr>
              <w:rFonts w:cs="Times New Roman"/>
              <w:i/>
              <w:sz w:val="24"/>
              <w:szCs w:val="24"/>
              <w:lang w:val="sq-AL" w:eastAsia="en-GB"/>
            </w:rPr>
          </w:pPr>
          <w:r w:rsidRPr="006B798E">
            <w:rPr>
              <w:rFonts w:cs="Times New Roman"/>
              <w:i/>
              <w:sz w:val="24"/>
              <w:szCs w:val="24"/>
              <w:lang w:val="sq-AL" w:eastAsia="en-GB"/>
            </w:rPr>
            <w:t>Vendosni objektiva që korrespondojnë me problemin dhe shkaqet e tij.</w:t>
          </w:r>
        </w:p>
        <w:p w14:paraId="3A8EDC1C" w14:textId="77777777" w:rsidR="006B798E" w:rsidRPr="006B798E" w:rsidRDefault="006B798E" w:rsidP="006B798E">
          <w:pPr>
            <w:numPr>
              <w:ilvl w:val="0"/>
              <w:numId w:val="15"/>
            </w:numPr>
            <w:tabs>
              <w:tab w:val="left" w:pos="567"/>
            </w:tabs>
            <w:spacing w:after="0" w:line="276" w:lineRule="auto"/>
            <w:rPr>
              <w:rFonts w:cs="Times New Roman"/>
              <w:i/>
              <w:sz w:val="24"/>
              <w:szCs w:val="24"/>
              <w:lang w:val="sq-AL" w:eastAsia="en-GB"/>
            </w:rPr>
          </w:pPr>
          <w:r w:rsidRPr="006B798E">
            <w:rPr>
              <w:rFonts w:cs="Times New Roman"/>
              <w:i/>
              <w:sz w:val="24"/>
              <w:szCs w:val="24"/>
              <w:lang w:val="sq-AL" w:eastAsia="en-GB"/>
            </w:rPr>
            <w:t xml:space="preserve">Sigurohuni që objektivat e vendosur të korrespondojnë me ato të dhëna në përmbledhjen ekzekutive, por më të detajuara. </w:t>
          </w:r>
        </w:p>
        <w:p w14:paraId="47020C10" w14:textId="159EEECC" w:rsidR="006B798E" w:rsidRPr="006B798E" w:rsidRDefault="006B798E" w:rsidP="003F2E59">
          <w:pPr>
            <w:jc w:val="both"/>
            <w:rPr>
              <w:lang w:val="sq-AL"/>
            </w:rPr>
          </w:pPr>
          <w:r w:rsidRPr="006B798E">
            <w:rPr>
              <w:rFonts w:cs="Times New Roman"/>
              <w:i/>
              <w:sz w:val="24"/>
              <w:szCs w:val="24"/>
              <w:lang w:val="sq-AL" w:eastAsia="en-GB"/>
            </w:rPr>
            <w:t>Sigurohuni që objektivat janë specifikë, të matshëm, të arritshëm, realë dhe në kohë.</w:t>
          </w:r>
        </w:p>
      </w:sdtContent>
    </w:sdt>
    <w:p w14:paraId="6961B445" w14:textId="77777777" w:rsidR="006B798E" w:rsidRPr="006B798E" w:rsidRDefault="006B798E" w:rsidP="003F2E59">
      <w:pPr>
        <w:jc w:val="both"/>
        <w:rPr>
          <w:lang w:val="sq-AL"/>
        </w:rPr>
      </w:pPr>
    </w:p>
    <w:p w14:paraId="6E6687F7" w14:textId="644DB0ED" w:rsidR="00981417" w:rsidRPr="00DE41C7" w:rsidRDefault="00000000" w:rsidP="003F2E59">
      <w:pPr>
        <w:jc w:val="both"/>
        <w:rPr>
          <w:sz w:val="24"/>
          <w:szCs w:val="24"/>
          <w:lang w:val="sq-AL"/>
        </w:rPr>
      </w:pPr>
      <w:r w:rsidRPr="00DE41C7">
        <w:rPr>
          <w:sz w:val="24"/>
          <w:szCs w:val="24"/>
          <w:lang w:val="sq-AL"/>
        </w:rPr>
        <w:t>Objektivi i përgjithshëm është krijimi i një regjimi të plotë, të unifikuar dhe të zbatueshëm të transparencës për emetuesit e titujve të pranuar për tregtim në një treg të rregulluar, në përputhje me acquis të BE-së dhe me nevojat e mbikëqyrjes kombëtare.</w:t>
      </w:r>
    </w:p>
    <w:p w14:paraId="6E7B0843" w14:textId="77777777" w:rsidR="00981417" w:rsidRPr="00DE41C7" w:rsidRDefault="00000000" w:rsidP="003F2E59">
      <w:pPr>
        <w:jc w:val="both"/>
        <w:rPr>
          <w:sz w:val="24"/>
          <w:szCs w:val="24"/>
          <w:lang w:val="nl-NL"/>
        </w:rPr>
      </w:pPr>
      <w:r w:rsidRPr="00DE41C7">
        <w:rPr>
          <w:sz w:val="24"/>
          <w:szCs w:val="24"/>
          <w:lang w:val="nl-NL"/>
        </w:rPr>
        <w:t>Objektivat specifike janë si vijon:</w:t>
      </w:r>
    </w:p>
    <w:p w14:paraId="00F8E429" w14:textId="77777777" w:rsidR="00981417" w:rsidRPr="00DE41C7" w:rsidRDefault="00000000" w:rsidP="003F2E59">
      <w:pPr>
        <w:jc w:val="both"/>
        <w:rPr>
          <w:sz w:val="24"/>
          <w:szCs w:val="24"/>
          <w:lang w:val="nl-NL"/>
        </w:rPr>
      </w:pPr>
      <w:r w:rsidRPr="00DE41C7">
        <w:rPr>
          <w:sz w:val="24"/>
          <w:szCs w:val="24"/>
          <w:lang w:val="nl-NL"/>
        </w:rPr>
        <w:t>1. Brenda 12 muajve nga hyrja në fuqi e ligjit, të miratohen të gjitha aktet nënligjore të nevojshme për formatet, procedurat, standardet minimale të shpërndarjes, mekanizmin zyrtar të ruajtjes dhe raportimin elektronik.</w:t>
      </w:r>
    </w:p>
    <w:p w14:paraId="6755A912" w14:textId="59FD20AA" w:rsidR="00981417" w:rsidRPr="00DE41C7" w:rsidRDefault="00000000" w:rsidP="003F2E59">
      <w:pPr>
        <w:jc w:val="both"/>
        <w:rPr>
          <w:sz w:val="24"/>
          <w:szCs w:val="24"/>
          <w:lang w:val="nl-NL"/>
        </w:rPr>
      </w:pPr>
      <w:r w:rsidRPr="00DE41C7">
        <w:rPr>
          <w:sz w:val="24"/>
          <w:szCs w:val="24"/>
          <w:lang w:val="nl-NL"/>
        </w:rPr>
        <w:t>2. Nga cikli i parë i plotë i raportimit pas hyrjes në fuqi, të gjithë emetuesit e përfshirë në fushën e zbatimit të publikojnë raportin financiar vjetor brenda 4 muajve dhe raportin financiar gjashtëmujor, duke e mbajtur informacionin të disponueshëm publikisht për të paktën 10 vjet.</w:t>
      </w:r>
    </w:p>
    <w:p w14:paraId="5C440FE0" w14:textId="77777777" w:rsidR="00981417" w:rsidRPr="00DE41C7" w:rsidRDefault="00000000" w:rsidP="003F2E59">
      <w:pPr>
        <w:jc w:val="both"/>
        <w:rPr>
          <w:sz w:val="24"/>
          <w:szCs w:val="24"/>
          <w:lang w:val="nl-NL"/>
        </w:rPr>
      </w:pPr>
      <w:r w:rsidRPr="00DE41C7">
        <w:rPr>
          <w:sz w:val="24"/>
          <w:szCs w:val="24"/>
          <w:lang w:val="nl-NL"/>
        </w:rPr>
        <w:t>3. Të garantohet që njoftimet për arritjen, tejkalimin ose rënien nën pragjet 5 %, 10 %, 15 %, 20 %, 25 %, 30 %, 50 % dhe 75 % të kryhen në afatet ligjore, dhe që emetuesi t'i bëjë publike brenda 3 ditëve tregtimi.</w:t>
      </w:r>
    </w:p>
    <w:p w14:paraId="3A21DEBD" w14:textId="59311030" w:rsidR="00981417" w:rsidRPr="00DE41C7" w:rsidRDefault="00000000" w:rsidP="003F2E59">
      <w:pPr>
        <w:jc w:val="both"/>
        <w:rPr>
          <w:sz w:val="24"/>
          <w:szCs w:val="24"/>
          <w:lang w:val="nl-NL"/>
        </w:rPr>
      </w:pPr>
      <w:r w:rsidRPr="00DE41C7">
        <w:rPr>
          <w:sz w:val="24"/>
          <w:szCs w:val="24"/>
          <w:lang w:val="nl-NL"/>
        </w:rPr>
        <w:lastRenderedPageBreak/>
        <w:t xml:space="preserve">4. Të </w:t>
      </w:r>
      <w:r w:rsidR="0073669F" w:rsidRPr="00DE41C7">
        <w:rPr>
          <w:sz w:val="24"/>
          <w:szCs w:val="24"/>
          <w:lang w:val="nl-NL"/>
        </w:rPr>
        <w:t xml:space="preserve">vihet në funksion </w:t>
      </w:r>
      <w:r w:rsidRPr="00DE41C7">
        <w:rPr>
          <w:sz w:val="24"/>
          <w:szCs w:val="24"/>
          <w:lang w:val="nl-NL"/>
        </w:rPr>
        <w:t>mekanizmi zyrtar i ruajtjes qendrore të informacionit të rregulluar dhe të sigurohet akses i shpejtë, i barabartë dhe jodiskriminues për përdoruesit fundorë.</w:t>
      </w:r>
    </w:p>
    <w:p w14:paraId="406AD4BF" w14:textId="77777777" w:rsidR="00981417" w:rsidRPr="00DE41C7" w:rsidRDefault="00000000" w:rsidP="003F2E59">
      <w:pPr>
        <w:jc w:val="both"/>
        <w:rPr>
          <w:sz w:val="24"/>
          <w:szCs w:val="24"/>
          <w:lang w:val="nl-NL"/>
        </w:rPr>
      </w:pPr>
      <w:r w:rsidRPr="00DE41C7">
        <w:rPr>
          <w:sz w:val="24"/>
          <w:szCs w:val="24"/>
          <w:lang w:val="nl-NL"/>
        </w:rPr>
        <w:t>5. Të mundësohet zbatimi i formatit unik elektronik për raportet vjetore nga 1 janari 2028 dhe, nga data e anëtarësimit në BE, aktivizimi i plotë i detyrimeve të lidhura me ESAP.</w:t>
      </w:r>
    </w:p>
    <w:p w14:paraId="5D70864A" w14:textId="77777777" w:rsidR="00981417" w:rsidRPr="00DE41C7" w:rsidRDefault="00000000" w:rsidP="003F2E59">
      <w:pPr>
        <w:jc w:val="both"/>
        <w:rPr>
          <w:sz w:val="24"/>
          <w:szCs w:val="24"/>
          <w:lang w:val="nl-NL"/>
        </w:rPr>
      </w:pPr>
      <w:r w:rsidRPr="00DE41C7">
        <w:rPr>
          <w:sz w:val="24"/>
          <w:szCs w:val="24"/>
          <w:lang w:val="nl-NL"/>
        </w:rPr>
        <w:t>6. Brenda 24 muajve nga hyrja në fuqi, të krijohet një bazë monitorimi që lejon ulje progresive të shkeljeve formale të afateve, përmbajtjes dhe depozitimit të informacionit të rregulluar.</w:t>
      </w:r>
    </w:p>
    <w:p w14:paraId="6F28BE2E" w14:textId="41C451D7" w:rsidR="00981417" w:rsidRPr="00DE41C7" w:rsidRDefault="0073669F" w:rsidP="003F2E59">
      <w:pPr>
        <w:jc w:val="both"/>
        <w:rPr>
          <w:sz w:val="24"/>
          <w:szCs w:val="24"/>
          <w:lang w:val="nl-NL"/>
        </w:rPr>
      </w:pPr>
      <w:r w:rsidRPr="00DE41C7">
        <w:rPr>
          <w:sz w:val="24"/>
          <w:szCs w:val="24"/>
          <w:lang w:val="nl-NL"/>
        </w:rPr>
        <w:t>Objektivat do të maten përmes një seti treguesish kryesorë (KPI), ndër të cilët: (i) % e raporteve vjetore/gjashtëmujore të publikuara brenda afatit; (ii) % e raporteve që plotësojnë kërkesat e përmbajtjes; (iii) numri i njoftimeve për zotërime të mëdha dhe % e publikimeve brenda 3 ditëve tregtimi; (iv) numri i publikimeve në mekanizmin e ruajtjes; (v) numri i shkeljeve dhe masave administrative; (vi) koha mesatare e aksesit në informacion dhe feedback i përdoruesve. Objektivat janë dizenjuar me parimin e proporcionalitetit: rregullat bazë (raportim vjetor/gjashtëmujor, njoftime për zotërime të mëdha, standarde minimale shpërndarjeje/ruajtjeje) kanë efekt të menjëhershëm pas hyrjes në fuqi, ndërsa kërkesat teknike që kërkojnë kohë për adaptim (ESEF) kanë afat tranzitor (nga 2028). Kjo ul koston e tranzicionit dhe rrit gjasat për respektim.</w:t>
      </w:r>
    </w:p>
    <w:p w14:paraId="0914E645" w14:textId="5DC1BA2C" w:rsidR="00981417" w:rsidRPr="00DE41C7" w:rsidRDefault="00000000" w:rsidP="003F2E59">
      <w:pPr>
        <w:jc w:val="both"/>
        <w:rPr>
          <w:sz w:val="24"/>
          <w:szCs w:val="24"/>
          <w:lang w:val="nl-NL"/>
        </w:rPr>
      </w:pPr>
      <w:r w:rsidRPr="00DE41C7">
        <w:rPr>
          <w:sz w:val="24"/>
          <w:szCs w:val="24"/>
          <w:lang w:val="nl-NL"/>
        </w:rPr>
        <w:t>Objektivat lidhen gjithashtu me përgatitjen e tregut për zhvillim: rregulla të qarta dhe të harmonizuara rrisin “gatishmërinë për listim” (listing readiness) të shoqërive që synojnë të financohen në tregun e kapitalit, si dhe rrisin besueshmërinë e tregut për investitorët institucionalë. Në këtë kuptim, projektligji është edhe instrument zhvillimi ekonomik, jo vetëm përafrimi.</w:t>
      </w:r>
    </w:p>
    <w:p w14:paraId="01D2ACC7" w14:textId="77777777" w:rsidR="00981417" w:rsidRPr="00DE41C7" w:rsidRDefault="00000000" w:rsidP="003F2E59">
      <w:pPr>
        <w:jc w:val="both"/>
        <w:rPr>
          <w:sz w:val="24"/>
          <w:szCs w:val="24"/>
          <w:lang w:val="nl-NL"/>
        </w:rPr>
      </w:pPr>
      <w:r w:rsidRPr="00DE41C7">
        <w:rPr>
          <w:sz w:val="24"/>
          <w:szCs w:val="24"/>
          <w:lang w:val="nl-NL"/>
        </w:rPr>
        <w:t>8. Për ta bërë monitorimin të verifikueshëm, rekomandohet që AMF të vendosë një bazë fillestare (baseline) në momentin e hyrjes në fuqi të ligjit: numri i emetuesve të përfshirë në fushën e zbatimit, niveli aktual i përputhshmërisë me afatet e raportimit, numri mesatar i njoftimeve për zotërime të mëdha dhe kohëzgjatja e publikimit nga emetuesi, si dhe numri i shkeljeve të konstatuara. Kjo bazë do të shërbejë për vlerësimin e progresit në 12 dhe 24 muajt e parë.</w:t>
      </w:r>
    </w:p>
    <w:p w14:paraId="3BE999D3" w14:textId="32BDF5F9" w:rsidR="00B2189C" w:rsidRPr="00DE41C7" w:rsidRDefault="00000000" w:rsidP="00DE41C7">
      <w:pPr>
        <w:jc w:val="both"/>
        <w:rPr>
          <w:sz w:val="24"/>
          <w:szCs w:val="24"/>
          <w:lang w:val="nl-NL"/>
        </w:rPr>
      </w:pPr>
      <w:r w:rsidRPr="00DE41C7">
        <w:rPr>
          <w:sz w:val="24"/>
          <w:szCs w:val="24"/>
          <w:lang w:val="nl-NL"/>
        </w:rPr>
        <w:t>7. Objektivat janë të ndërlidhura drejtpërdrejt me dispozitat konkrete të projektligjit dhe përkthehen në rezultate të pritshme të matshme (output/outcome). Në nivel output, ligji synon të sigurojë që të gjitha kategoritë e informacionit të rregulluar të jenë të përcaktuara qartë dhe të shpërndahen sipas standardeve minimale (nenet 22–30). Në nivel outcome, synohet që investitorët të kenë akses më të shpejtë dhe më të besueshëm në informacion, duke rritur besimin dhe duke ulur rreziqet e abuzimit me informacionin.</w:t>
      </w:r>
    </w:p>
    <w:p w14:paraId="1153820E" w14:textId="7593A338" w:rsidR="00B2189C" w:rsidRPr="00B2189C" w:rsidRDefault="00B2189C" w:rsidP="00B2189C">
      <w:pPr>
        <w:keepNext/>
        <w:tabs>
          <w:tab w:val="right" w:pos="10206"/>
        </w:tabs>
        <w:spacing w:before="240" w:after="60" w:line="276" w:lineRule="auto"/>
        <w:outlineLvl w:val="0"/>
        <w:rPr>
          <w:rFonts w:cs="Times New Roman"/>
          <w:b/>
          <w:bCs/>
          <w:spacing w:val="-4"/>
          <w:kern w:val="32"/>
          <w:sz w:val="24"/>
          <w:szCs w:val="24"/>
          <w:lang w:val="sq-AL" w:eastAsia="en-GB"/>
        </w:rPr>
      </w:pPr>
      <w:r w:rsidRPr="00B2189C">
        <w:rPr>
          <w:rFonts w:cs="Times New Roman"/>
          <w:b/>
          <w:bCs/>
          <w:spacing w:val="-4"/>
          <w:kern w:val="32"/>
          <w:sz w:val="24"/>
          <w:szCs w:val="24"/>
          <w:lang w:val="sq-AL" w:eastAsia="en-GB"/>
        </w:rPr>
        <w:t>Përshkrimi i opsioneve të shqyrtuara</w:t>
      </w:r>
    </w:p>
    <w:sdt>
      <w:sdtPr>
        <w:rPr>
          <w:rFonts w:cs="Times New Roman"/>
          <w:b/>
          <w:sz w:val="24"/>
          <w:szCs w:val="24"/>
          <w:lang w:val="sq-AL" w:eastAsia="en-GB"/>
        </w:rPr>
        <w:id w:val="483215"/>
        <w:lock w:val="contentLocked"/>
        <w:placeholder>
          <w:docPart w:val="801CD18A164543858F76D936A0FAE00C"/>
        </w:placeholder>
      </w:sdtPr>
      <w:sdtEndPr>
        <w:rPr>
          <w:i/>
          <w:iCs/>
        </w:rPr>
      </w:sdtEndPr>
      <w:sdtContent>
        <w:p w14:paraId="4BB113D3" w14:textId="77777777" w:rsidR="00B2189C" w:rsidRPr="00B2189C" w:rsidRDefault="00B2189C" w:rsidP="00B2189C">
          <w:pPr>
            <w:numPr>
              <w:ilvl w:val="0"/>
              <w:numId w:val="15"/>
            </w:numPr>
            <w:tabs>
              <w:tab w:val="left" w:pos="567"/>
            </w:tabs>
            <w:spacing w:after="0" w:line="276" w:lineRule="auto"/>
            <w:jc w:val="both"/>
            <w:rPr>
              <w:rFonts w:cs="Times New Roman"/>
              <w:i/>
              <w:sz w:val="24"/>
              <w:szCs w:val="24"/>
              <w:lang w:val="sq-AL" w:eastAsia="en-GB"/>
            </w:rPr>
          </w:pPr>
          <w:r w:rsidRPr="00B2189C">
            <w:rPr>
              <w:rFonts w:cs="Times New Roman"/>
              <w:i/>
              <w:sz w:val="24"/>
              <w:szCs w:val="24"/>
              <w:lang w:val="sq-AL" w:eastAsia="en-GB"/>
            </w:rPr>
            <w:t xml:space="preserve">Përshkruani opsionin e status quo-së. </w:t>
          </w:r>
        </w:p>
        <w:p w14:paraId="63525D18" w14:textId="77777777" w:rsidR="00B2189C" w:rsidRPr="00B2189C" w:rsidRDefault="00B2189C" w:rsidP="00B2189C">
          <w:pPr>
            <w:numPr>
              <w:ilvl w:val="0"/>
              <w:numId w:val="15"/>
            </w:numPr>
            <w:tabs>
              <w:tab w:val="left" w:pos="567"/>
            </w:tabs>
            <w:spacing w:after="0" w:line="276" w:lineRule="auto"/>
            <w:jc w:val="both"/>
            <w:rPr>
              <w:rFonts w:cs="Times New Roman"/>
              <w:i/>
              <w:sz w:val="24"/>
              <w:szCs w:val="24"/>
              <w:lang w:val="sq-AL" w:eastAsia="en-GB"/>
            </w:rPr>
          </w:pPr>
          <w:r w:rsidRPr="00B2189C">
            <w:rPr>
              <w:rFonts w:cs="Times New Roman"/>
              <w:i/>
              <w:sz w:val="24"/>
              <w:szCs w:val="24"/>
              <w:lang w:val="sq-AL" w:eastAsia="en-GB"/>
            </w:rPr>
            <w:t>Identifikoni dhe përshkruani të gjitha opsionet e politikave që keni marrë parasysh.</w:t>
          </w:r>
        </w:p>
        <w:p w14:paraId="5326C4AA" w14:textId="0BBEFE82" w:rsidR="00B2189C" w:rsidRPr="00B2189C" w:rsidRDefault="00B2189C">
          <w:pPr>
            <w:pStyle w:val="HeadingRia"/>
            <w:rPr>
              <w:lang w:val="it-IT"/>
            </w:rPr>
          </w:pPr>
          <w:r w:rsidRPr="00B2189C">
            <w:rPr>
              <w:rFonts w:cs="Times New Roman"/>
              <w:b w:val="0"/>
              <w:i/>
              <w:szCs w:val="24"/>
              <w:lang w:val="sq-AL" w:eastAsia="en-GB"/>
            </w:rPr>
            <w:t xml:space="preserve">Shpjegoni se si janë identifikuar opsionet e politikës.  </w:t>
          </w:r>
        </w:p>
      </w:sdtContent>
    </w:sdt>
    <w:p w14:paraId="7BCB70AB" w14:textId="77777777" w:rsidR="00B2189C" w:rsidRDefault="00B2189C" w:rsidP="003F2E59">
      <w:pPr>
        <w:jc w:val="both"/>
        <w:rPr>
          <w:lang w:val="it-IT"/>
        </w:rPr>
      </w:pPr>
    </w:p>
    <w:p w14:paraId="5A532A69" w14:textId="205AED0E" w:rsidR="008120E3" w:rsidRPr="00DE41C7" w:rsidRDefault="008120E3" w:rsidP="008120E3">
      <w:pPr>
        <w:jc w:val="both"/>
        <w:rPr>
          <w:sz w:val="24"/>
          <w:szCs w:val="24"/>
          <w:lang w:val="it-IT"/>
        </w:rPr>
      </w:pPr>
      <w:r w:rsidRPr="00DE41C7">
        <w:rPr>
          <w:sz w:val="24"/>
          <w:szCs w:val="24"/>
          <w:lang w:val="it-IT"/>
        </w:rPr>
        <w:t>Në fazën e shqyrtimit paraprak u identifikuan katër opsione: (0) ruajtja e status quo-së; (1) ndryshime minimale dhe të pjesshme në kuadrin ekzistues; dhe (2) miratimi i një ligji të posaçëm, të plotë dhe të harmonizuar (3)</w:t>
      </w:r>
      <w:r w:rsidRPr="00DE41C7">
        <w:rPr>
          <w:rFonts w:cs="Times New Roman"/>
          <w:sz w:val="24"/>
          <w:szCs w:val="24"/>
          <w:lang w:val="it-IT" w:eastAsia="en-GB"/>
        </w:rPr>
        <w:t xml:space="preserve"> opsioni jo-rregullator</w:t>
      </w:r>
      <w:r w:rsidRPr="00DE41C7">
        <w:rPr>
          <w:sz w:val="24"/>
          <w:szCs w:val="24"/>
          <w:lang w:val="it-IT"/>
        </w:rPr>
        <w:t xml:space="preserve"> si një variant që konsideron përgatijen e udhëzimeve, i cili nuk u vlerësua i mjaftueshëm për të adresuar problemin.</w:t>
      </w:r>
    </w:p>
    <w:p w14:paraId="6D718B7E" w14:textId="34BB1CFD" w:rsidR="008120E3" w:rsidRPr="00DE41C7" w:rsidRDefault="008120E3" w:rsidP="00DE41C7">
      <w:pPr>
        <w:jc w:val="both"/>
        <w:rPr>
          <w:lang w:val="it-IT"/>
        </w:rPr>
      </w:pPr>
      <w:r>
        <w:rPr>
          <w:lang w:val="it-IT"/>
        </w:rPr>
        <w:t xml:space="preserve"> </w:t>
      </w:r>
      <w:r w:rsidRPr="00DC2146">
        <w:rPr>
          <w:b/>
          <w:bCs/>
          <w:sz w:val="24"/>
          <w:szCs w:val="24"/>
          <w:lang w:val="it-IT"/>
        </w:rPr>
        <w:t>Opsioni 0</w:t>
      </w:r>
      <w:r w:rsidRPr="00DC2146">
        <w:rPr>
          <w:sz w:val="24"/>
          <w:szCs w:val="24"/>
          <w:lang w:val="it-IT"/>
        </w:rPr>
        <w:t xml:space="preserve"> – </w:t>
      </w:r>
      <w:r w:rsidRPr="00DC2146">
        <w:rPr>
          <w:b/>
          <w:bCs/>
          <w:sz w:val="24"/>
          <w:szCs w:val="24"/>
          <w:lang w:val="it-IT"/>
        </w:rPr>
        <w:t>Mosveprim/mosndërhyrje ligjore</w:t>
      </w:r>
      <w:r w:rsidRPr="00DC2146">
        <w:rPr>
          <w:b/>
          <w:bCs/>
          <w:lang w:val="it-IT"/>
        </w:rPr>
        <w:t>.</w:t>
      </w:r>
      <w:r w:rsidRPr="00DC2146">
        <w:rPr>
          <w:lang w:val="it-IT"/>
        </w:rPr>
        <w:t xml:space="preserve"> </w:t>
      </w:r>
      <w:r w:rsidRPr="00DC2146">
        <w:rPr>
          <w:rFonts w:cs="Times New Roman"/>
          <w:sz w:val="24"/>
          <w:szCs w:val="24"/>
          <w:lang w:val="it-IT"/>
        </w:rPr>
        <w:t>Ky opsion nënkupton ruajtjen e kuadrit aktual ligjor dhe rregullator pa ndërhyrje të re legjislative. Në këtë rast, kërkesat për transparencën e emetuesve do të vazhdonin të rregulloheshin nga dispozita të shpërndara në legjislacionin për tregjet e kapitalit dhe në akte nënligjore të Autoritetit të Mbikëqyrjes Financiare. Megjithatë, ky opsion nuk do të mundësonte një transpozim të plotë dhe të strukturuar të Direktivës së Transparencës dhe akteve të saj ndryshuese dhe do të vazhdonte të krijonte mungesë qartësie dhe koherence në kuadrin rregullator.</w:t>
      </w:r>
    </w:p>
    <w:p w14:paraId="26F7303F" w14:textId="31D79383" w:rsidR="00B2189C" w:rsidRDefault="00B2189C" w:rsidP="008120E3">
      <w:pPr>
        <w:spacing w:before="100" w:beforeAutospacing="1" w:after="100" w:afterAutospacing="1"/>
        <w:rPr>
          <w:rFonts w:cs="Times New Roman"/>
          <w:sz w:val="24"/>
          <w:szCs w:val="24"/>
          <w:lang w:val="it-IT"/>
        </w:rPr>
      </w:pPr>
      <w:r w:rsidRPr="00B2189C">
        <w:rPr>
          <w:rFonts w:cs="Times New Roman"/>
          <w:b/>
          <w:bCs/>
          <w:sz w:val="24"/>
          <w:szCs w:val="24"/>
          <w:lang w:val="it-IT"/>
        </w:rPr>
        <w:t xml:space="preserve">Opsioni </w:t>
      </w:r>
      <w:r>
        <w:rPr>
          <w:rFonts w:cs="Times New Roman"/>
          <w:b/>
          <w:bCs/>
          <w:sz w:val="24"/>
          <w:szCs w:val="24"/>
          <w:lang w:val="it-IT"/>
        </w:rPr>
        <w:t>1</w:t>
      </w:r>
      <w:r w:rsidRPr="00B2189C">
        <w:rPr>
          <w:rFonts w:cs="Times New Roman"/>
          <w:b/>
          <w:bCs/>
          <w:sz w:val="24"/>
          <w:szCs w:val="24"/>
          <w:lang w:val="it-IT"/>
        </w:rPr>
        <w:t xml:space="preserve"> – Përfshirja e kërkesave për transparencën e emetuesve brenda ligjit për tregjet e kapitalit.</w:t>
      </w:r>
      <w:r w:rsidRPr="00B2189C">
        <w:rPr>
          <w:rFonts w:cs="Times New Roman"/>
          <w:sz w:val="24"/>
          <w:szCs w:val="24"/>
          <w:lang w:val="it-IT"/>
        </w:rPr>
        <w:t xml:space="preserve"> Ky opsion do të kërkonte ndryshime dhe shtesa në ligjin ekzistues për tregjet e kapitalit për të përfshirë kërkesat për transparencën e emetuesve. Megjithatë, kjo qasje do ta bënte ligjin më kompleks dhe do të kufizonte krijimin e një kuadri të qartë dhe të specializuar për këtë fushë, duke qenë se kërkesat për transparencën përbëjnë një regjim të veçantë rregullator në acquis të Bashkimit Evropian.</w:t>
      </w:r>
    </w:p>
    <w:p w14:paraId="34AD044C" w14:textId="26B8D6BE" w:rsidR="00B2189C" w:rsidRPr="00B2189C" w:rsidRDefault="00B2189C" w:rsidP="008120E3">
      <w:pPr>
        <w:spacing w:before="100" w:beforeAutospacing="1" w:after="100" w:afterAutospacing="1"/>
        <w:rPr>
          <w:rFonts w:cs="Times New Roman"/>
          <w:sz w:val="24"/>
          <w:szCs w:val="24"/>
          <w:lang w:val="it-IT"/>
        </w:rPr>
      </w:pPr>
      <w:r w:rsidRPr="00B2189C">
        <w:rPr>
          <w:rFonts w:cs="Times New Roman"/>
          <w:b/>
          <w:bCs/>
          <w:sz w:val="24"/>
          <w:szCs w:val="24"/>
          <w:lang w:val="it-IT"/>
        </w:rPr>
        <w:lastRenderedPageBreak/>
        <w:t xml:space="preserve">Opsioni </w:t>
      </w:r>
      <w:r w:rsidR="008120E3">
        <w:rPr>
          <w:rFonts w:cs="Times New Roman"/>
          <w:b/>
          <w:bCs/>
          <w:sz w:val="24"/>
          <w:szCs w:val="24"/>
          <w:lang w:val="it-IT"/>
        </w:rPr>
        <w:t>2</w:t>
      </w:r>
      <w:r w:rsidRPr="00B2189C">
        <w:rPr>
          <w:rFonts w:cs="Times New Roman"/>
          <w:b/>
          <w:bCs/>
          <w:sz w:val="24"/>
          <w:szCs w:val="24"/>
          <w:lang w:val="it-IT"/>
        </w:rPr>
        <w:t xml:space="preserve"> – Miratimi i një ligji të ri të posaçëm për kërkesat e transparencës për emetuesit e titujve.</w:t>
      </w:r>
      <w:r w:rsidRPr="00B2189C">
        <w:rPr>
          <w:rFonts w:cs="Times New Roman"/>
          <w:sz w:val="24"/>
          <w:szCs w:val="24"/>
          <w:lang w:val="it-IT"/>
        </w:rPr>
        <w:t xml:space="preserve"> Ky opsion parashikon krijimin e një kuadri të dedikuar ligjor që rregullon në mënyrë të plotë kërkesat për publikimin e informacionit periodik dhe të vazhdueshëm nga emetuesit e titujve të pranuar për tregtim në tregjet e rregulluara. Ky opsion mundëson transpozimin e plotë të Direktivës së Transparencës dhe akteve të saj ndryshuese, si dhe krijon një kuadër të qartë dhe të konsoliduar rregullator.</w:t>
      </w:r>
    </w:p>
    <w:p w14:paraId="7402A8AA" w14:textId="77777777" w:rsidR="00B2189C" w:rsidRPr="00B2189C" w:rsidRDefault="00B2189C" w:rsidP="008120E3">
      <w:pPr>
        <w:spacing w:before="100" w:beforeAutospacing="1" w:after="100" w:afterAutospacing="1"/>
        <w:jc w:val="both"/>
        <w:rPr>
          <w:rFonts w:cs="Times New Roman"/>
          <w:sz w:val="24"/>
          <w:szCs w:val="24"/>
          <w:lang w:val="it-IT"/>
        </w:rPr>
      </w:pPr>
      <w:r w:rsidRPr="00B2189C">
        <w:rPr>
          <w:rFonts w:cs="Times New Roman"/>
          <w:b/>
          <w:bCs/>
          <w:sz w:val="24"/>
          <w:szCs w:val="24"/>
          <w:lang w:val="it-IT"/>
        </w:rPr>
        <w:t>Opsioni 3 – Opsioni jo-rregullator.</w:t>
      </w:r>
      <w:r w:rsidRPr="00B2189C">
        <w:rPr>
          <w:rFonts w:cs="Times New Roman"/>
          <w:sz w:val="24"/>
          <w:szCs w:val="24"/>
          <w:lang w:val="it-IT"/>
        </w:rPr>
        <w:t xml:space="preserve"> Ky opsion do të konsistonte në përmirësimin e praktikave ekzistuese përmes udhëzimeve ose rekomandimeve nga Autoriteti i Mbikëqyrjes Financiare, pa ndërhyrje të drejtpërdrejtë legjislative. Megjithatë, kjo qasje nuk do të siguronte bazën ligjore të nevojshme për vendosjen e detyrimeve të detyrueshme për emetuesit dhe nuk do të mundësonte përafrimin e plotë me acquis të Bashkimit Evropian.</w:t>
      </w:r>
    </w:p>
    <w:p w14:paraId="71FC631F" w14:textId="77777777" w:rsidR="00DE41C7" w:rsidRDefault="00B2189C" w:rsidP="00B2189C">
      <w:pPr>
        <w:spacing w:before="100" w:beforeAutospacing="1" w:after="100" w:afterAutospacing="1"/>
        <w:jc w:val="both"/>
        <w:rPr>
          <w:rFonts w:cs="Times New Roman"/>
          <w:sz w:val="24"/>
          <w:szCs w:val="24"/>
          <w:lang w:val="it-IT"/>
        </w:rPr>
      </w:pPr>
      <w:r w:rsidRPr="00B2189C">
        <w:rPr>
          <w:rFonts w:cs="Times New Roman"/>
          <w:b/>
          <w:bCs/>
          <w:sz w:val="24"/>
          <w:szCs w:val="24"/>
          <w:lang w:val="it-IT"/>
        </w:rPr>
        <w:t>3. Identifikimi i opsioneve të politikës</w:t>
      </w:r>
      <w:r w:rsidRPr="00B2189C">
        <w:rPr>
          <w:rFonts w:cs="Times New Roman"/>
          <w:sz w:val="24"/>
          <w:szCs w:val="24"/>
          <w:lang w:val="it-IT"/>
        </w:rPr>
        <w:br/>
      </w:r>
    </w:p>
    <w:p w14:paraId="655DBB37" w14:textId="7A738981" w:rsidR="00715F7A" w:rsidRPr="00DE41C7" w:rsidRDefault="00B2189C" w:rsidP="00DE41C7">
      <w:pPr>
        <w:spacing w:before="100" w:beforeAutospacing="1" w:after="100" w:afterAutospacing="1"/>
        <w:jc w:val="both"/>
        <w:rPr>
          <w:rFonts w:cs="Times New Roman"/>
          <w:sz w:val="24"/>
          <w:szCs w:val="24"/>
          <w:lang w:val="it-IT"/>
        </w:rPr>
      </w:pPr>
      <w:r w:rsidRPr="00B2189C">
        <w:rPr>
          <w:rFonts w:cs="Times New Roman"/>
          <w:sz w:val="24"/>
          <w:szCs w:val="24"/>
          <w:lang w:val="it-IT"/>
        </w:rPr>
        <w:t>Opsionet e mësipërme janë identifikuar në kuadër të analizës së kuadrit ekzistues ligjor dhe të kërkesave të acquis të Bashkimit Evropian në fushën e transparencës së emetuesve. Në këtë proces janë marrë në konsideratë praktikat rregullatore të Bashkimit Evropian, nevoja për transpozimin e Direktivës së Transparencës dhe përmirësimin e kuadrit të tregut të kapitalit në Shqipëri, si dhe përvoja e institucioneve përgjegjëse për hartimin dhe zbatimin e legjislacionit në këtë fushë.</w:t>
      </w:r>
    </w:p>
    <w:p w14:paraId="037245A5" w14:textId="3D6F13C6" w:rsidR="009E5D4E" w:rsidRPr="009E5D4E" w:rsidRDefault="009E5D4E" w:rsidP="009E5D4E">
      <w:pPr>
        <w:keepNext/>
        <w:tabs>
          <w:tab w:val="right" w:pos="10206"/>
        </w:tabs>
        <w:spacing w:before="240" w:after="60" w:line="276" w:lineRule="auto"/>
        <w:outlineLvl w:val="0"/>
        <w:rPr>
          <w:rFonts w:cs="Times New Roman"/>
          <w:b/>
          <w:bCs/>
          <w:spacing w:val="-4"/>
          <w:kern w:val="32"/>
          <w:sz w:val="24"/>
          <w:szCs w:val="24"/>
          <w:lang w:val="sq-AL" w:eastAsia="en-GB"/>
        </w:rPr>
      </w:pPr>
      <w:r w:rsidRPr="009E5D4E">
        <w:rPr>
          <w:rFonts w:cs="Times New Roman"/>
          <w:b/>
          <w:bCs/>
          <w:spacing w:val="-4"/>
          <w:kern w:val="32"/>
          <w:sz w:val="24"/>
          <w:szCs w:val="24"/>
          <w:lang w:val="sq-AL" w:eastAsia="en-GB"/>
        </w:rPr>
        <w:t>Vlerësimi i opsioneve/analizimi i ndikimeve</w:t>
      </w:r>
    </w:p>
    <w:sdt>
      <w:sdtPr>
        <w:rPr>
          <w:rFonts w:cs="Times New Roman"/>
          <w:bCs/>
          <w:i/>
          <w:iCs/>
          <w:color w:val="000000"/>
          <w:sz w:val="24"/>
          <w:szCs w:val="24"/>
          <w:lang w:val="sq-AL" w:eastAsia="en-GB"/>
        </w:rPr>
        <w:id w:val="1457907593"/>
        <w:lock w:val="contentLocked"/>
        <w:placeholder>
          <w:docPart w:val="51C3D7693A394B06BB12456F375364C3"/>
        </w:placeholder>
      </w:sdtPr>
      <w:sdtEndPr>
        <w:rPr>
          <w:bCs w:val="0"/>
          <w:color w:val="auto"/>
        </w:rPr>
      </w:sdtEndPr>
      <w:sdtContent>
        <w:p w14:paraId="51E68F80" w14:textId="77777777" w:rsidR="009E5D4E" w:rsidRPr="009E5D4E" w:rsidRDefault="009E5D4E" w:rsidP="009E5D4E">
          <w:pPr>
            <w:numPr>
              <w:ilvl w:val="0"/>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Identifikoni grupet e prekura.</w:t>
          </w:r>
        </w:p>
        <w:p w14:paraId="151C030F" w14:textId="77777777" w:rsidR="009E5D4E" w:rsidRPr="009E5D4E" w:rsidRDefault="009E5D4E" w:rsidP="009E5D4E">
          <w:pPr>
            <w:numPr>
              <w:ilvl w:val="0"/>
              <w:numId w:val="12"/>
            </w:numPr>
            <w:tabs>
              <w:tab w:val="left" w:pos="567"/>
            </w:tabs>
            <w:spacing w:after="0" w:line="276" w:lineRule="auto"/>
            <w:ind w:left="540" w:hanging="180"/>
            <w:jc w:val="both"/>
            <w:rPr>
              <w:rFonts w:cs="Times New Roman"/>
              <w:bCs/>
              <w:i/>
              <w:color w:val="000000"/>
              <w:sz w:val="24"/>
              <w:szCs w:val="24"/>
              <w:lang w:val="sq-AL" w:eastAsia="en-GB"/>
            </w:rPr>
          </w:pPr>
          <w:r w:rsidRPr="009E5D4E">
            <w:rPr>
              <w:rFonts w:cs="Times New Roman"/>
              <w:bCs/>
              <w:i/>
              <w:color w:val="000000"/>
              <w:sz w:val="24"/>
              <w:szCs w:val="24"/>
              <w:lang w:val="sq-AL" w:eastAsia="en-GB"/>
            </w:rPr>
            <w:t>Identifikoni llojet e ndikimeve për secilin grup të prekur, bëni dallimin midis ndikimeve të drejtpërdrejta dhe jo të drejtpërdrejta.</w:t>
          </w:r>
        </w:p>
        <w:p w14:paraId="6EAE1CF4" w14:textId="77777777" w:rsidR="009E5D4E" w:rsidRPr="009E5D4E" w:rsidRDefault="009E5D4E" w:rsidP="009E5D4E">
          <w:pPr>
            <w:numPr>
              <w:ilvl w:val="0"/>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Për ndikimet e drejtpërdrejta:</w:t>
          </w:r>
        </w:p>
        <w:p w14:paraId="2899B9EC" w14:textId="77777777" w:rsidR="009E5D4E" w:rsidRPr="009E5D4E" w:rsidRDefault="009E5D4E" w:rsidP="009E5D4E">
          <w:pPr>
            <w:spacing w:after="0" w:line="276" w:lineRule="auto"/>
            <w:ind w:left="720"/>
            <w:jc w:val="both"/>
            <w:rPr>
              <w:rFonts w:cs="Times New Roman"/>
              <w:bCs/>
              <w:i/>
              <w:color w:val="000000"/>
              <w:sz w:val="24"/>
              <w:szCs w:val="24"/>
              <w:lang w:val="sq-AL" w:eastAsia="en-GB"/>
            </w:rPr>
          </w:pPr>
          <w:r w:rsidRPr="009E5D4E">
            <w:rPr>
              <w:rFonts w:cs="Times New Roman"/>
              <w:bCs/>
              <w:i/>
              <w:color w:val="000000"/>
              <w:sz w:val="24"/>
              <w:szCs w:val="24"/>
              <w:lang w:val="sq-AL" w:eastAsia="en-GB"/>
            </w:rPr>
            <w:t xml:space="preserve"> </w:t>
          </w:r>
        </w:p>
        <w:p w14:paraId="2C7E6130"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Përshkruani nga ana cilësore ndikimet e drejtpërdrejta mbi grupet e prekura.</w:t>
          </w:r>
        </w:p>
        <w:p w14:paraId="076328BC"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Analizoni nga ana sasiore ndikimet më të rëndësishme të drejtpërdrejta.</w:t>
          </w:r>
        </w:p>
        <w:p w14:paraId="021E73EA"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Përcaktoni vlerën monetare të ndikimeve më të rëndësishme të drejtpërdrejta aty ku është e mundur (përdor tabelën në Aneksin 2/a të këtij dokumenti).</w:t>
          </w:r>
        </w:p>
        <w:p w14:paraId="655193A6" w14:textId="77777777" w:rsidR="009E5D4E" w:rsidRPr="009E5D4E" w:rsidRDefault="009E5D4E" w:rsidP="009E5D4E">
          <w:pPr>
            <w:numPr>
              <w:ilvl w:val="1"/>
              <w:numId w:val="12"/>
            </w:numPr>
            <w:tabs>
              <w:tab w:val="left" w:pos="567"/>
            </w:tabs>
            <w:spacing w:after="12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Analizoni ndikimin mbi ndërmarrjet e vogla dhe të mesme (nëse ka).</w:t>
          </w:r>
        </w:p>
        <w:p w14:paraId="059A37A1" w14:textId="77777777" w:rsidR="009E5D4E" w:rsidRPr="009E5D4E" w:rsidRDefault="009E5D4E" w:rsidP="009E5D4E">
          <w:pPr>
            <w:numPr>
              <w:ilvl w:val="0"/>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Për ndikimet jo të drejtpërdrejta:</w:t>
          </w:r>
        </w:p>
        <w:p w14:paraId="0854CA52"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Përshkruani nga ana cilësore ndikimet jo të drejtpërdrejta mbi grupet e prekura.</w:t>
          </w:r>
        </w:p>
        <w:p w14:paraId="37E2736C" w14:textId="77777777" w:rsidR="009E5D4E" w:rsidRPr="009E5D4E" w:rsidRDefault="009E5D4E" w:rsidP="009E5D4E">
          <w:pPr>
            <w:numPr>
              <w:ilvl w:val="1"/>
              <w:numId w:val="12"/>
            </w:numPr>
            <w:tabs>
              <w:tab w:val="left" w:pos="567"/>
            </w:tabs>
            <w:spacing w:after="12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 xml:space="preserve">Analizoni ndikimin mbi konkurrencën.  </w:t>
          </w:r>
        </w:p>
        <w:p w14:paraId="0572C297" w14:textId="77777777" w:rsidR="009E5D4E" w:rsidRPr="009E5D4E" w:rsidRDefault="009E5D4E" w:rsidP="009E5D4E">
          <w:pPr>
            <w:numPr>
              <w:ilvl w:val="0"/>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Diskutoni kufizimin e analizës:</w:t>
          </w:r>
        </w:p>
        <w:p w14:paraId="1E9FD1DB"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Jepni supozimet në të cilat janë bazuar parashikimet dhe risqet, të cilave ato u nënshtrohen.</w:t>
          </w:r>
        </w:p>
        <w:p w14:paraId="74427E78" w14:textId="77777777" w:rsidR="009E5D4E" w:rsidRPr="009E5D4E" w:rsidRDefault="009E5D4E" w:rsidP="009E5D4E">
          <w:pPr>
            <w:numPr>
              <w:ilvl w:val="1"/>
              <w:numId w:val="12"/>
            </w:numPr>
            <w:tabs>
              <w:tab w:val="left" w:pos="567"/>
            </w:tabs>
            <w:spacing w:after="12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Tregoni se çfarë mund të pengojë realizimin e përfitimeve, të rrisë kostot ose të sjellë pasoja të papritura.</w:t>
          </w:r>
        </w:p>
        <w:p w14:paraId="35FABF79" w14:textId="77777777" w:rsidR="009E5D4E" w:rsidRPr="009E5D4E" w:rsidRDefault="009E5D4E" w:rsidP="009E5D4E">
          <w:pPr>
            <w:numPr>
              <w:ilvl w:val="0"/>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Përmblidhni vlerësimin e opsioneve:</w:t>
          </w:r>
        </w:p>
        <w:p w14:paraId="6F9064CA"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Paraqisni një pasqyrë përmbledhëse të të gjitha ndikimeve të opsioneve të analizuara.</w:t>
          </w:r>
        </w:p>
        <w:p w14:paraId="11777F70" w14:textId="77777777" w:rsidR="009E5D4E" w:rsidRPr="009E5D4E" w:rsidRDefault="009E5D4E" w:rsidP="009E5D4E">
          <w:pPr>
            <w:numPr>
              <w:ilvl w:val="1"/>
              <w:numId w:val="12"/>
            </w:numPr>
            <w:tabs>
              <w:tab w:val="left" w:pos="567"/>
            </w:tabs>
            <w:spacing w:after="0" w:line="276" w:lineRule="auto"/>
            <w:jc w:val="both"/>
            <w:rPr>
              <w:rFonts w:cs="Times New Roman"/>
              <w:bCs/>
              <w:i/>
              <w:color w:val="000000"/>
              <w:sz w:val="24"/>
              <w:szCs w:val="24"/>
              <w:lang w:val="sq-AL" w:eastAsia="en-GB"/>
            </w:rPr>
          </w:pPr>
          <w:r w:rsidRPr="009E5D4E">
            <w:rPr>
              <w:rFonts w:cs="Times New Roman"/>
              <w:bCs/>
              <w:i/>
              <w:color w:val="000000"/>
              <w:sz w:val="24"/>
              <w:szCs w:val="24"/>
              <w:lang w:val="sq-AL" w:eastAsia="en-GB"/>
            </w:rPr>
            <w:t>Shpjegoni se si ndikimet e të gjitha opsioneve të analizuara krahasohen me njëra-tjetrën.</w:t>
          </w:r>
        </w:p>
        <w:p w14:paraId="6C67610A" w14:textId="3060AE73" w:rsidR="009E5D4E" w:rsidRPr="009E5D4E" w:rsidRDefault="009E5D4E" w:rsidP="00F774CD">
          <w:pPr>
            <w:jc w:val="both"/>
            <w:rPr>
              <w:lang w:val="sq-AL"/>
            </w:rPr>
          </w:pPr>
          <w:r w:rsidRPr="009E5D4E">
            <w:rPr>
              <w:rFonts w:cs="Times New Roman"/>
              <w:i/>
              <w:sz w:val="24"/>
              <w:szCs w:val="24"/>
              <w:lang w:val="sq-AL" w:eastAsia="en-GB"/>
            </w:rPr>
            <w:t>Paraqisni përllogaritjet më të mira të përgjithshme neto të ndikimit me vlerë monetare të përcaktuar për çdo opsion (përdor tabelën në Aneksin 2/b të këtij dokumenti).</w:t>
          </w:r>
        </w:p>
      </w:sdtContent>
    </w:sdt>
    <w:p w14:paraId="637821E8" w14:textId="77777777" w:rsidR="009E5D4E" w:rsidRPr="009E5D4E" w:rsidRDefault="009E5D4E" w:rsidP="00F774CD">
      <w:pPr>
        <w:jc w:val="both"/>
        <w:rPr>
          <w:lang w:val="sq-AL"/>
        </w:rPr>
      </w:pPr>
    </w:p>
    <w:p w14:paraId="77834EC8" w14:textId="77777777" w:rsidR="009E5D4E" w:rsidRPr="009E5D4E" w:rsidRDefault="009E5D4E" w:rsidP="00F774CD">
      <w:pPr>
        <w:jc w:val="both"/>
        <w:rPr>
          <w:lang w:val="sq-AL"/>
        </w:rPr>
      </w:pPr>
    </w:p>
    <w:p w14:paraId="54027C74" w14:textId="77777777" w:rsidR="009E5D4E" w:rsidRPr="00DC2146" w:rsidRDefault="00000000" w:rsidP="00F774CD">
      <w:pPr>
        <w:jc w:val="both"/>
        <w:rPr>
          <w:lang w:val="sq-AL"/>
        </w:rPr>
      </w:pPr>
      <w:r w:rsidRPr="00DC2146">
        <w:rPr>
          <w:lang w:val="sq-AL"/>
        </w:rPr>
        <w:t xml:space="preserve">Grupet e prekura. </w:t>
      </w:r>
    </w:p>
    <w:p w14:paraId="31CF5CAD" w14:textId="596A09B0" w:rsidR="00981417" w:rsidRPr="00DC2146" w:rsidRDefault="00000000" w:rsidP="00F774CD">
      <w:pPr>
        <w:jc w:val="both"/>
        <w:rPr>
          <w:lang w:val="sq-AL"/>
        </w:rPr>
      </w:pPr>
      <w:r w:rsidRPr="00DC2146">
        <w:rPr>
          <w:lang w:val="sq-AL"/>
        </w:rPr>
        <w:t xml:space="preserve">Grupet e prekura drejtpërdrejt janë: (i) emetuesit e aksioneve dhe titujve të borxhit të pranuar për tregtim në një treg të rregulluar; (ii) aksionarët dhe personat fizikë ose juridikë që kalojnë pragjet e njoftimit ose mbajnë </w:t>
      </w:r>
      <w:r w:rsidRPr="00DC2146">
        <w:rPr>
          <w:lang w:val="sq-AL"/>
        </w:rPr>
        <w:lastRenderedPageBreak/>
        <w:t>instrumente financiare që japin të drejtë ose efekt ekonomik të ngjashëm me aksionet; (iii) shoqëritë komisionere, institucionet e kreditit, kujdestarët, krijuesit e tregut dhe operatori i tregut të rregulluar; (iv) AMF si autoritet kompetent; dhe (v) investitorët dhe publiku si përfitues fundorë të transparencës më të lartë.</w:t>
      </w:r>
    </w:p>
    <w:p w14:paraId="7B2318AF" w14:textId="77777777" w:rsidR="00981417" w:rsidRPr="00DC2146" w:rsidRDefault="00000000" w:rsidP="00F774CD">
      <w:pPr>
        <w:jc w:val="both"/>
        <w:rPr>
          <w:lang w:val="sq-AL"/>
        </w:rPr>
      </w:pPr>
      <w:r w:rsidRPr="00DC2146">
        <w:rPr>
          <w:lang w:val="sq-AL"/>
        </w:rPr>
        <w:t>Ndikimet e drejtpërdrejta mbi emetuesit. Opsioni 2 vendos detyrime të qarta për publikimin e raportit vjetor brenda 4 muajve, raportit gjashtëmujor brenda 3 muajve, raportin mbi pagesat ndaj institucioneve shtetërore kur është i zbatueshëm, ruajtjen publike të informacionit për 10 vjet, publikimin e ndryshimeve në të drejtat e titujve, njoftimet ndaj mbajtësve të aksioneve dhe titujve të borxhit, si dhe depozitimin e informacionit të rregulluar pranë AMF-së dhe mekanizmit zyrtar. Për emetuesit që bien nën fushën e raportimit të qëndrueshmërisë shtohen edhe detyrimet për opinionin e sigurisë, ndërsa nga 1 janari 2028 hyn në lojë formati unik elektronik i raportimit.</w:t>
      </w:r>
    </w:p>
    <w:p w14:paraId="0C76E87D" w14:textId="77777777" w:rsidR="00981417" w:rsidRPr="00DC2146" w:rsidRDefault="00000000" w:rsidP="00F774CD">
      <w:pPr>
        <w:jc w:val="both"/>
        <w:rPr>
          <w:lang w:val="sq-AL"/>
        </w:rPr>
      </w:pPr>
      <w:r w:rsidRPr="00DC2146">
        <w:rPr>
          <w:lang w:val="sq-AL"/>
        </w:rPr>
        <w:t>Këto detyrime krijojnë kosto një herë për rishikimin e procedurave të brendshme, përcaktimin e përgjegjësive të organeve drejtuese, përgatitjen e shablloneve të raportimit, përshtatjen bazike të infrastrukturës së publikimit dhe trajnimin e stafit. Krijojnë gjithashtu kosto të vazhdueshme për raportimin periodik, auditimin ose rishikimin kur është i nevojshëm, menaxhimin e depozitimit elektronik, monitorimin e pragjeve të zotërimeve dhe trajtimin e kërkesave të vazhdueshme të transparencës.</w:t>
      </w:r>
    </w:p>
    <w:p w14:paraId="48C1C113" w14:textId="77777777" w:rsidR="00981417" w:rsidRPr="00DC2146" w:rsidRDefault="00000000" w:rsidP="00F774CD">
      <w:pPr>
        <w:jc w:val="both"/>
        <w:rPr>
          <w:lang w:val="sq-AL"/>
        </w:rPr>
      </w:pPr>
      <w:r w:rsidRPr="00DC2146">
        <w:rPr>
          <w:lang w:val="sq-AL"/>
        </w:rPr>
        <w:t>Ndikimet e drejtpërdrejta mbi aksionarët, investitorët institucionalë dhe ndërmjetësit. Opsioni 2 forcon regjimin e njoftimit për arritjen, tejkalimin ose rënien nën pragjet e zotërimeve të mëdha, zgjeron qartësinë për rastet e kontrollit të të drejtave të votës nëpërmjet marrëveshjeve, uzufruktit, përfaqësimit, kolateralit dhe shoqërive të kontrolluara, dhe përfshin instrumentet financiare me të drejtë shlyerjeje fizike ose cash, përfshirë llogaritjen delta. Për këto grupe krijohen kosto organizative për monitorimin e pragjeve, proceset e njoftimit dhe dokumentimin e zinxhirit të kontrollit, por njëkohësisht rritet siguria juridike e sjelljes së kërkuar.</w:t>
      </w:r>
    </w:p>
    <w:p w14:paraId="4C18E28C" w14:textId="31E8E910" w:rsidR="00981417" w:rsidRPr="00DC2146" w:rsidRDefault="00000000" w:rsidP="00F774CD">
      <w:pPr>
        <w:jc w:val="both"/>
        <w:rPr>
          <w:lang w:val="sq-AL"/>
        </w:rPr>
      </w:pPr>
      <w:r w:rsidRPr="00DC2146">
        <w:rPr>
          <w:lang w:val="sq-AL"/>
        </w:rPr>
        <w:t>Ndikimet e drejtpërdrejta mbi AMF-në. AMF merr përgjegjësi të zgjeruara për publikimin dhe ruajtjen e informacionit të rregulluar, monitorimin e afateve, verifikimin e përmbajtjes, hetimin, pezullimin ose ndalimin e tregtimit kur ka shkelje, si dhe vendosjen e masave administrative dhe sanksioneve. Kjo rrit ngarkesën administrative dhe kërkesat për kapacitete ligjore, mbikëqyrëse dhe IT,</w:t>
      </w:r>
      <w:r w:rsidR="009E5D4E" w:rsidRPr="00DC2146">
        <w:rPr>
          <w:lang w:val="sq-AL"/>
        </w:rPr>
        <w:t xml:space="preserve"> por</w:t>
      </w:r>
      <w:r w:rsidRPr="00DC2146">
        <w:rPr>
          <w:lang w:val="sq-AL"/>
        </w:rPr>
        <w:t xml:space="preserve"> pa </w:t>
      </w:r>
      <w:r w:rsidR="009F4FEA" w:rsidRPr="00DC2146">
        <w:rPr>
          <w:lang w:val="sq-AL"/>
        </w:rPr>
        <w:t>kosto</w:t>
      </w:r>
      <w:r w:rsidRPr="00DC2146">
        <w:rPr>
          <w:lang w:val="sq-AL"/>
        </w:rPr>
        <w:t xml:space="preserve"> shtesë të drejtpërdrejtë të financimit nga buxheti i shtetit.</w:t>
      </w:r>
    </w:p>
    <w:p w14:paraId="71B7FD3B" w14:textId="77777777" w:rsidR="00981417" w:rsidRPr="00DC2146" w:rsidRDefault="00000000" w:rsidP="00F774CD">
      <w:pPr>
        <w:jc w:val="both"/>
        <w:rPr>
          <w:lang w:val="sq-AL"/>
        </w:rPr>
      </w:pPr>
      <w:r w:rsidRPr="00DC2146">
        <w:rPr>
          <w:lang w:val="sq-AL"/>
        </w:rPr>
        <w:t>Vlerësimi sasior i ndikimeve të drejtpërdrejta. Për mungesë të të dhënave të plota statistikore në materialet e bashkëlidhura, vlerësimi monetar është ndërtuar mbi një skenar konservator pune: 4 emetues në fushën e plotë të ligjit gjatë fazës së parë, 6 aktorë të tjerë të prekur nga detyrimet e njoftimit dhe zbatim institucional nga AMF pa shtesë të financimit publik. Në këtë bazë, kostoja një herë për biznesin vlerësohet 6.0 milionë lekë në vitin 1, kostoja në vazhdimësi për biznesin 5.0 milionë lekë në vit, kostoja një herë për grupet e tjera 1.2 milionë lekë në vitin 1 dhe kostoja në vazhdimësi për grupet e tjera 0.6 milionë lekë në vit. Për vitin 3 është parashikuar edhe një kosto shtesë një herë prej 3.2 milionë lekësh për përshtatjen me formatin unik elektronik.</w:t>
      </w:r>
    </w:p>
    <w:p w14:paraId="3A7AC19C" w14:textId="77777777" w:rsidR="00981417" w:rsidRPr="00DC2146" w:rsidRDefault="00000000" w:rsidP="00F774CD">
      <w:pPr>
        <w:jc w:val="both"/>
        <w:rPr>
          <w:lang w:val="sq-AL"/>
        </w:rPr>
      </w:pPr>
      <w:r w:rsidRPr="00DC2146">
        <w:rPr>
          <w:lang w:val="sq-AL"/>
        </w:rPr>
        <w:t>Ndikimi mbi ndërmarrjet e vogla dhe të mesme. Edhe pse tregjet e rregulluara zakonisht përfshijnë një numër të kufizuar emetuesish, në rastet kur në të ardhmen do të ketë emetues me shkallë më të vogël aktiviteti, barra relative administrative mund të jetë më e lartë për ta sesa për emetuesit më të mëdhenj. Ky rrezik zbutet pjesërisht nga natyra standardizuese e detyrimeve, nga mundësia për përdorim të shablloneve, nga përjashtimet e parashikuara për kategori të caktuara emetuesish dhe nga dispozitat kalimtare për elementet më teknike.</w:t>
      </w:r>
    </w:p>
    <w:p w14:paraId="12625D35" w14:textId="77777777" w:rsidR="00981417" w:rsidRPr="00DC2146" w:rsidRDefault="00000000" w:rsidP="00F774CD">
      <w:pPr>
        <w:jc w:val="both"/>
        <w:rPr>
          <w:lang w:val="sq-AL"/>
        </w:rPr>
      </w:pPr>
      <w:r w:rsidRPr="00DC2146">
        <w:rPr>
          <w:lang w:val="sq-AL"/>
        </w:rPr>
        <w:t>Ndikimet jo të drejtpërdrejta. Opsioni 2 pritet të përmirësojë funksionimin e tregut nëpërmjet uljes së asimetrisë së informacionit, rritjes së krahasueshmërisë së raportimit, përmirësimit të qeverisjes korporative dhe lehtësimit të due diligence nga investitorët. Kjo mund të ndikojë pozitivisht në perceptimin e rrezikut të emetuesve, në cilësinë e formimit të çmimit dhe, në afat mesatar, në koston e financimit. Një pjesë e këtyre përfitimeve është strukturore dhe nuk është monetizuar plotësisht në këtë RIA.</w:t>
      </w:r>
    </w:p>
    <w:p w14:paraId="629E846E" w14:textId="77777777" w:rsidR="00981417" w:rsidRPr="00DC2146" w:rsidRDefault="00000000" w:rsidP="00F774CD">
      <w:pPr>
        <w:jc w:val="both"/>
        <w:rPr>
          <w:lang w:val="sq-AL"/>
        </w:rPr>
      </w:pPr>
      <w:r w:rsidRPr="00DC2146">
        <w:rPr>
          <w:lang w:val="sq-AL"/>
        </w:rPr>
        <w:t>Ndikimi mbi konkurrencën. Opsioni 2 krijon një fushë loje më të barabartë për të gjithë emetuesit e listuar, sepse standardet e transparencës bëhen të qarta dhe të zbatueshme në mënyrë uniforme. Ai është, në thelb, neutral ndaj konkurrencës ndërmjet subjekteve të listuara, por mund të rrisë disi pragun e hyrjes për emetues shumë të vegjël që nuk kanë ende procese të konsoliduara raportimi. Kjo kërkon që AMF të përdorë instrumente lehtësuese zbatuese, si udhëzime praktike, formularë standardë dhe trajnime.</w:t>
      </w:r>
    </w:p>
    <w:p w14:paraId="764B696B" w14:textId="1B324766" w:rsidR="00981417" w:rsidRPr="00DC2146" w:rsidRDefault="00000000" w:rsidP="00F774CD">
      <w:pPr>
        <w:jc w:val="both"/>
        <w:rPr>
          <w:lang w:val="sq-AL"/>
        </w:rPr>
      </w:pPr>
      <w:r w:rsidRPr="00DC2146">
        <w:rPr>
          <w:lang w:val="sq-AL"/>
        </w:rPr>
        <w:t xml:space="preserve">Përfitimet e </w:t>
      </w:r>
      <w:r w:rsidR="00767C74">
        <w:rPr>
          <w:lang w:val="sq-AL"/>
        </w:rPr>
        <w:t xml:space="preserve">monetare. </w:t>
      </w:r>
      <w:r w:rsidRPr="00DC2146">
        <w:rPr>
          <w:lang w:val="sq-AL"/>
        </w:rPr>
        <w:t>Për qëllime të vlerësimit janë monetizuar vetëm dy kategori përfitimesh të drejtpërdrejta dhe relativisht të verifikueshme: (i) kursimi i kostove të kërkimit, verifikimit dhe marrjes së informacionit nga investitorët dhe palët e tjera të interesuara, i vlerësuar 3.5 milionë lekë në vit; dhe (ii) kursimi i kostove të kërkesave të përsëritura ad hoc, i kohës së administrimit të informacionit dhe i friksioneve procedurale për emetuesit, i vlerësuar 6.0 milionë lekë në vit. Përfitimet më të gjera - si rritja e besimit të tregut, disiplinimi i sjelljes korporative, përmirësimi i qeverisjes dhe ulja e mundshme e kostos së kapitalit - nuk janë përfshirë plotësisht në llogaritje, çka e bën vlerësimin monetar konservator.</w:t>
      </w:r>
    </w:p>
    <w:p w14:paraId="46181892" w14:textId="77777777" w:rsidR="00981417" w:rsidRPr="00DC2146" w:rsidRDefault="00000000" w:rsidP="00F774CD">
      <w:pPr>
        <w:jc w:val="both"/>
        <w:rPr>
          <w:lang w:val="sq-AL"/>
        </w:rPr>
      </w:pPr>
      <w:r w:rsidRPr="00DC2146">
        <w:rPr>
          <w:lang w:val="sq-AL"/>
        </w:rPr>
        <w:t xml:space="preserve">Kufizimet e analizës. RIA nuk është mbështetur në një bazë të plotë statistikore mbi numrin e emetuesve aktivë që do t'i nënshtrohen menjëherë ligjit, kostot aktuale të raportimit, shpenzimet ekzistuese IT apo të dhënat historike </w:t>
      </w:r>
      <w:r w:rsidRPr="00DC2146">
        <w:rPr>
          <w:lang w:val="sq-AL"/>
        </w:rPr>
        <w:lastRenderedPageBreak/>
        <w:t>mbi shkeljet e regjimit aktual. Për pasojë, vlerësimet monetare duhen lexuar si skenar pune konservator dhe jo si përllogaritje kontabël përfundimtare. Nëse gjatë zbatimit rezulton nevoja për zhvillim të posaçëm të sistemit IT të AMF-së ose për rritje të konsiderueshme të numrit të subjekteve të mbikëqyrura, ndikimi buxhetor dhe ndikimi neto duhet të rishikohen.</w:t>
      </w:r>
    </w:p>
    <w:p w14:paraId="257365B1" w14:textId="77777777" w:rsidR="00981417" w:rsidRPr="00DC2146" w:rsidRDefault="00000000" w:rsidP="00F774CD">
      <w:pPr>
        <w:jc w:val="both"/>
        <w:rPr>
          <w:lang w:val="sq-AL"/>
        </w:rPr>
      </w:pPr>
      <w:r w:rsidRPr="00DC2146">
        <w:rPr>
          <w:lang w:val="sq-AL"/>
        </w:rPr>
        <w:t>Përmbledhje krahasuese e opsioneve. Krahasuar me status quo (Opsioni 0), Opsioni 1 sjell përmirësime të pjesshme me kosto dhe përfitime më të ulëta, por lë boshllëqe në mekanizmat e ruajtjes/shpërndarjes dhe në kërkesat teknike. Opsioni 2 (projektligji) siguron paketën e plotë rregullatore dhe institucionale dhe rezulton me ndikim neto më të lartë në horizont 10‑vjeçar (VAN pozitive), duke qenë gjithashtu i përafruar plotësisht me acquis të BE-së.</w:t>
      </w:r>
    </w:p>
    <w:p w14:paraId="57110A2C" w14:textId="77777777" w:rsidR="00981417" w:rsidRPr="00DC2146" w:rsidRDefault="00000000" w:rsidP="00F774CD">
      <w:pPr>
        <w:jc w:val="both"/>
        <w:rPr>
          <w:lang w:val="sq-AL"/>
        </w:rPr>
      </w:pPr>
      <w:r w:rsidRPr="00DC2146">
        <w:rPr>
          <w:lang w:val="sq-AL"/>
        </w:rPr>
        <w:t>Metodologjia e vlerësimit. Analiza e ndikimit është kryer duke krahasuar opsionet kundrejt skenarit bazë (status quo), në përputhje me parimet e RIA (analizë inkrementale). Për opsionet rregullatore janë vlerësuar: (i) kostot administrative dhe kostot e pajtueshmërisë (compliance); (ii) përfitimet direkte dhe indirekte; (iii) ndikimet institucionale, buxhetore dhe rregullatore; (iv) rreziqet e zbatimit dhe masat lehtësuese.</w:t>
      </w:r>
    </w:p>
    <w:p w14:paraId="43C00FC7" w14:textId="77777777" w:rsidR="00981417" w:rsidRPr="00B256EB" w:rsidRDefault="00000000" w:rsidP="00F774CD">
      <w:pPr>
        <w:jc w:val="both"/>
        <w:rPr>
          <w:lang w:val="de-DE"/>
        </w:rPr>
      </w:pPr>
      <w:r w:rsidRPr="00B256EB">
        <w:rPr>
          <w:lang w:val="de-DE"/>
        </w:rPr>
        <w:t>Horizonti kohor dhe zbritja (diskontimi). Për efekt të llogaritjes së vlerës aktuale neto (VAN) është përdorur një horizont 10‑vjeçar, që reflekton ciklet tipike të raportimit dhe përfitimet afatmesme të transparencës. Është aplikuar normë zbritjeje r = 5% në vit (faktorët 1.00; 0.95; 0.91; …; 0.64), në përputhje me praktikat e vlerësimit publik. Vlerat në shtojcat 2/a dhe 2/b paraqiten në milionë lekë dhe janë të rrumbullakosura.</w:t>
      </w:r>
    </w:p>
    <w:p w14:paraId="3A2A1E4F" w14:textId="77777777" w:rsidR="00981417" w:rsidRPr="00B256EB" w:rsidRDefault="00000000" w:rsidP="00F774CD">
      <w:pPr>
        <w:jc w:val="both"/>
        <w:rPr>
          <w:lang w:val="de-DE"/>
        </w:rPr>
      </w:pPr>
      <w:r w:rsidRPr="00B256EB">
        <w:rPr>
          <w:lang w:val="de-DE"/>
        </w:rPr>
        <w:t>Burimet dhe supozimet. Në mungesë të një baze të plotë statistikore të publikuar mbi numrin aktual të emetuesve që do të bien menjëherë në fushën e zbatimit, analiza përdor supozime konservatore dhe skenarë: (i) numër i ulët emetuesish në fazën fillestare (treg i vogël dhe në zhvillim); (ii) rritje graduale e numrit të emetuesve dhe e volumit të informacionit të rregulluar në horizont 10‑vjeçar; (iii) kostot e ESEF konsiderohen nga viti 3 (përputhur me afatin 1 janar 2028). Supozimet do të rishikohen pas konsultimit publik dhe pas krijimit të baseline nga AMF në momentin e hyrjes në fuqi.</w:t>
      </w:r>
    </w:p>
    <w:p w14:paraId="7CD98E71" w14:textId="77777777" w:rsidR="00981417" w:rsidRPr="00B256EB" w:rsidRDefault="00000000" w:rsidP="00F774CD">
      <w:pPr>
        <w:jc w:val="both"/>
        <w:rPr>
          <w:lang w:val="de-DE"/>
        </w:rPr>
      </w:pPr>
      <w:r w:rsidRPr="00B256EB">
        <w:rPr>
          <w:lang w:val="de-DE"/>
        </w:rPr>
        <w:t>Metoda e kostove administrative (Standard Cost Model – SCM). Për disa detyrime janë identifikuar aktivitetet administrative kryesore (p.sh. përgatitja e njoftimit për zotërim të madh; publikimi në mekanizmin e ruajtjes; përditësimi i faqes së internetit) dhe është llogaritur kostoja si: Koha (orë) × Kosto mesatare për orë × Frekuenca. Për të minimizuar pasigurinë, vlerat monetare janë agreguar në kategori (kosto një herë / kosto të vazhdueshme) dhe janë trajtuar si inkrementale ndaj status quo-së.</w:t>
      </w:r>
    </w:p>
    <w:p w14:paraId="413A8BC6" w14:textId="77777777" w:rsidR="00981417" w:rsidRPr="00B256EB" w:rsidRDefault="00000000" w:rsidP="00F774CD">
      <w:pPr>
        <w:jc w:val="both"/>
        <w:rPr>
          <w:lang w:val="it-IT"/>
        </w:rPr>
      </w:pPr>
      <w:r w:rsidRPr="00B256EB">
        <w:rPr>
          <w:lang w:val="it-IT"/>
        </w:rPr>
        <w:t>Ndikimet mbi emetuesit – raportimi periodik. Projektligji përcakton afate të qarta dhe përmbajtje të detajuar për raportin financiar vjetor (neni 4) dhe raportin financiar gjashtëmujor (neni 5), duke kërkuar gjithashtu publikimin e raportit të auditimit dhe, kur është e aplikueshme, raportit të sigurisë mbi raportimin e qëndrueshmërisë. Këto detyrime rrisin disiplinën e raportimit dhe cilësinë e informacionit, por mund të sjellin kosto inkrementale për standardizim të proceseve të brendshme, koordinim me audituesit dhe përgatitje të deklaratave të personave përgjegjës.</w:t>
      </w:r>
    </w:p>
    <w:p w14:paraId="7E10F52E" w14:textId="77777777" w:rsidR="00981417" w:rsidRPr="00B256EB" w:rsidRDefault="00000000" w:rsidP="00F774CD">
      <w:pPr>
        <w:jc w:val="both"/>
        <w:rPr>
          <w:lang w:val="it-IT"/>
        </w:rPr>
      </w:pPr>
      <w:r w:rsidRPr="00B256EB">
        <w:rPr>
          <w:lang w:val="it-IT"/>
        </w:rPr>
        <w:t>Ndikimet mbi emetuesit – njoftimet për zotërime të mëdha dhe instrumente financiare. Kapitulli II, Seksioni II (nenet 12–21) vendos pragje, afate dhe forma për njoftimin e zotërimeve të mëdha, përfshirë agregimin dhe instrumentet financiare. Emetuesit duhet të kenë procese për të pranuar, verifikuar dhe publikuar njoftimet brenda 3 ditëve tregtimi (neni 14), si dhe të raportojnë ndryshimet në numrin total të të drejtave të votës/kapitalit (neni 25). Kjo kërkon organizim të funksioneve të marrëdhënieve me investitorët dhe mekanizma monitorimi të aksionarëve.</w:t>
      </w:r>
    </w:p>
    <w:p w14:paraId="6B9AE623" w14:textId="77777777" w:rsidR="00981417" w:rsidRPr="00B256EB" w:rsidRDefault="00000000" w:rsidP="00F774CD">
      <w:pPr>
        <w:jc w:val="both"/>
        <w:rPr>
          <w:lang w:val="it-IT"/>
        </w:rPr>
      </w:pPr>
      <w:r w:rsidRPr="00B256EB">
        <w:rPr>
          <w:lang w:val="it-IT"/>
        </w:rPr>
        <w:t>Ndikimet mbi emetuesit – shpërndarja/ruajtja dhe komunikimi me publikun. Projektligji garanton akses të barabartë dhe të njëkohshëm (neni 22) dhe kërkon përdorimin e mënyrave të shpërndarjes që minimizojnë rrezikun e deformimit të informacionit (neni 28). Detyrimi për ruajtje 10‑vjeçare dhe depozitim në mekanizmin zyrtar (nenet 29–30) kërkon disiplinë në arkivim elektronik dhe mund të sjellë kosto për shërbime IT/hostim, por nga ana tjetër ul kostot e kërkimit të informacionit për përdoruesit.</w:t>
      </w:r>
    </w:p>
    <w:p w14:paraId="307BB371" w14:textId="77777777" w:rsidR="00981417" w:rsidRPr="00B256EB" w:rsidRDefault="00000000" w:rsidP="00F774CD">
      <w:pPr>
        <w:jc w:val="both"/>
        <w:rPr>
          <w:lang w:val="it-IT"/>
        </w:rPr>
      </w:pPr>
      <w:r w:rsidRPr="00B256EB">
        <w:rPr>
          <w:lang w:val="it-IT"/>
        </w:rPr>
        <w:t>Ndikimet mbi aksionarët dhe zotëruesit e titujve të borxhit. Për aksionarët me zotërime të mëdha dhe personat e lidhur, ligji vendos detyrimin e njoftimit brenda 4 ditëve tregtimi (neni 13) dhe përcakton rregulla të detajuara për përllogaritjen e të drejtave të votës, përfshirë rastet e mbajtjes nga palë të treta, marrëveshjet për ushtrimin e të drejtave të votës, etj. Këto rregulla rrisin transparencën dhe ulin rrezikun e kontrollit të fshehur, por mund të sjellin kosto administrative për përgatitjen e njoftimeve dhe monitorimin e pragjeve.</w:t>
      </w:r>
    </w:p>
    <w:p w14:paraId="149FD117" w14:textId="77777777" w:rsidR="00981417" w:rsidRPr="00B256EB" w:rsidRDefault="00000000" w:rsidP="00F774CD">
      <w:pPr>
        <w:jc w:val="both"/>
        <w:rPr>
          <w:lang w:val="it-IT"/>
        </w:rPr>
      </w:pPr>
      <w:r w:rsidRPr="00B256EB">
        <w:rPr>
          <w:lang w:val="it-IT"/>
        </w:rPr>
        <w:t>Ndikimet mbi audituesit/ekspertët e raportimit. Projektligji kërkon publikimin e raportit të auditimit dhe, kur aplikohet, raportit të sigurisë mbi raportimin e qëndrueshmërisë (neni 4). Kjo mund të rrisë kërkesën për shërbime profesionale (auditim, siguri mbi qëndrueshmërinë, ESEF tagging), duke kërkuar ngritje kapacitetesh në tregun e auditimit dhe të shërbimeve të raportimit. Ndikimi është kryesisht zhvendosje e kërkesës dhe rritje e standardeve profesionale.</w:t>
      </w:r>
    </w:p>
    <w:p w14:paraId="52252D6E" w14:textId="77777777" w:rsidR="00981417" w:rsidRPr="00B256EB" w:rsidRDefault="00000000" w:rsidP="00F774CD">
      <w:pPr>
        <w:jc w:val="both"/>
        <w:rPr>
          <w:lang w:val="it-IT"/>
        </w:rPr>
      </w:pPr>
      <w:r w:rsidRPr="00B256EB">
        <w:rPr>
          <w:lang w:val="it-IT"/>
        </w:rPr>
        <w:t xml:space="preserve">Ndikimet mbi AMF-në dhe administratën publike. AMF merr kompetenca të zgjeruara për marrjen, depozitimin, publikimin, ruajtjen qendrore dhe mbikëqyrjen e informacionit të rregulluar (nenet 29–30, 36–38), si dhe për </w:t>
      </w:r>
      <w:r w:rsidRPr="00B256EB">
        <w:rPr>
          <w:lang w:val="it-IT"/>
        </w:rPr>
        <w:lastRenderedPageBreak/>
        <w:t>vendosjen e masave administrative dhe sanksioneve (nenet 39–42). Zbatimi kërkon: (i) akte nënligjore dhe standarde teknike; (ii) procese të qarta hetimi; (iii) kapacitete IT për mekanizmin e ruajtjes; (iv) trajnime dhe komunikim me subjektet e mbikëqyrura.</w:t>
      </w:r>
    </w:p>
    <w:p w14:paraId="774CB923" w14:textId="21B6C0D3" w:rsidR="00981417" w:rsidRPr="00767C74" w:rsidRDefault="00000000" w:rsidP="00F774CD">
      <w:pPr>
        <w:jc w:val="both"/>
        <w:rPr>
          <w:rFonts w:cs="Times New Roman"/>
          <w:lang w:val="it-IT"/>
        </w:rPr>
      </w:pPr>
      <w:r w:rsidRPr="00767C74">
        <w:rPr>
          <w:rFonts w:cs="Times New Roman"/>
          <w:lang w:val="it-IT"/>
        </w:rPr>
        <w:t xml:space="preserve">Ndikimi buxhetor. Projektligji nuk parashikon </w:t>
      </w:r>
      <w:r w:rsidR="00767C74" w:rsidRPr="00767C74">
        <w:rPr>
          <w:rFonts w:cs="Times New Roman"/>
          <w:lang w:val="it-IT"/>
        </w:rPr>
        <w:t>ndikim në buxhetin e shtetit. I</w:t>
      </w:r>
      <w:r w:rsidRPr="00767C74">
        <w:rPr>
          <w:rFonts w:cs="Times New Roman"/>
          <w:lang w:val="it-IT"/>
        </w:rPr>
        <w:t>mplementimi praktik (sidomos mekanizmi i ruajtjes dhe përgatitja për ESAP/ESEF) mund të kërkojë shpenzime një herë dhe shpenzime operative (IT, licenca, mirëmbajtje, trajnime). Në këtë RIA, ndikimi buxhetor është trajtuar në mënyrë konservatore dhe është përfshirë brenda kategorisë “kosto për grupet e tjera/administrata” në tabelat e shtojcave. Përpara zbatimit, AMF do të përgatisë një plan financiar të detajuar dhe, kur nevojitet, kërkesat buxhetore do të adresohen përmes procesit buxhetor vjetor.</w:t>
      </w:r>
    </w:p>
    <w:p w14:paraId="55676E4C" w14:textId="77777777" w:rsidR="00981417" w:rsidRPr="00767C74" w:rsidRDefault="00000000" w:rsidP="00F774CD">
      <w:pPr>
        <w:jc w:val="both"/>
        <w:rPr>
          <w:rFonts w:cs="Times New Roman"/>
          <w:lang w:val="it-IT"/>
        </w:rPr>
      </w:pPr>
      <w:r w:rsidRPr="00767C74">
        <w:rPr>
          <w:rFonts w:cs="Times New Roman"/>
          <w:lang w:val="it-IT"/>
        </w:rPr>
        <w:t>Ndikimi në ndërmarrjet e vogla dhe të mesme (NVM/SME test). Duke qenë se detyrimet e ligjit aplikohen vetëm për emetuesit e titujve të pranuar për tregtim në tregje të rregulluara, numri i NVM-ve të prekura pritet të jetë i kufizuar në fazën fillestare. Megjithatë, ligji mund të ndikojë në NVM që synojnë listimin në të ardhmen. Masat lehtësuese të rekomanduara për NVM përfshijnë: udhëzime standarde, modele (templates) njoftimesh, kanale digjitale të thjeshtuara depozitimi, dhe fazim të kërkesave teknike (p.sh. ESEF nga 2028).</w:t>
      </w:r>
    </w:p>
    <w:p w14:paraId="7BFF39BD" w14:textId="77777777" w:rsidR="00981417" w:rsidRPr="00767C74" w:rsidRDefault="00000000" w:rsidP="00F774CD">
      <w:pPr>
        <w:jc w:val="both"/>
        <w:rPr>
          <w:rFonts w:cs="Times New Roman"/>
          <w:lang w:val="it-IT"/>
        </w:rPr>
      </w:pPr>
      <w:r w:rsidRPr="00767C74">
        <w:rPr>
          <w:rFonts w:cs="Times New Roman"/>
          <w:lang w:val="it-IT"/>
        </w:rPr>
        <w:t>Ndikimi në konkurrencë dhe klimën e biznesit. Një regjim i unifikuar transparence rrit barazinë e kushteve (level playing field) për të gjithë emetuesit e listuar dhe ul “avantazhet informative” të aktorëve të caktuar. Transparenca më e lartë përmirëson klimën e biznesit për financim përmes tregut të kapitalit dhe mund të rrisë konkurrencën në financim (krahas bankave), duke ulur gradualisht koston e kapitalit.</w:t>
      </w:r>
    </w:p>
    <w:p w14:paraId="09570997" w14:textId="77777777" w:rsidR="00981417" w:rsidRPr="00767C74" w:rsidRDefault="00000000" w:rsidP="00F774CD">
      <w:pPr>
        <w:jc w:val="both"/>
        <w:rPr>
          <w:rFonts w:cs="Times New Roman"/>
          <w:lang w:val="it-IT"/>
        </w:rPr>
      </w:pPr>
      <w:r w:rsidRPr="00767C74">
        <w:rPr>
          <w:rFonts w:cs="Times New Roman"/>
          <w:lang w:val="it-IT"/>
        </w:rPr>
        <w:t>Ndikimet sociale, mjedisore dhe gjinore. Projektligji nuk krijon ndikime të drejtpërdrejta mjedisore. Ndikimi social është kryesisht pozitiv përmes rritjes së mbrojtjes së investitorëve dhe besimit në treg; ndikimi gjinor nuk është i diferencuar. Nëse emetuesit raportojnë qëndrueshmërinë sipas ligjit për kontabilitetin, rritet transparenca mbi çështje ESG, e cila mund të ketë efekte pozitive indirekte afatgjata.</w:t>
      </w:r>
    </w:p>
    <w:p w14:paraId="6B179821" w14:textId="77777777" w:rsidR="00981417" w:rsidRPr="00767C74" w:rsidRDefault="00000000" w:rsidP="00F774CD">
      <w:pPr>
        <w:jc w:val="both"/>
        <w:rPr>
          <w:rFonts w:cs="Times New Roman"/>
          <w:lang w:val="it-IT"/>
        </w:rPr>
      </w:pPr>
      <w:r w:rsidRPr="00767C74">
        <w:rPr>
          <w:rFonts w:cs="Times New Roman"/>
          <w:lang w:val="it-IT"/>
        </w:rPr>
        <w:t>Ndikimi në integritetin dhe transparencën institucionale. Forcimi i publikimit në kohë dhe i ruajtjes së informacionit të rregulluar, së bashku me kompetencat për hetim dhe sanksione, rrit transparencën dhe efektin parandalues ndaj shkeljeve. Publikimi i vendimeve administrative (neni 42) dhe rregullat për ankimim rrisin llogaridhënien dhe standardet e due process.</w:t>
      </w:r>
    </w:p>
    <w:p w14:paraId="033425A0" w14:textId="77777777" w:rsidR="00981417" w:rsidRPr="00767C74" w:rsidRDefault="00000000" w:rsidP="00F774CD">
      <w:pPr>
        <w:jc w:val="both"/>
        <w:rPr>
          <w:rFonts w:cs="Times New Roman"/>
          <w:lang w:val="pt-BR"/>
        </w:rPr>
      </w:pPr>
      <w:r w:rsidRPr="00767C74">
        <w:rPr>
          <w:rFonts w:cs="Times New Roman"/>
          <w:lang w:val="pt-BR"/>
        </w:rPr>
        <w:t>Analiza krahasuese e opsioneve – përmbledhje. Opsioni 0 ka kosto të ulëta të menjëhershme, por nuk prodhon përfitimet e kërkuara dhe mban të lartë riskun e mos‑përafrimit. Opsioni 1 redukton një pjesë të boshllëqeve, por nuk garanton koherencë dhe përgatitje për kërkesat teknike (ESEF/ESAP). Opsioni 2 siguron përmbushje të plotë të objektivave, me kosto tranzicioni të menaxhueshme dhe me përfitime më të larta strukturore dhe ekonomike.</w:t>
      </w:r>
    </w:p>
    <w:p w14:paraId="02941384" w14:textId="77777777" w:rsidR="00981417" w:rsidRPr="00767C74" w:rsidRDefault="00000000" w:rsidP="00F774CD">
      <w:pPr>
        <w:jc w:val="both"/>
        <w:rPr>
          <w:rFonts w:cs="Times New Roman"/>
          <w:lang w:val="pt-BR"/>
        </w:rPr>
      </w:pPr>
      <w:r w:rsidRPr="00767C74">
        <w:rPr>
          <w:rFonts w:cs="Times New Roman"/>
          <w:lang w:val="pt-BR"/>
        </w:rPr>
        <w:t>Rreziqet kryesore të zbatimit dhe masat lehtësuese. Rreziqet përfshijnë: (i) kapacitet të pamjaftueshëm të emetuesve për raportim standard; (ii) vonesa në aktet nënligjore; (iii) kapacitet IT i pamjaftueshëm për mekanizmin e ruajtjes; (iv) mospërputhje në njoftimet e zotërimeve të mëdha. Masat lehtësuese: plan zbatimi i detajuar nga AMF, udhëzime dhe modele njoftimesh, trajnime, fazim i kërkesave teknike dhe testim pilot i depozitimit digjital.</w:t>
      </w:r>
    </w:p>
    <w:p w14:paraId="05BD5EC3" w14:textId="77777777" w:rsidR="00981417" w:rsidRPr="00767C74" w:rsidRDefault="00000000">
      <w:pPr>
        <w:rPr>
          <w:rFonts w:cs="Times New Roman"/>
          <w:lang w:val="pt-BR"/>
        </w:rPr>
      </w:pPr>
      <w:r w:rsidRPr="00767C74">
        <w:rPr>
          <w:rFonts w:cs="Times New Roman"/>
          <w:lang w:val="pt-BR"/>
        </w:rPr>
        <w:t>Tabela 1: Aktivitetet kryesore të pajtueshmërisë dhe burimet e kostos (inkrementale ndaj status quo-së).</w:t>
      </w:r>
    </w:p>
    <w:tbl>
      <w:tblPr>
        <w:tblW w:w="0" w:type="auto"/>
        <w:tblLook w:val="04A0" w:firstRow="1" w:lastRow="0" w:firstColumn="1" w:lastColumn="0" w:noHBand="0" w:noVBand="1"/>
      </w:tblPr>
      <w:tblGrid>
        <w:gridCol w:w="2098"/>
        <w:gridCol w:w="2041"/>
        <w:gridCol w:w="2041"/>
        <w:gridCol w:w="2041"/>
        <w:gridCol w:w="2041"/>
      </w:tblGrid>
      <w:tr w:rsidR="00981417" w:rsidRPr="00767C74" w14:paraId="7C22B26C" w14:textId="77777777">
        <w:tc>
          <w:tcPr>
            <w:tcW w:w="2041" w:type="dxa"/>
          </w:tcPr>
          <w:p w14:paraId="4CE924F8" w14:textId="77777777" w:rsidR="00981417" w:rsidRPr="00767C74" w:rsidRDefault="00000000">
            <w:pPr>
              <w:rPr>
                <w:rFonts w:cs="Times New Roman"/>
              </w:rPr>
            </w:pPr>
            <w:r w:rsidRPr="00767C74">
              <w:rPr>
                <w:rFonts w:cs="Times New Roman"/>
              </w:rPr>
              <w:t>Detyrimi / aktiviteti</w:t>
            </w:r>
          </w:p>
        </w:tc>
        <w:tc>
          <w:tcPr>
            <w:tcW w:w="2041" w:type="dxa"/>
          </w:tcPr>
          <w:p w14:paraId="273C10E8" w14:textId="77777777" w:rsidR="00981417" w:rsidRPr="00767C74" w:rsidRDefault="00000000">
            <w:pPr>
              <w:rPr>
                <w:rFonts w:cs="Times New Roman"/>
              </w:rPr>
            </w:pPr>
            <w:r w:rsidRPr="00767C74">
              <w:rPr>
                <w:rFonts w:cs="Times New Roman"/>
              </w:rPr>
              <w:t>Përshkrimi i shkurtër</w:t>
            </w:r>
          </w:p>
        </w:tc>
        <w:tc>
          <w:tcPr>
            <w:tcW w:w="2041" w:type="dxa"/>
          </w:tcPr>
          <w:p w14:paraId="46615398" w14:textId="77777777" w:rsidR="00981417" w:rsidRPr="00767C74" w:rsidRDefault="00000000">
            <w:pPr>
              <w:rPr>
                <w:rFonts w:cs="Times New Roman"/>
              </w:rPr>
            </w:pPr>
            <w:r w:rsidRPr="00767C74">
              <w:rPr>
                <w:rFonts w:cs="Times New Roman"/>
              </w:rPr>
              <w:t>Frekuenca</w:t>
            </w:r>
          </w:p>
        </w:tc>
        <w:tc>
          <w:tcPr>
            <w:tcW w:w="2041" w:type="dxa"/>
          </w:tcPr>
          <w:p w14:paraId="1ED0DAB8" w14:textId="77777777" w:rsidR="00981417" w:rsidRPr="00767C74" w:rsidRDefault="00000000">
            <w:pPr>
              <w:rPr>
                <w:rFonts w:cs="Times New Roman"/>
              </w:rPr>
            </w:pPr>
            <w:r w:rsidRPr="00767C74">
              <w:rPr>
                <w:rFonts w:cs="Times New Roman"/>
              </w:rPr>
              <w:t>Burimi kryesor i kostos</w:t>
            </w:r>
          </w:p>
        </w:tc>
        <w:tc>
          <w:tcPr>
            <w:tcW w:w="2041" w:type="dxa"/>
          </w:tcPr>
          <w:p w14:paraId="4D6378EB" w14:textId="77777777" w:rsidR="00981417" w:rsidRPr="00767C74" w:rsidRDefault="00000000">
            <w:pPr>
              <w:rPr>
                <w:rFonts w:cs="Times New Roman"/>
              </w:rPr>
            </w:pPr>
            <w:r w:rsidRPr="00767C74">
              <w:rPr>
                <w:rFonts w:cs="Times New Roman"/>
              </w:rPr>
              <w:t>Masa lehtësuese e rekomanduar</w:t>
            </w:r>
          </w:p>
        </w:tc>
      </w:tr>
      <w:tr w:rsidR="00981417" w:rsidRPr="00767C74" w14:paraId="0F5B78C3" w14:textId="77777777">
        <w:tc>
          <w:tcPr>
            <w:tcW w:w="2041" w:type="dxa"/>
          </w:tcPr>
          <w:p w14:paraId="5A23DE61" w14:textId="77777777" w:rsidR="00981417" w:rsidRPr="00767C74" w:rsidRDefault="00000000">
            <w:pPr>
              <w:rPr>
                <w:rFonts w:cs="Times New Roman"/>
              </w:rPr>
            </w:pPr>
            <w:r w:rsidRPr="00767C74">
              <w:rPr>
                <w:rFonts w:cs="Times New Roman"/>
              </w:rPr>
              <w:t>Raporti financiar vjetor (neni 4)</w:t>
            </w:r>
          </w:p>
        </w:tc>
        <w:tc>
          <w:tcPr>
            <w:tcW w:w="2041" w:type="dxa"/>
          </w:tcPr>
          <w:p w14:paraId="2D1726E6" w14:textId="77777777" w:rsidR="00981417" w:rsidRPr="00767C74" w:rsidRDefault="00000000">
            <w:pPr>
              <w:rPr>
                <w:rFonts w:cs="Times New Roman"/>
              </w:rPr>
            </w:pPr>
            <w:r w:rsidRPr="00767C74">
              <w:rPr>
                <w:rFonts w:cs="Times New Roman"/>
              </w:rPr>
              <w:t>Përgatitja e pasqyrave, raportit të drejtimit, deklaratave, publikimi dhe depozitimi/ruajtja 10‑vjeçare; publikimi i raportit të auditimit dhe (kur aplikohet) raportit të sigurisë së qëndrueshmërisë.</w:t>
            </w:r>
          </w:p>
        </w:tc>
        <w:tc>
          <w:tcPr>
            <w:tcW w:w="2041" w:type="dxa"/>
          </w:tcPr>
          <w:p w14:paraId="6C3C2277" w14:textId="77777777" w:rsidR="00981417" w:rsidRPr="00767C74" w:rsidRDefault="00000000">
            <w:pPr>
              <w:rPr>
                <w:rFonts w:cs="Times New Roman"/>
              </w:rPr>
            </w:pPr>
            <w:r w:rsidRPr="00767C74">
              <w:rPr>
                <w:rFonts w:cs="Times New Roman"/>
              </w:rPr>
              <w:t>Vjetore</w:t>
            </w:r>
          </w:p>
        </w:tc>
        <w:tc>
          <w:tcPr>
            <w:tcW w:w="2041" w:type="dxa"/>
          </w:tcPr>
          <w:p w14:paraId="5A03120F" w14:textId="77777777" w:rsidR="00981417" w:rsidRPr="00767C74" w:rsidRDefault="00000000">
            <w:pPr>
              <w:rPr>
                <w:rFonts w:cs="Times New Roman"/>
              </w:rPr>
            </w:pPr>
            <w:r w:rsidRPr="00767C74">
              <w:rPr>
                <w:rFonts w:cs="Times New Roman"/>
              </w:rPr>
              <w:t>Staf financiar/ligjor, auditim, publikim/IT</w:t>
            </w:r>
          </w:p>
        </w:tc>
        <w:tc>
          <w:tcPr>
            <w:tcW w:w="2041" w:type="dxa"/>
          </w:tcPr>
          <w:p w14:paraId="42D8B9C4" w14:textId="77777777" w:rsidR="00981417" w:rsidRPr="00767C74" w:rsidRDefault="00000000">
            <w:pPr>
              <w:rPr>
                <w:rFonts w:cs="Times New Roman"/>
              </w:rPr>
            </w:pPr>
            <w:r w:rsidRPr="00767C74">
              <w:rPr>
                <w:rFonts w:cs="Times New Roman"/>
              </w:rPr>
              <w:t>Modele standarde; udhëzime për formatet; planifikim i hershëm me audituesin</w:t>
            </w:r>
          </w:p>
        </w:tc>
      </w:tr>
      <w:tr w:rsidR="00981417" w:rsidRPr="00767C74" w14:paraId="25780D7C" w14:textId="77777777">
        <w:tc>
          <w:tcPr>
            <w:tcW w:w="2041" w:type="dxa"/>
          </w:tcPr>
          <w:p w14:paraId="43347B2D" w14:textId="77777777" w:rsidR="00981417" w:rsidRPr="00767C74" w:rsidRDefault="00000000">
            <w:pPr>
              <w:rPr>
                <w:rFonts w:cs="Times New Roman"/>
              </w:rPr>
            </w:pPr>
            <w:r w:rsidRPr="00767C74">
              <w:rPr>
                <w:rFonts w:cs="Times New Roman"/>
              </w:rPr>
              <w:t>Raporti financiar gjashtëmujor (neni 5)</w:t>
            </w:r>
          </w:p>
        </w:tc>
        <w:tc>
          <w:tcPr>
            <w:tcW w:w="2041" w:type="dxa"/>
          </w:tcPr>
          <w:p w14:paraId="4F6638E0" w14:textId="77777777" w:rsidR="00981417" w:rsidRPr="00767C74" w:rsidRDefault="00000000">
            <w:pPr>
              <w:rPr>
                <w:rFonts w:cs="Times New Roman"/>
              </w:rPr>
            </w:pPr>
            <w:r w:rsidRPr="00767C74">
              <w:rPr>
                <w:rFonts w:cs="Times New Roman"/>
              </w:rPr>
              <w:t xml:space="preserve">Përgatitja e pasqyrave të përmbledhura, raportit të ndërmjetëm të drejtimit dhe deklaratave; </w:t>
            </w:r>
            <w:r w:rsidRPr="00767C74">
              <w:rPr>
                <w:rFonts w:cs="Times New Roman"/>
              </w:rPr>
              <w:lastRenderedPageBreak/>
              <w:t>publikim dhe ruajtje.</w:t>
            </w:r>
          </w:p>
        </w:tc>
        <w:tc>
          <w:tcPr>
            <w:tcW w:w="2041" w:type="dxa"/>
          </w:tcPr>
          <w:p w14:paraId="1FA0C6D0" w14:textId="77777777" w:rsidR="00981417" w:rsidRPr="00767C74" w:rsidRDefault="00000000">
            <w:pPr>
              <w:rPr>
                <w:rFonts w:cs="Times New Roman"/>
              </w:rPr>
            </w:pPr>
            <w:r w:rsidRPr="00767C74">
              <w:rPr>
                <w:rFonts w:cs="Times New Roman"/>
              </w:rPr>
              <w:lastRenderedPageBreak/>
              <w:t>2 herë/vit (për gjashtëmujorin I)</w:t>
            </w:r>
          </w:p>
        </w:tc>
        <w:tc>
          <w:tcPr>
            <w:tcW w:w="2041" w:type="dxa"/>
          </w:tcPr>
          <w:p w14:paraId="75F7E071" w14:textId="77777777" w:rsidR="00981417" w:rsidRPr="00767C74" w:rsidRDefault="00000000">
            <w:pPr>
              <w:rPr>
                <w:rFonts w:cs="Times New Roman"/>
              </w:rPr>
            </w:pPr>
            <w:r w:rsidRPr="00767C74">
              <w:rPr>
                <w:rFonts w:cs="Times New Roman"/>
              </w:rPr>
              <w:t>Staf financiar/ligjor, publikim</w:t>
            </w:r>
          </w:p>
        </w:tc>
        <w:tc>
          <w:tcPr>
            <w:tcW w:w="2041" w:type="dxa"/>
          </w:tcPr>
          <w:p w14:paraId="416A48CF" w14:textId="77777777" w:rsidR="00981417" w:rsidRPr="00767C74" w:rsidRDefault="00000000">
            <w:pPr>
              <w:rPr>
                <w:rFonts w:cs="Times New Roman"/>
              </w:rPr>
            </w:pPr>
            <w:r w:rsidRPr="00767C74">
              <w:rPr>
                <w:rFonts w:cs="Times New Roman"/>
              </w:rPr>
              <w:t>Templates dhe checklist; udhëzime; automatizim i publikimit</w:t>
            </w:r>
          </w:p>
        </w:tc>
      </w:tr>
      <w:tr w:rsidR="00981417" w:rsidRPr="00767C74" w14:paraId="536E6581" w14:textId="77777777">
        <w:tc>
          <w:tcPr>
            <w:tcW w:w="2041" w:type="dxa"/>
          </w:tcPr>
          <w:p w14:paraId="09AA1130" w14:textId="77777777" w:rsidR="00981417" w:rsidRPr="00767C74" w:rsidRDefault="00000000">
            <w:pPr>
              <w:rPr>
                <w:rFonts w:cs="Times New Roman"/>
              </w:rPr>
            </w:pPr>
            <w:r w:rsidRPr="00767C74">
              <w:rPr>
                <w:rFonts w:cs="Times New Roman"/>
              </w:rPr>
              <w:t>Transaksionet me palë të lidhura (neni 7)</w:t>
            </w:r>
          </w:p>
        </w:tc>
        <w:tc>
          <w:tcPr>
            <w:tcW w:w="2041" w:type="dxa"/>
          </w:tcPr>
          <w:p w14:paraId="5C620852" w14:textId="77777777" w:rsidR="00981417" w:rsidRPr="00767C74" w:rsidRDefault="00000000">
            <w:pPr>
              <w:rPr>
                <w:rFonts w:cs="Times New Roman"/>
              </w:rPr>
            </w:pPr>
            <w:r w:rsidRPr="00767C74">
              <w:rPr>
                <w:rFonts w:cs="Times New Roman"/>
              </w:rPr>
              <w:t>Raportim i transaksioneve kryesore me palë të lidhura në raportin e ndërmjetëm të drejtimit.</w:t>
            </w:r>
          </w:p>
        </w:tc>
        <w:tc>
          <w:tcPr>
            <w:tcW w:w="2041" w:type="dxa"/>
          </w:tcPr>
          <w:p w14:paraId="37E6203C" w14:textId="77777777" w:rsidR="00981417" w:rsidRPr="00767C74" w:rsidRDefault="00000000">
            <w:pPr>
              <w:rPr>
                <w:rFonts w:cs="Times New Roman"/>
              </w:rPr>
            </w:pPr>
            <w:r w:rsidRPr="00767C74">
              <w:rPr>
                <w:rFonts w:cs="Times New Roman"/>
              </w:rPr>
              <w:t>Gjashtëmujore</w:t>
            </w:r>
          </w:p>
        </w:tc>
        <w:tc>
          <w:tcPr>
            <w:tcW w:w="2041" w:type="dxa"/>
          </w:tcPr>
          <w:p w14:paraId="126F6D99" w14:textId="77777777" w:rsidR="00981417" w:rsidRPr="00767C74" w:rsidRDefault="00000000">
            <w:pPr>
              <w:rPr>
                <w:rFonts w:cs="Times New Roman"/>
                <w:lang w:val="pt-BR"/>
              </w:rPr>
            </w:pPr>
            <w:r w:rsidRPr="00767C74">
              <w:rPr>
                <w:rFonts w:cs="Times New Roman"/>
                <w:lang w:val="pt-BR"/>
              </w:rPr>
              <w:t>Mbledhje/validim i të dhënave</w:t>
            </w:r>
          </w:p>
        </w:tc>
        <w:tc>
          <w:tcPr>
            <w:tcW w:w="2041" w:type="dxa"/>
          </w:tcPr>
          <w:p w14:paraId="57CC4B37" w14:textId="77777777" w:rsidR="00981417" w:rsidRPr="00767C74" w:rsidRDefault="00000000">
            <w:pPr>
              <w:rPr>
                <w:rFonts w:cs="Times New Roman"/>
                <w:lang w:val="de-DE"/>
              </w:rPr>
            </w:pPr>
            <w:r w:rsidRPr="00767C74">
              <w:rPr>
                <w:rFonts w:cs="Times New Roman"/>
                <w:lang w:val="de-DE"/>
              </w:rPr>
              <w:t>Politika të brendshme; integrim me kontabilitetin</w:t>
            </w:r>
          </w:p>
        </w:tc>
      </w:tr>
      <w:tr w:rsidR="00981417" w:rsidRPr="00767C74" w14:paraId="27214107" w14:textId="77777777">
        <w:tc>
          <w:tcPr>
            <w:tcW w:w="2041" w:type="dxa"/>
          </w:tcPr>
          <w:p w14:paraId="4D38EE9D" w14:textId="77777777" w:rsidR="00981417" w:rsidRPr="00767C74" w:rsidRDefault="00000000">
            <w:pPr>
              <w:rPr>
                <w:rFonts w:cs="Times New Roman"/>
              </w:rPr>
            </w:pPr>
            <w:r w:rsidRPr="00767C74">
              <w:rPr>
                <w:rFonts w:cs="Times New Roman"/>
              </w:rPr>
              <w:t>Raporti mbi pagesat ndaj institucioneve shtetërore (neni 8)</w:t>
            </w:r>
          </w:p>
        </w:tc>
        <w:tc>
          <w:tcPr>
            <w:tcW w:w="2041" w:type="dxa"/>
          </w:tcPr>
          <w:p w14:paraId="1C26D454" w14:textId="77777777" w:rsidR="00981417" w:rsidRPr="00767C74" w:rsidRDefault="00000000">
            <w:pPr>
              <w:rPr>
                <w:rFonts w:cs="Times New Roman"/>
              </w:rPr>
            </w:pPr>
            <w:r w:rsidRPr="00767C74">
              <w:rPr>
                <w:rFonts w:cs="Times New Roman"/>
              </w:rPr>
              <w:t>Raportim për emetuesit në industri nxjerrëse/pylltari; publikim dhe depozitimi.</w:t>
            </w:r>
          </w:p>
        </w:tc>
        <w:tc>
          <w:tcPr>
            <w:tcW w:w="2041" w:type="dxa"/>
          </w:tcPr>
          <w:p w14:paraId="18AC6572" w14:textId="77777777" w:rsidR="00981417" w:rsidRPr="00767C74" w:rsidRDefault="00000000">
            <w:pPr>
              <w:rPr>
                <w:rFonts w:cs="Times New Roman"/>
              </w:rPr>
            </w:pPr>
            <w:r w:rsidRPr="00767C74">
              <w:rPr>
                <w:rFonts w:cs="Times New Roman"/>
              </w:rPr>
              <w:t>Vjetore (kur aplikohet)</w:t>
            </w:r>
          </w:p>
        </w:tc>
        <w:tc>
          <w:tcPr>
            <w:tcW w:w="2041" w:type="dxa"/>
          </w:tcPr>
          <w:p w14:paraId="28BC9278" w14:textId="77777777" w:rsidR="00981417" w:rsidRPr="00767C74" w:rsidRDefault="00000000">
            <w:pPr>
              <w:rPr>
                <w:rFonts w:cs="Times New Roman"/>
              </w:rPr>
            </w:pPr>
            <w:r w:rsidRPr="00767C74">
              <w:rPr>
                <w:rFonts w:cs="Times New Roman"/>
              </w:rPr>
              <w:t>Mbledhje e të dhënave; verifikim</w:t>
            </w:r>
          </w:p>
        </w:tc>
        <w:tc>
          <w:tcPr>
            <w:tcW w:w="2041" w:type="dxa"/>
          </w:tcPr>
          <w:p w14:paraId="654BC714" w14:textId="77777777" w:rsidR="00981417" w:rsidRPr="00767C74" w:rsidRDefault="00000000">
            <w:pPr>
              <w:rPr>
                <w:rFonts w:cs="Times New Roman"/>
              </w:rPr>
            </w:pPr>
            <w:r w:rsidRPr="00767C74">
              <w:rPr>
                <w:rFonts w:cs="Times New Roman"/>
              </w:rPr>
              <w:t>Udhëzime specifike për sektorët; templates</w:t>
            </w:r>
          </w:p>
        </w:tc>
      </w:tr>
      <w:tr w:rsidR="00981417" w:rsidRPr="00767C74" w14:paraId="46B91A73" w14:textId="77777777">
        <w:tc>
          <w:tcPr>
            <w:tcW w:w="2041" w:type="dxa"/>
          </w:tcPr>
          <w:p w14:paraId="41C87F90" w14:textId="77777777" w:rsidR="00981417" w:rsidRPr="00767C74" w:rsidRDefault="00000000">
            <w:pPr>
              <w:rPr>
                <w:rFonts w:cs="Times New Roman"/>
                <w:lang w:val="it-IT"/>
              </w:rPr>
            </w:pPr>
            <w:r w:rsidRPr="00767C74">
              <w:rPr>
                <w:rFonts w:cs="Times New Roman"/>
                <w:lang w:val="it-IT"/>
              </w:rPr>
              <w:t>Njoftimi i zotërimeve të mëdha (nenet 12–16)</w:t>
            </w:r>
          </w:p>
        </w:tc>
        <w:tc>
          <w:tcPr>
            <w:tcW w:w="2041" w:type="dxa"/>
          </w:tcPr>
          <w:p w14:paraId="43D27EDE" w14:textId="77777777" w:rsidR="00981417" w:rsidRPr="00767C74" w:rsidRDefault="00000000">
            <w:pPr>
              <w:rPr>
                <w:rFonts w:cs="Times New Roman"/>
                <w:lang w:val="it-IT"/>
              </w:rPr>
            </w:pPr>
            <w:r w:rsidRPr="00767C74">
              <w:rPr>
                <w:rFonts w:cs="Times New Roman"/>
                <w:lang w:val="it-IT"/>
              </w:rPr>
              <w:t>Monitorimi i pragjeve; përgatitja e njoftimit nga aksionari; verifikimi dhe publikimi nga emetuesi brenda 3 ditëve tregtimi.</w:t>
            </w:r>
          </w:p>
        </w:tc>
        <w:tc>
          <w:tcPr>
            <w:tcW w:w="2041" w:type="dxa"/>
          </w:tcPr>
          <w:p w14:paraId="7D59F664" w14:textId="77777777" w:rsidR="00981417" w:rsidRPr="00767C74" w:rsidRDefault="00000000">
            <w:pPr>
              <w:rPr>
                <w:rFonts w:cs="Times New Roman"/>
              </w:rPr>
            </w:pPr>
            <w:r w:rsidRPr="00767C74">
              <w:rPr>
                <w:rFonts w:cs="Times New Roman"/>
              </w:rPr>
              <w:t>Sipas ngjarjes</w:t>
            </w:r>
          </w:p>
        </w:tc>
        <w:tc>
          <w:tcPr>
            <w:tcW w:w="2041" w:type="dxa"/>
          </w:tcPr>
          <w:p w14:paraId="7F4E622B" w14:textId="77777777" w:rsidR="00981417" w:rsidRPr="00767C74" w:rsidRDefault="00000000">
            <w:pPr>
              <w:rPr>
                <w:rFonts w:cs="Times New Roman"/>
              </w:rPr>
            </w:pPr>
            <w:r w:rsidRPr="00767C74">
              <w:rPr>
                <w:rFonts w:cs="Times New Roman"/>
              </w:rPr>
              <w:t>Monitorim aksionarësh; proces njoftimi</w:t>
            </w:r>
          </w:p>
        </w:tc>
        <w:tc>
          <w:tcPr>
            <w:tcW w:w="2041" w:type="dxa"/>
          </w:tcPr>
          <w:p w14:paraId="7D1917F5" w14:textId="77777777" w:rsidR="00981417" w:rsidRPr="00767C74" w:rsidRDefault="00000000">
            <w:pPr>
              <w:rPr>
                <w:rFonts w:cs="Times New Roman"/>
                <w:lang w:val="de-DE"/>
              </w:rPr>
            </w:pPr>
            <w:r w:rsidRPr="00767C74">
              <w:rPr>
                <w:rFonts w:cs="Times New Roman"/>
                <w:lang w:val="de-DE"/>
              </w:rPr>
              <w:t>Formularë standard; automatizim; komunikim proaktiv me aksionarët</w:t>
            </w:r>
          </w:p>
        </w:tc>
      </w:tr>
      <w:tr w:rsidR="00981417" w:rsidRPr="00767C74" w14:paraId="51B29A7D" w14:textId="77777777">
        <w:tc>
          <w:tcPr>
            <w:tcW w:w="2041" w:type="dxa"/>
          </w:tcPr>
          <w:p w14:paraId="46387EC6" w14:textId="77777777" w:rsidR="00981417" w:rsidRPr="00767C74" w:rsidRDefault="00000000">
            <w:pPr>
              <w:rPr>
                <w:rFonts w:cs="Times New Roman"/>
              </w:rPr>
            </w:pPr>
            <w:r w:rsidRPr="00767C74">
              <w:rPr>
                <w:rFonts w:cs="Times New Roman"/>
              </w:rPr>
              <w:t>Instrumentet financiare/derivativët (nenet 20–21)</w:t>
            </w:r>
          </w:p>
        </w:tc>
        <w:tc>
          <w:tcPr>
            <w:tcW w:w="2041" w:type="dxa"/>
          </w:tcPr>
          <w:p w14:paraId="00645956" w14:textId="77777777" w:rsidR="00981417" w:rsidRPr="00767C74" w:rsidRDefault="00000000">
            <w:pPr>
              <w:rPr>
                <w:rFonts w:cs="Times New Roman"/>
              </w:rPr>
            </w:pPr>
            <w:r w:rsidRPr="00767C74">
              <w:rPr>
                <w:rFonts w:cs="Times New Roman"/>
              </w:rPr>
              <w:t>Deklarim i instrumenteve që japin të drejtë ose efekt ekonomik të ngjashëm me aksionet; agregim me zotërimet ekzistuese.</w:t>
            </w:r>
          </w:p>
        </w:tc>
        <w:tc>
          <w:tcPr>
            <w:tcW w:w="2041" w:type="dxa"/>
          </w:tcPr>
          <w:p w14:paraId="24C3DED5" w14:textId="77777777" w:rsidR="00981417" w:rsidRPr="00767C74" w:rsidRDefault="00000000">
            <w:pPr>
              <w:rPr>
                <w:rFonts w:cs="Times New Roman"/>
              </w:rPr>
            </w:pPr>
            <w:r w:rsidRPr="00767C74">
              <w:rPr>
                <w:rFonts w:cs="Times New Roman"/>
              </w:rPr>
              <w:t>Sipas ngjarjes</w:t>
            </w:r>
          </w:p>
        </w:tc>
        <w:tc>
          <w:tcPr>
            <w:tcW w:w="2041" w:type="dxa"/>
          </w:tcPr>
          <w:p w14:paraId="094859C4" w14:textId="77777777" w:rsidR="00981417" w:rsidRPr="00767C74" w:rsidRDefault="00000000">
            <w:pPr>
              <w:rPr>
                <w:rFonts w:cs="Times New Roman"/>
              </w:rPr>
            </w:pPr>
            <w:r w:rsidRPr="00767C74">
              <w:rPr>
                <w:rFonts w:cs="Times New Roman"/>
              </w:rPr>
              <w:t>Analizë juridike/financiare</w:t>
            </w:r>
          </w:p>
        </w:tc>
        <w:tc>
          <w:tcPr>
            <w:tcW w:w="2041" w:type="dxa"/>
          </w:tcPr>
          <w:p w14:paraId="37A86189" w14:textId="77777777" w:rsidR="00981417" w:rsidRPr="00767C74" w:rsidRDefault="00000000">
            <w:pPr>
              <w:rPr>
                <w:rFonts w:cs="Times New Roman"/>
              </w:rPr>
            </w:pPr>
            <w:r w:rsidRPr="00767C74">
              <w:rPr>
                <w:rFonts w:cs="Times New Roman"/>
              </w:rPr>
              <w:t>Udhëzime të AMF; shembuj praktikë; trajnime</w:t>
            </w:r>
          </w:p>
        </w:tc>
      </w:tr>
      <w:tr w:rsidR="00981417" w:rsidRPr="00767C74" w14:paraId="0CB9FCFD" w14:textId="77777777">
        <w:tc>
          <w:tcPr>
            <w:tcW w:w="2041" w:type="dxa"/>
          </w:tcPr>
          <w:p w14:paraId="4BDD7F75" w14:textId="77777777" w:rsidR="00981417" w:rsidRPr="00767C74" w:rsidRDefault="00000000">
            <w:pPr>
              <w:rPr>
                <w:rFonts w:cs="Times New Roman"/>
              </w:rPr>
            </w:pPr>
            <w:r w:rsidRPr="00767C74">
              <w:rPr>
                <w:rFonts w:cs="Times New Roman"/>
              </w:rPr>
              <w:t>Depozitimi/ruajtja qendrore (nenet 29–30)</w:t>
            </w:r>
          </w:p>
        </w:tc>
        <w:tc>
          <w:tcPr>
            <w:tcW w:w="2041" w:type="dxa"/>
          </w:tcPr>
          <w:p w14:paraId="0B6F8160" w14:textId="77777777" w:rsidR="00981417" w:rsidRPr="00767C74" w:rsidRDefault="00000000">
            <w:pPr>
              <w:rPr>
                <w:rFonts w:cs="Times New Roman"/>
              </w:rPr>
            </w:pPr>
            <w:r w:rsidRPr="00767C74">
              <w:rPr>
                <w:rFonts w:cs="Times New Roman"/>
              </w:rPr>
              <w:t>Depozitim i informacionit të rregulluar në mekanizmin zyrtar; ruajtje; metadata; akses publik.</w:t>
            </w:r>
          </w:p>
        </w:tc>
        <w:tc>
          <w:tcPr>
            <w:tcW w:w="2041" w:type="dxa"/>
          </w:tcPr>
          <w:p w14:paraId="4FC2F97F" w14:textId="77777777" w:rsidR="00981417" w:rsidRPr="00767C74" w:rsidRDefault="00000000">
            <w:pPr>
              <w:rPr>
                <w:rFonts w:cs="Times New Roman"/>
              </w:rPr>
            </w:pPr>
            <w:r w:rsidRPr="00767C74">
              <w:rPr>
                <w:rFonts w:cs="Times New Roman"/>
              </w:rPr>
              <w:t>Vazhdimisht</w:t>
            </w:r>
          </w:p>
        </w:tc>
        <w:tc>
          <w:tcPr>
            <w:tcW w:w="2041" w:type="dxa"/>
          </w:tcPr>
          <w:p w14:paraId="05EA4AC4" w14:textId="77777777" w:rsidR="00981417" w:rsidRPr="00767C74" w:rsidRDefault="00000000">
            <w:pPr>
              <w:rPr>
                <w:rFonts w:cs="Times New Roman"/>
              </w:rPr>
            </w:pPr>
            <w:r w:rsidRPr="00767C74">
              <w:rPr>
                <w:rFonts w:cs="Times New Roman"/>
              </w:rPr>
              <w:t>IT, procedura dhe kontroll cilësie</w:t>
            </w:r>
          </w:p>
        </w:tc>
        <w:tc>
          <w:tcPr>
            <w:tcW w:w="2041" w:type="dxa"/>
          </w:tcPr>
          <w:p w14:paraId="0842FB93" w14:textId="77777777" w:rsidR="00981417" w:rsidRPr="00767C74" w:rsidRDefault="00000000">
            <w:pPr>
              <w:rPr>
                <w:rFonts w:cs="Times New Roman"/>
              </w:rPr>
            </w:pPr>
            <w:r w:rsidRPr="00767C74">
              <w:rPr>
                <w:rFonts w:cs="Times New Roman"/>
              </w:rPr>
              <w:t>Portal i unifikuar; API/format standard; kontrolle automatike</w:t>
            </w:r>
          </w:p>
        </w:tc>
      </w:tr>
      <w:tr w:rsidR="00981417" w:rsidRPr="00767C74" w14:paraId="5F97D658" w14:textId="77777777">
        <w:tc>
          <w:tcPr>
            <w:tcW w:w="2041" w:type="dxa"/>
          </w:tcPr>
          <w:p w14:paraId="562B2D6E" w14:textId="77777777" w:rsidR="00981417" w:rsidRPr="00767C74" w:rsidRDefault="00000000">
            <w:pPr>
              <w:rPr>
                <w:rFonts w:cs="Times New Roman"/>
              </w:rPr>
            </w:pPr>
            <w:r w:rsidRPr="00767C74">
              <w:rPr>
                <w:rFonts w:cs="Times New Roman"/>
              </w:rPr>
              <w:t>ESEF (neni 4, nga 2028)</w:t>
            </w:r>
          </w:p>
        </w:tc>
        <w:tc>
          <w:tcPr>
            <w:tcW w:w="2041" w:type="dxa"/>
          </w:tcPr>
          <w:p w14:paraId="517AC5A7" w14:textId="77777777" w:rsidR="00981417" w:rsidRPr="00767C74" w:rsidRDefault="00000000">
            <w:pPr>
              <w:rPr>
                <w:rFonts w:cs="Times New Roman"/>
              </w:rPr>
            </w:pPr>
            <w:r w:rsidRPr="00767C74">
              <w:rPr>
                <w:rFonts w:cs="Times New Roman"/>
              </w:rPr>
              <w:t>Përgatitja e raportit vjetor në format unik elektronik; tagging për pasqyra të konsoliduara IFRS sipas standardeve teknike.</w:t>
            </w:r>
          </w:p>
        </w:tc>
        <w:tc>
          <w:tcPr>
            <w:tcW w:w="2041" w:type="dxa"/>
          </w:tcPr>
          <w:p w14:paraId="6DFD78B3" w14:textId="77777777" w:rsidR="00981417" w:rsidRPr="00767C74" w:rsidRDefault="00000000">
            <w:pPr>
              <w:rPr>
                <w:rFonts w:cs="Times New Roman"/>
              </w:rPr>
            </w:pPr>
            <w:r w:rsidRPr="00767C74">
              <w:rPr>
                <w:rFonts w:cs="Times New Roman"/>
              </w:rPr>
              <w:t>Vjetore (nga 2028)</w:t>
            </w:r>
          </w:p>
        </w:tc>
        <w:tc>
          <w:tcPr>
            <w:tcW w:w="2041" w:type="dxa"/>
          </w:tcPr>
          <w:p w14:paraId="300C4D7C" w14:textId="77777777" w:rsidR="00981417" w:rsidRPr="00767C74" w:rsidRDefault="00000000">
            <w:pPr>
              <w:rPr>
                <w:rFonts w:cs="Times New Roman"/>
              </w:rPr>
            </w:pPr>
            <w:r w:rsidRPr="00767C74">
              <w:rPr>
                <w:rFonts w:cs="Times New Roman"/>
              </w:rPr>
              <w:t>Software/ekspertizë XBRL, trajnime</w:t>
            </w:r>
          </w:p>
        </w:tc>
        <w:tc>
          <w:tcPr>
            <w:tcW w:w="2041" w:type="dxa"/>
          </w:tcPr>
          <w:p w14:paraId="63055B99" w14:textId="77777777" w:rsidR="00981417" w:rsidRPr="00767C74" w:rsidRDefault="00000000">
            <w:pPr>
              <w:rPr>
                <w:rFonts w:cs="Times New Roman"/>
              </w:rPr>
            </w:pPr>
            <w:r w:rsidRPr="00767C74">
              <w:rPr>
                <w:rFonts w:cs="Times New Roman"/>
              </w:rPr>
              <w:t>Fazim; pilotim; udhëzime teknike; asistencë për NVM</w:t>
            </w:r>
          </w:p>
        </w:tc>
      </w:tr>
    </w:tbl>
    <w:p w14:paraId="09DE25A7" w14:textId="77777777" w:rsidR="00083AAD" w:rsidRDefault="00083AAD">
      <w:pPr>
        <w:pStyle w:val="HeadingRia"/>
      </w:pPr>
    </w:p>
    <w:p w14:paraId="513E4AC6" w14:textId="77777777" w:rsidR="00083AAD" w:rsidRPr="00083AAD" w:rsidRDefault="00083AAD" w:rsidP="00083AAD">
      <w:pPr>
        <w:keepNext/>
        <w:tabs>
          <w:tab w:val="right" w:pos="10206"/>
        </w:tabs>
        <w:spacing w:before="240" w:after="60" w:line="276" w:lineRule="auto"/>
        <w:outlineLvl w:val="0"/>
        <w:rPr>
          <w:rFonts w:cs="Times New Roman"/>
          <w:b/>
          <w:bCs/>
          <w:spacing w:val="-4"/>
          <w:kern w:val="32"/>
          <w:sz w:val="24"/>
          <w:szCs w:val="24"/>
          <w:lang w:val="sq-AL" w:eastAsia="en-GB"/>
        </w:rPr>
      </w:pPr>
      <w:bookmarkStart w:id="5" w:name="_Hlk191987158"/>
      <w:r w:rsidRPr="00083AAD">
        <w:rPr>
          <w:rFonts w:cs="Times New Roman"/>
          <w:b/>
          <w:bCs/>
          <w:spacing w:val="-4"/>
          <w:kern w:val="32"/>
          <w:sz w:val="24"/>
          <w:szCs w:val="24"/>
          <w:lang w:val="sq-AL" w:eastAsia="en-GB"/>
        </w:rPr>
        <w:t>Arsyetimi i opsionit të preferuar</w:t>
      </w:r>
    </w:p>
    <w:p w14:paraId="5DC780F1" w14:textId="77777777" w:rsidR="00083AAD" w:rsidRPr="00083AAD" w:rsidRDefault="00083AAD" w:rsidP="00083AAD">
      <w:pPr>
        <w:numPr>
          <w:ilvl w:val="0"/>
          <w:numId w:val="15"/>
        </w:numPr>
        <w:tabs>
          <w:tab w:val="left" w:pos="567"/>
        </w:tabs>
        <w:spacing w:after="0" w:line="276" w:lineRule="auto"/>
        <w:rPr>
          <w:rFonts w:cs="Times New Roman"/>
          <w:i/>
          <w:sz w:val="24"/>
          <w:szCs w:val="24"/>
          <w:lang w:val="sq-AL" w:eastAsia="en-GB"/>
        </w:rPr>
      </w:pPr>
      <w:r w:rsidRPr="00083AAD">
        <w:rPr>
          <w:rFonts w:cs="Times New Roman"/>
          <w:i/>
          <w:sz w:val="24"/>
          <w:szCs w:val="24"/>
          <w:lang w:val="sq-AL" w:eastAsia="en-GB"/>
        </w:rPr>
        <w:t xml:space="preserve">Zgjidhni opsionin e preferuar, bazuar në analizë. </w:t>
      </w:r>
    </w:p>
    <w:p w14:paraId="49AA96C9" w14:textId="77777777" w:rsidR="00083AAD" w:rsidRPr="00083AAD" w:rsidRDefault="00083AAD" w:rsidP="00083AAD">
      <w:pPr>
        <w:numPr>
          <w:ilvl w:val="0"/>
          <w:numId w:val="15"/>
        </w:numPr>
        <w:tabs>
          <w:tab w:val="left" w:pos="567"/>
        </w:tabs>
        <w:spacing w:after="0" w:line="276" w:lineRule="auto"/>
        <w:rPr>
          <w:rFonts w:cs="Times New Roman"/>
          <w:i/>
          <w:sz w:val="24"/>
          <w:szCs w:val="24"/>
          <w:lang w:val="sq-AL" w:eastAsia="en-GB"/>
        </w:rPr>
      </w:pPr>
      <w:r w:rsidRPr="00083AAD">
        <w:rPr>
          <w:rFonts w:cs="Times New Roman"/>
          <w:i/>
          <w:sz w:val="24"/>
          <w:szCs w:val="24"/>
          <w:lang w:val="sq-AL" w:eastAsia="en-GB"/>
        </w:rPr>
        <w:t>Shpjegoni arsyetimin tuaj.</w:t>
      </w:r>
    </w:p>
    <w:bookmarkEnd w:id="5"/>
    <w:p w14:paraId="5E67AE25" w14:textId="77777777" w:rsidR="00083AAD" w:rsidRDefault="00083AAD" w:rsidP="00F774CD">
      <w:pPr>
        <w:jc w:val="both"/>
        <w:rPr>
          <w:lang w:val="sq-AL"/>
        </w:rPr>
      </w:pPr>
    </w:p>
    <w:p w14:paraId="25A739C8" w14:textId="0EC60983" w:rsidR="00981417" w:rsidRPr="00767C74" w:rsidRDefault="00000000" w:rsidP="00F774CD">
      <w:pPr>
        <w:jc w:val="both"/>
        <w:rPr>
          <w:sz w:val="24"/>
          <w:szCs w:val="24"/>
          <w:lang w:val="it-IT"/>
        </w:rPr>
      </w:pPr>
      <w:r w:rsidRPr="00767C74">
        <w:rPr>
          <w:sz w:val="24"/>
          <w:szCs w:val="24"/>
          <w:lang w:val="it-IT"/>
        </w:rPr>
        <w:t>Opsioni i preferuar është Opsioni 2 - miratimi i projektligjit si ligj i posaçëm për transparencën e emetuesve. Zgjedhja bazohet, para së gjithash, në faktin se ky opsion është i vetmi që realizon në mënyrë materiale dhe funksionale objektivat e politikës: harmonizim me acquis, standardizim të detyrimeve, përmirësim të mbikëqyrjes dhe rritje të mbrojtjes së investitorëve.</w:t>
      </w:r>
    </w:p>
    <w:p w14:paraId="1B607B82" w14:textId="77777777" w:rsidR="00981417" w:rsidRPr="00767C74" w:rsidRDefault="00000000" w:rsidP="00F774CD">
      <w:pPr>
        <w:jc w:val="both"/>
        <w:rPr>
          <w:sz w:val="24"/>
          <w:szCs w:val="24"/>
          <w:lang w:val="it-IT"/>
        </w:rPr>
      </w:pPr>
      <w:r w:rsidRPr="00767C74">
        <w:rPr>
          <w:sz w:val="24"/>
          <w:szCs w:val="24"/>
          <w:lang w:val="it-IT"/>
        </w:rPr>
        <w:t xml:space="preserve">Arsyetimi mbështetet edhe në proporcionalitetin e draftit. Projektligji nuk vendos një regjim maksimalist pa filtra; ai përmban përjashtime të arsyetuara për kategori të caktuara emetuesish dhe transaksionesh, </w:t>
      </w:r>
      <w:r w:rsidRPr="00767C74">
        <w:rPr>
          <w:sz w:val="24"/>
          <w:szCs w:val="24"/>
          <w:lang w:val="it-IT"/>
        </w:rPr>
        <w:lastRenderedPageBreak/>
        <w:t>rregulla të posaçme për krijuesit e tregut, librin e tregtimit, stabilizimin dhe vendet e treta, si dhe dispozita kalimtare për elementet që varen nga infrastruktura e BE-së. Kjo do të thotë se kostoja rregullatore është kalibruar për të qenë e nevojshme dhe jo e tepërt.</w:t>
      </w:r>
    </w:p>
    <w:p w14:paraId="5F6EF980" w14:textId="77777777" w:rsidR="00981417" w:rsidRPr="00767C74" w:rsidRDefault="00000000" w:rsidP="00F774CD">
      <w:pPr>
        <w:jc w:val="both"/>
        <w:rPr>
          <w:sz w:val="24"/>
          <w:szCs w:val="24"/>
          <w:lang w:val="it-IT"/>
        </w:rPr>
      </w:pPr>
      <w:r w:rsidRPr="00767C74">
        <w:rPr>
          <w:sz w:val="24"/>
          <w:szCs w:val="24"/>
          <w:lang w:val="it-IT"/>
        </w:rPr>
        <w:t>Edhe nga pikëpamja monetare, opsioni 2 është i justifikuar. Me një vlerësim konservator dhe të pjesshëm të përfitimeve, VAN rezulton pozitive në rreth 21.59 milionë lekë. Duke qenë se një numër përfitimesh strukturore nuk janë monetizuar plotësisht, rezultati real neto ka gjasa të jetë më i lartë se ai i paraqitur në tabelat shoqëruese. Për këto arsye, opsioni 2 ofron balancën më të mirë ndërmjet kostos së zbatimit dhe përfitimit rregullator, institucional dhe ekonomik.</w:t>
      </w:r>
    </w:p>
    <w:p w14:paraId="3F668415" w14:textId="77777777" w:rsidR="00981417" w:rsidRPr="00767C74" w:rsidRDefault="00000000" w:rsidP="00F774CD">
      <w:pPr>
        <w:jc w:val="both"/>
        <w:rPr>
          <w:sz w:val="24"/>
          <w:szCs w:val="24"/>
          <w:lang w:val="it-IT"/>
        </w:rPr>
      </w:pPr>
      <w:r w:rsidRPr="00767C74">
        <w:rPr>
          <w:sz w:val="24"/>
          <w:szCs w:val="24"/>
          <w:lang w:val="it-IT"/>
        </w:rPr>
        <w:t>Pse pranohet Opsioni 2. Opsioni 2 është i vetmi që ofron një regjim të plotë dhe koherent, të ankoruar në ligj, për të gjitha komponentët e transparencës së emetuesve: raportimin periodik, informacionin e vazhdueshëm, mekanizmat e publikimit/ruajtjes dhe kompetencat e mbikëqyrjes/sanksionimit. Kjo koherencë është kritike për zbatimin praktik, sepse lidh detyrimet materiale me kanalet e depozitimit dhe me mjetet e monitorimit.</w:t>
      </w:r>
    </w:p>
    <w:p w14:paraId="5AE5F8A3" w14:textId="77777777" w:rsidR="00981417" w:rsidRPr="00767C74" w:rsidRDefault="00000000" w:rsidP="00F774CD">
      <w:pPr>
        <w:jc w:val="both"/>
        <w:rPr>
          <w:sz w:val="24"/>
          <w:szCs w:val="24"/>
          <w:lang w:val="it-IT"/>
        </w:rPr>
      </w:pPr>
      <w:r w:rsidRPr="00767C74">
        <w:rPr>
          <w:sz w:val="24"/>
          <w:szCs w:val="24"/>
          <w:lang w:val="it-IT"/>
        </w:rPr>
        <w:t>Përafrimi me acquis dhe reduktimi i rrezikut rregullator. Në kuadër të procesit të integrimit, një zgjidhje e pjesshme (Opsioni 1) do të kërkonte rishikime të shpeshta dhe do të krijonte rrezik mos‑përputhjeje me acquis, veçanërisht në elementët teknikë (instrumentet financiare, agregimi, mekanizmi i ruajtjes, dispozitat tranzitore për ESEF/ESAP). Opsioni 2 e redukton këtë rrezik duke transpozuar në mënyrë të sistemuar kërkesat e Direktivës së Transparencës dhe instrumenteve të lidhura.</w:t>
      </w:r>
    </w:p>
    <w:p w14:paraId="43806B58" w14:textId="77777777" w:rsidR="00981417" w:rsidRPr="00767C74" w:rsidRDefault="00000000" w:rsidP="00F774CD">
      <w:pPr>
        <w:jc w:val="both"/>
        <w:rPr>
          <w:sz w:val="24"/>
          <w:szCs w:val="24"/>
          <w:lang w:val="it-IT"/>
        </w:rPr>
      </w:pPr>
      <w:r w:rsidRPr="00767C74">
        <w:rPr>
          <w:sz w:val="24"/>
          <w:szCs w:val="24"/>
          <w:lang w:val="it-IT"/>
        </w:rPr>
        <w:t>Proporcionaliteti. Projektligji nuk vendos kërkesa të paarsyeshme: ai kufizon fushën e zbatimit te emetuesit në tregje të rregulluara dhe parashikon afate tranzitore (ESEF nga 2028; ESAP/ESMA nga anëtarësimi). Për më tepër, ligji lejon që aspektet teknike të rregullohen nëpërmjet akteve nënligjore, duke mundësuar fleksibilitet dhe përshtatje me zhvillimet teknologjike pa ndryshime të shpeshta ligjore.</w:t>
      </w:r>
    </w:p>
    <w:p w14:paraId="30A2D88D" w14:textId="77777777" w:rsidR="00981417" w:rsidRPr="00767C74" w:rsidRDefault="00000000" w:rsidP="00F774CD">
      <w:pPr>
        <w:jc w:val="both"/>
        <w:rPr>
          <w:sz w:val="24"/>
          <w:szCs w:val="24"/>
          <w:lang w:val="it-IT"/>
        </w:rPr>
      </w:pPr>
      <w:r w:rsidRPr="00767C74">
        <w:rPr>
          <w:sz w:val="24"/>
          <w:szCs w:val="24"/>
          <w:lang w:val="it-IT"/>
        </w:rPr>
        <w:t>Efekti ekonomik dhe institucional. Edhe me një vlerësim monetar të pjesshëm, opsioni 2 rezulton me VAN pozitive në horizont 10‑vjeçar, ndërkohë që përfitimet e pamonetizuara (besimi i investitorëve, integriteti i tregut, gatishmëria për listime të reja, përputhja me acquis) janë të konsiderueshme. Nga pikëpamja institucionale, opsioni 2 e bën mbikëqyrjen më efektive dhe të parashikueshme, duke rritur efektin parandalues të rregullave.</w:t>
      </w:r>
    </w:p>
    <w:p w14:paraId="725A5AEF" w14:textId="77777777" w:rsidR="00981417" w:rsidRPr="00767C74" w:rsidRDefault="00000000" w:rsidP="00F774CD">
      <w:pPr>
        <w:jc w:val="both"/>
        <w:rPr>
          <w:sz w:val="24"/>
          <w:szCs w:val="24"/>
          <w:lang w:val="it-IT"/>
        </w:rPr>
      </w:pPr>
      <w:r w:rsidRPr="00767C74">
        <w:rPr>
          <w:sz w:val="24"/>
          <w:szCs w:val="24"/>
          <w:lang w:val="it-IT"/>
        </w:rPr>
        <w:t>Pse refuzohet Opsioni 0. Status quo nuk adreson boshllëqet dhe e mban të lartë pasigurinë dhe fragmentimin, duke krijuar rrezik për investitorët dhe për reputacionin e tregut. Ai nuk siguron bazë ligjore për mekanizmat e ruajtjes/shpërndarjes dhe për digjitalizimin e raportimit sipas standardeve të BE-së.</w:t>
      </w:r>
    </w:p>
    <w:p w14:paraId="0F5F6821" w14:textId="77777777" w:rsidR="00981417" w:rsidRPr="00767C74" w:rsidRDefault="00000000" w:rsidP="00F774CD">
      <w:pPr>
        <w:jc w:val="both"/>
        <w:rPr>
          <w:sz w:val="24"/>
          <w:szCs w:val="24"/>
          <w:lang w:val="it-IT"/>
        </w:rPr>
      </w:pPr>
      <w:r w:rsidRPr="00767C74">
        <w:rPr>
          <w:sz w:val="24"/>
          <w:szCs w:val="24"/>
          <w:lang w:val="it-IT"/>
        </w:rPr>
        <w:t>Pse nuk preferohet Opsioni 1. Opsioni 1, ndonëse më pak i kushtueshëm në afat të shkurtër, nuk garanton arritjen e objektivave të politikës në afatmesëm, sepse lë jashtë elementë kritikë (mekanizmi i ruajtjes/shpërndarjes, instrumentet financiare, dispozitat teknike/transitore). Kjo do të kërkonte ndërhyrje të mëvonshme dhe do të rriste kostot totale të tranzicionit.</w:t>
      </w:r>
    </w:p>
    <w:p w14:paraId="0EC6453C" w14:textId="77777777" w:rsidR="00083AAD" w:rsidRDefault="00083AAD" w:rsidP="00F774CD">
      <w:pPr>
        <w:jc w:val="both"/>
        <w:rPr>
          <w:lang w:val="it-IT"/>
        </w:rPr>
      </w:pPr>
    </w:p>
    <w:p w14:paraId="5DB20F9C" w14:textId="77777777" w:rsidR="00083AAD" w:rsidRPr="00083AAD" w:rsidRDefault="00083AAD" w:rsidP="00083AAD">
      <w:pPr>
        <w:keepNext/>
        <w:tabs>
          <w:tab w:val="right" w:pos="10206"/>
        </w:tabs>
        <w:spacing w:before="240" w:after="60" w:line="276" w:lineRule="auto"/>
        <w:outlineLvl w:val="0"/>
        <w:rPr>
          <w:rFonts w:cs="Times New Roman"/>
          <w:b/>
          <w:bCs/>
          <w:spacing w:val="-4"/>
          <w:kern w:val="32"/>
          <w:sz w:val="24"/>
          <w:szCs w:val="24"/>
          <w:lang w:val="sq-AL" w:eastAsia="en-GB"/>
        </w:rPr>
      </w:pPr>
      <w:r w:rsidRPr="00083AAD">
        <w:rPr>
          <w:rFonts w:cs="Times New Roman"/>
          <w:b/>
          <w:bCs/>
          <w:spacing w:val="-4"/>
          <w:kern w:val="32"/>
          <w:sz w:val="24"/>
          <w:szCs w:val="24"/>
          <w:lang w:val="sq-AL" w:eastAsia="en-GB"/>
        </w:rPr>
        <w:t>Çështje të zbatimit</w:t>
      </w:r>
    </w:p>
    <w:sdt>
      <w:sdtPr>
        <w:rPr>
          <w:rFonts w:cs="Times New Roman"/>
          <w:i/>
          <w:iCs/>
          <w:sz w:val="24"/>
          <w:szCs w:val="24"/>
          <w:lang w:val="sq-AL" w:eastAsia="en-GB"/>
        </w:rPr>
        <w:id w:val="686721506"/>
        <w:lock w:val="contentLocked"/>
        <w:placeholder>
          <w:docPart w:val="D808AE26E9824535AFC17E0BD4154966"/>
        </w:placeholder>
      </w:sdtPr>
      <w:sdtEndPr>
        <w:rPr>
          <w:i w:val="0"/>
          <w:iCs w:val="0"/>
        </w:rPr>
      </w:sdtEndPr>
      <w:sdtContent>
        <w:p w14:paraId="130DB7EE" w14:textId="77777777" w:rsidR="00083AAD" w:rsidRPr="00083AAD" w:rsidRDefault="00083AAD" w:rsidP="00083AAD">
          <w:pPr>
            <w:numPr>
              <w:ilvl w:val="0"/>
              <w:numId w:val="15"/>
            </w:numPr>
            <w:spacing w:after="0" w:line="276" w:lineRule="auto"/>
            <w:jc w:val="both"/>
            <w:rPr>
              <w:rFonts w:cs="Times New Roman"/>
              <w:i/>
              <w:sz w:val="24"/>
              <w:szCs w:val="24"/>
              <w:lang w:val="sq-AL" w:eastAsia="en-GB"/>
            </w:rPr>
          </w:pPr>
          <w:r w:rsidRPr="00083AAD">
            <w:rPr>
              <w:rFonts w:cs="Times New Roman"/>
              <w:i/>
              <w:sz w:val="24"/>
              <w:szCs w:val="24"/>
              <w:lang w:val="sq-AL" w:eastAsia="en-GB"/>
            </w:rPr>
            <w:t>Shpjegoni se cila strukturë do të jetë përgjegjëse për zbatimin e opsionit të zgjedhur.</w:t>
          </w:r>
        </w:p>
        <w:p w14:paraId="1055DA4A" w14:textId="77777777" w:rsidR="00083AAD" w:rsidRPr="00083AAD" w:rsidRDefault="00083AAD" w:rsidP="00083AAD">
          <w:pPr>
            <w:numPr>
              <w:ilvl w:val="0"/>
              <w:numId w:val="15"/>
            </w:numPr>
            <w:spacing w:after="0" w:line="276" w:lineRule="auto"/>
            <w:jc w:val="both"/>
            <w:rPr>
              <w:rFonts w:cs="Times New Roman"/>
              <w:i/>
              <w:sz w:val="24"/>
              <w:szCs w:val="24"/>
              <w:lang w:val="sq-AL" w:eastAsia="en-GB"/>
            </w:rPr>
          </w:pPr>
          <w:r w:rsidRPr="00083AAD">
            <w:rPr>
              <w:rFonts w:cs="Times New Roman"/>
              <w:i/>
              <w:sz w:val="24"/>
              <w:szCs w:val="24"/>
              <w:lang w:val="sq-AL" w:eastAsia="en-GB"/>
            </w:rPr>
            <w:t>Shpjegoni pengesat e mundshme për zbatimin e opsionit të zgjedhur.</w:t>
          </w:r>
        </w:p>
        <w:p w14:paraId="48A3FE88" w14:textId="77777777" w:rsidR="00083AAD" w:rsidRPr="00083AAD" w:rsidRDefault="00083AAD" w:rsidP="00083AAD">
          <w:pPr>
            <w:numPr>
              <w:ilvl w:val="0"/>
              <w:numId w:val="15"/>
            </w:numPr>
            <w:spacing w:after="0" w:line="276" w:lineRule="auto"/>
            <w:jc w:val="both"/>
            <w:rPr>
              <w:rFonts w:cs="Times New Roman"/>
              <w:sz w:val="24"/>
              <w:szCs w:val="24"/>
              <w:lang w:val="sq-AL" w:eastAsia="en-GB"/>
            </w:rPr>
          </w:pPr>
          <w:r w:rsidRPr="00083AAD">
            <w:rPr>
              <w:rFonts w:cs="Times New Roman"/>
              <w:i/>
              <w:sz w:val="24"/>
              <w:szCs w:val="24"/>
              <w:lang w:val="sq-AL" w:eastAsia="en-GB"/>
            </w:rPr>
            <w:t>Përshkruani masat që do të ndërmerren gjatë zbatimit për të arritur qëllimet e politikës.</w:t>
          </w:r>
        </w:p>
      </w:sdtContent>
    </w:sdt>
    <w:p w14:paraId="1F5D4ECB" w14:textId="77777777" w:rsidR="00083AAD" w:rsidRPr="00083AAD" w:rsidRDefault="00083AAD" w:rsidP="00F774CD">
      <w:pPr>
        <w:jc w:val="both"/>
        <w:rPr>
          <w:lang w:val="sq-AL"/>
        </w:rPr>
      </w:pPr>
    </w:p>
    <w:p w14:paraId="0BD5E53B" w14:textId="77777777" w:rsidR="00083AAD" w:rsidRPr="00DC2146" w:rsidRDefault="00000000" w:rsidP="00F774CD">
      <w:pPr>
        <w:jc w:val="both"/>
        <w:rPr>
          <w:i/>
          <w:iCs/>
          <w:lang w:val="sq-AL"/>
        </w:rPr>
      </w:pPr>
      <w:r w:rsidRPr="00DC2146">
        <w:rPr>
          <w:i/>
          <w:iCs/>
          <w:lang w:val="sq-AL"/>
        </w:rPr>
        <w:t xml:space="preserve">Struktura përgjegjëse për zbatimin. </w:t>
      </w:r>
    </w:p>
    <w:p w14:paraId="2C0919A0" w14:textId="414B9668" w:rsidR="00981417" w:rsidRPr="00767C74" w:rsidRDefault="00000000" w:rsidP="00F774CD">
      <w:pPr>
        <w:jc w:val="both"/>
        <w:rPr>
          <w:sz w:val="24"/>
          <w:szCs w:val="24"/>
          <w:lang w:val="sq-AL"/>
        </w:rPr>
      </w:pPr>
      <w:r w:rsidRPr="00767C74">
        <w:rPr>
          <w:sz w:val="24"/>
          <w:szCs w:val="24"/>
          <w:lang w:val="sq-AL"/>
        </w:rPr>
        <w:t>AMF është autoriteti kompetent për zbatimin e ligjit dhe mbart përgjegjësitë kryesore për mbikëqyrjen, ruajtjen dhe publikimin e informacionit të rregulluar, miratimin e akteve nënligjore, kontrollin e pajtueshmërisë dhe ushtrimin e kompetencave sanksionuese. Emetuesit dhe organet e tyre administrative, drejtuese dhe mbikëqyrëse mbajnë përgjegjësi për hartimin dhe publikimin e informacionit. Operatori i tregut, shoqëritë komisionere, institucionet e kreditit, kujdestarët dhe audituesit kanë rol ndihmës ose operacional sipas rastit.</w:t>
      </w:r>
    </w:p>
    <w:p w14:paraId="7428C9F1" w14:textId="77777777" w:rsidR="00981417" w:rsidRPr="00767C74" w:rsidRDefault="00000000" w:rsidP="00F774CD">
      <w:pPr>
        <w:jc w:val="both"/>
        <w:rPr>
          <w:sz w:val="24"/>
          <w:szCs w:val="24"/>
          <w:lang w:val="sq-AL"/>
        </w:rPr>
      </w:pPr>
      <w:r w:rsidRPr="00767C74">
        <w:rPr>
          <w:sz w:val="24"/>
          <w:szCs w:val="24"/>
          <w:lang w:val="sq-AL"/>
        </w:rPr>
        <w:t xml:space="preserve">Pengesat e mundshme të zbatimit. Pengesat kryesore janë: mungesa e përvojës praktike të disa subjekteve me një regjim të detajuar njoftimi dhe depozitimi; nevoja për koordinim ndërmjet legjislacionit të tregjeve </w:t>
      </w:r>
      <w:r w:rsidRPr="00767C74">
        <w:rPr>
          <w:sz w:val="24"/>
          <w:szCs w:val="24"/>
          <w:lang w:val="sq-AL"/>
        </w:rPr>
        <w:lastRenderedPageBreak/>
        <w:t>të kapitalit, legjislacionit kontabël dhe atij për abuzimin në treg; nevoja për procese të qarta IT dhe arkivim për 10 vjet; përgatitja e subjekteve për raportim elektronik; si dhe nevoja për trajnime të specializuara për llogaritjen e pragjeve, agregimit dhe instrumenteve financiare me shlyerje cash.</w:t>
      </w:r>
    </w:p>
    <w:p w14:paraId="370D2DF6" w14:textId="77777777" w:rsidR="00083AAD" w:rsidRPr="00767C74" w:rsidRDefault="00000000" w:rsidP="00F774CD">
      <w:pPr>
        <w:jc w:val="both"/>
        <w:rPr>
          <w:sz w:val="24"/>
          <w:szCs w:val="24"/>
          <w:lang w:val="sq-AL"/>
        </w:rPr>
      </w:pPr>
      <w:r w:rsidRPr="00767C74">
        <w:rPr>
          <w:sz w:val="24"/>
          <w:szCs w:val="24"/>
          <w:lang w:val="sq-AL"/>
        </w:rPr>
        <w:t>Masat e propozuara për zbatim.</w:t>
      </w:r>
    </w:p>
    <w:p w14:paraId="5BD812F1" w14:textId="27C7CCEB" w:rsidR="00981417" w:rsidRPr="00767C74" w:rsidRDefault="00000000" w:rsidP="00F774CD">
      <w:pPr>
        <w:jc w:val="both"/>
        <w:rPr>
          <w:sz w:val="24"/>
          <w:szCs w:val="24"/>
          <w:lang w:val="sq-AL"/>
        </w:rPr>
      </w:pPr>
      <w:r w:rsidRPr="00767C74">
        <w:rPr>
          <w:sz w:val="24"/>
          <w:szCs w:val="24"/>
          <w:lang w:val="sq-AL"/>
        </w:rPr>
        <w:t xml:space="preserve"> Së pari, AMF duhet të hartojë një plan të detajuar zbatimi menjëherë pas miratimit të ligjit, me listën e akteve nënligjore, afatet, përgjegjësit dhe rendin e miratimit. Së dyti, duhet të nxirren udhëzime praktike dhe formularë standardë për raportin vjetor, raportin gjashtëmujor, njoftimet për pragjet, depozitimin dhe përdorimin e mekanizmit zyrtar. Së treti, duhet të organizohen trajnime dhe seanca informuese me subjektet e mbikëqyrura. Së katërti, para hyrjes së plotë në zbatim të detyrimeve teknike, duhet të kryhet testim pilot i procesit të depozitimit elektronik. Së pesti, para 1 janarit 2028 duhet të zhvillohet plan i posaçëm për ESEF, ndërsa elementet ESAP të aktivizohen sipas nenit të dispozitave kalimtare në momentin e anëtarësimit në BE.</w:t>
      </w:r>
    </w:p>
    <w:p w14:paraId="0B5B9314" w14:textId="77777777" w:rsidR="00981417" w:rsidRPr="00767C74" w:rsidRDefault="00000000" w:rsidP="00F774CD">
      <w:pPr>
        <w:jc w:val="both"/>
        <w:rPr>
          <w:sz w:val="24"/>
          <w:szCs w:val="24"/>
          <w:lang w:val="sq-AL"/>
        </w:rPr>
      </w:pPr>
      <w:r w:rsidRPr="00767C74">
        <w:rPr>
          <w:sz w:val="24"/>
          <w:szCs w:val="24"/>
          <w:lang w:val="sq-AL"/>
        </w:rPr>
        <w:t>Nga pikëpamja procedurale, për të shmangur vakuumet rregullatore, aktet nënligjore të para duhet të mbulojnë menjëherë formatet e njoftimit, standardet minimale të shpërndarjes së informacionit të rregulluar, funksionimin e mekanizmit zyrtar dhe kërkesat për ruajtjen e dokumentacionit. Kjo renditje është e rëndësishme sepse pa këto instrumente zbatimi praktik i detyrimeve ligjore do të mbetet i cunguar.</w:t>
      </w:r>
    </w:p>
    <w:p w14:paraId="53260C7A" w14:textId="77777777" w:rsidR="00981417" w:rsidRPr="00767C74" w:rsidRDefault="00000000" w:rsidP="00F774CD">
      <w:pPr>
        <w:jc w:val="both"/>
        <w:rPr>
          <w:sz w:val="24"/>
          <w:szCs w:val="24"/>
          <w:lang w:val="sq-AL"/>
        </w:rPr>
      </w:pPr>
      <w:r w:rsidRPr="00767C74">
        <w:rPr>
          <w:sz w:val="24"/>
          <w:szCs w:val="24"/>
          <w:lang w:val="sq-AL"/>
        </w:rPr>
        <w:t>Plani i zbatimit (0–12 muaj). Për të siguruar një kalim të rregullt, zbatimi rekomandohet të strukturohet në faza: (i) 0–3 muaj: miratimi i planit të zbatimit dhe udhëzimeve fillestare; ngritja e grupit teknik; përcaktimi i mekanizmit të ruajtjes; (ii) 3–6 muaj: draftimi dhe konsultimi i akteve nënligjore; zhvillimi/konfigurimi i platformës së depozitimit; testime pilot me emetuesit; (iii) 6–12 muaj: miratimi i akteve nënligjore, nisja e funksionimit të plotë të mekanizmit dhe vendosja e procesit të monitorimit.</w:t>
      </w:r>
    </w:p>
    <w:p w14:paraId="75B99695" w14:textId="77777777" w:rsidR="00981417" w:rsidRPr="00767C74" w:rsidRDefault="00000000" w:rsidP="00F774CD">
      <w:pPr>
        <w:jc w:val="both"/>
        <w:rPr>
          <w:sz w:val="24"/>
          <w:szCs w:val="24"/>
          <w:lang w:val="sq-AL"/>
        </w:rPr>
      </w:pPr>
      <w:r w:rsidRPr="00767C74">
        <w:rPr>
          <w:sz w:val="24"/>
          <w:szCs w:val="24"/>
          <w:lang w:val="sq-AL"/>
        </w:rPr>
        <w:t>Akte nënligjore. Neni 43 detyron AMF-në të miratojë brenda 12 muajve aktet nënligjore të nevojshme për zbatimin e ligjit. Këto akte duhet të mbulojnë të paktën: (i) formatet dhe procedurat e raportimit periodik; (ii) formularët/formatet e njoftimeve për zotërime të mëdha dhe instrumente financiare; (iii) standardet minimale të shpërndarjes së informacionit; (iv) kërkesat për mekanizmin e ruajtjes qendrore dhe metadata; (v) standardet teknike për ESEF; (vi) procedurat e mbikëqyrjes, bashkëpunimit dhe publikimit të vendimeve.</w:t>
      </w:r>
    </w:p>
    <w:p w14:paraId="6BD2D267" w14:textId="77777777" w:rsidR="00981417" w:rsidRPr="00767C74" w:rsidRDefault="00000000" w:rsidP="00F774CD">
      <w:pPr>
        <w:jc w:val="both"/>
        <w:rPr>
          <w:sz w:val="24"/>
          <w:szCs w:val="24"/>
          <w:lang w:val="sq-AL"/>
        </w:rPr>
      </w:pPr>
      <w:r w:rsidRPr="00767C74">
        <w:rPr>
          <w:sz w:val="24"/>
          <w:szCs w:val="24"/>
          <w:lang w:val="sq-AL"/>
        </w:rPr>
        <w:t>Mekanizmi i ruajtjes qendrore (OAM) dhe depozitimi. Në zbatim të neneve 29–30, duhet të përcaktohet: kush është operatori i mekanizmit (AMF ose një person juridik i autorizuar), standardet e sigurisë/aksesit, metadata minimale dhe ndërfaqja e depozitimit. Rekomandohet që mekanizmi të jetë i integruar me një portal publik të kërkueshëm, me arkiv elektronik dhe me gjurmë auditi (audit trail).</w:t>
      </w:r>
    </w:p>
    <w:p w14:paraId="11DEB86D" w14:textId="77777777" w:rsidR="00981417" w:rsidRPr="00767C74" w:rsidRDefault="00000000" w:rsidP="00F774CD">
      <w:pPr>
        <w:jc w:val="both"/>
        <w:rPr>
          <w:sz w:val="24"/>
          <w:szCs w:val="24"/>
          <w:lang w:val="it-IT"/>
        </w:rPr>
      </w:pPr>
      <w:r w:rsidRPr="00767C74">
        <w:rPr>
          <w:sz w:val="24"/>
          <w:szCs w:val="24"/>
          <w:lang w:val="it-IT"/>
        </w:rPr>
        <w:t>Ndërveprimi me operatorin e tregut të rregulluar. Për të siguruar shpërndarje efektive dhe njëkohësi, AMF duhet të harmonizojë procedurat me operatorin e tregut të rregulluar (p.sh. bursën) dhe, kur është e aplikueshme, me qendrat e depozitimit/regjistrimit të titujve. Qëllimi është të shmangen vonesat në publikim dhe të garantohen kanale të unifikuara komunikimi.</w:t>
      </w:r>
    </w:p>
    <w:p w14:paraId="2855DC94" w14:textId="77777777" w:rsidR="00981417" w:rsidRPr="00767C74" w:rsidRDefault="00000000" w:rsidP="00F774CD">
      <w:pPr>
        <w:jc w:val="both"/>
        <w:rPr>
          <w:sz w:val="24"/>
          <w:szCs w:val="24"/>
          <w:lang w:val="it-IT"/>
        </w:rPr>
      </w:pPr>
      <w:r w:rsidRPr="00767C74">
        <w:rPr>
          <w:sz w:val="24"/>
          <w:szCs w:val="24"/>
          <w:lang w:val="it-IT"/>
        </w:rPr>
        <w:t>Komunikimi dhe trajnimi. Për të ulur koston e pajtueshmërisë dhe për të rritur cilësinë e zbatimit, rekomandohet: (i) publikimi i udhëzimeve dhe manualeve; (ii) sesione trajnimi për emetuesit, aksionarët, audituesit dhe ndërmjetësit; (iii) një periudhë pilot (soft‑launch) për depozitimin elektronik; (iv) një “helpdesk” teknik pranë AMF-së gjatë 6 muajve të parë të zbatimit.</w:t>
      </w:r>
    </w:p>
    <w:p w14:paraId="00FBEF57" w14:textId="77777777" w:rsidR="00981417" w:rsidRPr="00767C74" w:rsidRDefault="00000000" w:rsidP="00F774CD">
      <w:pPr>
        <w:jc w:val="both"/>
        <w:rPr>
          <w:sz w:val="24"/>
          <w:szCs w:val="24"/>
          <w:lang w:val="it-IT"/>
        </w:rPr>
      </w:pPr>
      <w:r w:rsidRPr="00767C74">
        <w:rPr>
          <w:sz w:val="24"/>
          <w:szCs w:val="24"/>
          <w:lang w:val="it-IT"/>
        </w:rPr>
        <w:t>Masa për lehtësimin e pajtueshmërisë. Rekomandohen: checklists për raportet vjetore/gjashtëmujore, modele deklaratash të personave përgjegjës, forma standarde për njoftime të zotërimeve të mëdha (përfshirë shembuj për derivativët dhe agregimin), si dhe kontrolle automatike të plotësisë në portalin e depozitimit.</w:t>
      </w:r>
    </w:p>
    <w:p w14:paraId="5C197A5A" w14:textId="77777777" w:rsidR="00981417" w:rsidRPr="00767C74" w:rsidRDefault="00000000" w:rsidP="00F774CD">
      <w:pPr>
        <w:jc w:val="both"/>
        <w:rPr>
          <w:sz w:val="24"/>
          <w:szCs w:val="24"/>
          <w:lang w:val="it-IT"/>
        </w:rPr>
      </w:pPr>
      <w:r w:rsidRPr="00767C74">
        <w:rPr>
          <w:sz w:val="24"/>
          <w:szCs w:val="24"/>
          <w:lang w:val="it-IT"/>
        </w:rPr>
        <w:t>Kalimi nga rregullimi ekzistues. Neni 45 shfuqizon rregulloren e AMF-së së vitit 2015 me hyrjen në fuqi të ligjit të ri. Për të shmangur vakum rregullator, aktet nënligjore të reja duhet të miratohen brenda afatit 12‑mujor, ndërsa në periudhën tranzitore duhet të përcaktohen rregulla të qarta për përdorimin e formateve ekzistuese, deri në hyrjen në fuqi të akteve të reja.</w:t>
      </w:r>
    </w:p>
    <w:p w14:paraId="5877ACCE" w14:textId="77777777" w:rsidR="00981417" w:rsidRPr="00767C74" w:rsidRDefault="00000000" w:rsidP="00F774CD">
      <w:pPr>
        <w:jc w:val="both"/>
        <w:rPr>
          <w:sz w:val="24"/>
          <w:szCs w:val="24"/>
          <w:lang w:val="it-IT"/>
        </w:rPr>
      </w:pPr>
      <w:r w:rsidRPr="00767C74">
        <w:rPr>
          <w:sz w:val="24"/>
          <w:szCs w:val="24"/>
          <w:lang w:val="it-IT"/>
        </w:rPr>
        <w:t>Dispozitat kalimtare për BE. Neni 44 parashikon se dispozitat për ESAP/ESMA zbatohen nga data e anëtarësimit në BE, duke shmangur detyrime që nuk mund të zbatohen para këtij momenti. Kjo duhet të reflektohet edhe në planin e zbatimit dhe në arkitekturën IT, duke parashikuar që sistemi të jetë i zgjerueshëm për integrim të ardhshëm.</w:t>
      </w:r>
    </w:p>
    <w:p w14:paraId="022D458A" w14:textId="77777777" w:rsidR="00981417" w:rsidRPr="00E67D32" w:rsidRDefault="00000000">
      <w:pPr>
        <w:rPr>
          <w:lang w:val="it-IT"/>
        </w:rPr>
      </w:pPr>
      <w:r w:rsidRPr="00E67D32">
        <w:rPr>
          <w:lang w:val="it-IT"/>
        </w:rPr>
        <w:lastRenderedPageBreak/>
        <w:t>Tabela 2: Aktet nënligjore zbatuese të rekomanduara (neni 43) dhe afatet orientuese.</w:t>
      </w:r>
    </w:p>
    <w:tbl>
      <w:tblPr>
        <w:tblW w:w="0" w:type="auto"/>
        <w:tblLook w:val="04A0" w:firstRow="1" w:lastRow="0" w:firstColumn="1" w:lastColumn="0" w:noHBand="0" w:noVBand="1"/>
      </w:tblPr>
      <w:tblGrid>
        <w:gridCol w:w="2040"/>
        <w:gridCol w:w="2016"/>
        <w:gridCol w:w="2318"/>
        <w:gridCol w:w="2024"/>
        <w:gridCol w:w="2024"/>
      </w:tblGrid>
      <w:tr w:rsidR="00981417" w14:paraId="78ABCE24" w14:textId="77777777">
        <w:tc>
          <w:tcPr>
            <w:tcW w:w="2041" w:type="dxa"/>
          </w:tcPr>
          <w:p w14:paraId="1DD1656C" w14:textId="77777777" w:rsidR="00981417" w:rsidRDefault="00000000">
            <w:r>
              <w:t>Akti nënligjor (AMF)</w:t>
            </w:r>
          </w:p>
        </w:tc>
        <w:tc>
          <w:tcPr>
            <w:tcW w:w="2041" w:type="dxa"/>
          </w:tcPr>
          <w:p w14:paraId="052CB31C" w14:textId="77777777" w:rsidR="00981417" w:rsidRDefault="00000000">
            <w:r>
              <w:t>Bazë ligjore</w:t>
            </w:r>
          </w:p>
        </w:tc>
        <w:tc>
          <w:tcPr>
            <w:tcW w:w="2041" w:type="dxa"/>
          </w:tcPr>
          <w:p w14:paraId="1EDFFF9B" w14:textId="77777777" w:rsidR="00981417" w:rsidRDefault="00000000">
            <w:r>
              <w:t>Përmbajtja kryesore</w:t>
            </w:r>
          </w:p>
        </w:tc>
        <w:tc>
          <w:tcPr>
            <w:tcW w:w="2041" w:type="dxa"/>
          </w:tcPr>
          <w:p w14:paraId="125DAD43" w14:textId="77777777" w:rsidR="00981417" w:rsidRDefault="00000000">
            <w:r>
              <w:t>Institucioni përgjegjës</w:t>
            </w:r>
          </w:p>
        </w:tc>
        <w:tc>
          <w:tcPr>
            <w:tcW w:w="2041" w:type="dxa"/>
          </w:tcPr>
          <w:p w14:paraId="2ECC8F8D" w14:textId="77777777" w:rsidR="00981417" w:rsidRDefault="00000000">
            <w:r>
              <w:t>Afati (maks.)</w:t>
            </w:r>
          </w:p>
        </w:tc>
      </w:tr>
      <w:tr w:rsidR="00981417" w14:paraId="35681FF9" w14:textId="77777777">
        <w:tc>
          <w:tcPr>
            <w:tcW w:w="2041" w:type="dxa"/>
          </w:tcPr>
          <w:p w14:paraId="72102493" w14:textId="77777777" w:rsidR="00981417" w:rsidRPr="00B256EB" w:rsidRDefault="00000000">
            <w:pPr>
              <w:rPr>
                <w:lang w:val="it-IT"/>
              </w:rPr>
            </w:pPr>
            <w:r w:rsidRPr="00B256EB">
              <w:rPr>
                <w:lang w:val="it-IT"/>
              </w:rPr>
              <w:t>Rregullore mbi formatet/procedurat e raportimit periodik</w:t>
            </w:r>
          </w:p>
        </w:tc>
        <w:tc>
          <w:tcPr>
            <w:tcW w:w="2041" w:type="dxa"/>
          </w:tcPr>
          <w:p w14:paraId="70581203" w14:textId="77777777" w:rsidR="00981417" w:rsidRDefault="00000000">
            <w:r>
              <w:t>Nenet 4–7, 22–24, 29</w:t>
            </w:r>
          </w:p>
        </w:tc>
        <w:tc>
          <w:tcPr>
            <w:tcW w:w="2041" w:type="dxa"/>
          </w:tcPr>
          <w:p w14:paraId="7DB7EB9B" w14:textId="77777777" w:rsidR="00981417" w:rsidRDefault="00000000">
            <w:r>
              <w:t>Formatet e raporteve vjetore/gjashtëmujore, deklaratat, mënyra e publikimit dhe depozitimit.</w:t>
            </w:r>
          </w:p>
        </w:tc>
        <w:tc>
          <w:tcPr>
            <w:tcW w:w="2041" w:type="dxa"/>
          </w:tcPr>
          <w:p w14:paraId="13D69684" w14:textId="77777777" w:rsidR="00981417" w:rsidRDefault="00000000">
            <w:r>
              <w:t>AMF</w:t>
            </w:r>
          </w:p>
        </w:tc>
        <w:tc>
          <w:tcPr>
            <w:tcW w:w="2041" w:type="dxa"/>
          </w:tcPr>
          <w:p w14:paraId="2A590D83" w14:textId="77777777" w:rsidR="00981417" w:rsidRDefault="00000000">
            <w:r>
              <w:t>12 muaj</w:t>
            </w:r>
          </w:p>
        </w:tc>
      </w:tr>
      <w:tr w:rsidR="00981417" w14:paraId="319E9CD2" w14:textId="77777777">
        <w:tc>
          <w:tcPr>
            <w:tcW w:w="2041" w:type="dxa"/>
          </w:tcPr>
          <w:p w14:paraId="769F74F0" w14:textId="77777777" w:rsidR="00981417" w:rsidRDefault="00000000">
            <w:r>
              <w:t>Rregullore mbi njoftimet e zotërimeve të mëdha</w:t>
            </w:r>
          </w:p>
        </w:tc>
        <w:tc>
          <w:tcPr>
            <w:tcW w:w="2041" w:type="dxa"/>
          </w:tcPr>
          <w:p w14:paraId="5E560117" w14:textId="77777777" w:rsidR="00981417" w:rsidRDefault="00000000">
            <w:r>
              <w:t>Nenet 12–16</w:t>
            </w:r>
          </w:p>
        </w:tc>
        <w:tc>
          <w:tcPr>
            <w:tcW w:w="2041" w:type="dxa"/>
          </w:tcPr>
          <w:p w14:paraId="2474AA65" w14:textId="77777777" w:rsidR="00981417" w:rsidRDefault="00000000">
            <w:r>
              <w:t>Formularë standard, pragje, mënyra e llogaritjes, afatet dhe kanalet e njoftimit.</w:t>
            </w:r>
          </w:p>
        </w:tc>
        <w:tc>
          <w:tcPr>
            <w:tcW w:w="2041" w:type="dxa"/>
          </w:tcPr>
          <w:p w14:paraId="2AB9B2C5" w14:textId="77777777" w:rsidR="00981417" w:rsidRDefault="00000000">
            <w:r>
              <w:t>AMF</w:t>
            </w:r>
          </w:p>
        </w:tc>
        <w:tc>
          <w:tcPr>
            <w:tcW w:w="2041" w:type="dxa"/>
          </w:tcPr>
          <w:p w14:paraId="310BED62" w14:textId="77777777" w:rsidR="00981417" w:rsidRDefault="00000000">
            <w:r>
              <w:t>12 muaj</w:t>
            </w:r>
          </w:p>
        </w:tc>
      </w:tr>
      <w:tr w:rsidR="00981417" w14:paraId="4D62C1DD" w14:textId="77777777">
        <w:tc>
          <w:tcPr>
            <w:tcW w:w="2041" w:type="dxa"/>
          </w:tcPr>
          <w:p w14:paraId="2CF3046C" w14:textId="77777777" w:rsidR="00981417" w:rsidRDefault="00000000">
            <w:r>
              <w:t>Rregullore mbi instrumentet financiare dhe agregimin</w:t>
            </w:r>
          </w:p>
        </w:tc>
        <w:tc>
          <w:tcPr>
            <w:tcW w:w="2041" w:type="dxa"/>
          </w:tcPr>
          <w:p w14:paraId="01FD7ECD" w14:textId="77777777" w:rsidR="00981417" w:rsidRDefault="00000000">
            <w:r>
              <w:t>Nenet 16, 20–21</w:t>
            </w:r>
          </w:p>
        </w:tc>
        <w:tc>
          <w:tcPr>
            <w:tcW w:w="2041" w:type="dxa"/>
          </w:tcPr>
          <w:p w14:paraId="74F63099" w14:textId="77777777" w:rsidR="00981417" w:rsidRDefault="00000000">
            <w:r>
              <w:t>Rregulla për derivativët/instrumentet me efekt ekonomik, agregimi dhe përjashtimet.</w:t>
            </w:r>
          </w:p>
        </w:tc>
        <w:tc>
          <w:tcPr>
            <w:tcW w:w="2041" w:type="dxa"/>
          </w:tcPr>
          <w:p w14:paraId="23B34B48" w14:textId="77777777" w:rsidR="00981417" w:rsidRDefault="00000000">
            <w:r>
              <w:t>AMF</w:t>
            </w:r>
          </w:p>
        </w:tc>
        <w:tc>
          <w:tcPr>
            <w:tcW w:w="2041" w:type="dxa"/>
          </w:tcPr>
          <w:p w14:paraId="305BD0B7" w14:textId="77777777" w:rsidR="00981417" w:rsidRDefault="00000000">
            <w:r>
              <w:t>12 muaj</w:t>
            </w:r>
          </w:p>
        </w:tc>
      </w:tr>
      <w:tr w:rsidR="00981417" w14:paraId="665C15FA" w14:textId="77777777">
        <w:tc>
          <w:tcPr>
            <w:tcW w:w="2041" w:type="dxa"/>
          </w:tcPr>
          <w:p w14:paraId="60B41CC4" w14:textId="77777777" w:rsidR="00981417" w:rsidRPr="00B256EB" w:rsidRDefault="00000000">
            <w:pPr>
              <w:rPr>
                <w:lang w:val="it-IT"/>
              </w:rPr>
            </w:pPr>
            <w:r w:rsidRPr="00B256EB">
              <w:rPr>
                <w:lang w:val="it-IT"/>
              </w:rPr>
              <w:t>Rregullore mbi standardet minimale të shpërndarjes</w:t>
            </w:r>
          </w:p>
        </w:tc>
        <w:tc>
          <w:tcPr>
            <w:tcW w:w="2041" w:type="dxa"/>
          </w:tcPr>
          <w:p w14:paraId="78C0711A" w14:textId="77777777" w:rsidR="00981417" w:rsidRDefault="00000000">
            <w:r>
              <w:t>Neni 28</w:t>
            </w:r>
          </w:p>
        </w:tc>
        <w:tc>
          <w:tcPr>
            <w:tcW w:w="2041" w:type="dxa"/>
          </w:tcPr>
          <w:p w14:paraId="09BFF3DA" w14:textId="77777777" w:rsidR="00981417" w:rsidRDefault="00000000">
            <w:r>
              <w:t>Kërkesa për kanalet e shpërndarjes, njëkohësinë e aksesit dhe integritetin e informacionit.</w:t>
            </w:r>
          </w:p>
        </w:tc>
        <w:tc>
          <w:tcPr>
            <w:tcW w:w="2041" w:type="dxa"/>
          </w:tcPr>
          <w:p w14:paraId="23FA99FC" w14:textId="77777777" w:rsidR="00981417" w:rsidRDefault="00000000">
            <w:r>
              <w:t>AMF</w:t>
            </w:r>
          </w:p>
        </w:tc>
        <w:tc>
          <w:tcPr>
            <w:tcW w:w="2041" w:type="dxa"/>
          </w:tcPr>
          <w:p w14:paraId="5FF21D54" w14:textId="77777777" w:rsidR="00981417" w:rsidRDefault="00000000">
            <w:r>
              <w:t>12 muaj</w:t>
            </w:r>
          </w:p>
        </w:tc>
      </w:tr>
      <w:tr w:rsidR="00981417" w14:paraId="1038C762" w14:textId="77777777">
        <w:tc>
          <w:tcPr>
            <w:tcW w:w="2041" w:type="dxa"/>
          </w:tcPr>
          <w:p w14:paraId="75C3F853" w14:textId="77777777" w:rsidR="00981417" w:rsidRDefault="00000000">
            <w:r>
              <w:t>Rregullore mbi mekanizmin zyrtar të ruajtjes qendrore (OAM)</w:t>
            </w:r>
          </w:p>
        </w:tc>
        <w:tc>
          <w:tcPr>
            <w:tcW w:w="2041" w:type="dxa"/>
          </w:tcPr>
          <w:p w14:paraId="7A1A868E" w14:textId="77777777" w:rsidR="00981417" w:rsidRDefault="00000000">
            <w:r>
              <w:t>Nenet 29–30</w:t>
            </w:r>
          </w:p>
        </w:tc>
        <w:tc>
          <w:tcPr>
            <w:tcW w:w="2041" w:type="dxa"/>
          </w:tcPr>
          <w:p w14:paraId="66A8DFE8" w14:textId="77777777" w:rsidR="00981417" w:rsidRDefault="00000000">
            <w:r>
              <w:t>Kërkesa IT/organizative, metadata, ruajtja, kërkimi publik dhe siguria.</w:t>
            </w:r>
          </w:p>
        </w:tc>
        <w:tc>
          <w:tcPr>
            <w:tcW w:w="2041" w:type="dxa"/>
          </w:tcPr>
          <w:p w14:paraId="77A2BDE4" w14:textId="77777777" w:rsidR="00981417" w:rsidRDefault="00000000">
            <w:r>
              <w:t>AMF</w:t>
            </w:r>
          </w:p>
        </w:tc>
        <w:tc>
          <w:tcPr>
            <w:tcW w:w="2041" w:type="dxa"/>
          </w:tcPr>
          <w:p w14:paraId="395BC246" w14:textId="77777777" w:rsidR="00981417" w:rsidRDefault="00000000">
            <w:r>
              <w:t>12 muaj</w:t>
            </w:r>
          </w:p>
        </w:tc>
      </w:tr>
      <w:tr w:rsidR="00981417" w14:paraId="2CD9C3CD" w14:textId="77777777">
        <w:tc>
          <w:tcPr>
            <w:tcW w:w="2041" w:type="dxa"/>
          </w:tcPr>
          <w:p w14:paraId="6D45A6CF" w14:textId="77777777" w:rsidR="00981417" w:rsidRDefault="00000000">
            <w:r>
              <w:t>Standardet teknike rregullatore për ESEF</w:t>
            </w:r>
          </w:p>
        </w:tc>
        <w:tc>
          <w:tcPr>
            <w:tcW w:w="2041" w:type="dxa"/>
          </w:tcPr>
          <w:p w14:paraId="241D337C" w14:textId="77777777" w:rsidR="00981417" w:rsidRDefault="00000000">
            <w:r>
              <w:t>Neni 4</w:t>
            </w:r>
          </w:p>
        </w:tc>
        <w:tc>
          <w:tcPr>
            <w:tcW w:w="2041" w:type="dxa"/>
          </w:tcPr>
          <w:p w14:paraId="0F4CDF43" w14:textId="77777777" w:rsidR="00981417" w:rsidRDefault="00000000">
            <w:r>
              <w:t>Specifikimi i formatit unik elektronik, në përputhje me Reg. (BE) 2018/815.</w:t>
            </w:r>
          </w:p>
        </w:tc>
        <w:tc>
          <w:tcPr>
            <w:tcW w:w="2041" w:type="dxa"/>
          </w:tcPr>
          <w:p w14:paraId="131DBE32" w14:textId="77777777" w:rsidR="00981417" w:rsidRDefault="00000000">
            <w:r>
              <w:t>AMF</w:t>
            </w:r>
          </w:p>
        </w:tc>
        <w:tc>
          <w:tcPr>
            <w:tcW w:w="2041" w:type="dxa"/>
          </w:tcPr>
          <w:p w14:paraId="7716481F" w14:textId="77777777" w:rsidR="00981417" w:rsidRDefault="00000000">
            <w:r>
              <w:t>deri 31.12.2027</w:t>
            </w:r>
          </w:p>
        </w:tc>
      </w:tr>
      <w:tr w:rsidR="00981417" w14:paraId="22337AC2" w14:textId="77777777">
        <w:tc>
          <w:tcPr>
            <w:tcW w:w="2041" w:type="dxa"/>
          </w:tcPr>
          <w:p w14:paraId="393950BC" w14:textId="77777777" w:rsidR="00981417" w:rsidRPr="00E67D32" w:rsidRDefault="00000000">
            <w:pPr>
              <w:rPr>
                <w:lang w:val="fr-FR"/>
              </w:rPr>
            </w:pPr>
            <w:r w:rsidRPr="00E67D32">
              <w:rPr>
                <w:lang w:val="fr-FR"/>
              </w:rPr>
              <w:t>Udhëzim mbi publikimin e vendimeve dhe ankimimin</w:t>
            </w:r>
          </w:p>
        </w:tc>
        <w:tc>
          <w:tcPr>
            <w:tcW w:w="2041" w:type="dxa"/>
          </w:tcPr>
          <w:p w14:paraId="66DB1E27" w14:textId="77777777" w:rsidR="00981417" w:rsidRDefault="00000000">
            <w:r>
              <w:t>Neni 42</w:t>
            </w:r>
          </w:p>
        </w:tc>
        <w:tc>
          <w:tcPr>
            <w:tcW w:w="2041" w:type="dxa"/>
          </w:tcPr>
          <w:p w14:paraId="7F20A08C" w14:textId="77777777" w:rsidR="00981417" w:rsidRDefault="00000000">
            <w:r>
              <w:t>Standardizim i publikimit të masave/sanksioneve dhe informimi për të drejtën e ankimit.</w:t>
            </w:r>
          </w:p>
        </w:tc>
        <w:tc>
          <w:tcPr>
            <w:tcW w:w="2041" w:type="dxa"/>
          </w:tcPr>
          <w:p w14:paraId="21BC07A8" w14:textId="77777777" w:rsidR="00981417" w:rsidRDefault="00000000">
            <w:r>
              <w:t>AMF</w:t>
            </w:r>
          </w:p>
        </w:tc>
        <w:tc>
          <w:tcPr>
            <w:tcW w:w="2041" w:type="dxa"/>
          </w:tcPr>
          <w:p w14:paraId="457E87FB" w14:textId="77777777" w:rsidR="00981417" w:rsidRDefault="00000000">
            <w:r>
              <w:t>12 muaj</w:t>
            </w:r>
          </w:p>
        </w:tc>
      </w:tr>
    </w:tbl>
    <w:p w14:paraId="3B5859DE" w14:textId="77777777" w:rsidR="002A62ED" w:rsidRDefault="002A62ED" w:rsidP="00F774CD">
      <w:pPr>
        <w:jc w:val="both"/>
      </w:pPr>
    </w:p>
    <w:p w14:paraId="28EA16CA" w14:textId="77777777" w:rsidR="00E96821" w:rsidRPr="00325A1F" w:rsidRDefault="00E96821" w:rsidP="007E7946">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bCs/>
          <w:i/>
          <w:iCs/>
          <w:sz w:val="24"/>
          <w:szCs w:val="24"/>
          <w:lang w:val="sq-AL"/>
        </w:rPr>
        <w:id w:val="1311365965"/>
        <w:lock w:val="contentLocked"/>
        <w:placeholder>
          <w:docPart w:val="35DA53B56AF84A6F9510EFBB4D95C00A"/>
        </w:placeholder>
      </w:sdtPr>
      <w:sdtContent>
        <w:p w14:paraId="37791462" w14:textId="77777777" w:rsidR="00E96821" w:rsidRPr="0032145B" w:rsidRDefault="00E96821" w:rsidP="00E96821">
          <w:pPr>
            <w:pStyle w:val="Style1-BodyText"/>
            <w:numPr>
              <w:ilvl w:val="0"/>
              <w:numId w:val="1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3B0FB4A4" w14:textId="77777777" w:rsidR="00E96821" w:rsidRPr="0032145B" w:rsidRDefault="00E96821" w:rsidP="00E96821">
          <w:pPr>
            <w:pStyle w:val="Style1-BodyText"/>
            <w:numPr>
              <w:ilvl w:val="0"/>
              <w:numId w:val="1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p w14:paraId="6491C487" w14:textId="77777777" w:rsidR="00E96821" w:rsidRDefault="00E96821" w:rsidP="007E7946">
      <w:pPr>
        <w:spacing w:line="276" w:lineRule="auto"/>
        <w:jc w:val="both"/>
        <w:rPr>
          <w:b/>
          <w:szCs w:val="24"/>
          <w:lang w:val="sq-AL"/>
        </w:rPr>
      </w:pPr>
    </w:p>
    <w:p w14:paraId="0F0FF232" w14:textId="0EF07BA4" w:rsidR="00981417" w:rsidRPr="00767C74" w:rsidRDefault="00000000" w:rsidP="00F774CD">
      <w:pPr>
        <w:jc w:val="both"/>
        <w:rPr>
          <w:sz w:val="24"/>
          <w:szCs w:val="24"/>
          <w:lang w:val="sq-AL"/>
        </w:rPr>
      </w:pPr>
      <w:r w:rsidRPr="00767C74">
        <w:rPr>
          <w:sz w:val="24"/>
          <w:szCs w:val="24"/>
          <w:lang w:val="sq-AL"/>
        </w:rPr>
        <w:t>Monitorimi duhet të organizohet si proces i vazhdueshëm nga AMF, me një panel treguesish operacionalë dhe me raporte periodike të brendshme. Gjatë 12 muajve të parë fokusi duhet të jetë tek krijimi i kuadrit nënligjor, funksionalizimi i procesit të depozitimit dhe regjistrimi i subjekteve të prekura. Gjatë 24 muajve të parë fokusi duhet të zhvendoset tek pajtueshmëria me afatet, cilësia e raportimit dhe efektiviteti i procedurave sanksionuese.</w:t>
      </w:r>
    </w:p>
    <w:p w14:paraId="71CB120C" w14:textId="77777777" w:rsidR="00981417" w:rsidRPr="00767C74" w:rsidRDefault="00000000" w:rsidP="00F774CD">
      <w:pPr>
        <w:jc w:val="both"/>
        <w:rPr>
          <w:sz w:val="24"/>
          <w:szCs w:val="24"/>
          <w:lang w:val="sq-AL"/>
        </w:rPr>
      </w:pPr>
      <w:r w:rsidRPr="00767C74">
        <w:rPr>
          <w:sz w:val="24"/>
          <w:szCs w:val="24"/>
          <w:lang w:val="sq-AL"/>
        </w:rPr>
        <w:t>Treguesit kryesorë të monitorimit duhet të përfshijnë: (i) përqindjen e raporteve vjetore të publikuara brenda 4 muajve; (ii) përqindjen e raporteve gjashtëmujore të publikuara brenda 3 muajve; (iii) numrin e njoftimeve për zotërimet e mëdha dhe kohën mesatare të publikimit të tyre; (iv) numrin e rasteve të vonesës, mosdepozitimit ose raportimit të paplotë; (v) numrin dhe llojin e masave administrative dhe sanksioneve; (vi) funksionalitetin e mekanizmit zyrtar të ruajtjes, përfshirë aksesueshmërinë dhe kohën e përgjigjes; dhe (vii) nga 2028, shkallën e përdorimit të formatit unik elektronik.</w:t>
      </w:r>
    </w:p>
    <w:p w14:paraId="168044CE" w14:textId="77777777" w:rsidR="00981417" w:rsidRPr="00767C74" w:rsidRDefault="00000000" w:rsidP="00F774CD">
      <w:pPr>
        <w:jc w:val="both"/>
        <w:rPr>
          <w:sz w:val="24"/>
          <w:szCs w:val="24"/>
          <w:lang w:val="sq-AL"/>
        </w:rPr>
      </w:pPr>
      <w:r w:rsidRPr="00767C74">
        <w:rPr>
          <w:sz w:val="24"/>
          <w:szCs w:val="24"/>
          <w:lang w:val="sq-AL"/>
        </w:rPr>
        <w:lastRenderedPageBreak/>
        <w:t>Vlerësimi ex post rekomandohet të kryhet jo më vonë se 24 muaj pas hyrjes në fuqi të ligjit, me një rishikim të posaçëm të barrës administrative për subjektet, efektivitetit të mbikëqyrjes së AMF-së dhe nevojës për përmirësime nënligjore. Një rishikim i dytë duhet të planifikohet përpara aktivizimit të plotë të detyrimeve të lidhura me ESAP dhe mekanizmat në nivel BE-je, me qëllim verifikimin e gatishmërisë teknike dhe procedurale.</w:t>
      </w:r>
    </w:p>
    <w:p w14:paraId="51DC62C9" w14:textId="77777777" w:rsidR="00981417" w:rsidRPr="00767C74" w:rsidRDefault="00000000" w:rsidP="00F774CD">
      <w:pPr>
        <w:jc w:val="both"/>
        <w:rPr>
          <w:sz w:val="24"/>
          <w:szCs w:val="24"/>
          <w:lang w:val="sq-AL"/>
        </w:rPr>
      </w:pPr>
      <w:r w:rsidRPr="00767C74">
        <w:rPr>
          <w:sz w:val="24"/>
          <w:szCs w:val="24"/>
          <w:lang w:val="sq-AL"/>
        </w:rPr>
        <w:t>Struktura e monitorimit. Monitorimi duhet të bazohet në dy burime kryesore të të dhënave: (i) të dhënat e depozituara në mekanizmin zyrtar të ruajtjes (volumi i publikimeve, respektimi i afateve, metadata); dhe (ii) të dhënat e mbikëqyrjes së AMF-së (inspektime, kërkesa informacioni, masa administrative dhe sanksione). Këto burime lejojnë ndërtimin e një paneli të përhershëm treguesish.</w:t>
      </w:r>
    </w:p>
    <w:p w14:paraId="0EC68B98" w14:textId="77777777" w:rsidR="00981417" w:rsidRPr="00767C74" w:rsidRDefault="00000000" w:rsidP="00F774CD">
      <w:pPr>
        <w:jc w:val="both"/>
        <w:rPr>
          <w:sz w:val="24"/>
          <w:szCs w:val="24"/>
          <w:lang w:val="it-IT"/>
        </w:rPr>
      </w:pPr>
      <w:r w:rsidRPr="00767C74">
        <w:rPr>
          <w:sz w:val="24"/>
          <w:szCs w:val="24"/>
          <w:lang w:val="sq-AL"/>
        </w:rPr>
        <w:t xml:space="preserve">Raportimi periodik. Rekomandohet që AMF të publikojë të paktën një raport vjetor mbi përputhshmërinë me ligjin e transparencës, duke përfshirë statistika të afateve të raportimit, numrin e shkeljeve, masat e marra, si dhe çështjet tipike të interpretimit. </w:t>
      </w:r>
      <w:r w:rsidRPr="00767C74">
        <w:rPr>
          <w:sz w:val="24"/>
          <w:szCs w:val="24"/>
          <w:lang w:val="it-IT"/>
        </w:rPr>
        <w:t>Ky raport shërben si instrument transparence dhe si sinjal për palët e tregut.</w:t>
      </w:r>
    </w:p>
    <w:p w14:paraId="71E60023" w14:textId="77777777" w:rsidR="00981417" w:rsidRPr="00767C74" w:rsidRDefault="00000000" w:rsidP="00F774CD">
      <w:pPr>
        <w:jc w:val="both"/>
        <w:rPr>
          <w:sz w:val="24"/>
          <w:szCs w:val="24"/>
          <w:lang w:val="it-IT"/>
        </w:rPr>
      </w:pPr>
      <w:r w:rsidRPr="00767C74">
        <w:rPr>
          <w:sz w:val="24"/>
          <w:szCs w:val="24"/>
          <w:lang w:val="it-IT"/>
        </w:rPr>
        <w:t>Mekanizmi i feedback‑ut. Për të matur efektet te përdoruesit (investitorët, analistët, media ekonomike), rekomandohet një mekanizëm feedback‑u (anketa periodike, adresa e dedikuar e kontaktit, statistika të aksesit në portalin e ruajtjes). Kjo do të ndihmojë në përmirësimin e funksionaliteteve të portalit dhe në standardizimin e publikimeve.</w:t>
      </w:r>
    </w:p>
    <w:p w14:paraId="1FA02837" w14:textId="77777777" w:rsidR="00981417" w:rsidRPr="00767C74" w:rsidRDefault="00000000" w:rsidP="00F774CD">
      <w:pPr>
        <w:jc w:val="both"/>
        <w:rPr>
          <w:sz w:val="24"/>
          <w:szCs w:val="24"/>
          <w:lang w:val="it-IT"/>
        </w:rPr>
      </w:pPr>
      <w:r w:rsidRPr="00767C74">
        <w:rPr>
          <w:sz w:val="24"/>
          <w:szCs w:val="24"/>
          <w:lang w:val="it-IT"/>
        </w:rPr>
        <w:t>Vlerësimi ex post. Vlerësimi ex post rekomandohet të kryhet brenda 24 muajve nga hyrja në fuqi, me fokus në: (i) efektivitetin (a u arritën objektivat e përputhshmërisë?); (ii) efikasitetin (raporti kosto/përfitim, veçanërisht kostot administrative reale); (iii) koherencën me kuadrin e tregjeve të kapitalit dhe të raportimit financiar; (iv) nevojën për ndryshime nënligjore ose për përmirësime të proceseve IT.</w:t>
      </w:r>
    </w:p>
    <w:p w14:paraId="5E33963A" w14:textId="77777777" w:rsidR="00981417" w:rsidRPr="00B256EB" w:rsidRDefault="00000000">
      <w:pPr>
        <w:rPr>
          <w:lang w:val="it-IT"/>
        </w:rPr>
      </w:pPr>
      <w:r w:rsidRPr="00B256EB">
        <w:rPr>
          <w:lang w:val="it-IT"/>
        </w:rPr>
        <w:t>Tabela 3: Treguesit kryesorë të monitorimit (KPI) – burimi i të dhënave dhe periodiciteti.</w:t>
      </w:r>
    </w:p>
    <w:tbl>
      <w:tblPr>
        <w:tblW w:w="0" w:type="auto"/>
        <w:tblLook w:val="04A0" w:firstRow="1" w:lastRow="0" w:firstColumn="1" w:lastColumn="0" w:noHBand="0" w:noVBand="1"/>
      </w:tblPr>
      <w:tblGrid>
        <w:gridCol w:w="2551"/>
        <w:gridCol w:w="2551"/>
        <w:gridCol w:w="2551"/>
        <w:gridCol w:w="2551"/>
      </w:tblGrid>
      <w:tr w:rsidR="00981417" w14:paraId="2A661849" w14:textId="77777777">
        <w:tc>
          <w:tcPr>
            <w:tcW w:w="2551" w:type="dxa"/>
          </w:tcPr>
          <w:p w14:paraId="7C171D83" w14:textId="77777777" w:rsidR="00981417" w:rsidRDefault="00000000">
            <w:r>
              <w:t>KPI</w:t>
            </w:r>
          </w:p>
        </w:tc>
        <w:tc>
          <w:tcPr>
            <w:tcW w:w="2551" w:type="dxa"/>
          </w:tcPr>
          <w:p w14:paraId="1DD420C1" w14:textId="77777777" w:rsidR="00981417" w:rsidRDefault="00000000">
            <w:r>
              <w:t>Përkufizimi</w:t>
            </w:r>
          </w:p>
        </w:tc>
        <w:tc>
          <w:tcPr>
            <w:tcW w:w="2551" w:type="dxa"/>
          </w:tcPr>
          <w:p w14:paraId="6DF950D2" w14:textId="77777777" w:rsidR="00981417" w:rsidRDefault="00000000">
            <w:r>
              <w:t>Burimi i të dhënave</w:t>
            </w:r>
          </w:p>
        </w:tc>
        <w:tc>
          <w:tcPr>
            <w:tcW w:w="2551" w:type="dxa"/>
          </w:tcPr>
          <w:p w14:paraId="109E77C9" w14:textId="77777777" w:rsidR="00981417" w:rsidRDefault="00000000">
            <w:r>
              <w:t>Periodiciteti</w:t>
            </w:r>
          </w:p>
        </w:tc>
      </w:tr>
      <w:tr w:rsidR="00981417" w14:paraId="34975A1B" w14:textId="77777777">
        <w:tc>
          <w:tcPr>
            <w:tcW w:w="2551" w:type="dxa"/>
          </w:tcPr>
          <w:p w14:paraId="29BE8030" w14:textId="77777777" w:rsidR="00981417" w:rsidRDefault="00000000">
            <w:r>
              <w:t>% raportesh vjetore në afat</w:t>
            </w:r>
          </w:p>
        </w:tc>
        <w:tc>
          <w:tcPr>
            <w:tcW w:w="2551" w:type="dxa"/>
          </w:tcPr>
          <w:p w14:paraId="0C4878D9" w14:textId="77777777" w:rsidR="00981417" w:rsidRPr="00B256EB" w:rsidRDefault="00000000">
            <w:pPr>
              <w:rPr>
                <w:lang w:val="pt-BR"/>
              </w:rPr>
            </w:pPr>
            <w:r w:rsidRPr="00B256EB">
              <w:rPr>
                <w:lang w:val="pt-BR"/>
              </w:rPr>
              <w:t>Raporte vjetore të publikuara ≤ 4 muaj nga mbyllja e vitit financiar</w:t>
            </w:r>
          </w:p>
        </w:tc>
        <w:tc>
          <w:tcPr>
            <w:tcW w:w="2551" w:type="dxa"/>
          </w:tcPr>
          <w:p w14:paraId="5350D447" w14:textId="77777777" w:rsidR="00981417" w:rsidRDefault="00000000">
            <w:r>
              <w:t>OAM/portali i depozitimit; kontroll AMF</w:t>
            </w:r>
          </w:p>
        </w:tc>
        <w:tc>
          <w:tcPr>
            <w:tcW w:w="2551" w:type="dxa"/>
          </w:tcPr>
          <w:p w14:paraId="5EEC9184" w14:textId="77777777" w:rsidR="00981417" w:rsidRDefault="00000000">
            <w:r>
              <w:t>Vjetor</w:t>
            </w:r>
          </w:p>
        </w:tc>
      </w:tr>
      <w:tr w:rsidR="00981417" w14:paraId="789871F5" w14:textId="77777777">
        <w:tc>
          <w:tcPr>
            <w:tcW w:w="2551" w:type="dxa"/>
          </w:tcPr>
          <w:p w14:paraId="2D689FE4" w14:textId="77777777" w:rsidR="00981417" w:rsidRDefault="00000000">
            <w:r>
              <w:t>% raportesh gjashtëmujore në afat</w:t>
            </w:r>
          </w:p>
        </w:tc>
        <w:tc>
          <w:tcPr>
            <w:tcW w:w="2551" w:type="dxa"/>
          </w:tcPr>
          <w:p w14:paraId="21CABEC1" w14:textId="77777777" w:rsidR="00981417" w:rsidRDefault="00000000">
            <w:r>
              <w:t>Raporte gjashtëmujore të publikuara ≤ 3 muaj nga mbyllja e periudhës</w:t>
            </w:r>
          </w:p>
        </w:tc>
        <w:tc>
          <w:tcPr>
            <w:tcW w:w="2551" w:type="dxa"/>
          </w:tcPr>
          <w:p w14:paraId="7A04AC2E" w14:textId="77777777" w:rsidR="00981417" w:rsidRDefault="00000000">
            <w:r>
              <w:t>OAM; kontroll AMF</w:t>
            </w:r>
          </w:p>
        </w:tc>
        <w:tc>
          <w:tcPr>
            <w:tcW w:w="2551" w:type="dxa"/>
          </w:tcPr>
          <w:p w14:paraId="204E5826" w14:textId="77777777" w:rsidR="00981417" w:rsidRDefault="00000000">
            <w:r>
              <w:t>Vjetor</w:t>
            </w:r>
          </w:p>
        </w:tc>
      </w:tr>
      <w:tr w:rsidR="00981417" w14:paraId="2AB3F33F" w14:textId="77777777">
        <w:tc>
          <w:tcPr>
            <w:tcW w:w="2551" w:type="dxa"/>
          </w:tcPr>
          <w:p w14:paraId="0B58C123" w14:textId="77777777" w:rsidR="00981417" w:rsidRDefault="00000000">
            <w:r>
              <w:t>% publikimesh të njoftimeve brenda 3 ditëve tregtimi</w:t>
            </w:r>
          </w:p>
        </w:tc>
        <w:tc>
          <w:tcPr>
            <w:tcW w:w="2551" w:type="dxa"/>
          </w:tcPr>
          <w:p w14:paraId="66F61C60" w14:textId="77777777" w:rsidR="00981417" w:rsidRDefault="00000000">
            <w:r>
              <w:t>Njoftime të zotërimeve të mëdha të publikuara nga emetuesi brenda 3 ditëve tregtimi</w:t>
            </w:r>
          </w:p>
        </w:tc>
        <w:tc>
          <w:tcPr>
            <w:tcW w:w="2551" w:type="dxa"/>
          </w:tcPr>
          <w:p w14:paraId="0AAB85B7" w14:textId="77777777" w:rsidR="00981417" w:rsidRDefault="00000000">
            <w:r>
              <w:t>OAM; regjistrat e njoftimeve</w:t>
            </w:r>
          </w:p>
        </w:tc>
        <w:tc>
          <w:tcPr>
            <w:tcW w:w="2551" w:type="dxa"/>
          </w:tcPr>
          <w:p w14:paraId="7135741A" w14:textId="77777777" w:rsidR="00981417" w:rsidRDefault="00000000">
            <w:r>
              <w:t>Gjashtëmujore</w:t>
            </w:r>
          </w:p>
        </w:tc>
      </w:tr>
      <w:tr w:rsidR="00981417" w14:paraId="42858688" w14:textId="77777777">
        <w:tc>
          <w:tcPr>
            <w:tcW w:w="2551" w:type="dxa"/>
          </w:tcPr>
          <w:p w14:paraId="54877DA5" w14:textId="77777777" w:rsidR="00981417" w:rsidRDefault="00000000">
            <w:r>
              <w:t>Numri i njoftimeve për zotërime të mëdha</w:t>
            </w:r>
          </w:p>
        </w:tc>
        <w:tc>
          <w:tcPr>
            <w:tcW w:w="2551" w:type="dxa"/>
          </w:tcPr>
          <w:p w14:paraId="6CEC00E6" w14:textId="77777777" w:rsidR="00981417" w:rsidRDefault="00000000">
            <w:r>
              <w:t>Totali i njoftimeve të pranuara nga emetuesit dhe të depozituara</w:t>
            </w:r>
          </w:p>
        </w:tc>
        <w:tc>
          <w:tcPr>
            <w:tcW w:w="2551" w:type="dxa"/>
          </w:tcPr>
          <w:p w14:paraId="34EB6F37" w14:textId="77777777" w:rsidR="00981417" w:rsidRDefault="00000000">
            <w:r>
              <w:t>OAM; emetuesit</w:t>
            </w:r>
          </w:p>
        </w:tc>
        <w:tc>
          <w:tcPr>
            <w:tcW w:w="2551" w:type="dxa"/>
          </w:tcPr>
          <w:p w14:paraId="47166DF7" w14:textId="77777777" w:rsidR="00981417" w:rsidRDefault="00000000">
            <w:r>
              <w:t>Tremujor</w:t>
            </w:r>
          </w:p>
        </w:tc>
      </w:tr>
      <w:tr w:rsidR="00981417" w14:paraId="5C4F9D3D" w14:textId="77777777">
        <w:tc>
          <w:tcPr>
            <w:tcW w:w="2551" w:type="dxa"/>
          </w:tcPr>
          <w:p w14:paraId="1786D52B" w14:textId="77777777" w:rsidR="00981417" w:rsidRPr="00B256EB" w:rsidRDefault="00000000">
            <w:pPr>
              <w:rPr>
                <w:lang w:val="it-IT"/>
              </w:rPr>
            </w:pPr>
            <w:r w:rsidRPr="00B256EB">
              <w:rPr>
                <w:lang w:val="it-IT"/>
              </w:rPr>
              <w:t>Numri i shkeljeve formale/materiale</w:t>
            </w:r>
          </w:p>
        </w:tc>
        <w:tc>
          <w:tcPr>
            <w:tcW w:w="2551" w:type="dxa"/>
          </w:tcPr>
          <w:p w14:paraId="2AAC8A38" w14:textId="77777777" w:rsidR="00981417" w:rsidRPr="00B256EB" w:rsidRDefault="00000000">
            <w:pPr>
              <w:rPr>
                <w:lang w:val="pt-BR"/>
              </w:rPr>
            </w:pPr>
            <w:r w:rsidRPr="00B256EB">
              <w:rPr>
                <w:lang w:val="pt-BR"/>
              </w:rPr>
              <w:t>Shkelje të konstatuara nga AMF (raportim me vonesë, informacion i paplotë, etj.)</w:t>
            </w:r>
          </w:p>
        </w:tc>
        <w:tc>
          <w:tcPr>
            <w:tcW w:w="2551" w:type="dxa"/>
          </w:tcPr>
          <w:p w14:paraId="383F57A4" w14:textId="77777777" w:rsidR="00981417" w:rsidRDefault="00000000">
            <w:r>
              <w:t>Inspektime AMF; vendime</w:t>
            </w:r>
          </w:p>
        </w:tc>
        <w:tc>
          <w:tcPr>
            <w:tcW w:w="2551" w:type="dxa"/>
          </w:tcPr>
          <w:p w14:paraId="71120B7D" w14:textId="77777777" w:rsidR="00981417" w:rsidRDefault="00000000">
            <w:r>
              <w:t>Vjetor</w:t>
            </w:r>
          </w:p>
        </w:tc>
      </w:tr>
      <w:tr w:rsidR="00981417" w14:paraId="1A843C55" w14:textId="77777777">
        <w:tc>
          <w:tcPr>
            <w:tcW w:w="2551" w:type="dxa"/>
          </w:tcPr>
          <w:p w14:paraId="75501D7A" w14:textId="77777777" w:rsidR="00981417" w:rsidRDefault="00000000">
            <w:r>
              <w:t>Koha mesatare e aksesit në informacion</w:t>
            </w:r>
          </w:p>
        </w:tc>
        <w:tc>
          <w:tcPr>
            <w:tcW w:w="2551" w:type="dxa"/>
          </w:tcPr>
          <w:p w14:paraId="1D87B5E0" w14:textId="77777777" w:rsidR="00981417" w:rsidRDefault="00000000">
            <w:r>
              <w:t>Koha/numri i klikimeve për të gjetur dokumentet në portal</w:t>
            </w:r>
          </w:p>
        </w:tc>
        <w:tc>
          <w:tcPr>
            <w:tcW w:w="2551" w:type="dxa"/>
          </w:tcPr>
          <w:p w14:paraId="7A592338" w14:textId="77777777" w:rsidR="00981417" w:rsidRDefault="00000000">
            <w:r>
              <w:t>Statistika IT (analytics)</w:t>
            </w:r>
          </w:p>
        </w:tc>
        <w:tc>
          <w:tcPr>
            <w:tcW w:w="2551" w:type="dxa"/>
          </w:tcPr>
          <w:p w14:paraId="48A91B2C" w14:textId="77777777" w:rsidR="00981417" w:rsidRDefault="00000000">
            <w:r>
              <w:t>Vjetor</w:t>
            </w:r>
          </w:p>
        </w:tc>
      </w:tr>
    </w:tbl>
    <w:p w14:paraId="5E0B3815" w14:textId="39486D01" w:rsidR="00981417" w:rsidRPr="00B256EB" w:rsidRDefault="00000000" w:rsidP="00F774CD">
      <w:pPr>
        <w:jc w:val="both"/>
        <w:rPr>
          <w:lang w:val="de-DE"/>
        </w:rPr>
      </w:pPr>
      <w:r>
        <w:t xml:space="preserve">Metodologjia e përmbledhur e përllogaritjeve ekonomike (për shtojcat 2/a dhe 2/b). Analiza monetare është kryer si analizë inkrementale kundrejt status quo-së dhe është bazuar në: (i) identifikimin e aktiviteteve kryesore të pajtueshmërisë dhe kategorive të kostove/përfitimeve; (ii) shpërndarjen e tyre në kohë (kosto një herë dhe kosto të vazhdueshme) në horizont 10‑vjeçar; (iii) zbritjen (diskontimin) me normë r = 5% në vit. </w:t>
      </w:r>
      <w:r w:rsidRPr="00B256EB">
        <w:rPr>
          <w:lang w:val="de-DE"/>
        </w:rPr>
        <w:t xml:space="preserve">Faktori zbritës për vitin t është: DF(t)=1/(1+r)^(t−1). Vlera aktuale (PV) llogaritet si shuma e vlerave të diskontuara: PV = </w:t>
      </w:r>
      <w:r>
        <w:t>Σ</w:t>
      </w:r>
      <w:r w:rsidRPr="00B256EB">
        <w:rPr>
          <w:lang w:val="de-DE"/>
        </w:rPr>
        <w:t xml:space="preserve"> [Vlera(t)×DF(t)]. Vlera aktuale neto (VAN/NPV) = PV(Përfitime) − PV(Kosto). </w:t>
      </w:r>
    </w:p>
    <w:p w14:paraId="6F736819" w14:textId="77777777" w:rsidR="00981417" w:rsidRPr="00B256EB" w:rsidRDefault="00981417" w:rsidP="00F774CD">
      <w:pPr>
        <w:jc w:val="both"/>
        <w:rPr>
          <w:lang w:val="de-DE"/>
        </w:rPr>
        <w:sectPr w:rsidR="00981417" w:rsidRPr="00B256EB">
          <w:footerReference w:type="default" r:id="rId10"/>
          <w:pgSz w:w="11906" w:h="16838"/>
          <w:pgMar w:top="680" w:right="850" w:bottom="680" w:left="850" w:header="720" w:footer="720" w:gutter="0"/>
          <w:cols w:space="720"/>
          <w:docGrid w:linePitch="360"/>
        </w:sectPr>
      </w:pPr>
    </w:p>
    <w:p w14:paraId="396D8B8E" w14:textId="77777777" w:rsidR="00981417" w:rsidRPr="00767C74" w:rsidRDefault="00000000" w:rsidP="00F774CD">
      <w:pPr>
        <w:jc w:val="both"/>
        <w:rPr>
          <w:sz w:val="24"/>
          <w:szCs w:val="24"/>
          <w:lang w:val="de-DE"/>
        </w:rPr>
      </w:pPr>
      <w:r w:rsidRPr="00767C74">
        <w:rPr>
          <w:sz w:val="24"/>
          <w:szCs w:val="24"/>
          <w:lang w:val="de-DE"/>
        </w:rPr>
        <w:lastRenderedPageBreak/>
        <w:t>Shembull përllogaritjeje (ilustrues). Nëse kostoja totale në vitin 2 është 5.6 mln lek dhe DF(2)=0.95, atëherë kostoja e zbritur në vitin 2 është 5.6×0.95=5.32 mln lek (e rrumbullakosur 5.33). E njëjta logjikë zbatohet për çdo rresht të tabelës dhe për çdo vit, dhe më pas mblidhen vlerat e zbritura për të marrë PV.</w:t>
      </w:r>
    </w:p>
    <w:p w14:paraId="3A8FA5D2" w14:textId="77777777" w:rsidR="00981417" w:rsidRPr="00767C74" w:rsidRDefault="00000000" w:rsidP="00F774CD">
      <w:pPr>
        <w:jc w:val="both"/>
        <w:rPr>
          <w:sz w:val="24"/>
          <w:szCs w:val="24"/>
          <w:lang w:val="de-DE"/>
        </w:rPr>
      </w:pPr>
      <w:r w:rsidRPr="00767C74">
        <w:rPr>
          <w:sz w:val="24"/>
          <w:szCs w:val="24"/>
          <w:lang w:val="de-DE"/>
        </w:rPr>
        <w:t>Supozimet bazë të modelit. Për opsionin e preferuar (Opsioni 2), kostot për bizneset përfshijnë: (i) kosto një herë në vitin 1 për përshtatje procedurash/organizimi dhe publikimi; (ii) kosto të vazhdueshme vjetore për raportim, publikim dhe ruajtje; (iii) kosto një herë në vitin 3 të lidhura me përgatitjen për ESEF (në prag të afatit 1 janar 2028). Përfitimet monetare janë vlerësuar në mënyrë konservatore si kursime kohe/kërkimi informacioni dhe ulje e kostove të transaksionit për investitorët dhe subjektet e tregut. Përfitimet strukturore (besimi, integriteti, akses në kapital) janë trajtuar kryesisht në mënyrë cilësore.</w:t>
      </w:r>
    </w:p>
    <w:p w14:paraId="33D93DF6" w14:textId="77777777" w:rsidR="00981417" w:rsidRPr="00767C74" w:rsidRDefault="00000000" w:rsidP="00F774CD">
      <w:pPr>
        <w:jc w:val="both"/>
        <w:rPr>
          <w:sz w:val="24"/>
          <w:szCs w:val="24"/>
          <w:lang w:val="de-DE"/>
        </w:rPr>
      </w:pPr>
      <w:r w:rsidRPr="00767C74">
        <w:rPr>
          <w:sz w:val="24"/>
          <w:szCs w:val="24"/>
          <w:lang w:val="de-DE"/>
        </w:rPr>
        <w:t>Opsioni 1 (ndërhyrja e pjesshme) është vlerësuar me të njëjtën metodologji, por me intensitet më të ulët të detyrimeve dhe pa komponentët teknikë të plotë (p.sh. ESEF/ruajtja e standardizuar në nivelin e opsionit 2), duke rezultuar në kosto dhe përfitime më të ulëta se opsioni 2.</w:t>
      </w:r>
    </w:p>
    <w:p w14:paraId="302AC396" w14:textId="77777777" w:rsidR="00981417" w:rsidRPr="00B256EB" w:rsidRDefault="00000000">
      <w:pPr>
        <w:rPr>
          <w:lang w:val="it-IT"/>
        </w:rPr>
      </w:pPr>
      <w:r w:rsidRPr="00B256EB">
        <w:rPr>
          <w:b/>
          <w:sz w:val="24"/>
          <w:lang w:val="it-IT"/>
        </w:rPr>
        <w:t>Raporti i vlerësimit të ndikimit - Shtojca 2/a</w:t>
      </w:r>
    </w:p>
    <w:p w14:paraId="739E1453" w14:textId="77777777" w:rsidR="00981417" w:rsidRPr="00B256EB" w:rsidRDefault="00000000">
      <w:pPr>
        <w:rPr>
          <w:lang w:val="it-IT"/>
        </w:rPr>
      </w:pPr>
      <w:r w:rsidRPr="00B256EB">
        <w:rPr>
          <w:b/>
          <w:i/>
          <w:lang w:val="it-IT"/>
        </w:rPr>
        <w:t>Tabela: Vlera aktuale neto në total (VAN) - kostot dhe përfitimet me vlerë monetare të përcaktuar në milionë lekë e zbritur për 10 vjet (vlera aktuale e kostos dhe vlera aktuale e përfitimit), krahasuar me status quo-në.</w:t>
      </w:r>
    </w:p>
    <w:tbl>
      <w:tblPr>
        <w:tblStyle w:val="TableGrid"/>
        <w:tblW w:w="0" w:type="auto"/>
        <w:jc w:val="center"/>
        <w:tblLook w:val="04A0" w:firstRow="1" w:lastRow="0" w:firstColumn="1" w:lastColumn="0" w:noHBand="0" w:noVBand="1"/>
      </w:tblPr>
      <w:tblGrid>
        <w:gridCol w:w="3007"/>
        <w:gridCol w:w="1284"/>
        <w:gridCol w:w="1267"/>
        <w:gridCol w:w="1267"/>
        <w:gridCol w:w="1267"/>
        <w:gridCol w:w="1267"/>
        <w:gridCol w:w="1267"/>
        <w:gridCol w:w="1267"/>
        <w:gridCol w:w="1267"/>
        <w:gridCol w:w="1267"/>
        <w:gridCol w:w="1267"/>
      </w:tblGrid>
      <w:tr w:rsidR="00981417" w14:paraId="52C41E77" w14:textId="77777777">
        <w:trPr>
          <w:jc w:val="center"/>
        </w:trPr>
        <w:tc>
          <w:tcPr>
            <w:tcW w:w="3384" w:type="dxa"/>
            <w:shd w:val="clear" w:color="auto" w:fill="D9D9D9"/>
          </w:tcPr>
          <w:p w14:paraId="127EB542" w14:textId="77777777" w:rsidR="00981417" w:rsidRPr="00B256EB" w:rsidRDefault="00981417">
            <w:pPr>
              <w:rPr>
                <w:lang w:val="it-IT"/>
              </w:rPr>
            </w:pPr>
          </w:p>
        </w:tc>
        <w:tc>
          <w:tcPr>
            <w:tcW w:w="1051" w:type="dxa"/>
            <w:shd w:val="clear" w:color="auto" w:fill="D9D9D9"/>
          </w:tcPr>
          <w:p w14:paraId="21FC5741" w14:textId="77777777" w:rsidR="00981417" w:rsidRDefault="00000000">
            <w:pPr>
              <w:jc w:val="center"/>
            </w:pPr>
            <w:r>
              <w:rPr>
                <w:b/>
                <w:sz w:val="21"/>
              </w:rPr>
              <w:t>Viti 1</w:t>
            </w:r>
          </w:p>
        </w:tc>
        <w:tc>
          <w:tcPr>
            <w:tcW w:w="1051" w:type="dxa"/>
            <w:shd w:val="clear" w:color="auto" w:fill="D9D9D9"/>
          </w:tcPr>
          <w:p w14:paraId="68AC2DE1" w14:textId="77777777" w:rsidR="00981417" w:rsidRDefault="00000000">
            <w:pPr>
              <w:jc w:val="center"/>
            </w:pPr>
            <w:r>
              <w:rPr>
                <w:b/>
                <w:sz w:val="21"/>
              </w:rPr>
              <w:t>Viti 2</w:t>
            </w:r>
          </w:p>
        </w:tc>
        <w:tc>
          <w:tcPr>
            <w:tcW w:w="1051" w:type="dxa"/>
            <w:shd w:val="clear" w:color="auto" w:fill="D9D9D9"/>
          </w:tcPr>
          <w:p w14:paraId="306905B4" w14:textId="77777777" w:rsidR="00981417" w:rsidRDefault="00000000">
            <w:pPr>
              <w:jc w:val="center"/>
            </w:pPr>
            <w:r>
              <w:rPr>
                <w:b/>
                <w:sz w:val="21"/>
              </w:rPr>
              <w:t>Viti 3</w:t>
            </w:r>
          </w:p>
        </w:tc>
        <w:tc>
          <w:tcPr>
            <w:tcW w:w="1051" w:type="dxa"/>
            <w:shd w:val="clear" w:color="auto" w:fill="D9D9D9"/>
          </w:tcPr>
          <w:p w14:paraId="480C929F" w14:textId="77777777" w:rsidR="00981417" w:rsidRDefault="00000000">
            <w:pPr>
              <w:jc w:val="center"/>
            </w:pPr>
            <w:r>
              <w:rPr>
                <w:b/>
                <w:sz w:val="21"/>
              </w:rPr>
              <w:t>Viti 4</w:t>
            </w:r>
          </w:p>
        </w:tc>
        <w:tc>
          <w:tcPr>
            <w:tcW w:w="1051" w:type="dxa"/>
            <w:shd w:val="clear" w:color="auto" w:fill="D9D9D9"/>
          </w:tcPr>
          <w:p w14:paraId="2561BB80" w14:textId="77777777" w:rsidR="00981417" w:rsidRDefault="00000000">
            <w:pPr>
              <w:jc w:val="center"/>
            </w:pPr>
            <w:r>
              <w:rPr>
                <w:b/>
                <w:sz w:val="21"/>
              </w:rPr>
              <w:t>Viti 5</w:t>
            </w:r>
          </w:p>
        </w:tc>
        <w:tc>
          <w:tcPr>
            <w:tcW w:w="1051" w:type="dxa"/>
            <w:shd w:val="clear" w:color="auto" w:fill="D9D9D9"/>
          </w:tcPr>
          <w:p w14:paraId="3162D9E5" w14:textId="77777777" w:rsidR="00981417" w:rsidRDefault="00000000">
            <w:pPr>
              <w:jc w:val="center"/>
            </w:pPr>
            <w:r>
              <w:rPr>
                <w:b/>
                <w:sz w:val="21"/>
              </w:rPr>
              <w:t>Viti 6</w:t>
            </w:r>
          </w:p>
        </w:tc>
        <w:tc>
          <w:tcPr>
            <w:tcW w:w="1051" w:type="dxa"/>
            <w:shd w:val="clear" w:color="auto" w:fill="D9D9D9"/>
          </w:tcPr>
          <w:p w14:paraId="384DE91A" w14:textId="77777777" w:rsidR="00981417" w:rsidRDefault="00000000">
            <w:pPr>
              <w:jc w:val="center"/>
            </w:pPr>
            <w:r>
              <w:rPr>
                <w:b/>
                <w:sz w:val="21"/>
              </w:rPr>
              <w:t>Viti 7</w:t>
            </w:r>
          </w:p>
        </w:tc>
        <w:tc>
          <w:tcPr>
            <w:tcW w:w="1051" w:type="dxa"/>
            <w:shd w:val="clear" w:color="auto" w:fill="D9D9D9"/>
          </w:tcPr>
          <w:p w14:paraId="1FF46C27" w14:textId="77777777" w:rsidR="00981417" w:rsidRDefault="00000000">
            <w:pPr>
              <w:jc w:val="center"/>
            </w:pPr>
            <w:r>
              <w:rPr>
                <w:b/>
                <w:sz w:val="21"/>
              </w:rPr>
              <w:t>Viti 8</w:t>
            </w:r>
          </w:p>
        </w:tc>
        <w:tc>
          <w:tcPr>
            <w:tcW w:w="1051" w:type="dxa"/>
            <w:shd w:val="clear" w:color="auto" w:fill="D9D9D9"/>
          </w:tcPr>
          <w:p w14:paraId="7EE5E89C" w14:textId="77777777" w:rsidR="00981417" w:rsidRDefault="00000000">
            <w:pPr>
              <w:jc w:val="center"/>
            </w:pPr>
            <w:r>
              <w:rPr>
                <w:b/>
                <w:sz w:val="21"/>
              </w:rPr>
              <w:t>Viti 9</w:t>
            </w:r>
          </w:p>
        </w:tc>
        <w:tc>
          <w:tcPr>
            <w:tcW w:w="1051" w:type="dxa"/>
            <w:shd w:val="clear" w:color="auto" w:fill="D9D9D9"/>
          </w:tcPr>
          <w:p w14:paraId="55199DB5" w14:textId="77777777" w:rsidR="00981417" w:rsidRDefault="00000000">
            <w:pPr>
              <w:jc w:val="center"/>
            </w:pPr>
            <w:r>
              <w:rPr>
                <w:b/>
                <w:sz w:val="21"/>
              </w:rPr>
              <w:t>Viti 10</w:t>
            </w:r>
          </w:p>
        </w:tc>
      </w:tr>
      <w:tr w:rsidR="00981417" w14:paraId="77D1B8EA" w14:textId="77777777">
        <w:trPr>
          <w:jc w:val="center"/>
        </w:trPr>
        <w:tc>
          <w:tcPr>
            <w:tcW w:w="1407" w:type="dxa"/>
          </w:tcPr>
          <w:p w14:paraId="48D1A2C8" w14:textId="77777777" w:rsidR="00981417" w:rsidRDefault="00000000">
            <w:r>
              <w:rPr>
                <w:sz w:val="20"/>
              </w:rPr>
              <w:t>Faktori zbritës</w:t>
            </w:r>
          </w:p>
        </w:tc>
        <w:tc>
          <w:tcPr>
            <w:tcW w:w="1407" w:type="dxa"/>
          </w:tcPr>
          <w:p w14:paraId="2D5EAD8C" w14:textId="77777777" w:rsidR="00981417" w:rsidRDefault="00000000">
            <w:pPr>
              <w:jc w:val="center"/>
            </w:pPr>
            <w:r>
              <w:rPr>
                <w:sz w:val="20"/>
              </w:rPr>
              <w:t>1.00</w:t>
            </w:r>
          </w:p>
        </w:tc>
        <w:tc>
          <w:tcPr>
            <w:tcW w:w="1407" w:type="dxa"/>
          </w:tcPr>
          <w:p w14:paraId="24349400" w14:textId="77777777" w:rsidR="00981417" w:rsidRDefault="00000000">
            <w:pPr>
              <w:jc w:val="center"/>
            </w:pPr>
            <w:r>
              <w:rPr>
                <w:sz w:val="20"/>
              </w:rPr>
              <w:t>0.95</w:t>
            </w:r>
          </w:p>
        </w:tc>
        <w:tc>
          <w:tcPr>
            <w:tcW w:w="1407" w:type="dxa"/>
          </w:tcPr>
          <w:p w14:paraId="101E8A10" w14:textId="77777777" w:rsidR="00981417" w:rsidRDefault="00000000">
            <w:pPr>
              <w:jc w:val="center"/>
            </w:pPr>
            <w:r>
              <w:rPr>
                <w:sz w:val="20"/>
              </w:rPr>
              <w:t>0.91</w:t>
            </w:r>
          </w:p>
        </w:tc>
        <w:tc>
          <w:tcPr>
            <w:tcW w:w="1407" w:type="dxa"/>
          </w:tcPr>
          <w:p w14:paraId="7EA334EA" w14:textId="77777777" w:rsidR="00981417" w:rsidRDefault="00000000">
            <w:pPr>
              <w:jc w:val="center"/>
            </w:pPr>
            <w:r>
              <w:rPr>
                <w:sz w:val="20"/>
              </w:rPr>
              <w:t>0.87</w:t>
            </w:r>
          </w:p>
        </w:tc>
        <w:tc>
          <w:tcPr>
            <w:tcW w:w="1407" w:type="dxa"/>
          </w:tcPr>
          <w:p w14:paraId="5632028C" w14:textId="77777777" w:rsidR="00981417" w:rsidRDefault="00000000">
            <w:pPr>
              <w:jc w:val="center"/>
            </w:pPr>
            <w:r>
              <w:rPr>
                <w:sz w:val="20"/>
              </w:rPr>
              <w:t>0.82</w:t>
            </w:r>
          </w:p>
        </w:tc>
        <w:tc>
          <w:tcPr>
            <w:tcW w:w="1407" w:type="dxa"/>
          </w:tcPr>
          <w:p w14:paraId="57989358" w14:textId="77777777" w:rsidR="00981417" w:rsidRDefault="00000000">
            <w:pPr>
              <w:jc w:val="center"/>
            </w:pPr>
            <w:r>
              <w:rPr>
                <w:sz w:val="20"/>
              </w:rPr>
              <w:t>0.79</w:t>
            </w:r>
          </w:p>
        </w:tc>
        <w:tc>
          <w:tcPr>
            <w:tcW w:w="1407" w:type="dxa"/>
          </w:tcPr>
          <w:p w14:paraId="135972AF" w14:textId="77777777" w:rsidR="00981417" w:rsidRDefault="00000000">
            <w:pPr>
              <w:jc w:val="center"/>
            </w:pPr>
            <w:r>
              <w:rPr>
                <w:sz w:val="20"/>
              </w:rPr>
              <w:t>0.75</w:t>
            </w:r>
          </w:p>
        </w:tc>
        <w:tc>
          <w:tcPr>
            <w:tcW w:w="1407" w:type="dxa"/>
          </w:tcPr>
          <w:p w14:paraId="699163A3" w14:textId="77777777" w:rsidR="00981417" w:rsidRDefault="00000000">
            <w:pPr>
              <w:jc w:val="center"/>
            </w:pPr>
            <w:r>
              <w:rPr>
                <w:sz w:val="20"/>
              </w:rPr>
              <w:t>0.71</w:t>
            </w:r>
          </w:p>
        </w:tc>
        <w:tc>
          <w:tcPr>
            <w:tcW w:w="1407" w:type="dxa"/>
          </w:tcPr>
          <w:p w14:paraId="09A849AC" w14:textId="77777777" w:rsidR="00981417" w:rsidRDefault="00000000">
            <w:pPr>
              <w:jc w:val="center"/>
            </w:pPr>
            <w:r>
              <w:rPr>
                <w:sz w:val="20"/>
              </w:rPr>
              <w:t>0.68</w:t>
            </w:r>
          </w:p>
        </w:tc>
        <w:tc>
          <w:tcPr>
            <w:tcW w:w="1407" w:type="dxa"/>
          </w:tcPr>
          <w:p w14:paraId="181EFCB7" w14:textId="77777777" w:rsidR="00981417" w:rsidRDefault="00000000">
            <w:pPr>
              <w:jc w:val="center"/>
            </w:pPr>
            <w:r>
              <w:rPr>
                <w:sz w:val="20"/>
              </w:rPr>
              <w:t>0.65</w:t>
            </w:r>
          </w:p>
        </w:tc>
      </w:tr>
      <w:tr w:rsidR="00981417" w14:paraId="5D2D9579" w14:textId="77777777">
        <w:trPr>
          <w:jc w:val="center"/>
        </w:trPr>
        <w:tc>
          <w:tcPr>
            <w:tcW w:w="1407" w:type="dxa"/>
          </w:tcPr>
          <w:p w14:paraId="43AFF14D" w14:textId="77777777" w:rsidR="00981417" w:rsidRDefault="00000000">
            <w:r>
              <w:rPr>
                <w:sz w:val="20"/>
              </w:rPr>
              <w:t>Kosto për buxhetin - një herë</w:t>
            </w:r>
          </w:p>
        </w:tc>
        <w:tc>
          <w:tcPr>
            <w:tcW w:w="1407" w:type="dxa"/>
          </w:tcPr>
          <w:p w14:paraId="4FC90065" w14:textId="77777777" w:rsidR="00981417" w:rsidRDefault="00000000">
            <w:pPr>
              <w:jc w:val="center"/>
            </w:pPr>
            <w:r>
              <w:rPr>
                <w:sz w:val="20"/>
              </w:rPr>
              <w:t>0.00</w:t>
            </w:r>
          </w:p>
        </w:tc>
        <w:tc>
          <w:tcPr>
            <w:tcW w:w="1407" w:type="dxa"/>
          </w:tcPr>
          <w:p w14:paraId="6D211255" w14:textId="77777777" w:rsidR="00981417" w:rsidRDefault="00000000">
            <w:pPr>
              <w:jc w:val="center"/>
            </w:pPr>
            <w:r>
              <w:rPr>
                <w:sz w:val="20"/>
              </w:rPr>
              <w:t>0.00</w:t>
            </w:r>
          </w:p>
        </w:tc>
        <w:tc>
          <w:tcPr>
            <w:tcW w:w="1407" w:type="dxa"/>
          </w:tcPr>
          <w:p w14:paraId="28C93972" w14:textId="77777777" w:rsidR="00981417" w:rsidRDefault="00000000">
            <w:pPr>
              <w:jc w:val="center"/>
            </w:pPr>
            <w:r>
              <w:rPr>
                <w:sz w:val="20"/>
              </w:rPr>
              <w:t>0.00</w:t>
            </w:r>
          </w:p>
        </w:tc>
        <w:tc>
          <w:tcPr>
            <w:tcW w:w="1407" w:type="dxa"/>
          </w:tcPr>
          <w:p w14:paraId="4AAD99EA" w14:textId="77777777" w:rsidR="00981417" w:rsidRDefault="00000000">
            <w:pPr>
              <w:jc w:val="center"/>
            </w:pPr>
            <w:r>
              <w:rPr>
                <w:sz w:val="20"/>
              </w:rPr>
              <w:t>0.00</w:t>
            </w:r>
          </w:p>
        </w:tc>
        <w:tc>
          <w:tcPr>
            <w:tcW w:w="1407" w:type="dxa"/>
          </w:tcPr>
          <w:p w14:paraId="00F67523" w14:textId="77777777" w:rsidR="00981417" w:rsidRDefault="00000000">
            <w:pPr>
              <w:jc w:val="center"/>
            </w:pPr>
            <w:r>
              <w:rPr>
                <w:sz w:val="20"/>
              </w:rPr>
              <w:t>0.00</w:t>
            </w:r>
          </w:p>
        </w:tc>
        <w:tc>
          <w:tcPr>
            <w:tcW w:w="1407" w:type="dxa"/>
          </w:tcPr>
          <w:p w14:paraId="09F86C00" w14:textId="77777777" w:rsidR="00981417" w:rsidRDefault="00000000">
            <w:pPr>
              <w:jc w:val="center"/>
            </w:pPr>
            <w:r>
              <w:rPr>
                <w:sz w:val="20"/>
              </w:rPr>
              <w:t>0.00</w:t>
            </w:r>
          </w:p>
        </w:tc>
        <w:tc>
          <w:tcPr>
            <w:tcW w:w="1407" w:type="dxa"/>
          </w:tcPr>
          <w:p w14:paraId="1A53FCE4" w14:textId="77777777" w:rsidR="00981417" w:rsidRDefault="00000000">
            <w:pPr>
              <w:jc w:val="center"/>
            </w:pPr>
            <w:r>
              <w:rPr>
                <w:sz w:val="20"/>
              </w:rPr>
              <w:t>0.00</w:t>
            </w:r>
          </w:p>
        </w:tc>
        <w:tc>
          <w:tcPr>
            <w:tcW w:w="1407" w:type="dxa"/>
          </w:tcPr>
          <w:p w14:paraId="23198159" w14:textId="77777777" w:rsidR="00981417" w:rsidRDefault="00000000">
            <w:pPr>
              <w:jc w:val="center"/>
            </w:pPr>
            <w:r>
              <w:rPr>
                <w:sz w:val="20"/>
              </w:rPr>
              <w:t>0.00</w:t>
            </w:r>
          </w:p>
        </w:tc>
        <w:tc>
          <w:tcPr>
            <w:tcW w:w="1407" w:type="dxa"/>
          </w:tcPr>
          <w:p w14:paraId="2483EC3E" w14:textId="77777777" w:rsidR="00981417" w:rsidRDefault="00000000">
            <w:pPr>
              <w:jc w:val="center"/>
            </w:pPr>
            <w:r>
              <w:rPr>
                <w:sz w:val="20"/>
              </w:rPr>
              <w:t>0.00</w:t>
            </w:r>
          </w:p>
        </w:tc>
        <w:tc>
          <w:tcPr>
            <w:tcW w:w="1407" w:type="dxa"/>
          </w:tcPr>
          <w:p w14:paraId="740ACB7E" w14:textId="77777777" w:rsidR="00981417" w:rsidRDefault="00000000">
            <w:pPr>
              <w:jc w:val="center"/>
            </w:pPr>
            <w:r>
              <w:rPr>
                <w:sz w:val="20"/>
              </w:rPr>
              <w:t>0.00</w:t>
            </w:r>
          </w:p>
        </w:tc>
      </w:tr>
      <w:tr w:rsidR="00981417" w14:paraId="5B2F72E7" w14:textId="77777777">
        <w:trPr>
          <w:jc w:val="center"/>
        </w:trPr>
        <w:tc>
          <w:tcPr>
            <w:tcW w:w="1407" w:type="dxa"/>
          </w:tcPr>
          <w:p w14:paraId="38CC2C62" w14:textId="77777777" w:rsidR="00981417" w:rsidRDefault="00000000">
            <w:r>
              <w:rPr>
                <w:sz w:val="20"/>
              </w:rPr>
              <w:t>Kosto për buxhetin - në vazhdimësi</w:t>
            </w:r>
          </w:p>
        </w:tc>
        <w:tc>
          <w:tcPr>
            <w:tcW w:w="1407" w:type="dxa"/>
          </w:tcPr>
          <w:p w14:paraId="0BCF74E3" w14:textId="77777777" w:rsidR="00981417" w:rsidRDefault="00000000">
            <w:pPr>
              <w:jc w:val="center"/>
            </w:pPr>
            <w:r>
              <w:rPr>
                <w:sz w:val="20"/>
              </w:rPr>
              <w:t>0.00</w:t>
            </w:r>
          </w:p>
        </w:tc>
        <w:tc>
          <w:tcPr>
            <w:tcW w:w="1407" w:type="dxa"/>
          </w:tcPr>
          <w:p w14:paraId="30C3CE4E" w14:textId="77777777" w:rsidR="00981417" w:rsidRDefault="00000000">
            <w:pPr>
              <w:jc w:val="center"/>
            </w:pPr>
            <w:r>
              <w:rPr>
                <w:sz w:val="20"/>
              </w:rPr>
              <w:t>0.00</w:t>
            </w:r>
          </w:p>
        </w:tc>
        <w:tc>
          <w:tcPr>
            <w:tcW w:w="1407" w:type="dxa"/>
          </w:tcPr>
          <w:p w14:paraId="62CE55C2" w14:textId="77777777" w:rsidR="00981417" w:rsidRDefault="00000000">
            <w:pPr>
              <w:jc w:val="center"/>
            </w:pPr>
            <w:r>
              <w:rPr>
                <w:sz w:val="20"/>
              </w:rPr>
              <w:t>0.00</w:t>
            </w:r>
          </w:p>
        </w:tc>
        <w:tc>
          <w:tcPr>
            <w:tcW w:w="1407" w:type="dxa"/>
          </w:tcPr>
          <w:p w14:paraId="20BCE1FF" w14:textId="77777777" w:rsidR="00981417" w:rsidRDefault="00000000">
            <w:pPr>
              <w:jc w:val="center"/>
            </w:pPr>
            <w:r>
              <w:rPr>
                <w:sz w:val="20"/>
              </w:rPr>
              <w:t>0.00</w:t>
            </w:r>
          </w:p>
        </w:tc>
        <w:tc>
          <w:tcPr>
            <w:tcW w:w="1407" w:type="dxa"/>
          </w:tcPr>
          <w:p w14:paraId="0936CA68" w14:textId="77777777" w:rsidR="00981417" w:rsidRDefault="00000000">
            <w:pPr>
              <w:jc w:val="center"/>
            </w:pPr>
            <w:r>
              <w:rPr>
                <w:sz w:val="20"/>
              </w:rPr>
              <w:t>0.00</w:t>
            </w:r>
          </w:p>
        </w:tc>
        <w:tc>
          <w:tcPr>
            <w:tcW w:w="1407" w:type="dxa"/>
          </w:tcPr>
          <w:p w14:paraId="15FFB84C" w14:textId="77777777" w:rsidR="00981417" w:rsidRDefault="00000000">
            <w:pPr>
              <w:jc w:val="center"/>
            </w:pPr>
            <w:r>
              <w:rPr>
                <w:sz w:val="20"/>
              </w:rPr>
              <w:t>0.00</w:t>
            </w:r>
          </w:p>
        </w:tc>
        <w:tc>
          <w:tcPr>
            <w:tcW w:w="1407" w:type="dxa"/>
          </w:tcPr>
          <w:p w14:paraId="0E4DFE26" w14:textId="77777777" w:rsidR="00981417" w:rsidRDefault="00000000">
            <w:pPr>
              <w:jc w:val="center"/>
            </w:pPr>
            <w:r>
              <w:rPr>
                <w:sz w:val="20"/>
              </w:rPr>
              <w:t>0.00</w:t>
            </w:r>
          </w:p>
        </w:tc>
        <w:tc>
          <w:tcPr>
            <w:tcW w:w="1407" w:type="dxa"/>
          </w:tcPr>
          <w:p w14:paraId="611BB6AB" w14:textId="77777777" w:rsidR="00981417" w:rsidRDefault="00000000">
            <w:pPr>
              <w:jc w:val="center"/>
            </w:pPr>
            <w:r>
              <w:rPr>
                <w:sz w:val="20"/>
              </w:rPr>
              <w:t>0.00</w:t>
            </w:r>
          </w:p>
        </w:tc>
        <w:tc>
          <w:tcPr>
            <w:tcW w:w="1407" w:type="dxa"/>
          </w:tcPr>
          <w:p w14:paraId="7F3BA72B" w14:textId="77777777" w:rsidR="00981417" w:rsidRDefault="00000000">
            <w:pPr>
              <w:jc w:val="center"/>
            </w:pPr>
            <w:r>
              <w:rPr>
                <w:sz w:val="20"/>
              </w:rPr>
              <w:t>0.00</w:t>
            </w:r>
          </w:p>
        </w:tc>
        <w:tc>
          <w:tcPr>
            <w:tcW w:w="1407" w:type="dxa"/>
          </w:tcPr>
          <w:p w14:paraId="2E890FCA" w14:textId="77777777" w:rsidR="00981417" w:rsidRDefault="00000000">
            <w:pPr>
              <w:jc w:val="center"/>
            </w:pPr>
            <w:r>
              <w:rPr>
                <w:sz w:val="20"/>
              </w:rPr>
              <w:t>0.00</w:t>
            </w:r>
          </w:p>
        </w:tc>
      </w:tr>
      <w:tr w:rsidR="00981417" w14:paraId="35446D04" w14:textId="77777777">
        <w:trPr>
          <w:jc w:val="center"/>
        </w:trPr>
        <w:tc>
          <w:tcPr>
            <w:tcW w:w="1407" w:type="dxa"/>
          </w:tcPr>
          <w:p w14:paraId="4657DC70" w14:textId="77777777" w:rsidR="00981417" w:rsidRDefault="00000000">
            <w:r>
              <w:rPr>
                <w:sz w:val="20"/>
              </w:rPr>
              <w:t>Kosto për bizneset - një herë</w:t>
            </w:r>
          </w:p>
        </w:tc>
        <w:tc>
          <w:tcPr>
            <w:tcW w:w="1407" w:type="dxa"/>
          </w:tcPr>
          <w:p w14:paraId="33B08A55" w14:textId="77777777" w:rsidR="00981417" w:rsidRDefault="00000000">
            <w:pPr>
              <w:jc w:val="center"/>
            </w:pPr>
            <w:r>
              <w:rPr>
                <w:sz w:val="20"/>
              </w:rPr>
              <w:t>6.00</w:t>
            </w:r>
          </w:p>
        </w:tc>
        <w:tc>
          <w:tcPr>
            <w:tcW w:w="1407" w:type="dxa"/>
          </w:tcPr>
          <w:p w14:paraId="16B7A9F6" w14:textId="77777777" w:rsidR="00981417" w:rsidRDefault="00000000">
            <w:pPr>
              <w:jc w:val="center"/>
            </w:pPr>
            <w:r>
              <w:rPr>
                <w:sz w:val="20"/>
              </w:rPr>
              <w:t>0.00</w:t>
            </w:r>
          </w:p>
        </w:tc>
        <w:tc>
          <w:tcPr>
            <w:tcW w:w="1407" w:type="dxa"/>
          </w:tcPr>
          <w:p w14:paraId="1EFFF5FF" w14:textId="77777777" w:rsidR="00981417" w:rsidRDefault="00000000">
            <w:pPr>
              <w:jc w:val="center"/>
            </w:pPr>
            <w:r>
              <w:rPr>
                <w:sz w:val="20"/>
              </w:rPr>
              <w:t>3.20</w:t>
            </w:r>
          </w:p>
        </w:tc>
        <w:tc>
          <w:tcPr>
            <w:tcW w:w="1407" w:type="dxa"/>
          </w:tcPr>
          <w:p w14:paraId="5C8CF0E1" w14:textId="77777777" w:rsidR="00981417" w:rsidRDefault="00000000">
            <w:pPr>
              <w:jc w:val="center"/>
            </w:pPr>
            <w:r>
              <w:rPr>
                <w:sz w:val="20"/>
              </w:rPr>
              <w:t>0.00</w:t>
            </w:r>
          </w:p>
        </w:tc>
        <w:tc>
          <w:tcPr>
            <w:tcW w:w="1407" w:type="dxa"/>
          </w:tcPr>
          <w:p w14:paraId="2601DF40" w14:textId="77777777" w:rsidR="00981417" w:rsidRDefault="00000000">
            <w:pPr>
              <w:jc w:val="center"/>
            </w:pPr>
            <w:r>
              <w:rPr>
                <w:sz w:val="20"/>
              </w:rPr>
              <w:t>0.00</w:t>
            </w:r>
          </w:p>
        </w:tc>
        <w:tc>
          <w:tcPr>
            <w:tcW w:w="1407" w:type="dxa"/>
          </w:tcPr>
          <w:p w14:paraId="30DE693A" w14:textId="77777777" w:rsidR="00981417" w:rsidRDefault="00000000">
            <w:pPr>
              <w:jc w:val="center"/>
            </w:pPr>
            <w:r>
              <w:rPr>
                <w:sz w:val="20"/>
              </w:rPr>
              <w:t>0.00</w:t>
            </w:r>
          </w:p>
        </w:tc>
        <w:tc>
          <w:tcPr>
            <w:tcW w:w="1407" w:type="dxa"/>
          </w:tcPr>
          <w:p w14:paraId="5F779AC7" w14:textId="77777777" w:rsidR="00981417" w:rsidRDefault="00000000">
            <w:pPr>
              <w:jc w:val="center"/>
            </w:pPr>
            <w:r>
              <w:rPr>
                <w:sz w:val="20"/>
              </w:rPr>
              <w:t>0.00</w:t>
            </w:r>
          </w:p>
        </w:tc>
        <w:tc>
          <w:tcPr>
            <w:tcW w:w="1407" w:type="dxa"/>
          </w:tcPr>
          <w:p w14:paraId="0A79B3CA" w14:textId="77777777" w:rsidR="00981417" w:rsidRDefault="00000000">
            <w:pPr>
              <w:jc w:val="center"/>
            </w:pPr>
            <w:r>
              <w:rPr>
                <w:sz w:val="20"/>
              </w:rPr>
              <w:t>0.00</w:t>
            </w:r>
          </w:p>
        </w:tc>
        <w:tc>
          <w:tcPr>
            <w:tcW w:w="1407" w:type="dxa"/>
          </w:tcPr>
          <w:p w14:paraId="79F30AA5" w14:textId="77777777" w:rsidR="00981417" w:rsidRDefault="00000000">
            <w:pPr>
              <w:jc w:val="center"/>
            </w:pPr>
            <w:r>
              <w:rPr>
                <w:sz w:val="20"/>
              </w:rPr>
              <w:t>0.00</w:t>
            </w:r>
          </w:p>
        </w:tc>
        <w:tc>
          <w:tcPr>
            <w:tcW w:w="1407" w:type="dxa"/>
          </w:tcPr>
          <w:p w14:paraId="7BEC59F8" w14:textId="77777777" w:rsidR="00981417" w:rsidRDefault="00000000">
            <w:pPr>
              <w:jc w:val="center"/>
            </w:pPr>
            <w:r>
              <w:rPr>
                <w:sz w:val="20"/>
              </w:rPr>
              <w:t>0.00</w:t>
            </w:r>
          </w:p>
        </w:tc>
      </w:tr>
      <w:tr w:rsidR="00981417" w14:paraId="3BB014E5" w14:textId="77777777">
        <w:trPr>
          <w:jc w:val="center"/>
        </w:trPr>
        <w:tc>
          <w:tcPr>
            <w:tcW w:w="1407" w:type="dxa"/>
          </w:tcPr>
          <w:p w14:paraId="1D16F7EA" w14:textId="77777777" w:rsidR="00981417" w:rsidRDefault="00000000">
            <w:r>
              <w:rPr>
                <w:sz w:val="20"/>
              </w:rPr>
              <w:t>Kosto për bizneset - në vazhdimësi</w:t>
            </w:r>
          </w:p>
        </w:tc>
        <w:tc>
          <w:tcPr>
            <w:tcW w:w="1407" w:type="dxa"/>
          </w:tcPr>
          <w:p w14:paraId="15318E19" w14:textId="77777777" w:rsidR="00981417" w:rsidRDefault="00000000">
            <w:pPr>
              <w:jc w:val="center"/>
            </w:pPr>
            <w:r>
              <w:rPr>
                <w:sz w:val="20"/>
              </w:rPr>
              <w:t>5.00</w:t>
            </w:r>
          </w:p>
        </w:tc>
        <w:tc>
          <w:tcPr>
            <w:tcW w:w="1407" w:type="dxa"/>
          </w:tcPr>
          <w:p w14:paraId="29251080" w14:textId="77777777" w:rsidR="00981417" w:rsidRDefault="00000000">
            <w:pPr>
              <w:jc w:val="center"/>
            </w:pPr>
            <w:r>
              <w:rPr>
                <w:sz w:val="20"/>
              </w:rPr>
              <w:t>5.00</w:t>
            </w:r>
          </w:p>
        </w:tc>
        <w:tc>
          <w:tcPr>
            <w:tcW w:w="1407" w:type="dxa"/>
          </w:tcPr>
          <w:p w14:paraId="0DF6D9EA" w14:textId="77777777" w:rsidR="00981417" w:rsidRDefault="00000000">
            <w:pPr>
              <w:jc w:val="center"/>
            </w:pPr>
            <w:r>
              <w:rPr>
                <w:sz w:val="20"/>
              </w:rPr>
              <w:t>5.00</w:t>
            </w:r>
          </w:p>
        </w:tc>
        <w:tc>
          <w:tcPr>
            <w:tcW w:w="1407" w:type="dxa"/>
          </w:tcPr>
          <w:p w14:paraId="5212B090" w14:textId="77777777" w:rsidR="00981417" w:rsidRDefault="00000000">
            <w:pPr>
              <w:jc w:val="center"/>
            </w:pPr>
            <w:r>
              <w:rPr>
                <w:sz w:val="20"/>
              </w:rPr>
              <w:t>5.00</w:t>
            </w:r>
          </w:p>
        </w:tc>
        <w:tc>
          <w:tcPr>
            <w:tcW w:w="1407" w:type="dxa"/>
          </w:tcPr>
          <w:p w14:paraId="320C53E3" w14:textId="77777777" w:rsidR="00981417" w:rsidRDefault="00000000">
            <w:pPr>
              <w:jc w:val="center"/>
            </w:pPr>
            <w:r>
              <w:rPr>
                <w:sz w:val="20"/>
              </w:rPr>
              <w:t>5.00</w:t>
            </w:r>
          </w:p>
        </w:tc>
        <w:tc>
          <w:tcPr>
            <w:tcW w:w="1407" w:type="dxa"/>
          </w:tcPr>
          <w:p w14:paraId="1DFB018F" w14:textId="77777777" w:rsidR="00981417" w:rsidRDefault="00000000">
            <w:pPr>
              <w:jc w:val="center"/>
            </w:pPr>
            <w:r>
              <w:rPr>
                <w:sz w:val="20"/>
              </w:rPr>
              <w:t>5.00</w:t>
            </w:r>
          </w:p>
        </w:tc>
        <w:tc>
          <w:tcPr>
            <w:tcW w:w="1407" w:type="dxa"/>
          </w:tcPr>
          <w:p w14:paraId="41779979" w14:textId="77777777" w:rsidR="00981417" w:rsidRDefault="00000000">
            <w:pPr>
              <w:jc w:val="center"/>
            </w:pPr>
            <w:r>
              <w:rPr>
                <w:sz w:val="20"/>
              </w:rPr>
              <w:t>5.00</w:t>
            </w:r>
          </w:p>
        </w:tc>
        <w:tc>
          <w:tcPr>
            <w:tcW w:w="1407" w:type="dxa"/>
          </w:tcPr>
          <w:p w14:paraId="24479E96" w14:textId="77777777" w:rsidR="00981417" w:rsidRDefault="00000000">
            <w:pPr>
              <w:jc w:val="center"/>
            </w:pPr>
            <w:r>
              <w:rPr>
                <w:sz w:val="20"/>
              </w:rPr>
              <w:t>5.00</w:t>
            </w:r>
          </w:p>
        </w:tc>
        <w:tc>
          <w:tcPr>
            <w:tcW w:w="1407" w:type="dxa"/>
          </w:tcPr>
          <w:p w14:paraId="6A9B9BFC" w14:textId="77777777" w:rsidR="00981417" w:rsidRDefault="00000000">
            <w:pPr>
              <w:jc w:val="center"/>
            </w:pPr>
            <w:r>
              <w:rPr>
                <w:sz w:val="20"/>
              </w:rPr>
              <w:t>5.00</w:t>
            </w:r>
          </w:p>
        </w:tc>
        <w:tc>
          <w:tcPr>
            <w:tcW w:w="1407" w:type="dxa"/>
          </w:tcPr>
          <w:p w14:paraId="6EBBF4ED" w14:textId="77777777" w:rsidR="00981417" w:rsidRDefault="00000000">
            <w:pPr>
              <w:jc w:val="center"/>
            </w:pPr>
            <w:r>
              <w:rPr>
                <w:sz w:val="20"/>
              </w:rPr>
              <w:t>5.00</w:t>
            </w:r>
          </w:p>
        </w:tc>
      </w:tr>
      <w:tr w:rsidR="00981417" w14:paraId="644B62BB" w14:textId="77777777">
        <w:trPr>
          <w:jc w:val="center"/>
        </w:trPr>
        <w:tc>
          <w:tcPr>
            <w:tcW w:w="1407" w:type="dxa"/>
          </w:tcPr>
          <w:p w14:paraId="6D1E6523" w14:textId="77777777" w:rsidR="00981417" w:rsidRDefault="00000000">
            <w:r>
              <w:rPr>
                <w:sz w:val="20"/>
              </w:rPr>
              <w:t>Kosto për grupet e tjera - një herë</w:t>
            </w:r>
          </w:p>
        </w:tc>
        <w:tc>
          <w:tcPr>
            <w:tcW w:w="1407" w:type="dxa"/>
          </w:tcPr>
          <w:p w14:paraId="421AE8A6" w14:textId="77777777" w:rsidR="00981417" w:rsidRDefault="00000000">
            <w:pPr>
              <w:jc w:val="center"/>
            </w:pPr>
            <w:r>
              <w:rPr>
                <w:sz w:val="20"/>
              </w:rPr>
              <w:t>1.20</w:t>
            </w:r>
          </w:p>
        </w:tc>
        <w:tc>
          <w:tcPr>
            <w:tcW w:w="1407" w:type="dxa"/>
          </w:tcPr>
          <w:p w14:paraId="1D5C08BD" w14:textId="77777777" w:rsidR="00981417" w:rsidRDefault="00000000">
            <w:pPr>
              <w:jc w:val="center"/>
            </w:pPr>
            <w:r>
              <w:rPr>
                <w:sz w:val="20"/>
              </w:rPr>
              <w:t>0.00</w:t>
            </w:r>
          </w:p>
        </w:tc>
        <w:tc>
          <w:tcPr>
            <w:tcW w:w="1407" w:type="dxa"/>
          </w:tcPr>
          <w:p w14:paraId="6EC80BBB" w14:textId="77777777" w:rsidR="00981417" w:rsidRDefault="00000000">
            <w:pPr>
              <w:jc w:val="center"/>
            </w:pPr>
            <w:r>
              <w:rPr>
                <w:sz w:val="20"/>
              </w:rPr>
              <w:t>0.00</w:t>
            </w:r>
          </w:p>
        </w:tc>
        <w:tc>
          <w:tcPr>
            <w:tcW w:w="1407" w:type="dxa"/>
          </w:tcPr>
          <w:p w14:paraId="0B76F34E" w14:textId="77777777" w:rsidR="00981417" w:rsidRDefault="00000000">
            <w:pPr>
              <w:jc w:val="center"/>
            </w:pPr>
            <w:r>
              <w:rPr>
                <w:sz w:val="20"/>
              </w:rPr>
              <w:t>0.00</w:t>
            </w:r>
          </w:p>
        </w:tc>
        <w:tc>
          <w:tcPr>
            <w:tcW w:w="1407" w:type="dxa"/>
          </w:tcPr>
          <w:p w14:paraId="6D60C03D" w14:textId="77777777" w:rsidR="00981417" w:rsidRDefault="00000000">
            <w:pPr>
              <w:jc w:val="center"/>
            </w:pPr>
            <w:r>
              <w:rPr>
                <w:sz w:val="20"/>
              </w:rPr>
              <w:t>0.00</w:t>
            </w:r>
          </w:p>
        </w:tc>
        <w:tc>
          <w:tcPr>
            <w:tcW w:w="1407" w:type="dxa"/>
          </w:tcPr>
          <w:p w14:paraId="33BBDA40" w14:textId="77777777" w:rsidR="00981417" w:rsidRDefault="00000000">
            <w:pPr>
              <w:jc w:val="center"/>
            </w:pPr>
            <w:r>
              <w:rPr>
                <w:sz w:val="20"/>
              </w:rPr>
              <w:t>0.00</w:t>
            </w:r>
          </w:p>
        </w:tc>
        <w:tc>
          <w:tcPr>
            <w:tcW w:w="1407" w:type="dxa"/>
          </w:tcPr>
          <w:p w14:paraId="48B086EA" w14:textId="77777777" w:rsidR="00981417" w:rsidRDefault="00000000">
            <w:pPr>
              <w:jc w:val="center"/>
            </w:pPr>
            <w:r>
              <w:rPr>
                <w:sz w:val="20"/>
              </w:rPr>
              <w:t>0.00</w:t>
            </w:r>
          </w:p>
        </w:tc>
        <w:tc>
          <w:tcPr>
            <w:tcW w:w="1407" w:type="dxa"/>
          </w:tcPr>
          <w:p w14:paraId="3734ABA8" w14:textId="77777777" w:rsidR="00981417" w:rsidRDefault="00000000">
            <w:pPr>
              <w:jc w:val="center"/>
            </w:pPr>
            <w:r>
              <w:rPr>
                <w:sz w:val="20"/>
              </w:rPr>
              <w:t>0.00</w:t>
            </w:r>
          </w:p>
        </w:tc>
        <w:tc>
          <w:tcPr>
            <w:tcW w:w="1407" w:type="dxa"/>
          </w:tcPr>
          <w:p w14:paraId="7AAA0E0A" w14:textId="77777777" w:rsidR="00981417" w:rsidRDefault="00000000">
            <w:pPr>
              <w:jc w:val="center"/>
            </w:pPr>
            <w:r>
              <w:rPr>
                <w:sz w:val="20"/>
              </w:rPr>
              <w:t>0.00</w:t>
            </w:r>
          </w:p>
        </w:tc>
        <w:tc>
          <w:tcPr>
            <w:tcW w:w="1407" w:type="dxa"/>
          </w:tcPr>
          <w:p w14:paraId="68E996CF" w14:textId="77777777" w:rsidR="00981417" w:rsidRDefault="00000000">
            <w:pPr>
              <w:jc w:val="center"/>
            </w:pPr>
            <w:r>
              <w:rPr>
                <w:sz w:val="20"/>
              </w:rPr>
              <w:t>0.00</w:t>
            </w:r>
          </w:p>
        </w:tc>
      </w:tr>
      <w:tr w:rsidR="00981417" w14:paraId="4A37BE1A" w14:textId="77777777">
        <w:trPr>
          <w:jc w:val="center"/>
        </w:trPr>
        <w:tc>
          <w:tcPr>
            <w:tcW w:w="1407" w:type="dxa"/>
          </w:tcPr>
          <w:p w14:paraId="3B17907A" w14:textId="77777777" w:rsidR="00981417" w:rsidRDefault="00000000">
            <w:r>
              <w:rPr>
                <w:sz w:val="20"/>
              </w:rPr>
              <w:t>Kosto për grupet e tjera - në vazhdimësi</w:t>
            </w:r>
          </w:p>
        </w:tc>
        <w:tc>
          <w:tcPr>
            <w:tcW w:w="1407" w:type="dxa"/>
          </w:tcPr>
          <w:p w14:paraId="120E6B6B" w14:textId="77777777" w:rsidR="00981417" w:rsidRDefault="00000000">
            <w:pPr>
              <w:jc w:val="center"/>
            </w:pPr>
            <w:r>
              <w:rPr>
                <w:sz w:val="20"/>
              </w:rPr>
              <w:t>0.60</w:t>
            </w:r>
          </w:p>
        </w:tc>
        <w:tc>
          <w:tcPr>
            <w:tcW w:w="1407" w:type="dxa"/>
          </w:tcPr>
          <w:p w14:paraId="4E3BAC35" w14:textId="77777777" w:rsidR="00981417" w:rsidRDefault="00000000">
            <w:pPr>
              <w:jc w:val="center"/>
            </w:pPr>
            <w:r>
              <w:rPr>
                <w:sz w:val="20"/>
              </w:rPr>
              <w:t>0.60</w:t>
            </w:r>
          </w:p>
        </w:tc>
        <w:tc>
          <w:tcPr>
            <w:tcW w:w="1407" w:type="dxa"/>
          </w:tcPr>
          <w:p w14:paraId="624A39E7" w14:textId="77777777" w:rsidR="00981417" w:rsidRDefault="00000000">
            <w:pPr>
              <w:jc w:val="center"/>
            </w:pPr>
            <w:r>
              <w:rPr>
                <w:sz w:val="20"/>
              </w:rPr>
              <w:t>0.60</w:t>
            </w:r>
          </w:p>
        </w:tc>
        <w:tc>
          <w:tcPr>
            <w:tcW w:w="1407" w:type="dxa"/>
          </w:tcPr>
          <w:p w14:paraId="549C4C27" w14:textId="77777777" w:rsidR="00981417" w:rsidRDefault="00000000">
            <w:pPr>
              <w:jc w:val="center"/>
            </w:pPr>
            <w:r>
              <w:rPr>
                <w:sz w:val="20"/>
              </w:rPr>
              <w:t>0.60</w:t>
            </w:r>
          </w:p>
        </w:tc>
        <w:tc>
          <w:tcPr>
            <w:tcW w:w="1407" w:type="dxa"/>
          </w:tcPr>
          <w:p w14:paraId="0B2249F7" w14:textId="77777777" w:rsidR="00981417" w:rsidRDefault="00000000">
            <w:pPr>
              <w:jc w:val="center"/>
            </w:pPr>
            <w:r>
              <w:rPr>
                <w:sz w:val="20"/>
              </w:rPr>
              <w:t>0.60</w:t>
            </w:r>
          </w:p>
        </w:tc>
        <w:tc>
          <w:tcPr>
            <w:tcW w:w="1407" w:type="dxa"/>
          </w:tcPr>
          <w:p w14:paraId="3D7C3B62" w14:textId="77777777" w:rsidR="00981417" w:rsidRDefault="00000000">
            <w:pPr>
              <w:jc w:val="center"/>
            </w:pPr>
            <w:r>
              <w:rPr>
                <w:sz w:val="20"/>
              </w:rPr>
              <w:t>0.60</w:t>
            </w:r>
          </w:p>
        </w:tc>
        <w:tc>
          <w:tcPr>
            <w:tcW w:w="1407" w:type="dxa"/>
          </w:tcPr>
          <w:p w14:paraId="61FEF059" w14:textId="77777777" w:rsidR="00981417" w:rsidRDefault="00000000">
            <w:pPr>
              <w:jc w:val="center"/>
            </w:pPr>
            <w:r>
              <w:rPr>
                <w:sz w:val="20"/>
              </w:rPr>
              <w:t>0.60</w:t>
            </w:r>
          </w:p>
        </w:tc>
        <w:tc>
          <w:tcPr>
            <w:tcW w:w="1407" w:type="dxa"/>
          </w:tcPr>
          <w:p w14:paraId="0C5766B1" w14:textId="77777777" w:rsidR="00981417" w:rsidRDefault="00000000">
            <w:pPr>
              <w:jc w:val="center"/>
            </w:pPr>
            <w:r>
              <w:rPr>
                <w:sz w:val="20"/>
              </w:rPr>
              <w:t>0.60</w:t>
            </w:r>
          </w:p>
        </w:tc>
        <w:tc>
          <w:tcPr>
            <w:tcW w:w="1407" w:type="dxa"/>
          </w:tcPr>
          <w:p w14:paraId="100B5E68" w14:textId="77777777" w:rsidR="00981417" w:rsidRDefault="00000000">
            <w:pPr>
              <w:jc w:val="center"/>
            </w:pPr>
            <w:r>
              <w:rPr>
                <w:sz w:val="20"/>
              </w:rPr>
              <w:t>0.60</w:t>
            </w:r>
          </w:p>
        </w:tc>
        <w:tc>
          <w:tcPr>
            <w:tcW w:w="1407" w:type="dxa"/>
          </w:tcPr>
          <w:p w14:paraId="1F3187E9" w14:textId="77777777" w:rsidR="00981417" w:rsidRDefault="00000000">
            <w:pPr>
              <w:jc w:val="center"/>
            </w:pPr>
            <w:r>
              <w:rPr>
                <w:sz w:val="20"/>
              </w:rPr>
              <w:t>0.60</w:t>
            </w:r>
          </w:p>
        </w:tc>
      </w:tr>
      <w:tr w:rsidR="00981417" w14:paraId="0CA536B2" w14:textId="77777777">
        <w:trPr>
          <w:jc w:val="center"/>
        </w:trPr>
        <w:tc>
          <w:tcPr>
            <w:tcW w:w="1407" w:type="dxa"/>
          </w:tcPr>
          <w:p w14:paraId="5784B7B9" w14:textId="77777777" w:rsidR="00981417" w:rsidRDefault="00000000">
            <w:r>
              <w:rPr>
                <w:b/>
                <w:sz w:val="20"/>
              </w:rPr>
              <w:t>Kosto në total</w:t>
            </w:r>
          </w:p>
        </w:tc>
        <w:tc>
          <w:tcPr>
            <w:tcW w:w="1407" w:type="dxa"/>
          </w:tcPr>
          <w:p w14:paraId="19890A9A" w14:textId="77777777" w:rsidR="00981417" w:rsidRDefault="00000000">
            <w:pPr>
              <w:jc w:val="center"/>
            </w:pPr>
            <w:r>
              <w:rPr>
                <w:b/>
                <w:sz w:val="20"/>
              </w:rPr>
              <w:t>12.80</w:t>
            </w:r>
          </w:p>
        </w:tc>
        <w:tc>
          <w:tcPr>
            <w:tcW w:w="1407" w:type="dxa"/>
          </w:tcPr>
          <w:p w14:paraId="396879FB" w14:textId="77777777" w:rsidR="00981417" w:rsidRDefault="00000000">
            <w:pPr>
              <w:jc w:val="center"/>
            </w:pPr>
            <w:r>
              <w:rPr>
                <w:b/>
                <w:sz w:val="20"/>
              </w:rPr>
              <w:t>5.60</w:t>
            </w:r>
          </w:p>
        </w:tc>
        <w:tc>
          <w:tcPr>
            <w:tcW w:w="1407" w:type="dxa"/>
          </w:tcPr>
          <w:p w14:paraId="781C6952" w14:textId="77777777" w:rsidR="00981417" w:rsidRDefault="00000000">
            <w:pPr>
              <w:jc w:val="center"/>
            </w:pPr>
            <w:r>
              <w:rPr>
                <w:b/>
                <w:sz w:val="20"/>
              </w:rPr>
              <w:t>8.80</w:t>
            </w:r>
          </w:p>
        </w:tc>
        <w:tc>
          <w:tcPr>
            <w:tcW w:w="1407" w:type="dxa"/>
          </w:tcPr>
          <w:p w14:paraId="75017881" w14:textId="77777777" w:rsidR="00981417" w:rsidRDefault="00000000">
            <w:pPr>
              <w:jc w:val="center"/>
            </w:pPr>
            <w:r>
              <w:rPr>
                <w:b/>
                <w:sz w:val="20"/>
              </w:rPr>
              <w:t>5.60</w:t>
            </w:r>
          </w:p>
        </w:tc>
        <w:tc>
          <w:tcPr>
            <w:tcW w:w="1407" w:type="dxa"/>
          </w:tcPr>
          <w:p w14:paraId="5478E7AB" w14:textId="77777777" w:rsidR="00981417" w:rsidRDefault="00000000">
            <w:pPr>
              <w:jc w:val="center"/>
            </w:pPr>
            <w:r>
              <w:rPr>
                <w:b/>
                <w:sz w:val="20"/>
              </w:rPr>
              <w:t>5.60</w:t>
            </w:r>
          </w:p>
        </w:tc>
        <w:tc>
          <w:tcPr>
            <w:tcW w:w="1407" w:type="dxa"/>
          </w:tcPr>
          <w:p w14:paraId="3D5C803C" w14:textId="77777777" w:rsidR="00981417" w:rsidRDefault="00000000">
            <w:pPr>
              <w:jc w:val="center"/>
            </w:pPr>
            <w:r>
              <w:rPr>
                <w:b/>
                <w:sz w:val="20"/>
              </w:rPr>
              <w:t>5.60</w:t>
            </w:r>
          </w:p>
        </w:tc>
        <w:tc>
          <w:tcPr>
            <w:tcW w:w="1407" w:type="dxa"/>
          </w:tcPr>
          <w:p w14:paraId="20B053F7" w14:textId="77777777" w:rsidR="00981417" w:rsidRDefault="00000000">
            <w:pPr>
              <w:jc w:val="center"/>
            </w:pPr>
            <w:r>
              <w:rPr>
                <w:b/>
                <w:sz w:val="20"/>
              </w:rPr>
              <w:t>5.60</w:t>
            </w:r>
          </w:p>
        </w:tc>
        <w:tc>
          <w:tcPr>
            <w:tcW w:w="1407" w:type="dxa"/>
          </w:tcPr>
          <w:p w14:paraId="2792003A" w14:textId="77777777" w:rsidR="00981417" w:rsidRDefault="00000000">
            <w:pPr>
              <w:jc w:val="center"/>
            </w:pPr>
            <w:r>
              <w:rPr>
                <w:b/>
                <w:sz w:val="20"/>
              </w:rPr>
              <w:t>5.60</w:t>
            </w:r>
          </w:p>
        </w:tc>
        <w:tc>
          <w:tcPr>
            <w:tcW w:w="1407" w:type="dxa"/>
          </w:tcPr>
          <w:p w14:paraId="271F6E37" w14:textId="77777777" w:rsidR="00981417" w:rsidRDefault="00000000">
            <w:pPr>
              <w:jc w:val="center"/>
            </w:pPr>
            <w:r>
              <w:rPr>
                <w:b/>
                <w:sz w:val="20"/>
              </w:rPr>
              <w:t>5.60</w:t>
            </w:r>
          </w:p>
        </w:tc>
        <w:tc>
          <w:tcPr>
            <w:tcW w:w="1407" w:type="dxa"/>
          </w:tcPr>
          <w:p w14:paraId="7BD3EFD8" w14:textId="77777777" w:rsidR="00981417" w:rsidRDefault="00000000">
            <w:pPr>
              <w:jc w:val="center"/>
            </w:pPr>
            <w:r>
              <w:rPr>
                <w:b/>
                <w:sz w:val="20"/>
              </w:rPr>
              <w:t>5.60</w:t>
            </w:r>
          </w:p>
        </w:tc>
      </w:tr>
      <w:tr w:rsidR="00981417" w14:paraId="7B7BF971" w14:textId="77777777">
        <w:trPr>
          <w:jc w:val="center"/>
        </w:trPr>
        <w:tc>
          <w:tcPr>
            <w:tcW w:w="1407" w:type="dxa"/>
          </w:tcPr>
          <w:p w14:paraId="392FFCA4" w14:textId="77777777" w:rsidR="00981417" w:rsidRPr="00B256EB" w:rsidRDefault="00000000">
            <w:pPr>
              <w:rPr>
                <w:lang w:val="de-DE"/>
              </w:rPr>
            </w:pPr>
            <w:r w:rsidRPr="00B256EB">
              <w:rPr>
                <w:b/>
                <w:sz w:val="20"/>
                <w:lang w:val="de-DE"/>
              </w:rPr>
              <w:t>Kosto e zbritur = Kosto në total x Faktori zbritës</w:t>
            </w:r>
          </w:p>
        </w:tc>
        <w:tc>
          <w:tcPr>
            <w:tcW w:w="1407" w:type="dxa"/>
          </w:tcPr>
          <w:p w14:paraId="00FBFF57" w14:textId="77777777" w:rsidR="00981417" w:rsidRDefault="00000000">
            <w:pPr>
              <w:jc w:val="center"/>
            </w:pPr>
            <w:r>
              <w:rPr>
                <w:b/>
                <w:sz w:val="20"/>
              </w:rPr>
              <w:t>12.80</w:t>
            </w:r>
          </w:p>
        </w:tc>
        <w:tc>
          <w:tcPr>
            <w:tcW w:w="1407" w:type="dxa"/>
          </w:tcPr>
          <w:p w14:paraId="5E7F6553" w14:textId="77777777" w:rsidR="00981417" w:rsidRDefault="00000000">
            <w:pPr>
              <w:jc w:val="center"/>
            </w:pPr>
            <w:r>
              <w:rPr>
                <w:b/>
                <w:sz w:val="20"/>
              </w:rPr>
              <w:t>5.32</w:t>
            </w:r>
          </w:p>
        </w:tc>
        <w:tc>
          <w:tcPr>
            <w:tcW w:w="1407" w:type="dxa"/>
          </w:tcPr>
          <w:p w14:paraId="585F0E3F" w14:textId="77777777" w:rsidR="00981417" w:rsidRDefault="00000000">
            <w:pPr>
              <w:jc w:val="center"/>
            </w:pPr>
            <w:r>
              <w:rPr>
                <w:b/>
                <w:sz w:val="20"/>
              </w:rPr>
              <w:t>8.01</w:t>
            </w:r>
          </w:p>
        </w:tc>
        <w:tc>
          <w:tcPr>
            <w:tcW w:w="1407" w:type="dxa"/>
          </w:tcPr>
          <w:p w14:paraId="51B27E2C" w14:textId="77777777" w:rsidR="00981417" w:rsidRDefault="00000000">
            <w:pPr>
              <w:jc w:val="center"/>
            </w:pPr>
            <w:r>
              <w:rPr>
                <w:b/>
                <w:sz w:val="20"/>
              </w:rPr>
              <w:t>4.87</w:t>
            </w:r>
          </w:p>
        </w:tc>
        <w:tc>
          <w:tcPr>
            <w:tcW w:w="1407" w:type="dxa"/>
          </w:tcPr>
          <w:p w14:paraId="479F3E6B" w14:textId="77777777" w:rsidR="00981417" w:rsidRDefault="00000000">
            <w:pPr>
              <w:jc w:val="center"/>
            </w:pPr>
            <w:r>
              <w:rPr>
                <w:b/>
                <w:sz w:val="20"/>
              </w:rPr>
              <w:t>4.59</w:t>
            </w:r>
          </w:p>
        </w:tc>
        <w:tc>
          <w:tcPr>
            <w:tcW w:w="1407" w:type="dxa"/>
          </w:tcPr>
          <w:p w14:paraId="432A5FF2" w14:textId="77777777" w:rsidR="00981417" w:rsidRDefault="00000000">
            <w:pPr>
              <w:jc w:val="center"/>
            </w:pPr>
            <w:r>
              <w:rPr>
                <w:b/>
                <w:sz w:val="20"/>
              </w:rPr>
              <w:t>4.42</w:t>
            </w:r>
          </w:p>
        </w:tc>
        <w:tc>
          <w:tcPr>
            <w:tcW w:w="1407" w:type="dxa"/>
          </w:tcPr>
          <w:p w14:paraId="4BAF8EEB" w14:textId="77777777" w:rsidR="00981417" w:rsidRDefault="00000000">
            <w:pPr>
              <w:jc w:val="center"/>
            </w:pPr>
            <w:r>
              <w:rPr>
                <w:b/>
                <w:sz w:val="20"/>
              </w:rPr>
              <w:t>4.20</w:t>
            </w:r>
          </w:p>
        </w:tc>
        <w:tc>
          <w:tcPr>
            <w:tcW w:w="1407" w:type="dxa"/>
          </w:tcPr>
          <w:p w14:paraId="290ABC91" w14:textId="77777777" w:rsidR="00981417" w:rsidRDefault="00000000">
            <w:pPr>
              <w:jc w:val="center"/>
            </w:pPr>
            <w:r>
              <w:rPr>
                <w:b/>
                <w:sz w:val="20"/>
              </w:rPr>
              <w:t>3.98</w:t>
            </w:r>
          </w:p>
        </w:tc>
        <w:tc>
          <w:tcPr>
            <w:tcW w:w="1407" w:type="dxa"/>
          </w:tcPr>
          <w:p w14:paraId="1BF0CF6F" w14:textId="77777777" w:rsidR="00981417" w:rsidRDefault="00000000">
            <w:pPr>
              <w:jc w:val="center"/>
            </w:pPr>
            <w:r>
              <w:rPr>
                <w:b/>
                <w:sz w:val="20"/>
              </w:rPr>
              <w:t>3.81</w:t>
            </w:r>
          </w:p>
        </w:tc>
        <w:tc>
          <w:tcPr>
            <w:tcW w:w="1407" w:type="dxa"/>
          </w:tcPr>
          <w:p w14:paraId="0052971E" w14:textId="77777777" w:rsidR="00981417" w:rsidRDefault="00000000">
            <w:pPr>
              <w:jc w:val="center"/>
            </w:pPr>
            <w:r>
              <w:rPr>
                <w:b/>
                <w:sz w:val="20"/>
              </w:rPr>
              <w:t>3.64</w:t>
            </w:r>
          </w:p>
        </w:tc>
      </w:tr>
      <w:tr w:rsidR="00981417" w14:paraId="6D7542D9" w14:textId="77777777">
        <w:trPr>
          <w:jc w:val="center"/>
        </w:trPr>
        <w:tc>
          <w:tcPr>
            <w:tcW w:w="1407" w:type="dxa"/>
          </w:tcPr>
          <w:p w14:paraId="5E1D4FF3" w14:textId="77777777" w:rsidR="00981417" w:rsidRDefault="00000000">
            <w:r>
              <w:rPr>
                <w:sz w:val="20"/>
              </w:rPr>
              <w:t>Përfitimet për buxhetin - një herë</w:t>
            </w:r>
          </w:p>
        </w:tc>
        <w:tc>
          <w:tcPr>
            <w:tcW w:w="1407" w:type="dxa"/>
          </w:tcPr>
          <w:p w14:paraId="2590F4B8" w14:textId="77777777" w:rsidR="00981417" w:rsidRDefault="00000000">
            <w:pPr>
              <w:jc w:val="center"/>
            </w:pPr>
            <w:r>
              <w:rPr>
                <w:sz w:val="20"/>
              </w:rPr>
              <w:t>0.00</w:t>
            </w:r>
          </w:p>
        </w:tc>
        <w:tc>
          <w:tcPr>
            <w:tcW w:w="1407" w:type="dxa"/>
          </w:tcPr>
          <w:p w14:paraId="45090FB5" w14:textId="77777777" w:rsidR="00981417" w:rsidRDefault="00000000">
            <w:pPr>
              <w:jc w:val="center"/>
            </w:pPr>
            <w:r>
              <w:rPr>
                <w:sz w:val="20"/>
              </w:rPr>
              <w:t>0.00</w:t>
            </w:r>
          </w:p>
        </w:tc>
        <w:tc>
          <w:tcPr>
            <w:tcW w:w="1407" w:type="dxa"/>
          </w:tcPr>
          <w:p w14:paraId="07AC7CEE" w14:textId="77777777" w:rsidR="00981417" w:rsidRDefault="00000000">
            <w:pPr>
              <w:jc w:val="center"/>
            </w:pPr>
            <w:r>
              <w:rPr>
                <w:sz w:val="20"/>
              </w:rPr>
              <w:t>0.00</w:t>
            </w:r>
          </w:p>
        </w:tc>
        <w:tc>
          <w:tcPr>
            <w:tcW w:w="1407" w:type="dxa"/>
          </w:tcPr>
          <w:p w14:paraId="7F4178B2" w14:textId="77777777" w:rsidR="00981417" w:rsidRDefault="00000000">
            <w:pPr>
              <w:jc w:val="center"/>
            </w:pPr>
            <w:r>
              <w:rPr>
                <w:sz w:val="20"/>
              </w:rPr>
              <w:t>0.00</w:t>
            </w:r>
          </w:p>
        </w:tc>
        <w:tc>
          <w:tcPr>
            <w:tcW w:w="1407" w:type="dxa"/>
          </w:tcPr>
          <w:p w14:paraId="0DC03463" w14:textId="77777777" w:rsidR="00981417" w:rsidRDefault="00000000">
            <w:pPr>
              <w:jc w:val="center"/>
            </w:pPr>
            <w:r>
              <w:rPr>
                <w:sz w:val="20"/>
              </w:rPr>
              <w:t>0.00</w:t>
            </w:r>
          </w:p>
        </w:tc>
        <w:tc>
          <w:tcPr>
            <w:tcW w:w="1407" w:type="dxa"/>
          </w:tcPr>
          <w:p w14:paraId="21A666D9" w14:textId="77777777" w:rsidR="00981417" w:rsidRDefault="00000000">
            <w:pPr>
              <w:jc w:val="center"/>
            </w:pPr>
            <w:r>
              <w:rPr>
                <w:sz w:val="20"/>
              </w:rPr>
              <w:t>0.00</w:t>
            </w:r>
          </w:p>
        </w:tc>
        <w:tc>
          <w:tcPr>
            <w:tcW w:w="1407" w:type="dxa"/>
          </w:tcPr>
          <w:p w14:paraId="07C4651B" w14:textId="77777777" w:rsidR="00981417" w:rsidRDefault="00000000">
            <w:pPr>
              <w:jc w:val="center"/>
            </w:pPr>
            <w:r>
              <w:rPr>
                <w:sz w:val="20"/>
              </w:rPr>
              <w:t>0.00</w:t>
            </w:r>
          </w:p>
        </w:tc>
        <w:tc>
          <w:tcPr>
            <w:tcW w:w="1407" w:type="dxa"/>
          </w:tcPr>
          <w:p w14:paraId="14678139" w14:textId="77777777" w:rsidR="00981417" w:rsidRDefault="00000000">
            <w:pPr>
              <w:jc w:val="center"/>
            </w:pPr>
            <w:r>
              <w:rPr>
                <w:sz w:val="20"/>
              </w:rPr>
              <w:t>0.00</w:t>
            </w:r>
          </w:p>
        </w:tc>
        <w:tc>
          <w:tcPr>
            <w:tcW w:w="1407" w:type="dxa"/>
          </w:tcPr>
          <w:p w14:paraId="61D514F6" w14:textId="77777777" w:rsidR="00981417" w:rsidRDefault="00000000">
            <w:pPr>
              <w:jc w:val="center"/>
            </w:pPr>
            <w:r>
              <w:rPr>
                <w:sz w:val="20"/>
              </w:rPr>
              <w:t>0.00</w:t>
            </w:r>
          </w:p>
        </w:tc>
        <w:tc>
          <w:tcPr>
            <w:tcW w:w="1407" w:type="dxa"/>
          </w:tcPr>
          <w:p w14:paraId="4692167B" w14:textId="77777777" w:rsidR="00981417" w:rsidRDefault="00000000">
            <w:pPr>
              <w:jc w:val="center"/>
            </w:pPr>
            <w:r>
              <w:rPr>
                <w:sz w:val="20"/>
              </w:rPr>
              <w:t>0.00</w:t>
            </w:r>
          </w:p>
        </w:tc>
      </w:tr>
      <w:tr w:rsidR="00981417" w14:paraId="2FF67A79" w14:textId="77777777">
        <w:trPr>
          <w:jc w:val="center"/>
        </w:trPr>
        <w:tc>
          <w:tcPr>
            <w:tcW w:w="1407" w:type="dxa"/>
          </w:tcPr>
          <w:p w14:paraId="46927AB0" w14:textId="77777777" w:rsidR="00981417" w:rsidRDefault="00000000">
            <w:r>
              <w:rPr>
                <w:sz w:val="20"/>
              </w:rPr>
              <w:t>Përfitimet për buxhetin - në vazhdimësi</w:t>
            </w:r>
          </w:p>
        </w:tc>
        <w:tc>
          <w:tcPr>
            <w:tcW w:w="1407" w:type="dxa"/>
          </w:tcPr>
          <w:p w14:paraId="7C799584" w14:textId="77777777" w:rsidR="00981417" w:rsidRDefault="00000000">
            <w:pPr>
              <w:jc w:val="center"/>
            </w:pPr>
            <w:r>
              <w:rPr>
                <w:sz w:val="20"/>
              </w:rPr>
              <w:t>0.00</w:t>
            </w:r>
          </w:p>
        </w:tc>
        <w:tc>
          <w:tcPr>
            <w:tcW w:w="1407" w:type="dxa"/>
          </w:tcPr>
          <w:p w14:paraId="5F69D227" w14:textId="77777777" w:rsidR="00981417" w:rsidRDefault="00000000">
            <w:pPr>
              <w:jc w:val="center"/>
            </w:pPr>
            <w:r>
              <w:rPr>
                <w:sz w:val="20"/>
              </w:rPr>
              <w:t>0.00</w:t>
            </w:r>
          </w:p>
        </w:tc>
        <w:tc>
          <w:tcPr>
            <w:tcW w:w="1407" w:type="dxa"/>
          </w:tcPr>
          <w:p w14:paraId="79AFFCE7" w14:textId="77777777" w:rsidR="00981417" w:rsidRDefault="00000000">
            <w:pPr>
              <w:jc w:val="center"/>
            </w:pPr>
            <w:r>
              <w:rPr>
                <w:sz w:val="20"/>
              </w:rPr>
              <w:t>0.00</w:t>
            </w:r>
          </w:p>
        </w:tc>
        <w:tc>
          <w:tcPr>
            <w:tcW w:w="1407" w:type="dxa"/>
          </w:tcPr>
          <w:p w14:paraId="6F8628D8" w14:textId="77777777" w:rsidR="00981417" w:rsidRDefault="00000000">
            <w:pPr>
              <w:jc w:val="center"/>
            </w:pPr>
            <w:r>
              <w:rPr>
                <w:sz w:val="20"/>
              </w:rPr>
              <w:t>0.00</w:t>
            </w:r>
          </w:p>
        </w:tc>
        <w:tc>
          <w:tcPr>
            <w:tcW w:w="1407" w:type="dxa"/>
          </w:tcPr>
          <w:p w14:paraId="08D9DB49" w14:textId="77777777" w:rsidR="00981417" w:rsidRDefault="00000000">
            <w:pPr>
              <w:jc w:val="center"/>
            </w:pPr>
            <w:r>
              <w:rPr>
                <w:sz w:val="20"/>
              </w:rPr>
              <w:t>0.00</w:t>
            </w:r>
          </w:p>
        </w:tc>
        <w:tc>
          <w:tcPr>
            <w:tcW w:w="1407" w:type="dxa"/>
          </w:tcPr>
          <w:p w14:paraId="28BE39E4" w14:textId="77777777" w:rsidR="00981417" w:rsidRDefault="00000000">
            <w:pPr>
              <w:jc w:val="center"/>
            </w:pPr>
            <w:r>
              <w:rPr>
                <w:sz w:val="20"/>
              </w:rPr>
              <w:t>0.00</w:t>
            </w:r>
          </w:p>
        </w:tc>
        <w:tc>
          <w:tcPr>
            <w:tcW w:w="1407" w:type="dxa"/>
          </w:tcPr>
          <w:p w14:paraId="24BFA66A" w14:textId="77777777" w:rsidR="00981417" w:rsidRDefault="00000000">
            <w:pPr>
              <w:jc w:val="center"/>
            </w:pPr>
            <w:r>
              <w:rPr>
                <w:sz w:val="20"/>
              </w:rPr>
              <w:t>0.00</w:t>
            </w:r>
          </w:p>
        </w:tc>
        <w:tc>
          <w:tcPr>
            <w:tcW w:w="1407" w:type="dxa"/>
          </w:tcPr>
          <w:p w14:paraId="675FE807" w14:textId="77777777" w:rsidR="00981417" w:rsidRDefault="00000000">
            <w:pPr>
              <w:jc w:val="center"/>
            </w:pPr>
            <w:r>
              <w:rPr>
                <w:sz w:val="20"/>
              </w:rPr>
              <w:t>0.00</w:t>
            </w:r>
          </w:p>
        </w:tc>
        <w:tc>
          <w:tcPr>
            <w:tcW w:w="1407" w:type="dxa"/>
          </w:tcPr>
          <w:p w14:paraId="6555453C" w14:textId="77777777" w:rsidR="00981417" w:rsidRDefault="00000000">
            <w:pPr>
              <w:jc w:val="center"/>
            </w:pPr>
            <w:r>
              <w:rPr>
                <w:sz w:val="20"/>
              </w:rPr>
              <w:t>0.00</w:t>
            </w:r>
          </w:p>
        </w:tc>
        <w:tc>
          <w:tcPr>
            <w:tcW w:w="1407" w:type="dxa"/>
          </w:tcPr>
          <w:p w14:paraId="134DEFD5" w14:textId="77777777" w:rsidR="00981417" w:rsidRDefault="00000000">
            <w:pPr>
              <w:jc w:val="center"/>
            </w:pPr>
            <w:r>
              <w:rPr>
                <w:sz w:val="20"/>
              </w:rPr>
              <w:t>0.00</w:t>
            </w:r>
          </w:p>
        </w:tc>
      </w:tr>
      <w:tr w:rsidR="00981417" w14:paraId="45143B2B" w14:textId="77777777">
        <w:trPr>
          <w:jc w:val="center"/>
        </w:trPr>
        <w:tc>
          <w:tcPr>
            <w:tcW w:w="1407" w:type="dxa"/>
          </w:tcPr>
          <w:p w14:paraId="1DC5415C" w14:textId="77777777" w:rsidR="00981417" w:rsidRDefault="00000000">
            <w:r>
              <w:rPr>
                <w:sz w:val="20"/>
              </w:rPr>
              <w:t>Përfitimet për grupet e tjera - një herë</w:t>
            </w:r>
          </w:p>
        </w:tc>
        <w:tc>
          <w:tcPr>
            <w:tcW w:w="1407" w:type="dxa"/>
          </w:tcPr>
          <w:p w14:paraId="33693240" w14:textId="77777777" w:rsidR="00981417" w:rsidRDefault="00000000">
            <w:pPr>
              <w:jc w:val="center"/>
            </w:pPr>
            <w:r>
              <w:rPr>
                <w:sz w:val="20"/>
              </w:rPr>
              <w:t>0.00</w:t>
            </w:r>
          </w:p>
        </w:tc>
        <w:tc>
          <w:tcPr>
            <w:tcW w:w="1407" w:type="dxa"/>
          </w:tcPr>
          <w:p w14:paraId="65B99432" w14:textId="77777777" w:rsidR="00981417" w:rsidRDefault="00000000">
            <w:pPr>
              <w:jc w:val="center"/>
            </w:pPr>
            <w:r>
              <w:rPr>
                <w:sz w:val="20"/>
              </w:rPr>
              <w:t>0.00</w:t>
            </w:r>
          </w:p>
        </w:tc>
        <w:tc>
          <w:tcPr>
            <w:tcW w:w="1407" w:type="dxa"/>
          </w:tcPr>
          <w:p w14:paraId="1B771EEE" w14:textId="77777777" w:rsidR="00981417" w:rsidRDefault="00000000">
            <w:pPr>
              <w:jc w:val="center"/>
            </w:pPr>
            <w:r>
              <w:rPr>
                <w:sz w:val="20"/>
              </w:rPr>
              <w:t>0.00</w:t>
            </w:r>
          </w:p>
        </w:tc>
        <w:tc>
          <w:tcPr>
            <w:tcW w:w="1407" w:type="dxa"/>
          </w:tcPr>
          <w:p w14:paraId="43EA3EFE" w14:textId="77777777" w:rsidR="00981417" w:rsidRDefault="00000000">
            <w:pPr>
              <w:jc w:val="center"/>
            </w:pPr>
            <w:r>
              <w:rPr>
                <w:sz w:val="20"/>
              </w:rPr>
              <w:t>0.00</w:t>
            </w:r>
          </w:p>
        </w:tc>
        <w:tc>
          <w:tcPr>
            <w:tcW w:w="1407" w:type="dxa"/>
          </w:tcPr>
          <w:p w14:paraId="0C7F6866" w14:textId="77777777" w:rsidR="00981417" w:rsidRDefault="00000000">
            <w:pPr>
              <w:jc w:val="center"/>
            </w:pPr>
            <w:r>
              <w:rPr>
                <w:sz w:val="20"/>
              </w:rPr>
              <w:t>0.00</w:t>
            </w:r>
          </w:p>
        </w:tc>
        <w:tc>
          <w:tcPr>
            <w:tcW w:w="1407" w:type="dxa"/>
          </w:tcPr>
          <w:p w14:paraId="0ED4C788" w14:textId="77777777" w:rsidR="00981417" w:rsidRDefault="00000000">
            <w:pPr>
              <w:jc w:val="center"/>
            </w:pPr>
            <w:r>
              <w:rPr>
                <w:sz w:val="20"/>
              </w:rPr>
              <w:t>0.00</w:t>
            </w:r>
          </w:p>
        </w:tc>
        <w:tc>
          <w:tcPr>
            <w:tcW w:w="1407" w:type="dxa"/>
          </w:tcPr>
          <w:p w14:paraId="13F761E8" w14:textId="77777777" w:rsidR="00981417" w:rsidRDefault="00000000">
            <w:pPr>
              <w:jc w:val="center"/>
            </w:pPr>
            <w:r>
              <w:rPr>
                <w:sz w:val="20"/>
              </w:rPr>
              <w:t>0.00</w:t>
            </w:r>
          </w:p>
        </w:tc>
        <w:tc>
          <w:tcPr>
            <w:tcW w:w="1407" w:type="dxa"/>
          </w:tcPr>
          <w:p w14:paraId="1473CF49" w14:textId="77777777" w:rsidR="00981417" w:rsidRDefault="00000000">
            <w:pPr>
              <w:jc w:val="center"/>
            </w:pPr>
            <w:r>
              <w:rPr>
                <w:sz w:val="20"/>
              </w:rPr>
              <w:t>0.00</w:t>
            </w:r>
          </w:p>
        </w:tc>
        <w:tc>
          <w:tcPr>
            <w:tcW w:w="1407" w:type="dxa"/>
          </w:tcPr>
          <w:p w14:paraId="39E3DA5E" w14:textId="77777777" w:rsidR="00981417" w:rsidRDefault="00000000">
            <w:pPr>
              <w:jc w:val="center"/>
            </w:pPr>
            <w:r>
              <w:rPr>
                <w:sz w:val="20"/>
              </w:rPr>
              <w:t>0.00</w:t>
            </w:r>
          </w:p>
        </w:tc>
        <w:tc>
          <w:tcPr>
            <w:tcW w:w="1407" w:type="dxa"/>
          </w:tcPr>
          <w:p w14:paraId="753D207C" w14:textId="77777777" w:rsidR="00981417" w:rsidRDefault="00000000">
            <w:pPr>
              <w:jc w:val="center"/>
            </w:pPr>
            <w:r>
              <w:rPr>
                <w:sz w:val="20"/>
              </w:rPr>
              <w:t>0.00</w:t>
            </w:r>
          </w:p>
        </w:tc>
      </w:tr>
      <w:tr w:rsidR="00981417" w14:paraId="1110E2FC" w14:textId="77777777">
        <w:trPr>
          <w:jc w:val="center"/>
        </w:trPr>
        <w:tc>
          <w:tcPr>
            <w:tcW w:w="1407" w:type="dxa"/>
          </w:tcPr>
          <w:p w14:paraId="342EBFDB" w14:textId="77777777" w:rsidR="00981417" w:rsidRDefault="00000000">
            <w:r>
              <w:rPr>
                <w:sz w:val="20"/>
              </w:rPr>
              <w:t>Përfitimet për grupet e tjera - në vazhdimësi</w:t>
            </w:r>
          </w:p>
        </w:tc>
        <w:tc>
          <w:tcPr>
            <w:tcW w:w="1407" w:type="dxa"/>
          </w:tcPr>
          <w:p w14:paraId="0083093B" w14:textId="77777777" w:rsidR="00981417" w:rsidRDefault="00000000">
            <w:pPr>
              <w:jc w:val="center"/>
            </w:pPr>
            <w:r>
              <w:rPr>
                <w:sz w:val="20"/>
              </w:rPr>
              <w:t>3.50</w:t>
            </w:r>
          </w:p>
        </w:tc>
        <w:tc>
          <w:tcPr>
            <w:tcW w:w="1407" w:type="dxa"/>
          </w:tcPr>
          <w:p w14:paraId="3E05D9A7" w14:textId="77777777" w:rsidR="00981417" w:rsidRDefault="00000000">
            <w:pPr>
              <w:jc w:val="center"/>
            </w:pPr>
            <w:r>
              <w:rPr>
                <w:sz w:val="20"/>
              </w:rPr>
              <w:t>3.50</w:t>
            </w:r>
          </w:p>
        </w:tc>
        <w:tc>
          <w:tcPr>
            <w:tcW w:w="1407" w:type="dxa"/>
          </w:tcPr>
          <w:p w14:paraId="017B9E82" w14:textId="77777777" w:rsidR="00981417" w:rsidRDefault="00000000">
            <w:pPr>
              <w:jc w:val="center"/>
            </w:pPr>
            <w:r>
              <w:rPr>
                <w:sz w:val="20"/>
              </w:rPr>
              <w:t>3.50</w:t>
            </w:r>
          </w:p>
        </w:tc>
        <w:tc>
          <w:tcPr>
            <w:tcW w:w="1407" w:type="dxa"/>
          </w:tcPr>
          <w:p w14:paraId="7E7CA110" w14:textId="77777777" w:rsidR="00981417" w:rsidRDefault="00000000">
            <w:pPr>
              <w:jc w:val="center"/>
            </w:pPr>
            <w:r>
              <w:rPr>
                <w:sz w:val="20"/>
              </w:rPr>
              <w:t>3.50</w:t>
            </w:r>
          </w:p>
        </w:tc>
        <w:tc>
          <w:tcPr>
            <w:tcW w:w="1407" w:type="dxa"/>
          </w:tcPr>
          <w:p w14:paraId="0E3BD9BA" w14:textId="77777777" w:rsidR="00981417" w:rsidRDefault="00000000">
            <w:pPr>
              <w:jc w:val="center"/>
            </w:pPr>
            <w:r>
              <w:rPr>
                <w:sz w:val="20"/>
              </w:rPr>
              <w:t>3.50</w:t>
            </w:r>
          </w:p>
        </w:tc>
        <w:tc>
          <w:tcPr>
            <w:tcW w:w="1407" w:type="dxa"/>
          </w:tcPr>
          <w:p w14:paraId="291C7DC7" w14:textId="77777777" w:rsidR="00981417" w:rsidRDefault="00000000">
            <w:pPr>
              <w:jc w:val="center"/>
            </w:pPr>
            <w:r>
              <w:rPr>
                <w:sz w:val="20"/>
              </w:rPr>
              <w:t>3.50</w:t>
            </w:r>
          </w:p>
        </w:tc>
        <w:tc>
          <w:tcPr>
            <w:tcW w:w="1407" w:type="dxa"/>
          </w:tcPr>
          <w:p w14:paraId="45120087" w14:textId="77777777" w:rsidR="00981417" w:rsidRDefault="00000000">
            <w:pPr>
              <w:jc w:val="center"/>
            </w:pPr>
            <w:r>
              <w:rPr>
                <w:sz w:val="20"/>
              </w:rPr>
              <w:t>3.50</w:t>
            </w:r>
          </w:p>
        </w:tc>
        <w:tc>
          <w:tcPr>
            <w:tcW w:w="1407" w:type="dxa"/>
          </w:tcPr>
          <w:p w14:paraId="5EAB0E96" w14:textId="77777777" w:rsidR="00981417" w:rsidRDefault="00000000">
            <w:pPr>
              <w:jc w:val="center"/>
            </w:pPr>
            <w:r>
              <w:rPr>
                <w:sz w:val="20"/>
              </w:rPr>
              <w:t>3.50</w:t>
            </w:r>
          </w:p>
        </w:tc>
        <w:tc>
          <w:tcPr>
            <w:tcW w:w="1407" w:type="dxa"/>
          </w:tcPr>
          <w:p w14:paraId="635B7EA3" w14:textId="77777777" w:rsidR="00981417" w:rsidRDefault="00000000">
            <w:pPr>
              <w:jc w:val="center"/>
            </w:pPr>
            <w:r>
              <w:rPr>
                <w:sz w:val="20"/>
              </w:rPr>
              <w:t>3.50</w:t>
            </w:r>
          </w:p>
        </w:tc>
        <w:tc>
          <w:tcPr>
            <w:tcW w:w="1407" w:type="dxa"/>
          </w:tcPr>
          <w:p w14:paraId="48160D81" w14:textId="77777777" w:rsidR="00981417" w:rsidRDefault="00000000">
            <w:pPr>
              <w:jc w:val="center"/>
            </w:pPr>
            <w:r>
              <w:rPr>
                <w:sz w:val="20"/>
              </w:rPr>
              <w:t>3.50</w:t>
            </w:r>
          </w:p>
        </w:tc>
      </w:tr>
      <w:tr w:rsidR="00981417" w14:paraId="660A58D6" w14:textId="77777777">
        <w:trPr>
          <w:jc w:val="center"/>
        </w:trPr>
        <w:tc>
          <w:tcPr>
            <w:tcW w:w="1407" w:type="dxa"/>
          </w:tcPr>
          <w:p w14:paraId="4FE09E36" w14:textId="77777777" w:rsidR="00981417" w:rsidRDefault="00000000">
            <w:r>
              <w:rPr>
                <w:sz w:val="20"/>
              </w:rPr>
              <w:t>Përfitimet për biznesin - një herë</w:t>
            </w:r>
          </w:p>
        </w:tc>
        <w:tc>
          <w:tcPr>
            <w:tcW w:w="1407" w:type="dxa"/>
          </w:tcPr>
          <w:p w14:paraId="77224E16" w14:textId="77777777" w:rsidR="00981417" w:rsidRDefault="00000000">
            <w:pPr>
              <w:jc w:val="center"/>
            </w:pPr>
            <w:r>
              <w:rPr>
                <w:sz w:val="20"/>
              </w:rPr>
              <w:t>0.00</w:t>
            </w:r>
          </w:p>
        </w:tc>
        <w:tc>
          <w:tcPr>
            <w:tcW w:w="1407" w:type="dxa"/>
          </w:tcPr>
          <w:p w14:paraId="7A1AA557" w14:textId="77777777" w:rsidR="00981417" w:rsidRDefault="00000000">
            <w:pPr>
              <w:jc w:val="center"/>
            </w:pPr>
            <w:r>
              <w:rPr>
                <w:sz w:val="20"/>
              </w:rPr>
              <w:t>0.00</w:t>
            </w:r>
          </w:p>
        </w:tc>
        <w:tc>
          <w:tcPr>
            <w:tcW w:w="1407" w:type="dxa"/>
          </w:tcPr>
          <w:p w14:paraId="6B45E47A" w14:textId="77777777" w:rsidR="00981417" w:rsidRDefault="00000000">
            <w:pPr>
              <w:jc w:val="center"/>
            </w:pPr>
            <w:r>
              <w:rPr>
                <w:sz w:val="20"/>
              </w:rPr>
              <w:t>0.00</w:t>
            </w:r>
          </w:p>
        </w:tc>
        <w:tc>
          <w:tcPr>
            <w:tcW w:w="1407" w:type="dxa"/>
          </w:tcPr>
          <w:p w14:paraId="735B0F7B" w14:textId="77777777" w:rsidR="00981417" w:rsidRDefault="00000000">
            <w:pPr>
              <w:jc w:val="center"/>
            </w:pPr>
            <w:r>
              <w:rPr>
                <w:sz w:val="20"/>
              </w:rPr>
              <w:t>0.00</w:t>
            </w:r>
          </w:p>
        </w:tc>
        <w:tc>
          <w:tcPr>
            <w:tcW w:w="1407" w:type="dxa"/>
          </w:tcPr>
          <w:p w14:paraId="076DE8EF" w14:textId="77777777" w:rsidR="00981417" w:rsidRDefault="00000000">
            <w:pPr>
              <w:jc w:val="center"/>
            </w:pPr>
            <w:r>
              <w:rPr>
                <w:sz w:val="20"/>
              </w:rPr>
              <w:t>0.00</w:t>
            </w:r>
          </w:p>
        </w:tc>
        <w:tc>
          <w:tcPr>
            <w:tcW w:w="1407" w:type="dxa"/>
          </w:tcPr>
          <w:p w14:paraId="1E8DC70F" w14:textId="77777777" w:rsidR="00981417" w:rsidRDefault="00000000">
            <w:pPr>
              <w:jc w:val="center"/>
            </w:pPr>
            <w:r>
              <w:rPr>
                <w:sz w:val="20"/>
              </w:rPr>
              <w:t>0.00</w:t>
            </w:r>
          </w:p>
        </w:tc>
        <w:tc>
          <w:tcPr>
            <w:tcW w:w="1407" w:type="dxa"/>
          </w:tcPr>
          <w:p w14:paraId="401A40B3" w14:textId="77777777" w:rsidR="00981417" w:rsidRDefault="00000000">
            <w:pPr>
              <w:jc w:val="center"/>
            </w:pPr>
            <w:r>
              <w:rPr>
                <w:sz w:val="20"/>
              </w:rPr>
              <w:t>0.00</w:t>
            </w:r>
          </w:p>
        </w:tc>
        <w:tc>
          <w:tcPr>
            <w:tcW w:w="1407" w:type="dxa"/>
          </w:tcPr>
          <w:p w14:paraId="4A30D9FC" w14:textId="77777777" w:rsidR="00981417" w:rsidRDefault="00000000">
            <w:pPr>
              <w:jc w:val="center"/>
            </w:pPr>
            <w:r>
              <w:rPr>
                <w:sz w:val="20"/>
              </w:rPr>
              <w:t>0.00</w:t>
            </w:r>
          </w:p>
        </w:tc>
        <w:tc>
          <w:tcPr>
            <w:tcW w:w="1407" w:type="dxa"/>
          </w:tcPr>
          <w:p w14:paraId="4F2772E9" w14:textId="77777777" w:rsidR="00981417" w:rsidRDefault="00000000">
            <w:pPr>
              <w:jc w:val="center"/>
            </w:pPr>
            <w:r>
              <w:rPr>
                <w:sz w:val="20"/>
              </w:rPr>
              <w:t>0.00</w:t>
            </w:r>
          </w:p>
        </w:tc>
        <w:tc>
          <w:tcPr>
            <w:tcW w:w="1407" w:type="dxa"/>
          </w:tcPr>
          <w:p w14:paraId="377030BB" w14:textId="77777777" w:rsidR="00981417" w:rsidRDefault="00000000">
            <w:pPr>
              <w:jc w:val="center"/>
            </w:pPr>
            <w:r>
              <w:rPr>
                <w:sz w:val="20"/>
              </w:rPr>
              <w:t>0.00</w:t>
            </w:r>
          </w:p>
        </w:tc>
      </w:tr>
      <w:tr w:rsidR="00981417" w14:paraId="18E2BB13" w14:textId="77777777">
        <w:trPr>
          <w:jc w:val="center"/>
        </w:trPr>
        <w:tc>
          <w:tcPr>
            <w:tcW w:w="1407" w:type="dxa"/>
          </w:tcPr>
          <w:p w14:paraId="35FF00F4" w14:textId="77777777" w:rsidR="00981417" w:rsidRDefault="00000000">
            <w:r>
              <w:rPr>
                <w:sz w:val="20"/>
              </w:rPr>
              <w:lastRenderedPageBreak/>
              <w:t>Përfitimet për biznesin - në vazhdimësi</w:t>
            </w:r>
          </w:p>
        </w:tc>
        <w:tc>
          <w:tcPr>
            <w:tcW w:w="1407" w:type="dxa"/>
          </w:tcPr>
          <w:p w14:paraId="12D46A1C" w14:textId="77777777" w:rsidR="00981417" w:rsidRDefault="00000000">
            <w:pPr>
              <w:jc w:val="center"/>
            </w:pPr>
            <w:r>
              <w:rPr>
                <w:sz w:val="20"/>
              </w:rPr>
              <w:t>6.00</w:t>
            </w:r>
          </w:p>
        </w:tc>
        <w:tc>
          <w:tcPr>
            <w:tcW w:w="1407" w:type="dxa"/>
          </w:tcPr>
          <w:p w14:paraId="79F76300" w14:textId="77777777" w:rsidR="00981417" w:rsidRDefault="00000000">
            <w:pPr>
              <w:jc w:val="center"/>
            </w:pPr>
            <w:r>
              <w:rPr>
                <w:sz w:val="20"/>
              </w:rPr>
              <w:t>6.00</w:t>
            </w:r>
          </w:p>
        </w:tc>
        <w:tc>
          <w:tcPr>
            <w:tcW w:w="1407" w:type="dxa"/>
          </w:tcPr>
          <w:p w14:paraId="229DE4FF" w14:textId="77777777" w:rsidR="00981417" w:rsidRDefault="00000000">
            <w:pPr>
              <w:jc w:val="center"/>
            </w:pPr>
            <w:r>
              <w:rPr>
                <w:sz w:val="20"/>
              </w:rPr>
              <w:t>6.00</w:t>
            </w:r>
          </w:p>
        </w:tc>
        <w:tc>
          <w:tcPr>
            <w:tcW w:w="1407" w:type="dxa"/>
          </w:tcPr>
          <w:p w14:paraId="1E66D6FE" w14:textId="77777777" w:rsidR="00981417" w:rsidRDefault="00000000">
            <w:pPr>
              <w:jc w:val="center"/>
            </w:pPr>
            <w:r>
              <w:rPr>
                <w:sz w:val="20"/>
              </w:rPr>
              <w:t>6.00</w:t>
            </w:r>
          </w:p>
        </w:tc>
        <w:tc>
          <w:tcPr>
            <w:tcW w:w="1407" w:type="dxa"/>
          </w:tcPr>
          <w:p w14:paraId="6A528545" w14:textId="77777777" w:rsidR="00981417" w:rsidRDefault="00000000">
            <w:pPr>
              <w:jc w:val="center"/>
            </w:pPr>
            <w:r>
              <w:rPr>
                <w:sz w:val="20"/>
              </w:rPr>
              <w:t>6.00</w:t>
            </w:r>
          </w:p>
        </w:tc>
        <w:tc>
          <w:tcPr>
            <w:tcW w:w="1407" w:type="dxa"/>
          </w:tcPr>
          <w:p w14:paraId="7ACF8E57" w14:textId="77777777" w:rsidR="00981417" w:rsidRDefault="00000000">
            <w:pPr>
              <w:jc w:val="center"/>
            </w:pPr>
            <w:r>
              <w:rPr>
                <w:sz w:val="20"/>
              </w:rPr>
              <w:t>6.00</w:t>
            </w:r>
          </w:p>
        </w:tc>
        <w:tc>
          <w:tcPr>
            <w:tcW w:w="1407" w:type="dxa"/>
          </w:tcPr>
          <w:p w14:paraId="07949D7D" w14:textId="77777777" w:rsidR="00981417" w:rsidRDefault="00000000">
            <w:pPr>
              <w:jc w:val="center"/>
            </w:pPr>
            <w:r>
              <w:rPr>
                <w:sz w:val="20"/>
              </w:rPr>
              <w:t>6.00</w:t>
            </w:r>
          </w:p>
        </w:tc>
        <w:tc>
          <w:tcPr>
            <w:tcW w:w="1407" w:type="dxa"/>
          </w:tcPr>
          <w:p w14:paraId="6B6A7DE1" w14:textId="77777777" w:rsidR="00981417" w:rsidRDefault="00000000">
            <w:pPr>
              <w:jc w:val="center"/>
            </w:pPr>
            <w:r>
              <w:rPr>
                <w:sz w:val="20"/>
              </w:rPr>
              <w:t>6.00</w:t>
            </w:r>
          </w:p>
        </w:tc>
        <w:tc>
          <w:tcPr>
            <w:tcW w:w="1407" w:type="dxa"/>
          </w:tcPr>
          <w:p w14:paraId="6F6C06CA" w14:textId="77777777" w:rsidR="00981417" w:rsidRDefault="00000000">
            <w:pPr>
              <w:jc w:val="center"/>
            </w:pPr>
            <w:r>
              <w:rPr>
                <w:sz w:val="20"/>
              </w:rPr>
              <w:t>6.00</w:t>
            </w:r>
          </w:p>
        </w:tc>
        <w:tc>
          <w:tcPr>
            <w:tcW w:w="1407" w:type="dxa"/>
          </w:tcPr>
          <w:p w14:paraId="1E4D5C82" w14:textId="77777777" w:rsidR="00981417" w:rsidRDefault="00000000">
            <w:pPr>
              <w:jc w:val="center"/>
            </w:pPr>
            <w:r>
              <w:rPr>
                <w:sz w:val="20"/>
              </w:rPr>
              <w:t>6.00</w:t>
            </w:r>
          </w:p>
        </w:tc>
      </w:tr>
      <w:tr w:rsidR="00981417" w14:paraId="0729FBB8" w14:textId="77777777">
        <w:trPr>
          <w:jc w:val="center"/>
        </w:trPr>
        <w:tc>
          <w:tcPr>
            <w:tcW w:w="1407" w:type="dxa"/>
          </w:tcPr>
          <w:p w14:paraId="4D2F8531" w14:textId="77777777" w:rsidR="00981417" w:rsidRDefault="00000000">
            <w:r>
              <w:rPr>
                <w:b/>
                <w:sz w:val="20"/>
              </w:rPr>
              <w:t>Përfitimet totale</w:t>
            </w:r>
          </w:p>
        </w:tc>
        <w:tc>
          <w:tcPr>
            <w:tcW w:w="1407" w:type="dxa"/>
          </w:tcPr>
          <w:p w14:paraId="331598F8" w14:textId="77777777" w:rsidR="00981417" w:rsidRDefault="00000000">
            <w:pPr>
              <w:jc w:val="center"/>
            </w:pPr>
            <w:r>
              <w:rPr>
                <w:b/>
                <w:sz w:val="20"/>
              </w:rPr>
              <w:t>9.50</w:t>
            </w:r>
          </w:p>
        </w:tc>
        <w:tc>
          <w:tcPr>
            <w:tcW w:w="1407" w:type="dxa"/>
          </w:tcPr>
          <w:p w14:paraId="5E9A38B6" w14:textId="77777777" w:rsidR="00981417" w:rsidRDefault="00000000">
            <w:pPr>
              <w:jc w:val="center"/>
            </w:pPr>
            <w:r>
              <w:rPr>
                <w:b/>
                <w:sz w:val="20"/>
              </w:rPr>
              <w:t>9.50</w:t>
            </w:r>
          </w:p>
        </w:tc>
        <w:tc>
          <w:tcPr>
            <w:tcW w:w="1407" w:type="dxa"/>
          </w:tcPr>
          <w:p w14:paraId="5D7E770E" w14:textId="77777777" w:rsidR="00981417" w:rsidRDefault="00000000">
            <w:pPr>
              <w:jc w:val="center"/>
            </w:pPr>
            <w:r>
              <w:rPr>
                <w:b/>
                <w:sz w:val="20"/>
              </w:rPr>
              <w:t>9.50</w:t>
            </w:r>
          </w:p>
        </w:tc>
        <w:tc>
          <w:tcPr>
            <w:tcW w:w="1407" w:type="dxa"/>
          </w:tcPr>
          <w:p w14:paraId="57AA453A" w14:textId="77777777" w:rsidR="00981417" w:rsidRDefault="00000000">
            <w:pPr>
              <w:jc w:val="center"/>
            </w:pPr>
            <w:r>
              <w:rPr>
                <w:b/>
                <w:sz w:val="20"/>
              </w:rPr>
              <w:t>9.50</w:t>
            </w:r>
          </w:p>
        </w:tc>
        <w:tc>
          <w:tcPr>
            <w:tcW w:w="1407" w:type="dxa"/>
          </w:tcPr>
          <w:p w14:paraId="3A2EA68D" w14:textId="77777777" w:rsidR="00981417" w:rsidRDefault="00000000">
            <w:pPr>
              <w:jc w:val="center"/>
            </w:pPr>
            <w:r>
              <w:rPr>
                <w:b/>
                <w:sz w:val="20"/>
              </w:rPr>
              <w:t>9.50</w:t>
            </w:r>
          </w:p>
        </w:tc>
        <w:tc>
          <w:tcPr>
            <w:tcW w:w="1407" w:type="dxa"/>
          </w:tcPr>
          <w:p w14:paraId="2AB838F4" w14:textId="77777777" w:rsidR="00981417" w:rsidRDefault="00000000">
            <w:pPr>
              <w:jc w:val="center"/>
            </w:pPr>
            <w:r>
              <w:rPr>
                <w:b/>
                <w:sz w:val="20"/>
              </w:rPr>
              <w:t>9.50</w:t>
            </w:r>
          </w:p>
        </w:tc>
        <w:tc>
          <w:tcPr>
            <w:tcW w:w="1407" w:type="dxa"/>
          </w:tcPr>
          <w:p w14:paraId="786DB849" w14:textId="77777777" w:rsidR="00981417" w:rsidRDefault="00000000">
            <w:pPr>
              <w:jc w:val="center"/>
            </w:pPr>
            <w:r>
              <w:rPr>
                <w:b/>
                <w:sz w:val="20"/>
              </w:rPr>
              <w:t>9.50</w:t>
            </w:r>
          </w:p>
        </w:tc>
        <w:tc>
          <w:tcPr>
            <w:tcW w:w="1407" w:type="dxa"/>
          </w:tcPr>
          <w:p w14:paraId="2443CBF2" w14:textId="77777777" w:rsidR="00981417" w:rsidRDefault="00000000">
            <w:pPr>
              <w:jc w:val="center"/>
            </w:pPr>
            <w:r>
              <w:rPr>
                <w:b/>
                <w:sz w:val="20"/>
              </w:rPr>
              <w:t>9.50</w:t>
            </w:r>
          </w:p>
        </w:tc>
        <w:tc>
          <w:tcPr>
            <w:tcW w:w="1407" w:type="dxa"/>
          </w:tcPr>
          <w:p w14:paraId="57F3CD77" w14:textId="77777777" w:rsidR="00981417" w:rsidRDefault="00000000">
            <w:pPr>
              <w:jc w:val="center"/>
            </w:pPr>
            <w:r>
              <w:rPr>
                <w:b/>
                <w:sz w:val="20"/>
              </w:rPr>
              <w:t>9.50</w:t>
            </w:r>
          </w:p>
        </w:tc>
        <w:tc>
          <w:tcPr>
            <w:tcW w:w="1407" w:type="dxa"/>
          </w:tcPr>
          <w:p w14:paraId="3F1E442B" w14:textId="77777777" w:rsidR="00981417" w:rsidRDefault="00000000">
            <w:pPr>
              <w:jc w:val="center"/>
            </w:pPr>
            <w:r>
              <w:rPr>
                <w:b/>
                <w:sz w:val="20"/>
              </w:rPr>
              <w:t>9.50</w:t>
            </w:r>
          </w:p>
        </w:tc>
      </w:tr>
      <w:tr w:rsidR="00981417" w14:paraId="51F61D88" w14:textId="77777777">
        <w:trPr>
          <w:jc w:val="center"/>
        </w:trPr>
        <w:tc>
          <w:tcPr>
            <w:tcW w:w="1407" w:type="dxa"/>
          </w:tcPr>
          <w:p w14:paraId="70AA6A01" w14:textId="77777777" w:rsidR="00981417" w:rsidRDefault="00000000">
            <w:r>
              <w:rPr>
                <w:b/>
                <w:sz w:val="20"/>
              </w:rPr>
              <w:t>Përfitimi i zbritur = Përfitimi në total x Faktori zbritës</w:t>
            </w:r>
          </w:p>
        </w:tc>
        <w:tc>
          <w:tcPr>
            <w:tcW w:w="1407" w:type="dxa"/>
          </w:tcPr>
          <w:p w14:paraId="54B18FFD" w14:textId="77777777" w:rsidR="00981417" w:rsidRDefault="00000000">
            <w:pPr>
              <w:jc w:val="center"/>
            </w:pPr>
            <w:r>
              <w:rPr>
                <w:b/>
                <w:sz w:val="20"/>
              </w:rPr>
              <w:t>9.50</w:t>
            </w:r>
          </w:p>
        </w:tc>
        <w:tc>
          <w:tcPr>
            <w:tcW w:w="1407" w:type="dxa"/>
          </w:tcPr>
          <w:p w14:paraId="3AEDBED8" w14:textId="77777777" w:rsidR="00981417" w:rsidRDefault="00000000">
            <w:pPr>
              <w:jc w:val="center"/>
            </w:pPr>
            <w:r>
              <w:rPr>
                <w:b/>
                <w:sz w:val="20"/>
              </w:rPr>
              <w:t>9.03</w:t>
            </w:r>
          </w:p>
        </w:tc>
        <w:tc>
          <w:tcPr>
            <w:tcW w:w="1407" w:type="dxa"/>
          </w:tcPr>
          <w:p w14:paraId="4DBF2774" w14:textId="77777777" w:rsidR="00981417" w:rsidRDefault="00000000">
            <w:pPr>
              <w:jc w:val="center"/>
            </w:pPr>
            <w:r>
              <w:rPr>
                <w:b/>
                <w:sz w:val="20"/>
              </w:rPr>
              <w:t>8.64</w:t>
            </w:r>
          </w:p>
        </w:tc>
        <w:tc>
          <w:tcPr>
            <w:tcW w:w="1407" w:type="dxa"/>
          </w:tcPr>
          <w:p w14:paraId="395975D1" w14:textId="77777777" w:rsidR="00981417" w:rsidRDefault="00000000">
            <w:pPr>
              <w:jc w:val="center"/>
            </w:pPr>
            <w:r>
              <w:rPr>
                <w:b/>
                <w:sz w:val="20"/>
              </w:rPr>
              <w:t>8.27</w:t>
            </w:r>
          </w:p>
        </w:tc>
        <w:tc>
          <w:tcPr>
            <w:tcW w:w="1407" w:type="dxa"/>
          </w:tcPr>
          <w:p w14:paraId="3809A340" w14:textId="77777777" w:rsidR="00981417" w:rsidRDefault="00000000">
            <w:pPr>
              <w:jc w:val="center"/>
            </w:pPr>
            <w:r>
              <w:rPr>
                <w:b/>
                <w:sz w:val="20"/>
              </w:rPr>
              <w:t>7.79</w:t>
            </w:r>
          </w:p>
        </w:tc>
        <w:tc>
          <w:tcPr>
            <w:tcW w:w="1407" w:type="dxa"/>
          </w:tcPr>
          <w:p w14:paraId="64C89D4C" w14:textId="77777777" w:rsidR="00981417" w:rsidRDefault="00000000">
            <w:pPr>
              <w:jc w:val="center"/>
            </w:pPr>
            <w:r>
              <w:rPr>
                <w:b/>
                <w:sz w:val="20"/>
              </w:rPr>
              <w:t>7.51</w:t>
            </w:r>
          </w:p>
        </w:tc>
        <w:tc>
          <w:tcPr>
            <w:tcW w:w="1407" w:type="dxa"/>
          </w:tcPr>
          <w:p w14:paraId="7F475EA6" w14:textId="77777777" w:rsidR="00981417" w:rsidRDefault="00000000">
            <w:pPr>
              <w:jc w:val="center"/>
            </w:pPr>
            <w:r>
              <w:rPr>
                <w:b/>
                <w:sz w:val="20"/>
              </w:rPr>
              <w:t>7.12</w:t>
            </w:r>
          </w:p>
        </w:tc>
        <w:tc>
          <w:tcPr>
            <w:tcW w:w="1407" w:type="dxa"/>
          </w:tcPr>
          <w:p w14:paraId="7006F1AD" w14:textId="77777777" w:rsidR="00981417" w:rsidRDefault="00000000">
            <w:pPr>
              <w:jc w:val="center"/>
            </w:pPr>
            <w:r>
              <w:rPr>
                <w:b/>
                <w:sz w:val="20"/>
              </w:rPr>
              <w:t>6.74</w:t>
            </w:r>
          </w:p>
        </w:tc>
        <w:tc>
          <w:tcPr>
            <w:tcW w:w="1407" w:type="dxa"/>
          </w:tcPr>
          <w:p w14:paraId="55725EED" w14:textId="77777777" w:rsidR="00981417" w:rsidRDefault="00000000">
            <w:pPr>
              <w:jc w:val="center"/>
            </w:pPr>
            <w:r>
              <w:rPr>
                <w:b/>
                <w:sz w:val="20"/>
              </w:rPr>
              <w:t>6.46</w:t>
            </w:r>
          </w:p>
        </w:tc>
        <w:tc>
          <w:tcPr>
            <w:tcW w:w="1407" w:type="dxa"/>
          </w:tcPr>
          <w:p w14:paraId="1FB0854A" w14:textId="77777777" w:rsidR="00981417" w:rsidRDefault="00000000">
            <w:pPr>
              <w:jc w:val="center"/>
            </w:pPr>
            <w:r>
              <w:rPr>
                <w:b/>
                <w:sz w:val="20"/>
              </w:rPr>
              <w:t>6.17</w:t>
            </w:r>
          </w:p>
        </w:tc>
      </w:tr>
      <w:tr w:rsidR="00981417" w14:paraId="71D4BA46" w14:textId="77777777">
        <w:trPr>
          <w:jc w:val="center"/>
        </w:trPr>
        <w:tc>
          <w:tcPr>
            <w:tcW w:w="1407" w:type="dxa"/>
          </w:tcPr>
          <w:p w14:paraId="69D7C657" w14:textId="77777777" w:rsidR="00981417" w:rsidRPr="00E67D32" w:rsidRDefault="00000000">
            <w:pPr>
              <w:rPr>
                <w:lang w:val="fr-FR"/>
              </w:rPr>
            </w:pPr>
            <w:r w:rsidRPr="00E67D32">
              <w:rPr>
                <w:b/>
                <w:sz w:val="20"/>
                <w:lang w:val="fr-FR"/>
              </w:rPr>
              <w:t>Vlera prezente aktuale e përfitimit në total</w:t>
            </w:r>
          </w:p>
        </w:tc>
        <w:tc>
          <w:tcPr>
            <w:tcW w:w="14070" w:type="dxa"/>
            <w:gridSpan w:val="10"/>
          </w:tcPr>
          <w:p w14:paraId="15E0F2F1" w14:textId="77777777" w:rsidR="00981417" w:rsidRDefault="00000000">
            <w:pPr>
              <w:jc w:val="center"/>
            </w:pPr>
            <w:r>
              <w:rPr>
                <w:b/>
                <w:sz w:val="21"/>
              </w:rPr>
              <w:t>77.23</w:t>
            </w:r>
          </w:p>
        </w:tc>
      </w:tr>
      <w:tr w:rsidR="00981417" w14:paraId="1B3C38B6" w14:textId="77777777">
        <w:trPr>
          <w:jc w:val="center"/>
        </w:trPr>
        <w:tc>
          <w:tcPr>
            <w:tcW w:w="1407" w:type="dxa"/>
          </w:tcPr>
          <w:p w14:paraId="08FB0E83" w14:textId="77777777" w:rsidR="00981417" w:rsidRPr="00B256EB" w:rsidRDefault="00000000">
            <w:pPr>
              <w:rPr>
                <w:lang w:val="pt-BR"/>
              </w:rPr>
            </w:pPr>
            <w:r w:rsidRPr="00B256EB">
              <w:rPr>
                <w:b/>
                <w:sz w:val="20"/>
                <w:lang w:val="pt-BR"/>
              </w:rPr>
              <w:t>Vlera prezente aktuale e kostos në total</w:t>
            </w:r>
          </w:p>
        </w:tc>
        <w:tc>
          <w:tcPr>
            <w:tcW w:w="14070" w:type="dxa"/>
            <w:gridSpan w:val="10"/>
          </w:tcPr>
          <w:p w14:paraId="22686D77" w14:textId="77777777" w:rsidR="00981417" w:rsidRDefault="00000000">
            <w:pPr>
              <w:jc w:val="center"/>
            </w:pPr>
            <w:r>
              <w:rPr>
                <w:b/>
                <w:sz w:val="21"/>
              </w:rPr>
              <w:t>55.64</w:t>
            </w:r>
          </w:p>
        </w:tc>
      </w:tr>
      <w:tr w:rsidR="00981417" w14:paraId="11627A63" w14:textId="77777777">
        <w:trPr>
          <w:jc w:val="center"/>
        </w:trPr>
        <w:tc>
          <w:tcPr>
            <w:tcW w:w="1407" w:type="dxa"/>
          </w:tcPr>
          <w:p w14:paraId="705866B8" w14:textId="77777777" w:rsidR="00981417" w:rsidRDefault="00000000">
            <w:r>
              <w:rPr>
                <w:b/>
                <w:sz w:val="20"/>
              </w:rPr>
              <w:t>Vlera Prezente Neto Aktuale (VAN) = Vlera aktuale e përfitimit në total - Vlera aktuale e kostos në total</w:t>
            </w:r>
          </w:p>
        </w:tc>
        <w:tc>
          <w:tcPr>
            <w:tcW w:w="14070" w:type="dxa"/>
            <w:gridSpan w:val="10"/>
          </w:tcPr>
          <w:p w14:paraId="0A69A16D" w14:textId="77777777" w:rsidR="00981417" w:rsidRDefault="00000000">
            <w:pPr>
              <w:jc w:val="center"/>
            </w:pPr>
            <w:r>
              <w:rPr>
                <w:b/>
                <w:sz w:val="21"/>
              </w:rPr>
              <w:t>21.59</w:t>
            </w:r>
          </w:p>
        </w:tc>
      </w:tr>
    </w:tbl>
    <w:p w14:paraId="09FDECC1" w14:textId="77777777" w:rsidR="00981417" w:rsidRDefault="00981417">
      <w:pPr>
        <w:sectPr w:rsidR="00981417">
          <w:pgSz w:w="16838" w:h="11906" w:orient="landscape"/>
          <w:pgMar w:top="680" w:right="680" w:bottom="680" w:left="680" w:header="720" w:footer="720" w:gutter="0"/>
          <w:cols w:space="720"/>
          <w:docGrid w:linePitch="360"/>
        </w:sectPr>
      </w:pPr>
    </w:p>
    <w:p w14:paraId="6D7051D9" w14:textId="77777777" w:rsidR="00981417" w:rsidRDefault="00000000">
      <w:r>
        <w:rPr>
          <w:b/>
          <w:sz w:val="24"/>
        </w:rPr>
        <w:lastRenderedPageBreak/>
        <w:t>Raporti i vlerësimit të ndikimit - Shtojca 2/b</w:t>
      </w:r>
    </w:p>
    <w:p w14:paraId="0900D258" w14:textId="77777777" w:rsidR="00981417" w:rsidRPr="00B256EB" w:rsidRDefault="00000000">
      <w:pPr>
        <w:rPr>
          <w:lang w:val="pt-BR"/>
        </w:rPr>
      </w:pPr>
      <w:r w:rsidRPr="00B256EB">
        <w:rPr>
          <w:b/>
          <w:i/>
          <w:lang w:val="pt-BR"/>
        </w:rPr>
        <w:t>Tabelë: Vlera aktuale neto në total e çdo opsioni</w:t>
      </w:r>
    </w:p>
    <w:tbl>
      <w:tblPr>
        <w:tblStyle w:val="TableGrid"/>
        <w:tblW w:w="0" w:type="auto"/>
        <w:jc w:val="center"/>
        <w:tblLook w:val="04A0" w:firstRow="1" w:lastRow="0" w:firstColumn="1" w:lastColumn="0" w:noHBand="0" w:noVBand="1"/>
      </w:tblPr>
      <w:tblGrid>
        <w:gridCol w:w="2551"/>
        <w:gridCol w:w="2551"/>
        <w:gridCol w:w="2551"/>
        <w:gridCol w:w="2736"/>
      </w:tblGrid>
      <w:tr w:rsidR="00981417" w:rsidRPr="005D5EFB" w14:paraId="055D69B5" w14:textId="77777777">
        <w:trPr>
          <w:jc w:val="center"/>
        </w:trPr>
        <w:tc>
          <w:tcPr>
            <w:tcW w:w="2448" w:type="dxa"/>
            <w:shd w:val="clear" w:color="auto" w:fill="D9D9D9"/>
          </w:tcPr>
          <w:p w14:paraId="7F922BA5" w14:textId="77777777" w:rsidR="00981417" w:rsidRDefault="00000000">
            <w:pPr>
              <w:jc w:val="center"/>
            </w:pPr>
            <w:r>
              <w:rPr>
                <w:b/>
                <w:sz w:val="21"/>
              </w:rPr>
              <w:t>Opsioni</w:t>
            </w:r>
          </w:p>
        </w:tc>
        <w:tc>
          <w:tcPr>
            <w:tcW w:w="4608" w:type="dxa"/>
            <w:gridSpan w:val="2"/>
            <w:shd w:val="clear" w:color="auto" w:fill="D9D9D9"/>
          </w:tcPr>
          <w:p w14:paraId="25A14331" w14:textId="77777777" w:rsidR="00981417" w:rsidRDefault="00981417">
            <w:pPr>
              <w:jc w:val="center"/>
            </w:pPr>
          </w:p>
        </w:tc>
        <w:tc>
          <w:tcPr>
            <w:tcW w:w="2736" w:type="dxa"/>
            <w:shd w:val="clear" w:color="auto" w:fill="D9D9D9"/>
          </w:tcPr>
          <w:p w14:paraId="369B7828" w14:textId="77777777" w:rsidR="00981417" w:rsidRPr="00B256EB" w:rsidRDefault="00000000">
            <w:pPr>
              <w:jc w:val="center"/>
              <w:rPr>
                <w:lang w:val="it-IT"/>
              </w:rPr>
            </w:pPr>
            <w:r w:rsidRPr="00B256EB">
              <w:rPr>
                <w:b/>
                <w:sz w:val="21"/>
                <w:lang w:val="it-IT"/>
              </w:rPr>
              <w:t>Vlera aktuale neto në milionë lekë</w:t>
            </w:r>
          </w:p>
        </w:tc>
      </w:tr>
      <w:tr w:rsidR="00981417" w:rsidRPr="005D5EFB" w14:paraId="47677E48" w14:textId="77777777">
        <w:trPr>
          <w:jc w:val="center"/>
        </w:trPr>
        <w:tc>
          <w:tcPr>
            <w:tcW w:w="2551" w:type="dxa"/>
            <w:shd w:val="clear" w:color="auto" w:fill="D9D9D9"/>
          </w:tcPr>
          <w:p w14:paraId="6BACE9B1" w14:textId="77777777" w:rsidR="00981417" w:rsidRDefault="00000000">
            <w:pPr>
              <w:jc w:val="center"/>
            </w:pPr>
            <w:r>
              <w:rPr>
                <w:b/>
                <w:sz w:val="21"/>
              </w:rPr>
              <w:t>Opsioni</w:t>
            </w:r>
          </w:p>
        </w:tc>
        <w:tc>
          <w:tcPr>
            <w:tcW w:w="2551" w:type="dxa"/>
            <w:shd w:val="clear" w:color="auto" w:fill="D9D9D9"/>
          </w:tcPr>
          <w:p w14:paraId="638E1A31" w14:textId="77777777" w:rsidR="00981417" w:rsidRDefault="00000000">
            <w:pPr>
              <w:jc w:val="center"/>
            </w:pPr>
            <w:r>
              <w:rPr>
                <w:b/>
                <w:sz w:val="21"/>
              </w:rPr>
              <w:t>Kosto</w:t>
            </w:r>
          </w:p>
        </w:tc>
        <w:tc>
          <w:tcPr>
            <w:tcW w:w="2551" w:type="dxa"/>
            <w:shd w:val="clear" w:color="auto" w:fill="D9D9D9"/>
          </w:tcPr>
          <w:p w14:paraId="5D8FC368" w14:textId="77777777" w:rsidR="00981417" w:rsidRDefault="00000000">
            <w:pPr>
              <w:jc w:val="center"/>
            </w:pPr>
            <w:r>
              <w:rPr>
                <w:b/>
                <w:sz w:val="21"/>
              </w:rPr>
              <w:t>Përfitimi</w:t>
            </w:r>
          </w:p>
        </w:tc>
        <w:tc>
          <w:tcPr>
            <w:tcW w:w="2551" w:type="dxa"/>
            <w:shd w:val="clear" w:color="auto" w:fill="D9D9D9"/>
          </w:tcPr>
          <w:p w14:paraId="6F48656A" w14:textId="77777777" w:rsidR="00981417" w:rsidRPr="00B256EB" w:rsidRDefault="00000000">
            <w:pPr>
              <w:jc w:val="center"/>
              <w:rPr>
                <w:lang w:val="it-IT"/>
              </w:rPr>
            </w:pPr>
            <w:r w:rsidRPr="00B256EB">
              <w:rPr>
                <w:b/>
                <w:sz w:val="21"/>
                <w:lang w:val="it-IT"/>
              </w:rPr>
              <w:t>Vlera aktuale neto në milionë lekë</w:t>
            </w:r>
          </w:p>
        </w:tc>
      </w:tr>
      <w:tr w:rsidR="00981417" w14:paraId="48D2547F" w14:textId="77777777">
        <w:trPr>
          <w:jc w:val="center"/>
        </w:trPr>
        <w:tc>
          <w:tcPr>
            <w:tcW w:w="2551" w:type="dxa"/>
          </w:tcPr>
          <w:p w14:paraId="686463D9" w14:textId="77777777" w:rsidR="00981417" w:rsidRDefault="00000000">
            <w:r>
              <w:t>Opsioni 1 - Ndërhyrje e pjesshme</w:t>
            </w:r>
          </w:p>
        </w:tc>
        <w:tc>
          <w:tcPr>
            <w:tcW w:w="2551" w:type="dxa"/>
          </w:tcPr>
          <w:p w14:paraId="6E5777E9" w14:textId="77777777" w:rsidR="00981417" w:rsidRDefault="00000000">
            <w:r>
              <w:t>40.44</w:t>
            </w:r>
          </w:p>
        </w:tc>
        <w:tc>
          <w:tcPr>
            <w:tcW w:w="2551" w:type="dxa"/>
          </w:tcPr>
          <w:p w14:paraId="2CA01E0E" w14:textId="77777777" w:rsidR="00981417" w:rsidRDefault="00000000">
            <w:r>
              <w:t>52.65</w:t>
            </w:r>
          </w:p>
        </w:tc>
        <w:tc>
          <w:tcPr>
            <w:tcW w:w="2551" w:type="dxa"/>
          </w:tcPr>
          <w:p w14:paraId="15ADD508" w14:textId="77777777" w:rsidR="00981417" w:rsidRDefault="00000000">
            <w:r>
              <w:t>12.21</w:t>
            </w:r>
          </w:p>
        </w:tc>
      </w:tr>
      <w:tr w:rsidR="00981417" w14:paraId="18F7BF5C" w14:textId="77777777">
        <w:trPr>
          <w:jc w:val="center"/>
        </w:trPr>
        <w:tc>
          <w:tcPr>
            <w:tcW w:w="2551" w:type="dxa"/>
          </w:tcPr>
          <w:p w14:paraId="480055A4" w14:textId="77777777" w:rsidR="00981417" w:rsidRPr="00B256EB" w:rsidRDefault="00000000">
            <w:pPr>
              <w:rPr>
                <w:lang w:val="it-IT"/>
              </w:rPr>
            </w:pPr>
            <w:r w:rsidRPr="00B256EB">
              <w:rPr>
                <w:lang w:val="it-IT"/>
              </w:rPr>
              <w:t>Opsioni 2 - Miratimi i projektligjit (opsioni i plotë)</w:t>
            </w:r>
          </w:p>
        </w:tc>
        <w:tc>
          <w:tcPr>
            <w:tcW w:w="2551" w:type="dxa"/>
          </w:tcPr>
          <w:p w14:paraId="4FE255AF" w14:textId="77777777" w:rsidR="00981417" w:rsidRDefault="00000000">
            <w:r>
              <w:t>55.64</w:t>
            </w:r>
          </w:p>
        </w:tc>
        <w:tc>
          <w:tcPr>
            <w:tcW w:w="2551" w:type="dxa"/>
          </w:tcPr>
          <w:p w14:paraId="38FE0400" w14:textId="77777777" w:rsidR="00981417" w:rsidRDefault="00000000">
            <w:r>
              <w:t>77.23</w:t>
            </w:r>
          </w:p>
        </w:tc>
        <w:tc>
          <w:tcPr>
            <w:tcW w:w="2551" w:type="dxa"/>
          </w:tcPr>
          <w:p w14:paraId="03EC3D49" w14:textId="77777777" w:rsidR="00981417" w:rsidRDefault="00000000">
            <w:r>
              <w:t>21.59</w:t>
            </w:r>
          </w:p>
        </w:tc>
      </w:tr>
    </w:tbl>
    <w:p w14:paraId="4E360E93" w14:textId="6BD4F29B" w:rsidR="00F411E2" w:rsidRPr="00E96821" w:rsidRDefault="00F411E2" w:rsidP="00E96821"/>
    <w:p w14:paraId="171EC1B9" w14:textId="77777777" w:rsidR="00F774CD" w:rsidRDefault="00F774CD" w:rsidP="00B94F8E">
      <w:pPr>
        <w:rPr>
          <w:b/>
          <w:sz w:val="24"/>
        </w:rPr>
      </w:pPr>
    </w:p>
    <w:p w14:paraId="44B93ED2" w14:textId="77777777" w:rsidR="00E96821" w:rsidRDefault="00E96821">
      <w:pPr>
        <w:jc w:val="center"/>
        <w:rPr>
          <w:b/>
          <w:sz w:val="24"/>
        </w:rPr>
      </w:pPr>
    </w:p>
    <w:p w14:paraId="0761693E" w14:textId="77777777" w:rsidR="00E96821" w:rsidRDefault="00E96821">
      <w:pPr>
        <w:jc w:val="center"/>
        <w:rPr>
          <w:b/>
          <w:sz w:val="24"/>
        </w:rPr>
      </w:pPr>
    </w:p>
    <w:p w14:paraId="444856F4" w14:textId="77777777" w:rsidR="00E96821" w:rsidRDefault="00E96821">
      <w:pPr>
        <w:jc w:val="center"/>
        <w:rPr>
          <w:b/>
          <w:sz w:val="24"/>
        </w:rPr>
      </w:pPr>
    </w:p>
    <w:p w14:paraId="01A7D662" w14:textId="77777777" w:rsidR="00E96821" w:rsidRDefault="00E96821">
      <w:pPr>
        <w:jc w:val="center"/>
        <w:rPr>
          <w:b/>
          <w:sz w:val="24"/>
        </w:rPr>
      </w:pPr>
    </w:p>
    <w:p w14:paraId="64CD2A30" w14:textId="77777777" w:rsidR="00E96821" w:rsidRDefault="00E96821">
      <w:pPr>
        <w:jc w:val="center"/>
        <w:rPr>
          <w:b/>
          <w:sz w:val="24"/>
        </w:rPr>
      </w:pPr>
    </w:p>
    <w:p w14:paraId="65D0D6AA" w14:textId="1ED82341" w:rsidR="00981417" w:rsidRDefault="00000000">
      <w:pPr>
        <w:jc w:val="center"/>
      </w:pPr>
      <w:r>
        <w:rPr>
          <w:b/>
          <w:sz w:val="24"/>
        </w:rPr>
        <w:t>MINISTËR</w:t>
      </w:r>
    </w:p>
    <w:p w14:paraId="17C826BB" w14:textId="579A010A" w:rsidR="00981417" w:rsidRPr="007947EB" w:rsidRDefault="00F774CD">
      <w:pPr>
        <w:jc w:val="center"/>
        <w:rPr>
          <w:b/>
          <w:bCs/>
        </w:rPr>
      </w:pPr>
      <w:r w:rsidRPr="007947EB">
        <w:rPr>
          <w:b/>
          <w:bCs/>
        </w:rPr>
        <w:t>DELINA IBRAHIMAJ</w:t>
      </w:r>
    </w:p>
    <w:sectPr w:rsidR="00981417" w:rsidRPr="007947EB" w:rsidSect="00034616">
      <w:pgSz w:w="11906" w:h="16838"/>
      <w:pgMar w:top="680" w:right="850" w:bottom="68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030B" w14:textId="77777777" w:rsidR="003D5019" w:rsidRDefault="003D5019">
      <w:pPr>
        <w:spacing w:after="0"/>
      </w:pPr>
      <w:r>
        <w:separator/>
      </w:r>
    </w:p>
  </w:endnote>
  <w:endnote w:type="continuationSeparator" w:id="0">
    <w:p w14:paraId="2A75F597" w14:textId="77777777" w:rsidR="003D5019" w:rsidRDefault="003D50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7652" w14:textId="77777777" w:rsidR="00981417" w:rsidRDefault="00000000">
    <w:pPr>
      <w:pStyle w:val="Footer"/>
      <w:jc w:val="center"/>
    </w:pPr>
    <w:r>
      <w:fldChar w:fldCharType="begin"/>
    </w:r>
    <w:r>
      <w:instrText>PAGE</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0CF2" w14:textId="77777777" w:rsidR="003D5019" w:rsidRDefault="003D5019">
      <w:pPr>
        <w:spacing w:after="0"/>
      </w:pPr>
      <w:r>
        <w:separator/>
      </w:r>
    </w:p>
  </w:footnote>
  <w:footnote w:type="continuationSeparator" w:id="0">
    <w:p w14:paraId="3E86F0DD" w14:textId="77777777" w:rsidR="003D5019" w:rsidRDefault="003D50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BB4865"/>
    <w:multiLevelType w:val="multilevel"/>
    <w:tmpl w:val="FF64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64687"/>
    <w:multiLevelType w:val="multilevel"/>
    <w:tmpl w:val="D12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B6F769F"/>
    <w:multiLevelType w:val="hybridMultilevel"/>
    <w:tmpl w:val="C93230BC"/>
    <w:lvl w:ilvl="0" w:tplc="FC2A8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F0623"/>
    <w:multiLevelType w:val="hybridMultilevel"/>
    <w:tmpl w:val="4B5208E8"/>
    <w:lvl w:ilvl="0" w:tplc="69A8D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023130">
    <w:abstractNumId w:val="8"/>
  </w:num>
  <w:num w:numId="2" w16cid:durableId="1044448299">
    <w:abstractNumId w:val="6"/>
  </w:num>
  <w:num w:numId="3" w16cid:durableId="159005465">
    <w:abstractNumId w:val="5"/>
  </w:num>
  <w:num w:numId="4" w16cid:durableId="1535188201">
    <w:abstractNumId w:val="4"/>
  </w:num>
  <w:num w:numId="5" w16cid:durableId="2005624685">
    <w:abstractNumId w:val="7"/>
  </w:num>
  <w:num w:numId="6" w16cid:durableId="766344328">
    <w:abstractNumId w:val="3"/>
  </w:num>
  <w:num w:numId="7" w16cid:durableId="539325631">
    <w:abstractNumId w:val="2"/>
  </w:num>
  <w:num w:numId="8" w16cid:durableId="513961594">
    <w:abstractNumId w:val="1"/>
  </w:num>
  <w:num w:numId="9" w16cid:durableId="1936595668">
    <w:abstractNumId w:val="0"/>
  </w:num>
  <w:num w:numId="10" w16cid:durableId="727189843">
    <w:abstractNumId w:val="14"/>
  </w:num>
  <w:num w:numId="11" w16cid:durableId="1602955963">
    <w:abstractNumId w:val="13"/>
  </w:num>
  <w:num w:numId="12" w16cid:durableId="1818494852">
    <w:abstractNumId w:val="12"/>
  </w:num>
  <w:num w:numId="13" w16cid:durableId="725764023">
    <w:abstractNumId w:val="9"/>
  </w:num>
  <w:num w:numId="14" w16cid:durableId="1221018977">
    <w:abstractNumId w:val="11"/>
  </w:num>
  <w:num w:numId="15" w16cid:durableId="1879585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943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86E"/>
    <w:rsid w:val="00022E4B"/>
    <w:rsid w:val="00034616"/>
    <w:rsid w:val="00035F44"/>
    <w:rsid w:val="0005175C"/>
    <w:rsid w:val="00052778"/>
    <w:rsid w:val="00053364"/>
    <w:rsid w:val="0006063C"/>
    <w:rsid w:val="00083AAD"/>
    <w:rsid w:val="00091E61"/>
    <w:rsid w:val="00096D17"/>
    <w:rsid w:val="00097EFD"/>
    <w:rsid w:val="000E7D57"/>
    <w:rsid w:val="00113547"/>
    <w:rsid w:val="001355E3"/>
    <w:rsid w:val="0015074B"/>
    <w:rsid w:val="00151A61"/>
    <w:rsid w:val="00154D99"/>
    <w:rsid w:val="0018178D"/>
    <w:rsid w:val="0018525D"/>
    <w:rsid w:val="001854A0"/>
    <w:rsid w:val="00193B8B"/>
    <w:rsid w:val="001C6970"/>
    <w:rsid w:val="001D215E"/>
    <w:rsid w:val="001E7F1A"/>
    <w:rsid w:val="00233D57"/>
    <w:rsid w:val="00241552"/>
    <w:rsid w:val="00252B60"/>
    <w:rsid w:val="0026340C"/>
    <w:rsid w:val="00265DA8"/>
    <w:rsid w:val="0027513F"/>
    <w:rsid w:val="00276583"/>
    <w:rsid w:val="0029639D"/>
    <w:rsid w:val="002A62ED"/>
    <w:rsid w:val="002B7C54"/>
    <w:rsid w:val="00326F90"/>
    <w:rsid w:val="003D5019"/>
    <w:rsid w:val="003F0805"/>
    <w:rsid w:val="003F2E59"/>
    <w:rsid w:val="003F6634"/>
    <w:rsid w:val="00404A91"/>
    <w:rsid w:val="0042219F"/>
    <w:rsid w:val="00463878"/>
    <w:rsid w:val="004A0651"/>
    <w:rsid w:val="004A18FD"/>
    <w:rsid w:val="005075E2"/>
    <w:rsid w:val="005129AE"/>
    <w:rsid w:val="00561FB2"/>
    <w:rsid w:val="00583C1A"/>
    <w:rsid w:val="005A027D"/>
    <w:rsid w:val="005D43D1"/>
    <w:rsid w:val="005D5EFB"/>
    <w:rsid w:val="00632CDB"/>
    <w:rsid w:val="00655A5A"/>
    <w:rsid w:val="006B798E"/>
    <w:rsid w:val="006D2E73"/>
    <w:rsid w:val="006E6ED9"/>
    <w:rsid w:val="006F43B5"/>
    <w:rsid w:val="00715F7A"/>
    <w:rsid w:val="007161D7"/>
    <w:rsid w:val="0073669F"/>
    <w:rsid w:val="00742E0A"/>
    <w:rsid w:val="00767C74"/>
    <w:rsid w:val="00783865"/>
    <w:rsid w:val="007947EB"/>
    <w:rsid w:val="007C7B26"/>
    <w:rsid w:val="007F1101"/>
    <w:rsid w:val="008120E3"/>
    <w:rsid w:val="0084245F"/>
    <w:rsid w:val="00865AE0"/>
    <w:rsid w:val="0087180D"/>
    <w:rsid w:val="00896E0F"/>
    <w:rsid w:val="008A7B85"/>
    <w:rsid w:val="008B5CCC"/>
    <w:rsid w:val="008B7ADC"/>
    <w:rsid w:val="008C08A1"/>
    <w:rsid w:val="008C2B98"/>
    <w:rsid w:val="008C4803"/>
    <w:rsid w:val="008D1A9A"/>
    <w:rsid w:val="008D5323"/>
    <w:rsid w:val="008D6EC6"/>
    <w:rsid w:val="008E4614"/>
    <w:rsid w:val="00904F55"/>
    <w:rsid w:val="00920041"/>
    <w:rsid w:val="00976613"/>
    <w:rsid w:val="009779A0"/>
    <w:rsid w:val="00981417"/>
    <w:rsid w:val="00983B0E"/>
    <w:rsid w:val="009A063D"/>
    <w:rsid w:val="009E5D4E"/>
    <w:rsid w:val="009F4FEA"/>
    <w:rsid w:val="00A67853"/>
    <w:rsid w:val="00A7187C"/>
    <w:rsid w:val="00A84DB1"/>
    <w:rsid w:val="00AA1D8D"/>
    <w:rsid w:val="00AB1681"/>
    <w:rsid w:val="00AE0023"/>
    <w:rsid w:val="00AF5296"/>
    <w:rsid w:val="00B01583"/>
    <w:rsid w:val="00B2189C"/>
    <w:rsid w:val="00B24193"/>
    <w:rsid w:val="00B256EB"/>
    <w:rsid w:val="00B47730"/>
    <w:rsid w:val="00B92BBE"/>
    <w:rsid w:val="00B94F8E"/>
    <w:rsid w:val="00C21433"/>
    <w:rsid w:val="00C34080"/>
    <w:rsid w:val="00C8235E"/>
    <w:rsid w:val="00C85663"/>
    <w:rsid w:val="00CB0664"/>
    <w:rsid w:val="00CE2C88"/>
    <w:rsid w:val="00D12263"/>
    <w:rsid w:val="00D77144"/>
    <w:rsid w:val="00D9729C"/>
    <w:rsid w:val="00DA2AF2"/>
    <w:rsid w:val="00DB0EC8"/>
    <w:rsid w:val="00DC2146"/>
    <w:rsid w:val="00DC589E"/>
    <w:rsid w:val="00DE41C7"/>
    <w:rsid w:val="00E11953"/>
    <w:rsid w:val="00E240BD"/>
    <w:rsid w:val="00E53BE3"/>
    <w:rsid w:val="00E628CE"/>
    <w:rsid w:val="00E67D32"/>
    <w:rsid w:val="00E85008"/>
    <w:rsid w:val="00E96821"/>
    <w:rsid w:val="00EC2CF0"/>
    <w:rsid w:val="00ED65E9"/>
    <w:rsid w:val="00F118DC"/>
    <w:rsid w:val="00F411E2"/>
    <w:rsid w:val="00F41D8D"/>
    <w:rsid w:val="00F74D6C"/>
    <w:rsid w:val="00F774CD"/>
    <w:rsid w:val="00F904CF"/>
    <w:rsid w:val="00FC693F"/>
    <w:rsid w:val="00FF1CF8"/>
    <w:rsid w:val="00FF3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C1E62"/>
  <w14:defaultImageDpi w14:val="300"/>
  <w15:docId w15:val="{64F6B95E-0EF8-48E7-BCA6-2F8C9387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Ria">
    <w:name w:val="TitleRia"/>
    <w:pPr>
      <w:spacing w:after="80"/>
    </w:pPr>
    <w:rPr>
      <w:rFonts w:ascii="Times New Roman" w:eastAsia="Times New Roman" w:hAnsi="Times New Roman"/>
      <w:b/>
      <w:sz w:val="25"/>
    </w:rPr>
  </w:style>
  <w:style w:type="paragraph" w:customStyle="1" w:styleId="HeadingRia">
    <w:name w:val="HeadingRia"/>
    <w:pPr>
      <w:spacing w:before="160" w:after="60"/>
    </w:pPr>
    <w:rPr>
      <w:rFonts w:ascii="Times New Roman" w:eastAsia="Times New Roman" w:hAnsi="Times New Roman"/>
      <w:b/>
      <w:sz w:val="24"/>
    </w:rPr>
  </w:style>
  <w:style w:type="paragraph" w:customStyle="1" w:styleId="SubtlePrompt">
    <w:name w:val="SubtlePrompt"/>
    <w:pPr>
      <w:spacing w:after="40"/>
    </w:pPr>
    <w:rPr>
      <w:rFonts w:ascii="Times New Roman" w:eastAsia="Times New Roman" w:hAnsi="Times New Roman"/>
      <w:i/>
      <w:sz w:val="20"/>
    </w:rPr>
  </w:style>
  <w:style w:type="character" w:styleId="Hyperlink">
    <w:name w:val="Hyperlink"/>
    <w:basedOn w:val="DefaultParagraphFont"/>
    <w:uiPriority w:val="99"/>
    <w:unhideWhenUsed/>
    <w:rsid w:val="00D9729C"/>
    <w:rPr>
      <w:color w:val="0000FF" w:themeColor="hyperlink"/>
      <w:u w:val="single"/>
    </w:rPr>
  </w:style>
  <w:style w:type="character" w:styleId="UnresolvedMention">
    <w:name w:val="Unresolved Mention"/>
    <w:basedOn w:val="DefaultParagraphFont"/>
    <w:uiPriority w:val="99"/>
    <w:semiHidden/>
    <w:unhideWhenUsed/>
    <w:rsid w:val="00D9729C"/>
    <w:rPr>
      <w:color w:val="605E5C"/>
      <w:shd w:val="clear" w:color="auto" w:fill="E1DFDD"/>
    </w:rPr>
  </w:style>
  <w:style w:type="paragraph" w:styleId="NormalWeb">
    <w:name w:val="Normal (Web)"/>
    <w:basedOn w:val="Normal"/>
    <w:uiPriority w:val="99"/>
    <w:unhideWhenUsed/>
    <w:rsid w:val="00193B8B"/>
    <w:pPr>
      <w:spacing w:before="100" w:beforeAutospacing="1" w:after="100" w:afterAutospacing="1"/>
    </w:pPr>
    <w:rPr>
      <w:rFonts w:cs="Times New Roman"/>
      <w:sz w:val="24"/>
      <w:szCs w:val="24"/>
    </w:rPr>
  </w:style>
  <w:style w:type="paragraph" w:customStyle="1" w:styleId="IACOE">
    <w:name w:val="IACOE"/>
    <w:basedOn w:val="Normal"/>
    <w:link w:val="IACOEChar"/>
    <w:autoRedefine/>
    <w:rsid w:val="006B798E"/>
    <w:pPr>
      <w:spacing w:after="0"/>
    </w:pPr>
    <w:rPr>
      <w:rFonts w:eastAsia="SimSun" w:cs="Times New Roman"/>
      <w:spacing w:val="-5"/>
      <w:sz w:val="20"/>
      <w:szCs w:val="20"/>
      <w:lang w:val="en-GB" w:eastAsia="zh-CN"/>
    </w:rPr>
  </w:style>
  <w:style w:type="character" w:customStyle="1" w:styleId="IACOEChar">
    <w:name w:val="IACOE Char"/>
    <w:link w:val="IACOE"/>
    <w:locked/>
    <w:rsid w:val="006B798E"/>
    <w:rPr>
      <w:rFonts w:ascii="Times New Roman" w:eastAsia="SimSun" w:hAnsi="Times New Roman" w:cs="Times New Roman"/>
      <w:spacing w:val="-5"/>
      <w:sz w:val="20"/>
      <w:szCs w:val="20"/>
      <w:lang w:val="en-GB" w:eastAsia="zh-CN"/>
    </w:rPr>
  </w:style>
  <w:style w:type="character" w:styleId="CommentReference">
    <w:name w:val="annotation reference"/>
    <w:basedOn w:val="DefaultParagraphFont"/>
    <w:uiPriority w:val="99"/>
    <w:unhideWhenUsed/>
    <w:rsid w:val="006B798E"/>
    <w:rPr>
      <w:sz w:val="16"/>
      <w:szCs w:val="16"/>
    </w:rPr>
  </w:style>
  <w:style w:type="paragraph" w:styleId="CommentText">
    <w:name w:val="annotation text"/>
    <w:basedOn w:val="Normal"/>
    <w:link w:val="CommentTextChar"/>
    <w:uiPriority w:val="99"/>
    <w:unhideWhenUsed/>
    <w:rsid w:val="006B798E"/>
    <w:pPr>
      <w:spacing w:after="0"/>
    </w:pPr>
    <w:rPr>
      <w:rFonts w:cs="Times New Roman"/>
      <w:sz w:val="20"/>
      <w:szCs w:val="20"/>
      <w:lang w:val="en-GB" w:eastAsia="en-GB"/>
    </w:rPr>
  </w:style>
  <w:style w:type="character" w:customStyle="1" w:styleId="CommentTextChar">
    <w:name w:val="Comment Text Char"/>
    <w:basedOn w:val="DefaultParagraphFont"/>
    <w:link w:val="CommentText"/>
    <w:uiPriority w:val="99"/>
    <w:rsid w:val="006B798E"/>
    <w:rPr>
      <w:rFonts w:ascii="Times New Roman" w:eastAsia="Times New Roman" w:hAnsi="Times New Roman" w:cs="Times New Roman"/>
      <w:sz w:val="20"/>
      <w:szCs w:val="20"/>
      <w:lang w:val="en-GB" w:eastAsia="en-GB"/>
    </w:rPr>
  </w:style>
  <w:style w:type="paragraph" w:customStyle="1" w:styleId="Style1-BodyText">
    <w:name w:val="Style1- Body Text"/>
    <w:basedOn w:val="Normal"/>
    <w:link w:val="Style1-BodyTextChar"/>
    <w:qFormat/>
    <w:rsid w:val="00E96821"/>
    <w:pPr>
      <w:spacing w:after="120"/>
      <w:jc w:val="both"/>
    </w:pPr>
    <w:rPr>
      <w:rFonts w:cs="Arial"/>
      <w:szCs w:val="20"/>
      <w:lang w:val="en-GB" w:eastAsia="en-GB"/>
    </w:rPr>
  </w:style>
  <w:style w:type="character" w:customStyle="1" w:styleId="Style1-BodyTextChar">
    <w:name w:val="Style1- Body Text Char"/>
    <w:basedOn w:val="DefaultParagraphFont"/>
    <w:link w:val="Style1-BodyText"/>
    <w:rsid w:val="00E96821"/>
    <w:rPr>
      <w:rFonts w:ascii="Times New Roman" w:eastAsia="Times New Roman" w:hAnsi="Times New Roman" w:cs="Arial"/>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s.poshnjari@amf.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f.gov.al/readLaw.asp?id=2039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41324AB4DC4F759FE7D522BE5000C2"/>
        <w:category>
          <w:name w:val="General"/>
          <w:gallery w:val="placeholder"/>
        </w:category>
        <w:types>
          <w:type w:val="bbPlcHdr"/>
        </w:types>
        <w:behaviors>
          <w:behavior w:val="content"/>
        </w:behaviors>
        <w:guid w:val="{801E542D-108C-4178-AA3C-1AB5781B1B14}"/>
      </w:docPartPr>
      <w:docPartBody>
        <w:p w:rsidR="00A86A4D" w:rsidRDefault="00E72E2B" w:rsidP="00E72E2B">
          <w:pPr>
            <w:pStyle w:val="4841324AB4DC4F759FE7D522BE5000C2"/>
          </w:pPr>
          <w:r w:rsidRPr="00C0534C">
            <w:rPr>
              <w:rStyle w:val="PlaceholderText"/>
            </w:rPr>
            <w:t>Click or tap here to enter text.</w:t>
          </w:r>
        </w:p>
      </w:docPartBody>
    </w:docPart>
    <w:docPart>
      <w:docPartPr>
        <w:name w:val="9AE0C47DBAE548DA8CB3DABE570B08B6"/>
        <w:category>
          <w:name w:val="General"/>
          <w:gallery w:val="placeholder"/>
        </w:category>
        <w:types>
          <w:type w:val="bbPlcHdr"/>
        </w:types>
        <w:behaviors>
          <w:behavior w:val="content"/>
        </w:behaviors>
        <w:guid w:val="{202F8636-A6C6-4634-AD3F-6CD4085EA4E5}"/>
      </w:docPartPr>
      <w:docPartBody>
        <w:p w:rsidR="00A86A4D" w:rsidRDefault="00E72E2B" w:rsidP="00E72E2B">
          <w:pPr>
            <w:pStyle w:val="9AE0C47DBAE548DA8CB3DABE570B08B6"/>
          </w:pPr>
          <w:r w:rsidRPr="00CC5954">
            <w:rPr>
              <w:rStyle w:val="PlaceholderText"/>
            </w:rPr>
            <w:t>Click here to enter text.</w:t>
          </w:r>
        </w:p>
      </w:docPartBody>
    </w:docPart>
    <w:docPart>
      <w:docPartPr>
        <w:name w:val="D1AEDE2F53264E7CBBE3A74981672064"/>
        <w:category>
          <w:name w:val="General"/>
          <w:gallery w:val="placeholder"/>
        </w:category>
        <w:types>
          <w:type w:val="bbPlcHdr"/>
        </w:types>
        <w:behaviors>
          <w:behavior w:val="content"/>
        </w:behaviors>
        <w:guid w:val="{35ECCB35-0BB7-46D5-BD36-0965DB15A272}"/>
      </w:docPartPr>
      <w:docPartBody>
        <w:p w:rsidR="00A86A4D" w:rsidRDefault="00E72E2B" w:rsidP="00E72E2B">
          <w:pPr>
            <w:pStyle w:val="D1AEDE2F53264E7CBBE3A74981672064"/>
          </w:pPr>
          <w:r w:rsidRPr="00CC5954">
            <w:rPr>
              <w:rStyle w:val="PlaceholderText"/>
            </w:rPr>
            <w:t>Click here to enter text.</w:t>
          </w:r>
        </w:p>
      </w:docPartBody>
    </w:docPart>
    <w:docPart>
      <w:docPartPr>
        <w:name w:val="29FD326AF2004C6E891972ED68BE0BFE"/>
        <w:category>
          <w:name w:val="General"/>
          <w:gallery w:val="placeholder"/>
        </w:category>
        <w:types>
          <w:type w:val="bbPlcHdr"/>
        </w:types>
        <w:behaviors>
          <w:behavior w:val="content"/>
        </w:behaviors>
        <w:guid w:val="{C9DF3058-7721-457F-8F21-D3D71AED62BB}"/>
      </w:docPartPr>
      <w:docPartBody>
        <w:p w:rsidR="00A86A4D" w:rsidRDefault="00E72E2B" w:rsidP="00E72E2B">
          <w:pPr>
            <w:pStyle w:val="29FD326AF2004C6E891972ED68BE0BFE"/>
          </w:pPr>
          <w:r w:rsidRPr="00CC5954">
            <w:rPr>
              <w:rStyle w:val="PlaceholderText"/>
            </w:rPr>
            <w:t>Click here to enter text.</w:t>
          </w:r>
        </w:p>
      </w:docPartBody>
    </w:docPart>
    <w:docPart>
      <w:docPartPr>
        <w:name w:val="801CD18A164543858F76D936A0FAE00C"/>
        <w:category>
          <w:name w:val="General"/>
          <w:gallery w:val="placeholder"/>
        </w:category>
        <w:types>
          <w:type w:val="bbPlcHdr"/>
        </w:types>
        <w:behaviors>
          <w:behavior w:val="content"/>
        </w:behaviors>
        <w:guid w:val="{E3E7B7E5-06CD-4DFA-9875-1A8F2133A717}"/>
      </w:docPartPr>
      <w:docPartBody>
        <w:p w:rsidR="00A86A4D" w:rsidRDefault="00E72E2B" w:rsidP="00E72E2B">
          <w:pPr>
            <w:pStyle w:val="801CD18A164543858F76D936A0FAE00C"/>
          </w:pPr>
          <w:r w:rsidRPr="00CC5954">
            <w:rPr>
              <w:rStyle w:val="PlaceholderText"/>
            </w:rPr>
            <w:t>Click here to enter text.</w:t>
          </w:r>
        </w:p>
      </w:docPartBody>
    </w:docPart>
    <w:docPart>
      <w:docPartPr>
        <w:name w:val="51C3D7693A394B06BB12456F375364C3"/>
        <w:category>
          <w:name w:val="General"/>
          <w:gallery w:val="placeholder"/>
        </w:category>
        <w:types>
          <w:type w:val="bbPlcHdr"/>
        </w:types>
        <w:behaviors>
          <w:behavior w:val="content"/>
        </w:behaviors>
        <w:guid w:val="{CC403012-BD55-43BD-9873-C156CFF36EF7}"/>
      </w:docPartPr>
      <w:docPartBody>
        <w:p w:rsidR="00A86A4D" w:rsidRDefault="00E72E2B" w:rsidP="00E72E2B">
          <w:pPr>
            <w:pStyle w:val="51C3D7693A394B06BB12456F375364C3"/>
          </w:pPr>
          <w:r w:rsidRPr="00CC5954">
            <w:rPr>
              <w:rStyle w:val="PlaceholderText"/>
            </w:rPr>
            <w:t>Click here to enter text.</w:t>
          </w:r>
        </w:p>
      </w:docPartBody>
    </w:docPart>
    <w:docPart>
      <w:docPartPr>
        <w:name w:val="D808AE26E9824535AFC17E0BD4154966"/>
        <w:category>
          <w:name w:val="General"/>
          <w:gallery w:val="placeholder"/>
        </w:category>
        <w:types>
          <w:type w:val="bbPlcHdr"/>
        </w:types>
        <w:behaviors>
          <w:behavior w:val="content"/>
        </w:behaviors>
        <w:guid w:val="{D2A26B24-113B-44C5-A17B-C02C7BBAE397}"/>
      </w:docPartPr>
      <w:docPartBody>
        <w:p w:rsidR="00A86A4D" w:rsidRDefault="00E72E2B" w:rsidP="00E72E2B">
          <w:pPr>
            <w:pStyle w:val="D808AE26E9824535AFC17E0BD4154966"/>
          </w:pPr>
          <w:r w:rsidRPr="00CC5954">
            <w:rPr>
              <w:rStyle w:val="PlaceholderText"/>
            </w:rPr>
            <w:t>Click here to enter text.</w:t>
          </w:r>
        </w:p>
      </w:docPartBody>
    </w:docPart>
    <w:docPart>
      <w:docPartPr>
        <w:name w:val="35DA53B56AF84A6F9510EFBB4D95C00A"/>
        <w:category>
          <w:name w:val="General"/>
          <w:gallery w:val="placeholder"/>
        </w:category>
        <w:types>
          <w:type w:val="bbPlcHdr"/>
        </w:types>
        <w:behaviors>
          <w:behavior w:val="content"/>
        </w:behaviors>
        <w:guid w:val="{051EB937-3530-467C-A67F-7419B715211E}"/>
      </w:docPartPr>
      <w:docPartBody>
        <w:p w:rsidR="00A86A4D" w:rsidRDefault="00E72E2B" w:rsidP="00E72E2B">
          <w:pPr>
            <w:pStyle w:val="35DA53B56AF84A6F9510EFBB4D95C00A"/>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2B"/>
    <w:rsid w:val="00154D99"/>
    <w:rsid w:val="002E4317"/>
    <w:rsid w:val="007234A6"/>
    <w:rsid w:val="008B7ADC"/>
    <w:rsid w:val="008E055E"/>
    <w:rsid w:val="00A86A4D"/>
    <w:rsid w:val="00E333E3"/>
    <w:rsid w:val="00E72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2B"/>
    <w:rPr>
      <w:color w:val="808080"/>
    </w:rPr>
  </w:style>
  <w:style w:type="paragraph" w:customStyle="1" w:styleId="4841324AB4DC4F759FE7D522BE5000C2">
    <w:name w:val="4841324AB4DC4F759FE7D522BE5000C2"/>
    <w:rsid w:val="00E72E2B"/>
  </w:style>
  <w:style w:type="paragraph" w:customStyle="1" w:styleId="9AE0C47DBAE548DA8CB3DABE570B08B6">
    <w:name w:val="9AE0C47DBAE548DA8CB3DABE570B08B6"/>
    <w:rsid w:val="00E72E2B"/>
  </w:style>
  <w:style w:type="paragraph" w:customStyle="1" w:styleId="D1AEDE2F53264E7CBBE3A74981672064">
    <w:name w:val="D1AEDE2F53264E7CBBE3A74981672064"/>
    <w:rsid w:val="00E72E2B"/>
  </w:style>
  <w:style w:type="paragraph" w:customStyle="1" w:styleId="29FD326AF2004C6E891972ED68BE0BFE">
    <w:name w:val="29FD326AF2004C6E891972ED68BE0BFE"/>
    <w:rsid w:val="00E72E2B"/>
  </w:style>
  <w:style w:type="paragraph" w:customStyle="1" w:styleId="801CD18A164543858F76D936A0FAE00C">
    <w:name w:val="801CD18A164543858F76D936A0FAE00C"/>
    <w:rsid w:val="00E72E2B"/>
  </w:style>
  <w:style w:type="paragraph" w:customStyle="1" w:styleId="51C3D7693A394B06BB12456F375364C3">
    <w:name w:val="51C3D7693A394B06BB12456F375364C3"/>
    <w:rsid w:val="00E72E2B"/>
  </w:style>
  <w:style w:type="paragraph" w:customStyle="1" w:styleId="D808AE26E9824535AFC17E0BD4154966">
    <w:name w:val="D808AE26E9824535AFC17E0BD4154966"/>
    <w:rsid w:val="00E72E2B"/>
  </w:style>
  <w:style w:type="paragraph" w:customStyle="1" w:styleId="35DA53B56AF84A6F9510EFBB4D95C00A">
    <w:name w:val="35DA53B56AF84A6F9510EFBB4D95C00A"/>
    <w:rsid w:val="00E7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24</Pages>
  <Words>12480</Words>
  <Characters>71142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Patris.Poshnjari@amf.gov.al</dc:creator>
  <cp:keywords/>
  <dc:description>generated by python-docx</dc:description>
  <cp:lastModifiedBy>Drejtoria Juridike</cp:lastModifiedBy>
  <cp:revision>128</cp:revision>
  <dcterms:created xsi:type="dcterms:W3CDTF">2013-12-23T23:15:00Z</dcterms:created>
  <dcterms:modified xsi:type="dcterms:W3CDTF">2026-03-18T14:43:00Z</dcterms:modified>
  <cp:category/>
</cp:coreProperties>
</file>