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6962" w14:textId="77777777" w:rsidR="004D302D" w:rsidRPr="00307F9C" w:rsidRDefault="004D302D" w:rsidP="004D302D">
      <w:pPr>
        <w:jc w:val="center"/>
        <w:rPr>
          <w:sz w:val="28"/>
          <w:szCs w:val="28"/>
        </w:rPr>
      </w:pPr>
      <w:r w:rsidRPr="00307F9C">
        <w:rPr>
          <w:b/>
          <w:sz w:val="28"/>
          <w:szCs w:val="28"/>
        </w:rPr>
        <w:t>RELACION</w:t>
      </w:r>
    </w:p>
    <w:p w14:paraId="35489A83" w14:textId="77777777" w:rsidR="004D302D" w:rsidRPr="00307F9C" w:rsidRDefault="004D302D" w:rsidP="004D302D">
      <w:pPr>
        <w:jc w:val="center"/>
        <w:rPr>
          <w:b/>
          <w:sz w:val="28"/>
          <w:szCs w:val="28"/>
        </w:rPr>
      </w:pPr>
    </w:p>
    <w:p w14:paraId="3D5C5920" w14:textId="77777777" w:rsidR="004D302D" w:rsidRPr="00307F9C" w:rsidRDefault="004D302D" w:rsidP="004D302D">
      <w:pPr>
        <w:jc w:val="center"/>
        <w:rPr>
          <w:sz w:val="28"/>
          <w:szCs w:val="28"/>
        </w:rPr>
      </w:pPr>
      <w:r w:rsidRPr="00307F9C">
        <w:rPr>
          <w:b/>
          <w:sz w:val="28"/>
          <w:szCs w:val="28"/>
        </w:rPr>
        <w:t>PËR PROJEKTLIGJIN</w:t>
      </w:r>
    </w:p>
    <w:p w14:paraId="1AD3E9AF" w14:textId="77777777" w:rsidR="004D302D" w:rsidRPr="00307F9C" w:rsidRDefault="004D302D" w:rsidP="004D302D">
      <w:pPr>
        <w:rPr>
          <w:sz w:val="28"/>
          <w:szCs w:val="28"/>
        </w:rPr>
      </w:pPr>
      <w:r w:rsidRPr="00307F9C">
        <w:rPr>
          <w:b/>
          <w:sz w:val="28"/>
          <w:szCs w:val="28"/>
        </w:rPr>
        <w:t>“PËR KËRKESAT E TRANSPARENCËS PËR EMETUESIT E TITUJVE”</w:t>
      </w:r>
    </w:p>
    <w:p w14:paraId="4EB895DF" w14:textId="77777777" w:rsidR="004D302D" w:rsidRPr="00307F9C" w:rsidRDefault="004D302D" w:rsidP="004D302D">
      <w:pPr>
        <w:rPr>
          <w:sz w:val="28"/>
          <w:szCs w:val="28"/>
        </w:rPr>
      </w:pPr>
    </w:p>
    <w:p w14:paraId="1A5A67CD" w14:textId="77777777" w:rsidR="004D302D" w:rsidRDefault="004D302D" w:rsidP="004D302D">
      <w:pPr>
        <w:rPr>
          <w:b/>
          <w:sz w:val="28"/>
          <w:szCs w:val="28"/>
        </w:rPr>
      </w:pPr>
    </w:p>
    <w:p w14:paraId="194CEA82" w14:textId="77777777" w:rsidR="004D302D" w:rsidRPr="00307F9C" w:rsidRDefault="004D302D" w:rsidP="004D302D">
      <w:pPr>
        <w:rPr>
          <w:sz w:val="28"/>
          <w:szCs w:val="28"/>
        </w:rPr>
      </w:pPr>
      <w:r w:rsidRPr="00307F9C">
        <w:rPr>
          <w:b/>
          <w:sz w:val="28"/>
          <w:szCs w:val="28"/>
        </w:rPr>
        <w:t>I. QËLLIMI I PROJEKTAKTIT DHE OBJEKTIVAT QË SYNOHEN TË ARRIHEN</w:t>
      </w:r>
    </w:p>
    <w:p w14:paraId="36CD3832" w14:textId="77777777" w:rsidR="004D302D" w:rsidRDefault="004D302D" w:rsidP="004D302D"/>
    <w:p w14:paraId="79F1AE20" w14:textId="77777777" w:rsidR="004D302D" w:rsidRPr="001D50E1" w:rsidRDefault="004D302D" w:rsidP="004D302D">
      <w:pPr>
        <w:jc w:val="both"/>
        <w:rPr>
          <w:rFonts w:cs="Times New Roman"/>
          <w:sz w:val="24"/>
          <w:szCs w:val="24"/>
        </w:rPr>
      </w:pPr>
      <w:r w:rsidRPr="001D50E1">
        <w:rPr>
          <w:sz w:val="24"/>
          <w:szCs w:val="24"/>
        </w:rPr>
        <w:t xml:space="preserve">Projektligji “Për kërkesat e transparencës për emetuesit e titujve” synon krijimin e një kuadri të plotë </w:t>
      </w:r>
      <w:r w:rsidRPr="001D50E1">
        <w:rPr>
          <w:rFonts w:cs="Times New Roman"/>
          <w:sz w:val="24"/>
          <w:szCs w:val="24"/>
        </w:rPr>
        <w:t>ligjor dhe të harmonizuar për publikimin, depozitimin, ruajtjen dhe aksesin e informacionit të rregulluar nga emetuesit, titujt e të cilëve janë pranuar për tregtim në tregje të rregulluara. Ky kuadër është thelbësor për zhvillimin e një tregu kapitali funksional dhe të besueshëm, duke siguruar që investitorët të kenë akses në informacion të plotë, të saktë, të krahasueshëm dhe në kohë.</w:t>
      </w:r>
    </w:p>
    <w:p w14:paraId="47B20B45" w14:textId="77777777" w:rsidR="004D302D" w:rsidRPr="001D50E1" w:rsidRDefault="004D302D" w:rsidP="004D302D">
      <w:pPr>
        <w:jc w:val="both"/>
        <w:rPr>
          <w:rFonts w:cs="Times New Roman"/>
          <w:sz w:val="24"/>
          <w:szCs w:val="24"/>
        </w:rPr>
      </w:pPr>
      <w:r w:rsidRPr="001D50E1">
        <w:rPr>
          <w:rFonts w:cs="Times New Roman"/>
          <w:sz w:val="24"/>
          <w:szCs w:val="24"/>
        </w:rPr>
        <w:t xml:space="preserve">Projektligji rregullon në mënyrë të strukturuar: </w:t>
      </w:r>
    </w:p>
    <w:p w14:paraId="14672378" w14:textId="77777777" w:rsidR="004D302D" w:rsidRPr="001D50E1" w:rsidRDefault="004D302D" w:rsidP="004D302D">
      <w:pPr>
        <w:pStyle w:val="ListParagraph"/>
        <w:numPr>
          <w:ilvl w:val="0"/>
          <w:numId w:val="1"/>
        </w:numPr>
        <w:jc w:val="both"/>
        <w:rPr>
          <w:rFonts w:cs="Times New Roman"/>
          <w:sz w:val="24"/>
          <w:szCs w:val="24"/>
        </w:rPr>
      </w:pPr>
      <w:r w:rsidRPr="001D50E1">
        <w:rPr>
          <w:rFonts w:cs="Times New Roman"/>
          <w:sz w:val="24"/>
          <w:szCs w:val="24"/>
        </w:rPr>
        <w:t>informacionin periodik (raportet financiare vjetore dhe gjashtëmujore dhe informacionin shoqërues),</w:t>
      </w:r>
    </w:p>
    <w:p w14:paraId="53C87E6C" w14:textId="77777777" w:rsidR="004D302D" w:rsidRPr="001D50E1" w:rsidRDefault="004D302D" w:rsidP="004D302D">
      <w:pPr>
        <w:pStyle w:val="ListParagraph"/>
        <w:numPr>
          <w:ilvl w:val="0"/>
          <w:numId w:val="1"/>
        </w:numPr>
        <w:jc w:val="both"/>
        <w:rPr>
          <w:rFonts w:cs="Times New Roman"/>
          <w:sz w:val="24"/>
          <w:szCs w:val="24"/>
        </w:rPr>
      </w:pPr>
      <w:r w:rsidRPr="001D50E1">
        <w:rPr>
          <w:rFonts w:cs="Times New Roman"/>
          <w:sz w:val="24"/>
          <w:szCs w:val="24"/>
        </w:rPr>
        <w:t xml:space="preserve"> informacionin e vazhdueshëm (ndryshimet në zotërimet e mëdha/pjesëmarrjet e rëndësishme në kapital dhe në të drejtat e votimit, përfshirë instrumentet financiare), kërkesat e informacionit për mbajtësit e titujve, </w:t>
      </w:r>
    </w:p>
    <w:p w14:paraId="4DA6C82E" w14:textId="77777777" w:rsidR="004D302D" w:rsidRPr="001D50E1" w:rsidRDefault="004D302D" w:rsidP="004D302D">
      <w:pPr>
        <w:pStyle w:val="ListParagraph"/>
        <w:numPr>
          <w:ilvl w:val="0"/>
          <w:numId w:val="1"/>
        </w:numPr>
        <w:jc w:val="both"/>
        <w:rPr>
          <w:rFonts w:cs="Times New Roman"/>
          <w:sz w:val="24"/>
          <w:szCs w:val="24"/>
        </w:rPr>
      </w:pPr>
      <w:r w:rsidRPr="001D50E1">
        <w:rPr>
          <w:rFonts w:cs="Times New Roman"/>
          <w:sz w:val="24"/>
          <w:szCs w:val="24"/>
        </w:rPr>
        <w:t>rregullat e publikimit dhe të aksesit në informacionin e rregulluar përmes mekanizmave zyrtarë të ruajtjes qendrore, si dhe</w:t>
      </w:r>
    </w:p>
    <w:p w14:paraId="125A697A" w14:textId="77777777" w:rsidR="004D302D" w:rsidRPr="001D50E1" w:rsidRDefault="004D302D" w:rsidP="004D302D">
      <w:pPr>
        <w:pStyle w:val="ListParagraph"/>
        <w:numPr>
          <w:ilvl w:val="0"/>
          <w:numId w:val="1"/>
        </w:numPr>
        <w:jc w:val="both"/>
        <w:rPr>
          <w:rFonts w:cs="Times New Roman"/>
          <w:sz w:val="24"/>
          <w:szCs w:val="24"/>
        </w:rPr>
      </w:pPr>
      <w:r w:rsidRPr="001D50E1">
        <w:rPr>
          <w:rFonts w:cs="Times New Roman"/>
          <w:sz w:val="24"/>
          <w:szCs w:val="24"/>
        </w:rPr>
        <w:t xml:space="preserve"> kompetencat mbikëqyrëse dhe sanksionuese të Autoritetit të Mbikëqyrjes Financiare (AMF).</w:t>
      </w:r>
    </w:p>
    <w:p w14:paraId="318D1BDA" w14:textId="77777777" w:rsidR="004D302D" w:rsidRPr="001D50E1" w:rsidRDefault="004D302D" w:rsidP="004D302D">
      <w:pPr>
        <w:jc w:val="both"/>
        <w:rPr>
          <w:rFonts w:cs="Times New Roman"/>
          <w:sz w:val="24"/>
          <w:szCs w:val="24"/>
        </w:rPr>
      </w:pPr>
    </w:p>
    <w:p w14:paraId="0D724C52" w14:textId="77777777" w:rsidR="004D302D" w:rsidRPr="001D50E1" w:rsidRDefault="004D302D" w:rsidP="004D302D">
      <w:pPr>
        <w:rPr>
          <w:rFonts w:cs="Times New Roman"/>
          <w:sz w:val="24"/>
          <w:szCs w:val="24"/>
        </w:rPr>
      </w:pPr>
      <w:r w:rsidRPr="001D50E1">
        <w:rPr>
          <w:rFonts w:cs="Times New Roman"/>
          <w:sz w:val="24"/>
          <w:szCs w:val="24"/>
        </w:rPr>
        <w:t>Objektivat kryesore të projektligjit janë:</w:t>
      </w:r>
    </w:p>
    <w:p w14:paraId="74E69C42" w14:textId="77777777" w:rsidR="004D302D" w:rsidRPr="001D50E1" w:rsidRDefault="004D302D" w:rsidP="004D302D">
      <w:pPr>
        <w:rPr>
          <w:rFonts w:cs="Times New Roman"/>
          <w:sz w:val="24"/>
          <w:szCs w:val="24"/>
        </w:rPr>
      </w:pPr>
    </w:p>
    <w:p w14:paraId="4E059234" w14:textId="77777777" w:rsidR="004D302D" w:rsidRPr="001D50E1" w:rsidRDefault="004D302D" w:rsidP="004D302D">
      <w:pPr>
        <w:pStyle w:val="ListBullet"/>
        <w:tabs>
          <w:tab w:val="num" w:pos="360"/>
        </w:tabs>
        <w:ind w:left="360" w:hanging="360"/>
        <w:jc w:val="both"/>
        <w:rPr>
          <w:rFonts w:cs="Times New Roman"/>
          <w:sz w:val="24"/>
          <w:szCs w:val="24"/>
        </w:rPr>
      </w:pPr>
      <w:r w:rsidRPr="001D50E1">
        <w:rPr>
          <w:rFonts w:cs="Times New Roman"/>
          <w:sz w:val="24"/>
          <w:szCs w:val="24"/>
        </w:rPr>
        <w:t>të rrisë transparencën e tregjeve të kapitalit përmes detyrimeve të qarta dhe të zbatueshme për publikimin e informacionit periodik dhe të vazhdueshëm nga emetuesit;</w:t>
      </w:r>
    </w:p>
    <w:p w14:paraId="46C6A30A" w14:textId="77777777" w:rsidR="004D302D" w:rsidRPr="001D50E1" w:rsidRDefault="004D302D" w:rsidP="004D302D">
      <w:pPr>
        <w:pStyle w:val="ListBullet"/>
        <w:tabs>
          <w:tab w:val="num" w:pos="360"/>
        </w:tabs>
        <w:ind w:left="360" w:hanging="360"/>
        <w:jc w:val="both"/>
        <w:rPr>
          <w:rFonts w:cs="Times New Roman"/>
          <w:sz w:val="24"/>
          <w:szCs w:val="24"/>
        </w:rPr>
      </w:pPr>
      <w:r w:rsidRPr="001D50E1">
        <w:rPr>
          <w:rFonts w:cs="Times New Roman"/>
          <w:sz w:val="24"/>
          <w:szCs w:val="24"/>
        </w:rPr>
        <w:t>të garantojë aksesin e investitorëve dhe publikut në informacion të besueshëm mbi pozicionin financiar, performancën, rreziqet dhe qeverisjen e emetuesve;</w:t>
      </w:r>
    </w:p>
    <w:p w14:paraId="4D69A1C8" w14:textId="77777777" w:rsidR="004D302D" w:rsidRPr="001D50E1" w:rsidRDefault="004D302D" w:rsidP="004D302D">
      <w:pPr>
        <w:pStyle w:val="ListBullet"/>
        <w:tabs>
          <w:tab w:val="num" w:pos="360"/>
        </w:tabs>
        <w:ind w:left="360" w:hanging="360"/>
        <w:jc w:val="both"/>
        <w:rPr>
          <w:rFonts w:cs="Times New Roman"/>
          <w:sz w:val="24"/>
          <w:szCs w:val="24"/>
        </w:rPr>
      </w:pPr>
      <w:r w:rsidRPr="001D50E1">
        <w:rPr>
          <w:rFonts w:cs="Times New Roman"/>
          <w:sz w:val="24"/>
          <w:szCs w:val="24"/>
        </w:rPr>
        <w:t>të reduktojë asimetrinë e informacionit dhe të ulë rrezikun e manipulimit të tregut dhe përdorimit të informacionit të brendshëm, në koordinim me kuadrin rregullator për parandalimin abuzimit në treg;</w:t>
      </w:r>
    </w:p>
    <w:p w14:paraId="687045C1" w14:textId="77777777" w:rsidR="004D302D" w:rsidRPr="001D50E1" w:rsidRDefault="004D302D" w:rsidP="004D302D">
      <w:pPr>
        <w:pStyle w:val="ListBullet"/>
        <w:tabs>
          <w:tab w:val="num" w:pos="360"/>
        </w:tabs>
        <w:ind w:left="360" w:hanging="360"/>
        <w:rPr>
          <w:rFonts w:cs="Times New Roman"/>
          <w:sz w:val="24"/>
          <w:szCs w:val="24"/>
        </w:rPr>
      </w:pPr>
      <w:r w:rsidRPr="001D50E1">
        <w:rPr>
          <w:rFonts w:cs="Times New Roman"/>
          <w:sz w:val="24"/>
          <w:szCs w:val="24"/>
        </w:rPr>
        <w:t>të rrisë transparencën mbi strukturën e pronësisë dhe kontrollit (zotërimet e mëdha dhe të drejtat e votimit), duke përfshirë instrumentet financiare me efekt ekonomik të ngjashëm me zotërimin e aksioneve;</w:t>
      </w:r>
    </w:p>
    <w:p w14:paraId="3630DD9F" w14:textId="77777777" w:rsidR="004D302D" w:rsidRPr="001D50E1" w:rsidRDefault="004D302D" w:rsidP="004D302D">
      <w:pPr>
        <w:pStyle w:val="ListBullet"/>
        <w:tabs>
          <w:tab w:val="num" w:pos="360"/>
        </w:tabs>
        <w:ind w:left="360" w:hanging="360"/>
        <w:rPr>
          <w:rFonts w:cs="Times New Roman"/>
          <w:sz w:val="24"/>
          <w:szCs w:val="24"/>
        </w:rPr>
      </w:pPr>
      <w:r w:rsidRPr="001D50E1">
        <w:rPr>
          <w:rFonts w:cs="Times New Roman"/>
          <w:sz w:val="24"/>
          <w:szCs w:val="24"/>
        </w:rPr>
        <w:t>të sigurojë trajtim të barabartë dhe mjete efektive informimi për mbajtësit e aksioneve dhe titujve të borxhit, përfshirë përdorimin e mjeteve elektronike, sipas kushteve të përcaktuara;</w:t>
      </w:r>
    </w:p>
    <w:p w14:paraId="0BB2F4CE" w14:textId="77777777" w:rsidR="004D302D" w:rsidRPr="001D50E1" w:rsidRDefault="004D302D" w:rsidP="004D302D">
      <w:pPr>
        <w:pStyle w:val="ListBullet"/>
        <w:tabs>
          <w:tab w:val="num" w:pos="360"/>
        </w:tabs>
        <w:ind w:left="360" w:hanging="360"/>
        <w:jc w:val="both"/>
        <w:rPr>
          <w:rFonts w:cs="Times New Roman"/>
          <w:sz w:val="24"/>
          <w:szCs w:val="24"/>
        </w:rPr>
      </w:pPr>
      <w:r w:rsidRPr="001D50E1">
        <w:rPr>
          <w:rFonts w:cs="Times New Roman"/>
          <w:sz w:val="24"/>
          <w:szCs w:val="24"/>
        </w:rPr>
        <w:t>të modernizojë publikimin e informacionit përmes kërkesave për ruajtje qendrore, standardeve minimale të shpërndarjes dhe (kur është e aplikueshme) integrimit me mekanizmat evropianë të aksesit elektronik (ESAP);</w:t>
      </w:r>
    </w:p>
    <w:p w14:paraId="6B6646B8" w14:textId="77777777" w:rsidR="004D302D" w:rsidRPr="001D50E1" w:rsidRDefault="004D302D" w:rsidP="004D302D">
      <w:pPr>
        <w:pStyle w:val="ListBullet"/>
        <w:tabs>
          <w:tab w:val="num" w:pos="360"/>
        </w:tabs>
        <w:ind w:left="360" w:hanging="360"/>
        <w:rPr>
          <w:rFonts w:cs="Times New Roman"/>
          <w:sz w:val="24"/>
          <w:szCs w:val="24"/>
        </w:rPr>
      </w:pPr>
      <w:r w:rsidRPr="001D50E1">
        <w:rPr>
          <w:rFonts w:cs="Times New Roman"/>
          <w:sz w:val="24"/>
          <w:szCs w:val="24"/>
        </w:rPr>
        <w:t>të forcojë kompetencat e AMF-së për monitorim, hetim, masa paraprake dhe sanksione administrative, duke rritur efektivitetin e zbatimit.</w:t>
      </w:r>
    </w:p>
    <w:p w14:paraId="4DB3F069" w14:textId="77777777" w:rsidR="004D302D" w:rsidRPr="001D50E1" w:rsidRDefault="004D302D" w:rsidP="004D302D">
      <w:pPr>
        <w:pStyle w:val="ListBullet"/>
        <w:numPr>
          <w:ilvl w:val="0"/>
          <w:numId w:val="0"/>
        </w:numPr>
        <w:ind w:left="360"/>
        <w:rPr>
          <w:rFonts w:cs="Times New Roman"/>
          <w:sz w:val="24"/>
          <w:szCs w:val="24"/>
        </w:rPr>
      </w:pPr>
    </w:p>
    <w:p w14:paraId="0B1AD7D2" w14:textId="77777777" w:rsidR="004D302D" w:rsidRPr="00307F9C" w:rsidRDefault="004D302D" w:rsidP="004D302D">
      <w:pPr>
        <w:rPr>
          <w:b/>
          <w:sz w:val="28"/>
          <w:szCs w:val="28"/>
        </w:rPr>
      </w:pPr>
      <w:r w:rsidRPr="00307F9C">
        <w:rPr>
          <w:b/>
          <w:sz w:val="28"/>
          <w:szCs w:val="28"/>
        </w:rPr>
        <w:t>II. VLERËSIMI I PROJEKTAKTIT NË RAPORT ME PROGRAMIN POLITIK TË KËSHILLIT TË MINISTRAVE DHE DOKUMENTE TË TJERA STRATEGJIKE</w:t>
      </w:r>
    </w:p>
    <w:p w14:paraId="1FD64771" w14:textId="77777777" w:rsidR="004D302D" w:rsidRDefault="004D302D" w:rsidP="004D302D"/>
    <w:p w14:paraId="7A7F7DB5" w14:textId="77777777" w:rsidR="004D302D" w:rsidRPr="001D50E1" w:rsidRDefault="004D302D" w:rsidP="004D302D">
      <w:pPr>
        <w:jc w:val="both"/>
        <w:rPr>
          <w:sz w:val="24"/>
          <w:szCs w:val="24"/>
        </w:rPr>
      </w:pPr>
      <w:r w:rsidRPr="001D50E1">
        <w:rPr>
          <w:sz w:val="24"/>
          <w:szCs w:val="24"/>
        </w:rPr>
        <w:t>Projektligji lidhet drejtpërdrejt me objektivin e përafrimit të legjislacionit shqiptar me acquis të Bashkimit Evropian në fushën e tregjeve të kapitalit dhe me përmbushjen e detyrimeve që rrjedhin nga procesi i integrimit evropian. Ai kontribuon në përmbushjen e kërkesave të kapitujve përkatës të negociatave, në veçanti Kapitullit 6 që lidhet me legjislacionin për shoqëritë tregtare.</w:t>
      </w:r>
    </w:p>
    <w:p w14:paraId="080689C9" w14:textId="77777777" w:rsidR="004D302D" w:rsidRPr="001D50E1" w:rsidRDefault="004D302D" w:rsidP="004D302D">
      <w:pPr>
        <w:jc w:val="both"/>
        <w:rPr>
          <w:sz w:val="24"/>
          <w:szCs w:val="24"/>
        </w:rPr>
      </w:pPr>
    </w:p>
    <w:p w14:paraId="7DE08F66" w14:textId="77777777" w:rsidR="004D302D" w:rsidRPr="001D50E1" w:rsidRDefault="004D302D" w:rsidP="004D302D">
      <w:pPr>
        <w:rPr>
          <w:sz w:val="24"/>
          <w:szCs w:val="24"/>
        </w:rPr>
      </w:pPr>
      <w:r w:rsidRPr="001D50E1">
        <w:rPr>
          <w:sz w:val="24"/>
          <w:szCs w:val="24"/>
        </w:rPr>
        <w:t>Në mënyrë të veçantë, projektligji mbështet:</w:t>
      </w:r>
    </w:p>
    <w:p w14:paraId="2AEA42C7" w14:textId="77777777" w:rsidR="004D302D" w:rsidRPr="001D50E1" w:rsidRDefault="004D302D" w:rsidP="004D302D">
      <w:pPr>
        <w:pStyle w:val="ListBullet"/>
        <w:tabs>
          <w:tab w:val="num" w:pos="360"/>
        </w:tabs>
        <w:ind w:left="360" w:hanging="360"/>
        <w:rPr>
          <w:sz w:val="24"/>
          <w:szCs w:val="24"/>
        </w:rPr>
      </w:pPr>
      <w:r w:rsidRPr="001D50E1">
        <w:rPr>
          <w:sz w:val="24"/>
          <w:szCs w:val="24"/>
        </w:rPr>
        <w:t>përmirësimin e kuadrit ligjor për funksionimin e tregjeve të kapitalit dhe të tregjeve të rregulluara në Republikën e Shqipërisë;</w:t>
      </w:r>
    </w:p>
    <w:p w14:paraId="7810968B" w14:textId="77777777" w:rsidR="004D302D" w:rsidRPr="001D50E1" w:rsidRDefault="004D302D" w:rsidP="004D302D">
      <w:pPr>
        <w:pStyle w:val="ListBullet"/>
        <w:tabs>
          <w:tab w:val="num" w:pos="360"/>
        </w:tabs>
        <w:ind w:left="360" w:hanging="360"/>
        <w:rPr>
          <w:sz w:val="24"/>
          <w:szCs w:val="24"/>
        </w:rPr>
      </w:pPr>
      <w:r w:rsidRPr="001D50E1">
        <w:rPr>
          <w:sz w:val="24"/>
          <w:szCs w:val="24"/>
        </w:rPr>
        <w:t>rritjen e besimit të investitorëve vendas dhe të huaj nëpërmjet rritjes së transparencës, krahasueshmërisë dhe aksesit në informacion;</w:t>
      </w:r>
    </w:p>
    <w:p w14:paraId="2F6C52ED" w14:textId="77777777" w:rsidR="004D302D" w:rsidRPr="001D50E1" w:rsidRDefault="004D302D" w:rsidP="004D302D">
      <w:pPr>
        <w:pStyle w:val="ListBullet"/>
        <w:tabs>
          <w:tab w:val="num" w:pos="360"/>
        </w:tabs>
        <w:ind w:left="360" w:hanging="360"/>
        <w:rPr>
          <w:sz w:val="24"/>
          <w:szCs w:val="24"/>
        </w:rPr>
      </w:pPr>
      <w:r w:rsidRPr="001D50E1">
        <w:rPr>
          <w:sz w:val="24"/>
          <w:szCs w:val="24"/>
        </w:rPr>
        <w:t>përmirësimin e standardeve të qeverisjes korporative të shoqërive emetuese dhe përputhjen me praktikat e BE‑së;</w:t>
      </w:r>
    </w:p>
    <w:p w14:paraId="69B60E75" w14:textId="77777777" w:rsidR="004D302D" w:rsidRPr="001D50E1" w:rsidRDefault="004D302D" w:rsidP="004D302D">
      <w:pPr>
        <w:pStyle w:val="ListBullet"/>
        <w:tabs>
          <w:tab w:val="num" w:pos="360"/>
        </w:tabs>
        <w:ind w:left="360" w:hanging="360"/>
        <w:rPr>
          <w:sz w:val="24"/>
          <w:szCs w:val="24"/>
        </w:rPr>
      </w:pPr>
      <w:r w:rsidRPr="001D50E1">
        <w:rPr>
          <w:sz w:val="24"/>
          <w:szCs w:val="24"/>
        </w:rPr>
        <w:t>krijimin e parakushteve për zhvillimin e tregut të kapitalit si burim alternativ financimi për ekonominë, duke ulur varësinë vetëm nga financimi bankar.</w:t>
      </w:r>
    </w:p>
    <w:p w14:paraId="08559FD5" w14:textId="77777777" w:rsidR="004D302D" w:rsidRPr="001D50E1" w:rsidRDefault="004D302D" w:rsidP="004D302D">
      <w:pPr>
        <w:pStyle w:val="ListBullet"/>
        <w:numPr>
          <w:ilvl w:val="0"/>
          <w:numId w:val="0"/>
        </w:numPr>
        <w:rPr>
          <w:sz w:val="24"/>
          <w:szCs w:val="24"/>
        </w:rPr>
      </w:pPr>
    </w:p>
    <w:p w14:paraId="57E1757C" w14:textId="704D575A" w:rsidR="004D302D" w:rsidRDefault="001D50E1" w:rsidP="001D50E1">
      <w:pPr>
        <w:pStyle w:val="ListBullet"/>
        <w:numPr>
          <w:ilvl w:val="0"/>
          <w:numId w:val="0"/>
        </w:numPr>
        <w:jc w:val="both"/>
        <w:rPr>
          <w:sz w:val="24"/>
          <w:szCs w:val="24"/>
        </w:rPr>
      </w:pPr>
      <w:r w:rsidRPr="001D50E1">
        <w:rPr>
          <w:sz w:val="24"/>
          <w:szCs w:val="24"/>
        </w:rPr>
        <w:t>Gjithashtu, objektivat e projektligjit janë në përputhje me objektivat për zhvillimin e tregjeve financiare dhe krijimin e një mjedisi mundësues për financimin e ekonomisë, të përcaktuara në Vendimin e Këshillit të Ministrave nr. 266, datë 26.4.2023, “Për miratimin e dokumentit të politikave ‘Për një mjedis mundësues për zhvillimin e tregjeve të kapitalit në Shqipëri për periudhën 2023-2027’”. Ky dokument strategjik synon zhvillimin e tregjeve të kapitalit në Shqipëri, rritjen e alternativave të financimit për bizneset dhe përmirësimin e transparencës dhe mbrojtjes së investitorëve, në përputhje me standardet dhe praktikat e Bashkimit Evropian.</w:t>
      </w:r>
    </w:p>
    <w:p w14:paraId="0F8F96B9" w14:textId="77777777" w:rsidR="001D50E1" w:rsidRPr="001D50E1" w:rsidRDefault="001D50E1" w:rsidP="001D50E1">
      <w:pPr>
        <w:pStyle w:val="ListBullet"/>
        <w:numPr>
          <w:ilvl w:val="0"/>
          <w:numId w:val="0"/>
        </w:numPr>
        <w:jc w:val="both"/>
        <w:rPr>
          <w:sz w:val="24"/>
          <w:szCs w:val="24"/>
        </w:rPr>
      </w:pPr>
    </w:p>
    <w:p w14:paraId="7F64FE58" w14:textId="77777777" w:rsidR="004D302D" w:rsidRPr="00307F9C" w:rsidRDefault="004D302D" w:rsidP="004D302D">
      <w:pPr>
        <w:rPr>
          <w:sz w:val="28"/>
          <w:szCs w:val="28"/>
        </w:rPr>
      </w:pPr>
      <w:r w:rsidRPr="00307F9C">
        <w:rPr>
          <w:b/>
          <w:sz w:val="28"/>
          <w:szCs w:val="28"/>
        </w:rPr>
        <w:t>III. ARGUMENTIMI I PROJEKTAKTIT LIDHUR ME PËRPARËSITË, PROBLEMATIKAT DHE EFEKTET E PRITSHME</w:t>
      </w:r>
    </w:p>
    <w:p w14:paraId="607E702D" w14:textId="77777777" w:rsidR="004D302D" w:rsidRDefault="004D302D" w:rsidP="004D302D"/>
    <w:p w14:paraId="6DA25213" w14:textId="77777777" w:rsidR="004D302D" w:rsidRPr="001D50E1" w:rsidRDefault="004D302D" w:rsidP="004D302D">
      <w:pPr>
        <w:jc w:val="both"/>
        <w:rPr>
          <w:sz w:val="24"/>
          <w:szCs w:val="24"/>
        </w:rPr>
      </w:pPr>
      <w:r w:rsidRPr="001D50E1">
        <w:rPr>
          <w:sz w:val="24"/>
          <w:szCs w:val="24"/>
        </w:rPr>
        <w:t>Tregjet e kapitalit në Shqipëri janë në fazë zhvillimi dhe karakterizohen nga një numër i kufizuar emetuesish dhe nivel relativisht i ulët i aktivitetit tregtar. Në këtë kontekst, një kuadër ligjor i qartë dhe i harmonizuar për transparencën është parakusht për thellimin e tregut dhe për rritjen e besimit të investitorëve.</w:t>
      </w:r>
    </w:p>
    <w:p w14:paraId="07339A0B" w14:textId="77777777" w:rsidR="004D302D" w:rsidRPr="001D50E1" w:rsidRDefault="004D302D" w:rsidP="004D302D">
      <w:pPr>
        <w:jc w:val="both"/>
        <w:rPr>
          <w:sz w:val="24"/>
          <w:szCs w:val="24"/>
        </w:rPr>
      </w:pPr>
      <w:r w:rsidRPr="001D50E1">
        <w:rPr>
          <w:sz w:val="24"/>
          <w:szCs w:val="24"/>
        </w:rPr>
        <w:t>Mungesa e kërkesave të unifikuara dhe të standardizuara për publikimin dhe aksesin në informacionin e rregulluar mund të çojë në asimetri informacioni, ulje të besimit në treg, rritje të rrezikut të sjelljeve abuzive dhe vështirësi në mbikëqyrje. Projektligji adreson këto problematika duke vendosur detyrime të qarta për raportimin financiar periodik, transparencën e strukturës së pronësisë dhe të drejtave të votimit, si dhe rregulla të detajuara për publikimin dhe depozitimin e informacionit pranë AMF dhe mekanizmit zyrtar të ruajtjes qendrore.</w:t>
      </w:r>
    </w:p>
    <w:p w14:paraId="4C24B8F7" w14:textId="77777777" w:rsidR="005647ED" w:rsidRDefault="005647ED" w:rsidP="004D302D">
      <w:pPr>
        <w:jc w:val="both"/>
        <w:rPr>
          <w:sz w:val="24"/>
          <w:szCs w:val="24"/>
        </w:rPr>
      </w:pPr>
    </w:p>
    <w:p w14:paraId="61A94447" w14:textId="1F564869" w:rsidR="004D302D" w:rsidRPr="001D50E1" w:rsidRDefault="004D302D" w:rsidP="004D302D">
      <w:pPr>
        <w:jc w:val="both"/>
        <w:rPr>
          <w:sz w:val="24"/>
          <w:szCs w:val="24"/>
        </w:rPr>
      </w:pPr>
      <w:r w:rsidRPr="001D50E1">
        <w:rPr>
          <w:sz w:val="24"/>
          <w:szCs w:val="24"/>
        </w:rPr>
        <w:t>Efektet e pritshme të zbatimit të projektligjit përfshijnë:</w:t>
      </w:r>
    </w:p>
    <w:p w14:paraId="35AD3F0C" w14:textId="77777777" w:rsidR="004D302D" w:rsidRPr="001D50E1" w:rsidRDefault="004D302D" w:rsidP="004D302D">
      <w:pPr>
        <w:pStyle w:val="ListBullet"/>
        <w:tabs>
          <w:tab w:val="num" w:pos="360"/>
        </w:tabs>
        <w:ind w:left="360" w:hanging="360"/>
        <w:jc w:val="both"/>
        <w:rPr>
          <w:sz w:val="24"/>
          <w:szCs w:val="24"/>
        </w:rPr>
      </w:pPr>
      <w:r w:rsidRPr="001D50E1">
        <w:rPr>
          <w:sz w:val="24"/>
          <w:szCs w:val="24"/>
        </w:rPr>
        <w:t>rritje të transparencës dhe integritetit të tregut, duke ndihmuar në formimin më efikas të çmimeve të titujve;</w:t>
      </w:r>
    </w:p>
    <w:p w14:paraId="52586E60" w14:textId="77777777" w:rsidR="004D302D" w:rsidRPr="001D50E1" w:rsidRDefault="004D302D" w:rsidP="004D302D">
      <w:pPr>
        <w:pStyle w:val="ListBullet"/>
        <w:tabs>
          <w:tab w:val="num" w:pos="360"/>
        </w:tabs>
        <w:ind w:left="360" w:hanging="360"/>
        <w:jc w:val="both"/>
        <w:rPr>
          <w:sz w:val="24"/>
          <w:szCs w:val="24"/>
        </w:rPr>
      </w:pPr>
      <w:r w:rsidRPr="001D50E1">
        <w:rPr>
          <w:sz w:val="24"/>
          <w:szCs w:val="24"/>
        </w:rPr>
        <w:lastRenderedPageBreak/>
        <w:t>përmirësim të mbrojtjes së investitorëve dhe të disiplinës së tregut, përmes informacionit të standardizuar dhe të aksesueshëm;</w:t>
      </w:r>
    </w:p>
    <w:p w14:paraId="258F2980" w14:textId="77777777" w:rsidR="004D302D" w:rsidRPr="001D50E1" w:rsidRDefault="004D302D" w:rsidP="004D302D">
      <w:pPr>
        <w:pStyle w:val="ListBullet"/>
        <w:tabs>
          <w:tab w:val="num" w:pos="360"/>
        </w:tabs>
        <w:ind w:left="360" w:hanging="360"/>
        <w:jc w:val="both"/>
        <w:rPr>
          <w:sz w:val="24"/>
          <w:szCs w:val="24"/>
        </w:rPr>
      </w:pPr>
      <w:r w:rsidRPr="001D50E1">
        <w:rPr>
          <w:sz w:val="24"/>
          <w:szCs w:val="24"/>
        </w:rPr>
        <w:t>nxitje të qeverisjes korporative dhe përgjegjshmërisë së organeve drejtuese, përmes deklarimeve të përgjegjësisë dhe publikimit të raportimit;</w:t>
      </w:r>
    </w:p>
    <w:p w14:paraId="0037D810" w14:textId="77777777" w:rsidR="004D302D" w:rsidRPr="001D50E1" w:rsidRDefault="004D302D" w:rsidP="004D302D">
      <w:pPr>
        <w:pStyle w:val="ListBullet"/>
        <w:tabs>
          <w:tab w:val="num" w:pos="360"/>
        </w:tabs>
        <w:ind w:left="360" w:hanging="360"/>
        <w:jc w:val="both"/>
        <w:rPr>
          <w:sz w:val="24"/>
          <w:szCs w:val="24"/>
        </w:rPr>
      </w:pPr>
      <w:r w:rsidRPr="001D50E1">
        <w:rPr>
          <w:sz w:val="24"/>
          <w:szCs w:val="24"/>
        </w:rPr>
        <w:t>përgatitje graduale e infrastrukturës dhe proceseve për integrimin në mekanizmat evropianë të aksesit në informacion, sipas dispozitave kalimtare.</w:t>
      </w:r>
    </w:p>
    <w:p w14:paraId="79689901" w14:textId="77777777" w:rsidR="004D302D" w:rsidRPr="001D50E1" w:rsidRDefault="004D302D" w:rsidP="004D302D">
      <w:pPr>
        <w:jc w:val="both"/>
        <w:rPr>
          <w:sz w:val="24"/>
          <w:szCs w:val="24"/>
        </w:rPr>
      </w:pPr>
      <w:r w:rsidRPr="001D50E1">
        <w:rPr>
          <w:sz w:val="24"/>
          <w:szCs w:val="24"/>
        </w:rPr>
        <w:t>Zbatimi i projektligjit shoqërohet me kosto përputhshmërie për emetuesit (p.sh. përgatitja e raporteve, auditimi, formatet elektronike, procedurat e publikimit), por këto kosto janë të lidhura me standardet minimale që synojnë funksionimin e drejtë të tregut dhe janë proporcionalisht të orientuara te emetuesit me tituj të pranuar për tregtim në treg të rregulluar. Për më tepër, projektligji parashikon përjashtime për kategori të caktuara emetuesish dhe një regjim kalimtar për dispozitat që lidhen drejtpërdrejt me mekanizmat e BE‑së.</w:t>
      </w:r>
    </w:p>
    <w:p w14:paraId="3CC2A83C" w14:textId="77777777" w:rsidR="004D302D" w:rsidRPr="001D50E1" w:rsidRDefault="004D302D" w:rsidP="004D302D">
      <w:pPr>
        <w:jc w:val="both"/>
        <w:rPr>
          <w:sz w:val="24"/>
          <w:szCs w:val="24"/>
        </w:rPr>
      </w:pPr>
    </w:p>
    <w:p w14:paraId="12BCEB2E" w14:textId="77777777" w:rsidR="004D302D" w:rsidRPr="00307F9C" w:rsidRDefault="004D302D" w:rsidP="004D302D">
      <w:pPr>
        <w:jc w:val="both"/>
        <w:rPr>
          <w:sz w:val="28"/>
          <w:szCs w:val="28"/>
        </w:rPr>
      </w:pPr>
    </w:p>
    <w:p w14:paraId="7496EDF8" w14:textId="77777777" w:rsidR="004D302D" w:rsidRPr="00307F9C" w:rsidRDefault="004D302D" w:rsidP="004D302D">
      <w:pPr>
        <w:rPr>
          <w:sz w:val="28"/>
          <w:szCs w:val="28"/>
        </w:rPr>
      </w:pPr>
      <w:r w:rsidRPr="00307F9C">
        <w:rPr>
          <w:b/>
          <w:sz w:val="28"/>
          <w:szCs w:val="28"/>
        </w:rPr>
        <w:t>IV. VLERËSIMI I LIGJSHMËRISË, KUSHTETUTSHMËRISË DHE HARMONIZIMI ME LEGJISLACIONIN NË FUQI</w:t>
      </w:r>
    </w:p>
    <w:p w14:paraId="5D342E04" w14:textId="77777777" w:rsidR="004D302D" w:rsidRDefault="004D302D" w:rsidP="004D302D">
      <w:pPr>
        <w:jc w:val="both"/>
        <w:rPr>
          <w:sz w:val="24"/>
          <w:szCs w:val="24"/>
        </w:rPr>
      </w:pPr>
    </w:p>
    <w:p w14:paraId="35D63116" w14:textId="77777777" w:rsidR="004D302D" w:rsidRPr="00307F9C" w:rsidRDefault="004D302D" w:rsidP="004D302D">
      <w:pPr>
        <w:jc w:val="both"/>
        <w:rPr>
          <w:sz w:val="24"/>
          <w:szCs w:val="24"/>
          <w:lang w:val="sq-AL"/>
        </w:rPr>
      </w:pPr>
      <w:r w:rsidRPr="00307F9C">
        <w:rPr>
          <w:sz w:val="24"/>
          <w:szCs w:val="24"/>
          <w:lang w:val="sq-AL"/>
        </w:rPr>
        <w:t>Ky projektligj  është në përputhje me nenet 78 dhe 83, pika 1 e  Kushtetutës  së Republikës së Shqipërisë .</w:t>
      </w:r>
    </w:p>
    <w:p w14:paraId="7525E677" w14:textId="77777777" w:rsidR="004D302D" w:rsidRPr="00307F9C" w:rsidRDefault="004D302D" w:rsidP="004D302D">
      <w:pPr>
        <w:jc w:val="both"/>
        <w:rPr>
          <w:sz w:val="24"/>
          <w:szCs w:val="24"/>
          <w:lang w:val="sq-AL"/>
        </w:rPr>
      </w:pPr>
    </w:p>
    <w:p w14:paraId="4A075C64" w14:textId="77777777" w:rsidR="004D302D" w:rsidRPr="00B8658D" w:rsidRDefault="004D302D" w:rsidP="004D302D">
      <w:pPr>
        <w:rPr>
          <w:b/>
          <w:sz w:val="28"/>
          <w:szCs w:val="28"/>
          <w:lang w:val="sq-AL"/>
        </w:rPr>
      </w:pPr>
      <w:r w:rsidRPr="00B8658D">
        <w:rPr>
          <w:b/>
          <w:sz w:val="28"/>
          <w:szCs w:val="28"/>
          <w:lang w:val="sq-AL"/>
        </w:rPr>
        <w:t>V. VLERËSIMI I SHKALLËS SË PËRAFRIMIT ME ACQUIS COMMUNAUTAIRE</w:t>
      </w:r>
    </w:p>
    <w:p w14:paraId="1770373B" w14:textId="77777777" w:rsidR="004D302D" w:rsidRPr="00B8658D" w:rsidRDefault="004D302D" w:rsidP="004D302D">
      <w:pPr>
        <w:rPr>
          <w:sz w:val="28"/>
          <w:szCs w:val="28"/>
          <w:lang w:val="sq-AL"/>
        </w:rPr>
      </w:pPr>
    </w:p>
    <w:p w14:paraId="4703902D" w14:textId="77777777" w:rsidR="004D302D" w:rsidRPr="00B8658D" w:rsidRDefault="004D302D" w:rsidP="004D302D">
      <w:pPr>
        <w:rPr>
          <w:sz w:val="24"/>
          <w:szCs w:val="24"/>
          <w:lang w:val="sq-AL"/>
        </w:rPr>
      </w:pPr>
      <w:r w:rsidRPr="00B8658D">
        <w:rPr>
          <w:sz w:val="24"/>
          <w:szCs w:val="24"/>
          <w:lang w:val="sq-AL"/>
        </w:rPr>
        <w:t xml:space="preserve">Projektligji përafron legjislacionin shqiptar me acquis të Bashkimit Evropian në fushën e transparencës së emetuesve, në veçanti me Direktivën e Transparencës 2004/109/EC dhe ndryshimet e saj si dhe aktet zbatuese si më poshtë: </w:t>
      </w:r>
    </w:p>
    <w:p w14:paraId="6EBEDB99" w14:textId="77777777" w:rsidR="004D302D" w:rsidRPr="00B8658D" w:rsidRDefault="004D302D" w:rsidP="004D302D">
      <w:pPr>
        <w:rPr>
          <w:sz w:val="24"/>
          <w:szCs w:val="24"/>
          <w:lang w:val="sq-AL"/>
        </w:rPr>
      </w:pPr>
    </w:p>
    <w:p w14:paraId="2AFB60D6" w14:textId="77777777" w:rsidR="004D302D" w:rsidRPr="00DE2908" w:rsidRDefault="004D302D" w:rsidP="004D302D">
      <w:pPr>
        <w:widowControl w:val="0"/>
        <w:jc w:val="both"/>
        <w:rPr>
          <w:rFonts w:cs="Times New Roman"/>
          <w:b/>
          <w:bCs/>
          <w:sz w:val="24"/>
          <w:szCs w:val="24"/>
          <w:lang w:val="sq-AL"/>
        </w:rPr>
      </w:pPr>
      <w:r w:rsidRPr="00DE2908">
        <w:rPr>
          <w:rFonts w:cs="Times New Roman"/>
          <w:sz w:val="24"/>
          <w:szCs w:val="24"/>
          <w:lang w:val="sq-AL"/>
        </w:rPr>
        <w:t xml:space="preserve">Direktiva 2004/109/KE e Parlamentit Evropian dhe e Këshillit, e datës 15 dhjetor 2004, për harmonizimin e kërkesave të transparencës në lidhje me informacionin për emetuesit, titujt e të cilëve janë pranuar për tregtim në një treg të rregulluar, dhe për ndryshimin e Direktivës 2001/34/KE, ndryshuar nga: </w:t>
      </w:r>
    </w:p>
    <w:p w14:paraId="08BECD15" w14:textId="77777777" w:rsidR="004D302D" w:rsidRPr="00DE2908" w:rsidRDefault="004D302D" w:rsidP="004D302D">
      <w:pPr>
        <w:widowControl w:val="0"/>
        <w:jc w:val="both"/>
        <w:rPr>
          <w:rFonts w:cs="Times New Roman"/>
          <w:sz w:val="24"/>
          <w:szCs w:val="24"/>
          <w:lang w:val="sq-AL"/>
        </w:rPr>
      </w:pPr>
    </w:p>
    <w:p w14:paraId="1ACE6238" w14:textId="77777777" w:rsidR="004D302D" w:rsidRPr="00DE2908" w:rsidRDefault="004D302D" w:rsidP="004D302D">
      <w:pPr>
        <w:widowControl w:val="0"/>
        <w:numPr>
          <w:ilvl w:val="0"/>
          <w:numId w:val="2"/>
        </w:numPr>
        <w:tabs>
          <w:tab w:val="left" w:pos="567"/>
        </w:tabs>
        <w:spacing w:after="120"/>
        <w:jc w:val="both"/>
        <w:rPr>
          <w:rFonts w:cs="Times New Roman"/>
          <w:sz w:val="24"/>
          <w:szCs w:val="24"/>
          <w:lang w:val="it-IT"/>
        </w:rPr>
      </w:pPr>
      <w:r w:rsidRPr="00DE2908">
        <w:rPr>
          <w:rFonts w:cs="Times New Roman"/>
          <w:sz w:val="24"/>
          <w:szCs w:val="24"/>
          <w:lang w:val="it-IT"/>
        </w:rPr>
        <w:t xml:space="preserve">Direktiva 2008/22/KE e Parlamentit Evropian dhe e Këshillit, e datës 11 mars 2008 </w:t>
      </w:r>
    </w:p>
    <w:p w14:paraId="7A9AABAC" w14:textId="77777777" w:rsidR="004D302D" w:rsidRPr="00DE2908" w:rsidRDefault="004D302D" w:rsidP="004D302D">
      <w:pPr>
        <w:widowControl w:val="0"/>
        <w:jc w:val="both"/>
        <w:rPr>
          <w:rFonts w:cs="Times New Roman"/>
          <w:sz w:val="24"/>
          <w:szCs w:val="24"/>
          <w:lang w:val="it-IT"/>
        </w:rPr>
      </w:pPr>
    </w:p>
    <w:p w14:paraId="1AB8E191" w14:textId="77777777" w:rsidR="004D302D" w:rsidRPr="00DE2908" w:rsidRDefault="004D302D" w:rsidP="004D302D">
      <w:pPr>
        <w:widowControl w:val="0"/>
        <w:numPr>
          <w:ilvl w:val="0"/>
          <w:numId w:val="2"/>
        </w:numPr>
        <w:tabs>
          <w:tab w:val="left" w:pos="567"/>
        </w:tabs>
        <w:spacing w:after="120"/>
        <w:jc w:val="both"/>
        <w:rPr>
          <w:rFonts w:cs="Times New Roman"/>
          <w:sz w:val="24"/>
          <w:szCs w:val="24"/>
          <w:lang w:val="sq-AL"/>
        </w:rPr>
      </w:pPr>
      <w:r w:rsidRPr="00DE2908">
        <w:rPr>
          <w:rFonts w:cs="Times New Roman"/>
          <w:sz w:val="24"/>
          <w:szCs w:val="24"/>
          <w:lang w:val="sq-AL"/>
        </w:rPr>
        <w:t>Direktiva 2010/73/BE e Parlamentit Evropian dhe e Këshillit, e datës 24 nëntor 2010</w:t>
      </w:r>
    </w:p>
    <w:p w14:paraId="41B249B9" w14:textId="77777777" w:rsidR="004D302D" w:rsidRPr="00DE2908" w:rsidRDefault="004D302D" w:rsidP="004D302D">
      <w:pPr>
        <w:widowControl w:val="0"/>
        <w:ind w:firstLine="45"/>
        <w:jc w:val="both"/>
        <w:rPr>
          <w:rFonts w:cs="Times New Roman"/>
          <w:sz w:val="24"/>
          <w:szCs w:val="24"/>
          <w:lang w:val="it-IT"/>
        </w:rPr>
      </w:pPr>
    </w:p>
    <w:p w14:paraId="6FC31412" w14:textId="77777777" w:rsidR="004D302D" w:rsidRPr="00DE2908" w:rsidRDefault="004D302D" w:rsidP="004D302D">
      <w:pPr>
        <w:widowControl w:val="0"/>
        <w:numPr>
          <w:ilvl w:val="0"/>
          <w:numId w:val="2"/>
        </w:numPr>
        <w:tabs>
          <w:tab w:val="left" w:pos="567"/>
        </w:tabs>
        <w:spacing w:after="120"/>
        <w:jc w:val="both"/>
        <w:rPr>
          <w:rFonts w:cs="Times New Roman"/>
          <w:sz w:val="24"/>
          <w:szCs w:val="24"/>
          <w:lang w:val="it-IT"/>
        </w:rPr>
      </w:pPr>
      <w:r w:rsidRPr="00DE2908">
        <w:rPr>
          <w:rFonts w:cs="Times New Roman"/>
          <w:sz w:val="24"/>
          <w:szCs w:val="24"/>
          <w:lang w:val="it-IT"/>
        </w:rPr>
        <w:t xml:space="preserve">Direktiva 2010/78/BE e Parlamentit Evropian dhe e Këshillit, e datës 24 nëntor 2010 </w:t>
      </w:r>
    </w:p>
    <w:p w14:paraId="29E5FCE3" w14:textId="77777777" w:rsidR="004D302D" w:rsidRPr="00DE2908" w:rsidRDefault="004D302D" w:rsidP="004D302D">
      <w:pPr>
        <w:widowControl w:val="0"/>
        <w:jc w:val="both"/>
        <w:rPr>
          <w:rFonts w:cs="Times New Roman"/>
          <w:sz w:val="24"/>
          <w:szCs w:val="24"/>
          <w:lang w:val="it-IT"/>
        </w:rPr>
      </w:pPr>
    </w:p>
    <w:p w14:paraId="77235E2A" w14:textId="77777777" w:rsidR="004D302D" w:rsidRPr="00DE2908" w:rsidRDefault="004D302D" w:rsidP="004D302D">
      <w:pPr>
        <w:widowControl w:val="0"/>
        <w:numPr>
          <w:ilvl w:val="0"/>
          <w:numId w:val="2"/>
        </w:numPr>
        <w:tabs>
          <w:tab w:val="left" w:pos="567"/>
        </w:tabs>
        <w:spacing w:after="120"/>
        <w:jc w:val="both"/>
        <w:rPr>
          <w:rFonts w:cs="Times New Roman"/>
          <w:sz w:val="24"/>
          <w:szCs w:val="24"/>
          <w:lang w:val="it-IT"/>
        </w:rPr>
      </w:pPr>
      <w:r w:rsidRPr="00DE2908">
        <w:rPr>
          <w:rFonts w:cs="Times New Roman"/>
          <w:sz w:val="24"/>
          <w:szCs w:val="24"/>
          <w:lang w:val="it-IT"/>
        </w:rPr>
        <w:t xml:space="preserve">Direktiva 2013/50/BE e Parlamentit Evropian dhe e Këshillit, e datës 22 tetor 2013 </w:t>
      </w:r>
    </w:p>
    <w:p w14:paraId="22E058F6" w14:textId="77777777" w:rsidR="004D302D" w:rsidRPr="00DE2908" w:rsidRDefault="004D302D" w:rsidP="004D302D">
      <w:pPr>
        <w:widowControl w:val="0"/>
        <w:jc w:val="both"/>
        <w:rPr>
          <w:rFonts w:cs="Times New Roman"/>
          <w:sz w:val="24"/>
          <w:szCs w:val="24"/>
          <w:lang w:val="it-IT"/>
        </w:rPr>
      </w:pPr>
    </w:p>
    <w:p w14:paraId="13C197D5" w14:textId="77777777" w:rsidR="004D302D" w:rsidRPr="00DE2908" w:rsidRDefault="004D302D" w:rsidP="004D302D">
      <w:pPr>
        <w:widowControl w:val="0"/>
        <w:numPr>
          <w:ilvl w:val="0"/>
          <w:numId w:val="2"/>
        </w:numPr>
        <w:tabs>
          <w:tab w:val="left" w:pos="567"/>
        </w:tabs>
        <w:spacing w:after="120"/>
        <w:jc w:val="both"/>
        <w:rPr>
          <w:rFonts w:cs="Times New Roman"/>
          <w:sz w:val="24"/>
          <w:szCs w:val="24"/>
          <w:lang w:val="it-IT"/>
        </w:rPr>
      </w:pPr>
      <w:r w:rsidRPr="00DE2908">
        <w:rPr>
          <w:rFonts w:cs="Times New Roman"/>
          <w:sz w:val="24"/>
          <w:szCs w:val="24"/>
          <w:lang w:val="it-IT"/>
        </w:rPr>
        <w:t xml:space="preserve">Rregullorja (BE) 2021/337 e Parlamentit Evropian dhe e Këshillit, e datës 16 shkurt 2021 </w:t>
      </w:r>
    </w:p>
    <w:p w14:paraId="04EA7E48" w14:textId="77777777" w:rsidR="004D302D" w:rsidRPr="00DE2908" w:rsidRDefault="004D302D" w:rsidP="004D302D">
      <w:pPr>
        <w:widowControl w:val="0"/>
        <w:jc w:val="both"/>
        <w:rPr>
          <w:rFonts w:cs="Times New Roman"/>
          <w:sz w:val="24"/>
          <w:szCs w:val="24"/>
          <w:lang w:val="it-IT"/>
        </w:rPr>
      </w:pPr>
    </w:p>
    <w:p w14:paraId="32FB309A" w14:textId="77777777" w:rsidR="004D302D" w:rsidRPr="00DE2908" w:rsidRDefault="004D302D" w:rsidP="004D302D">
      <w:pPr>
        <w:widowControl w:val="0"/>
        <w:numPr>
          <w:ilvl w:val="0"/>
          <w:numId w:val="2"/>
        </w:numPr>
        <w:tabs>
          <w:tab w:val="left" w:pos="567"/>
        </w:tabs>
        <w:spacing w:after="120"/>
        <w:jc w:val="both"/>
        <w:rPr>
          <w:rFonts w:cs="Times New Roman"/>
          <w:sz w:val="24"/>
          <w:szCs w:val="24"/>
          <w:lang w:val="it-IT"/>
        </w:rPr>
      </w:pPr>
      <w:r w:rsidRPr="00DE2908">
        <w:rPr>
          <w:rFonts w:cs="Times New Roman"/>
          <w:sz w:val="24"/>
          <w:szCs w:val="24"/>
          <w:lang w:val="it-IT"/>
        </w:rPr>
        <w:t xml:space="preserve">Direktiva (BE) 2022/2464 e Parlamentit Evropian dhe e Këshillit, e datës 14 dhjetor 2022 </w:t>
      </w:r>
    </w:p>
    <w:p w14:paraId="6984505F" w14:textId="77777777" w:rsidR="004D302D" w:rsidRPr="00DE2908" w:rsidRDefault="004D302D" w:rsidP="004D302D">
      <w:pPr>
        <w:widowControl w:val="0"/>
        <w:jc w:val="both"/>
        <w:rPr>
          <w:rFonts w:cs="Times New Roman"/>
          <w:sz w:val="24"/>
          <w:szCs w:val="24"/>
          <w:lang w:val="it-IT"/>
        </w:rPr>
      </w:pPr>
    </w:p>
    <w:p w14:paraId="140C30D8" w14:textId="77777777" w:rsidR="004D302D" w:rsidRPr="00DE2908" w:rsidRDefault="004D302D" w:rsidP="004D302D">
      <w:pPr>
        <w:numPr>
          <w:ilvl w:val="0"/>
          <w:numId w:val="2"/>
        </w:numPr>
        <w:tabs>
          <w:tab w:val="left" w:pos="480"/>
          <w:tab w:val="left" w:pos="567"/>
        </w:tabs>
        <w:spacing w:after="120" w:line="276" w:lineRule="auto"/>
        <w:jc w:val="both"/>
        <w:rPr>
          <w:rFonts w:cs="Times New Roman"/>
          <w:b/>
          <w:bCs/>
          <w:sz w:val="24"/>
          <w:szCs w:val="24"/>
          <w:lang w:val="sq-AL" w:eastAsia="en-GB"/>
        </w:rPr>
      </w:pPr>
      <w:r w:rsidRPr="00DE2908">
        <w:rPr>
          <w:rFonts w:cs="Times New Roman"/>
          <w:sz w:val="24"/>
          <w:szCs w:val="24"/>
          <w:lang w:val="sq-AL"/>
        </w:rPr>
        <w:t>Direktiva (BE) 2023/2864 e Parlamentit Evropian dhe e Këshillit, e datës 13 dhjetor 2023</w:t>
      </w:r>
    </w:p>
    <w:p w14:paraId="32BA8A43" w14:textId="77777777" w:rsidR="004D302D" w:rsidRPr="00DE2908" w:rsidRDefault="004D302D" w:rsidP="004D302D">
      <w:pPr>
        <w:tabs>
          <w:tab w:val="left" w:pos="480"/>
          <w:tab w:val="left" w:pos="567"/>
        </w:tabs>
        <w:spacing w:after="120" w:line="276" w:lineRule="auto"/>
        <w:ind w:left="339"/>
        <w:jc w:val="both"/>
        <w:rPr>
          <w:rFonts w:cs="Times New Roman"/>
          <w:b/>
          <w:bCs/>
          <w:sz w:val="24"/>
          <w:szCs w:val="24"/>
          <w:lang w:val="sq-AL" w:eastAsia="en-GB"/>
        </w:rPr>
      </w:pPr>
    </w:p>
    <w:p w14:paraId="3957043B" w14:textId="77777777" w:rsidR="004D302D" w:rsidRPr="00DE2908" w:rsidRDefault="004D302D" w:rsidP="004D302D">
      <w:pPr>
        <w:tabs>
          <w:tab w:val="left" w:pos="480"/>
        </w:tabs>
        <w:spacing w:line="276" w:lineRule="auto"/>
        <w:jc w:val="both"/>
        <w:rPr>
          <w:rFonts w:cs="Times New Roman"/>
          <w:noProof/>
          <w:sz w:val="24"/>
          <w:szCs w:val="24"/>
          <w:lang w:val="sq-AL"/>
        </w:rPr>
      </w:pPr>
      <w:r w:rsidRPr="00DE2908">
        <w:rPr>
          <w:rFonts w:cs="Times New Roman"/>
          <w:noProof/>
          <w:sz w:val="24"/>
          <w:szCs w:val="24"/>
          <w:lang w:val="sq-AL"/>
        </w:rPr>
        <w:t>Direktiva 2007/14/KE e datës 8 mars 2007 që përcakton rregulla të detajuara për zbatimin e disa dispozitave të Direktivës 2004/109/KE për harmonizimin e kërkesave të transparencës në lidhje me informacionin për emetuesit, titujt e të cilëve janë pranuar për tregtim në një treg të rregulluar.</w:t>
      </w:r>
    </w:p>
    <w:p w14:paraId="5A4A27BE" w14:textId="77777777" w:rsidR="004D302D" w:rsidRDefault="004D302D" w:rsidP="004D302D">
      <w:pPr>
        <w:rPr>
          <w:lang w:val="sq-AL"/>
        </w:rPr>
      </w:pPr>
    </w:p>
    <w:p w14:paraId="69E39BD5" w14:textId="77777777" w:rsidR="004D302D" w:rsidRPr="00B8658D" w:rsidRDefault="004D302D" w:rsidP="004D302D">
      <w:pPr>
        <w:rPr>
          <w:sz w:val="28"/>
          <w:szCs w:val="28"/>
          <w:lang w:val="sq-AL"/>
        </w:rPr>
      </w:pPr>
      <w:r w:rsidRPr="00B8658D">
        <w:rPr>
          <w:b/>
          <w:sz w:val="28"/>
          <w:szCs w:val="28"/>
          <w:lang w:val="sq-AL"/>
        </w:rPr>
        <w:t>VI. PËRMBLEDHJE SHPJEGUESE E PËRMBAJTJES SË PROJEKTAKTIT</w:t>
      </w:r>
    </w:p>
    <w:p w14:paraId="5BDE253A" w14:textId="77777777" w:rsidR="004D302D" w:rsidRPr="000C73F9" w:rsidRDefault="004D302D" w:rsidP="004D302D">
      <w:pPr>
        <w:rPr>
          <w:sz w:val="24"/>
          <w:szCs w:val="24"/>
          <w:lang w:val="sq-AL"/>
        </w:rPr>
      </w:pPr>
    </w:p>
    <w:p w14:paraId="7446FCA8" w14:textId="77777777" w:rsidR="004D302D" w:rsidRPr="000C73F9" w:rsidRDefault="004D302D" w:rsidP="004D302D">
      <w:pPr>
        <w:rPr>
          <w:sz w:val="24"/>
          <w:szCs w:val="24"/>
          <w:lang w:val="sq-AL"/>
        </w:rPr>
      </w:pPr>
      <w:r w:rsidRPr="000C73F9">
        <w:rPr>
          <w:sz w:val="24"/>
          <w:szCs w:val="24"/>
          <w:lang w:val="sq-AL"/>
        </w:rPr>
        <w:t>Projektligji përbëhet nga 6 (gjashtë) Kre dhe 46 (dyzet e gjashtë) nene. Në vijim jepet struktura dhe një përmbledhje e detajuar e përmbajtjes së secilit Kre dhe nen.</w:t>
      </w:r>
    </w:p>
    <w:tbl>
      <w:tblPr>
        <w:tblW w:w="0" w:type="auto"/>
        <w:tblLook w:val="04A0" w:firstRow="1" w:lastRow="0" w:firstColumn="1" w:lastColumn="0" w:noHBand="0" w:noVBand="1"/>
      </w:tblPr>
      <w:tblGrid>
        <w:gridCol w:w="3120"/>
        <w:gridCol w:w="3120"/>
        <w:gridCol w:w="3120"/>
      </w:tblGrid>
      <w:tr w:rsidR="004D302D" w:rsidRPr="00DE2908" w14:paraId="298B209D" w14:textId="77777777" w:rsidTr="007E7946">
        <w:tc>
          <w:tcPr>
            <w:tcW w:w="3120" w:type="dxa"/>
          </w:tcPr>
          <w:p w14:paraId="6257AA05" w14:textId="77777777" w:rsidR="004D302D" w:rsidRPr="00DE2908" w:rsidRDefault="004D302D" w:rsidP="007E7946">
            <w:pPr>
              <w:rPr>
                <w:sz w:val="24"/>
                <w:szCs w:val="24"/>
              </w:rPr>
            </w:pPr>
            <w:r w:rsidRPr="00DE2908">
              <w:rPr>
                <w:sz w:val="24"/>
                <w:szCs w:val="24"/>
              </w:rPr>
              <w:t>KREU</w:t>
            </w:r>
          </w:p>
        </w:tc>
        <w:tc>
          <w:tcPr>
            <w:tcW w:w="3120" w:type="dxa"/>
          </w:tcPr>
          <w:p w14:paraId="58227EB9" w14:textId="77777777" w:rsidR="004D302D" w:rsidRPr="00DE2908" w:rsidRDefault="004D302D" w:rsidP="007E7946">
            <w:pPr>
              <w:rPr>
                <w:sz w:val="24"/>
                <w:szCs w:val="24"/>
              </w:rPr>
            </w:pPr>
            <w:r w:rsidRPr="00DE2908">
              <w:rPr>
                <w:sz w:val="24"/>
                <w:szCs w:val="24"/>
              </w:rPr>
              <w:t>Objekti/Përmbajtja</w:t>
            </w:r>
          </w:p>
        </w:tc>
        <w:tc>
          <w:tcPr>
            <w:tcW w:w="3120" w:type="dxa"/>
          </w:tcPr>
          <w:p w14:paraId="3E64512E" w14:textId="77777777" w:rsidR="004D302D" w:rsidRPr="00DE2908" w:rsidRDefault="004D302D" w:rsidP="007E7946">
            <w:pPr>
              <w:rPr>
                <w:sz w:val="24"/>
                <w:szCs w:val="24"/>
              </w:rPr>
            </w:pPr>
            <w:r w:rsidRPr="00DE2908">
              <w:rPr>
                <w:sz w:val="24"/>
                <w:szCs w:val="24"/>
              </w:rPr>
              <w:t>Nenet</w:t>
            </w:r>
          </w:p>
        </w:tc>
      </w:tr>
      <w:tr w:rsidR="004D302D" w:rsidRPr="00DE2908" w14:paraId="31DDC3F0" w14:textId="77777777" w:rsidTr="007E7946">
        <w:tc>
          <w:tcPr>
            <w:tcW w:w="3120" w:type="dxa"/>
          </w:tcPr>
          <w:p w14:paraId="596EE4C6" w14:textId="77777777" w:rsidR="004D302D" w:rsidRPr="00DE2908" w:rsidRDefault="004D302D" w:rsidP="007E7946">
            <w:pPr>
              <w:rPr>
                <w:sz w:val="24"/>
                <w:szCs w:val="24"/>
              </w:rPr>
            </w:pPr>
            <w:r w:rsidRPr="00DE2908">
              <w:rPr>
                <w:sz w:val="24"/>
                <w:szCs w:val="24"/>
              </w:rPr>
              <w:t>KREU I</w:t>
            </w:r>
          </w:p>
        </w:tc>
        <w:tc>
          <w:tcPr>
            <w:tcW w:w="3120" w:type="dxa"/>
          </w:tcPr>
          <w:p w14:paraId="0E4B738C" w14:textId="77777777" w:rsidR="004D302D" w:rsidRPr="00DE2908" w:rsidRDefault="004D302D" w:rsidP="007E7946">
            <w:pPr>
              <w:rPr>
                <w:sz w:val="24"/>
                <w:szCs w:val="24"/>
              </w:rPr>
            </w:pPr>
            <w:r w:rsidRPr="00DE2908">
              <w:rPr>
                <w:sz w:val="24"/>
                <w:szCs w:val="24"/>
              </w:rPr>
              <w:t>Dispozita të përgjithshme (objekti, fusha, përkufizime, ditët e tregtimit)</w:t>
            </w:r>
          </w:p>
        </w:tc>
        <w:tc>
          <w:tcPr>
            <w:tcW w:w="3120" w:type="dxa"/>
          </w:tcPr>
          <w:p w14:paraId="7F9C7FBF" w14:textId="77777777" w:rsidR="004D302D" w:rsidRPr="00DE2908" w:rsidRDefault="004D302D" w:rsidP="007E7946">
            <w:pPr>
              <w:rPr>
                <w:sz w:val="24"/>
                <w:szCs w:val="24"/>
              </w:rPr>
            </w:pPr>
            <w:r w:rsidRPr="00DE2908">
              <w:rPr>
                <w:sz w:val="24"/>
                <w:szCs w:val="24"/>
              </w:rPr>
              <w:t>1–3</w:t>
            </w:r>
          </w:p>
        </w:tc>
      </w:tr>
      <w:tr w:rsidR="004D302D" w:rsidRPr="00DE2908" w14:paraId="50A661D2" w14:textId="77777777" w:rsidTr="007E7946">
        <w:tc>
          <w:tcPr>
            <w:tcW w:w="3120" w:type="dxa"/>
          </w:tcPr>
          <w:p w14:paraId="23B2AA47" w14:textId="77777777" w:rsidR="004D302D" w:rsidRPr="00DE2908" w:rsidRDefault="004D302D" w:rsidP="007E7946">
            <w:pPr>
              <w:rPr>
                <w:sz w:val="24"/>
                <w:szCs w:val="24"/>
              </w:rPr>
            </w:pPr>
            <w:r w:rsidRPr="00DE2908">
              <w:rPr>
                <w:sz w:val="24"/>
                <w:szCs w:val="24"/>
              </w:rPr>
              <w:t>KREU II</w:t>
            </w:r>
          </w:p>
        </w:tc>
        <w:tc>
          <w:tcPr>
            <w:tcW w:w="3120" w:type="dxa"/>
          </w:tcPr>
          <w:p w14:paraId="183B2256" w14:textId="77777777" w:rsidR="004D302D" w:rsidRPr="00DE2908" w:rsidRDefault="004D302D" w:rsidP="007E7946">
            <w:pPr>
              <w:rPr>
                <w:sz w:val="24"/>
                <w:szCs w:val="24"/>
              </w:rPr>
            </w:pPr>
            <w:r w:rsidRPr="00DE2908">
              <w:rPr>
                <w:sz w:val="24"/>
                <w:szCs w:val="24"/>
              </w:rPr>
              <w:t>Informacioni periodik (raportim vjetor/gjashtëmujor, transaksione me palë të lidhura, pagesa ndaj institucioneve shtetërore, përjashtime)</w:t>
            </w:r>
          </w:p>
        </w:tc>
        <w:tc>
          <w:tcPr>
            <w:tcW w:w="3120" w:type="dxa"/>
          </w:tcPr>
          <w:p w14:paraId="2FA10E17" w14:textId="77777777" w:rsidR="004D302D" w:rsidRPr="00DE2908" w:rsidRDefault="004D302D" w:rsidP="007E7946">
            <w:pPr>
              <w:rPr>
                <w:sz w:val="24"/>
                <w:szCs w:val="24"/>
              </w:rPr>
            </w:pPr>
            <w:r w:rsidRPr="00DE2908">
              <w:rPr>
                <w:sz w:val="24"/>
                <w:szCs w:val="24"/>
              </w:rPr>
              <w:t>4–11</w:t>
            </w:r>
          </w:p>
        </w:tc>
      </w:tr>
      <w:tr w:rsidR="004D302D" w:rsidRPr="00DE2908" w14:paraId="57C862AC" w14:textId="77777777" w:rsidTr="007E7946">
        <w:tc>
          <w:tcPr>
            <w:tcW w:w="3120" w:type="dxa"/>
          </w:tcPr>
          <w:p w14:paraId="1A038A7C" w14:textId="77777777" w:rsidR="004D302D" w:rsidRPr="00DE2908" w:rsidRDefault="004D302D" w:rsidP="007E7946">
            <w:pPr>
              <w:rPr>
                <w:sz w:val="24"/>
                <w:szCs w:val="24"/>
              </w:rPr>
            </w:pPr>
            <w:r w:rsidRPr="00DE2908">
              <w:rPr>
                <w:sz w:val="24"/>
                <w:szCs w:val="24"/>
              </w:rPr>
              <w:t>KREU III</w:t>
            </w:r>
          </w:p>
        </w:tc>
        <w:tc>
          <w:tcPr>
            <w:tcW w:w="3120" w:type="dxa"/>
          </w:tcPr>
          <w:p w14:paraId="14E47EAE" w14:textId="77777777" w:rsidR="004D302D" w:rsidRPr="00DE2908" w:rsidRDefault="004D302D" w:rsidP="007E7946">
            <w:pPr>
              <w:rPr>
                <w:sz w:val="24"/>
                <w:szCs w:val="24"/>
              </w:rPr>
            </w:pPr>
            <w:r w:rsidRPr="00DE2908">
              <w:rPr>
                <w:sz w:val="24"/>
                <w:szCs w:val="24"/>
              </w:rPr>
              <w:t>Informacioni i vazhdueshëm dhe detyrime të tjera të transparencës (zotërime të mëdha/instrumente financiare, informacion për mbajtësit e titujve, publikim/depozitim/akses, vendet e treta)</w:t>
            </w:r>
          </w:p>
        </w:tc>
        <w:tc>
          <w:tcPr>
            <w:tcW w:w="3120" w:type="dxa"/>
          </w:tcPr>
          <w:p w14:paraId="1CDCA591" w14:textId="77777777" w:rsidR="004D302D" w:rsidRPr="00DE2908" w:rsidRDefault="004D302D" w:rsidP="007E7946">
            <w:pPr>
              <w:rPr>
                <w:sz w:val="24"/>
                <w:szCs w:val="24"/>
              </w:rPr>
            </w:pPr>
            <w:r w:rsidRPr="00DE2908">
              <w:rPr>
                <w:sz w:val="24"/>
                <w:szCs w:val="24"/>
              </w:rPr>
              <w:t>12–35</w:t>
            </w:r>
          </w:p>
        </w:tc>
      </w:tr>
      <w:tr w:rsidR="004D302D" w:rsidRPr="00DE2908" w14:paraId="411A38E1" w14:textId="77777777" w:rsidTr="007E7946">
        <w:tc>
          <w:tcPr>
            <w:tcW w:w="3120" w:type="dxa"/>
          </w:tcPr>
          <w:p w14:paraId="3D7E46C3" w14:textId="77777777" w:rsidR="004D302D" w:rsidRPr="00DE2908" w:rsidRDefault="004D302D" w:rsidP="007E7946">
            <w:pPr>
              <w:rPr>
                <w:sz w:val="24"/>
                <w:szCs w:val="24"/>
              </w:rPr>
            </w:pPr>
            <w:r w:rsidRPr="00DE2908">
              <w:rPr>
                <w:sz w:val="24"/>
                <w:szCs w:val="24"/>
              </w:rPr>
              <w:t>KREU IV</w:t>
            </w:r>
          </w:p>
        </w:tc>
        <w:tc>
          <w:tcPr>
            <w:tcW w:w="3120" w:type="dxa"/>
          </w:tcPr>
          <w:p w14:paraId="306D7E5B" w14:textId="77777777" w:rsidR="004D302D" w:rsidRPr="00DE2908" w:rsidRDefault="004D302D" w:rsidP="007E7946">
            <w:pPr>
              <w:rPr>
                <w:sz w:val="24"/>
                <w:szCs w:val="24"/>
              </w:rPr>
            </w:pPr>
            <w:r w:rsidRPr="00DE2908">
              <w:rPr>
                <w:sz w:val="24"/>
                <w:szCs w:val="24"/>
              </w:rPr>
              <w:t>Kompetencat e Autoritetit (AMF) dhe bashkëpunimi</w:t>
            </w:r>
          </w:p>
        </w:tc>
        <w:tc>
          <w:tcPr>
            <w:tcW w:w="3120" w:type="dxa"/>
          </w:tcPr>
          <w:p w14:paraId="739548E4" w14:textId="77777777" w:rsidR="004D302D" w:rsidRPr="00DE2908" w:rsidRDefault="004D302D" w:rsidP="007E7946">
            <w:pPr>
              <w:rPr>
                <w:sz w:val="24"/>
                <w:szCs w:val="24"/>
              </w:rPr>
            </w:pPr>
            <w:r w:rsidRPr="00DE2908">
              <w:rPr>
                <w:sz w:val="24"/>
                <w:szCs w:val="24"/>
              </w:rPr>
              <w:t>36–38</w:t>
            </w:r>
          </w:p>
        </w:tc>
      </w:tr>
      <w:tr w:rsidR="004D302D" w:rsidRPr="00DE2908" w14:paraId="008D54DC" w14:textId="77777777" w:rsidTr="007E7946">
        <w:tc>
          <w:tcPr>
            <w:tcW w:w="3120" w:type="dxa"/>
          </w:tcPr>
          <w:p w14:paraId="2604F8DD" w14:textId="77777777" w:rsidR="004D302D" w:rsidRPr="00DE2908" w:rsidRDefault="004D302D" w:rsidP="007E7946">
            <w:pPr>
              <w:rPr>
                <w:sz w:val="24"/>
                <w:szCs w:val="24"/>
              </w:rPr>
            </w:pPr>
            <w:r w:rsidRPr="00DE2908">
              <w:rPr>
                <w:sz w:val="24"/>
                <w:szCs w:val="24"/>
              </w:rPr>
              <w:t>KREU V</w:t>
            </w:r>
          </w:p>
        </w:tc>
        <w:tc>
          <w:tcPr>
            <w:tcW w:w="3120" w:type="dxa"/>
          </w:tcPr>
          <w:p w14:paraId="27CC0A0F" w14:textId="77777777" w:rsidR="004D302D" w:rsidRPr="00DE2908" w:rsidRDefault="004D302D" w:rsidP="007E7946">
            <w:pPr>
              <w:rPr>
                <w:sz w:val="24"/>
                <w:szCs w:val="24"/>
              </w:rPr>
            </w:pPr>
            <w:r w:rsidRPr="00DE2908">
              <w:rPr>
                <w:sz w:val="24"/>
                <w:szCs w:val="24"/>
              </w:rPr>
              <w:t>Shkeljet, masat administrative dhe sanksionet</w:t>
            </w:r>
          </w:p>
        </w:tc>
        <w:tc>
          <w:tcPr>
            <w:tcW w:w="3120" w:type="dxa"/>
          </w:tcPr>
          <w:p w14:paraId="59AA97C5" w14:textId="77777777" w:rsidR="004D302D" w:rsidRPr="00DE2908" w:rsidRDefault="004D302D" w:rsidP="007E7946">
            <w:pPr>
              <w:rPr>
                <w:sz w:val="24"/>
                <w:szCs w:val="24"/>
              </w:rPr>
            </w:pPr>
            <w:r w:rsidRPr="00DE2908">
              <w:rPr>
                <w:sz w:val="24"/>
                <w:szCs w:val="24"/>
              </w:rPr>
              <w:t>39–42</w:t>
            </w:r>
          </w:p>
        </w:tc>
      </w:tr>
      <w:tr w:rsidR="004D302D" w:rsidRPr="00DE2908" w14:paraId="4CA19B12" w14:textId="77777777" w:rsidTr="007E7946">
        <w:tc>
          <w:tcPr>
            <w:tcW w:w="3120" w:type="dxa"/>
          </w:tcPr>
          <w:p w14:paraId="48FD2BCD" w14:textId="77777777" w:rsidR="004D302D" w:rsidRPr="00DE2908" w:rsidRDefault="004D302D" w:rsidP="007E7946">
            <w:pPr>
              <w:rPr>
                <w:sz w:val="24"/>
                <w:szCs w:val="24"/>
              </w:rPr>
            </w:pPr>
            <w:r w:rsidRPr="00DE2908">
              <w:rPr>
                <w:sz w:val="24"/>
                <w:szCs w:val="24"/>
              </w:rPr>
              <w:t>KREU VI</w:t>
            </w:r>
          </w:p>
        </w:tc>
        <w:tc>
          <w:tcPr>
            <w:tcW w:w="3120" w:type="dxa"/>
          </w:tcPr>
          <w:p w14:paraId="338633F0" w14:textId="77777777" w:rsidR="004D302D" w:rsidRPr="00DE2908" w:rsidRDefault="004D302D" w:rsidP="007E7946">
            <w:pPr>
              <w:rPr>
                <w:sz w:val="24"/>
                <w:szCs w:val="24"/>
              </w:rPr>
            </w:pPr>
            <w:r w:rsidRPr="00DE2908">
              <w:rPr>
                <w:sz w:val="24"/>
                <w:szCs w:val="24"/>
              </w:rPr>
              <w:t>Dispozita përfundimtare dhe kalimtare</w:t>
            </w:r>
          </w:p>
        </w:tc>
        <w:tc>
          <w:tcPr>
            <w:tcW w:w="3120" w:type="dxa"/>
          </w:tcPr>
          <w:p w14:paraId="3E8342AC" w14:textId="77777777" w:rsidR="004D302D" w:rsidRPr="00DE2908" w:rsidRDefault="004D302D" w:rsidP="007E7946">
            <w:pPr>
              <w:rPr>
                <w:sz w:val="24"/>
                <w:szCs w:val="24"/>
              </w:rPr>
            </w:pPr>
            <w:r w:rsidRPr="00DE2908">
              <w:rPr>
                <w:sz w:val="24"/>
                <w:szCs w:val="24"/>
              </w:rPr>
              <w:t>43–46</w:t>
            </w:r>
          </w:p>
        </w:tc>
      </w:tr>
    </w:tbl>
    <w:p w14:paraId="6EC6F287" w14:textId="77777777" w:rsidR="004D302D" w:rsidRDefault="004D302D" w:rsidP="004D302D"/>
    <w:p w14:paraId="615321F2" w14:textId="77777777" w:rsidR="004D302D" w:rsidRPr="001D50E1" w:rsidRDefault="004D302D" w:rsidP="004D302D">
      <w:pPr>
        <w:rPr>
          <w:rFonts w:cs="Times New Roman"/>
          <w:sz w:val="24"/>
          <w:szCs w:val="24"/>
        </w:rPr>
      </w:pPr>
      <w:r w:rsidRPr="001D50E1">
        <w:rPr>
          <w:rFonts w:cs="Times New Roman"/>
          <w:b/>
          <w:sz w:val="24"/>
          <w:szCs w:val="24"/>
        </w:rPr>
        <w:t>KREU I – DISPOZITA TË PËRGJITHSHME</w:t>
      </w:r>
    </w:p>
    <w:p w14:paraId="4D4A3953" w14:textId="77777777" w:rsidR="004D302D" w:rsidRPr="001D50E1" w:rsidRDefault="004D302D" w:rsidP="004D302D">
      <w:pPr>
        <w:rPr>
          <w:rFonts w:cs="Times New Roman"/>
          <w:sz w:val="24"/>
          <w:szCs w:val="24"/>
        </w:rPr>
      </w:pPr>
      <w:r w:rsidRPr="001D50E1">
        <w:rPr>
          <w:rFonts w:cs="Times New Roman"/>
          <w:sz w:val="24"/>
          <w:szCs w:val="24"/>
        </w:rPr>
        <w:t>Kreu I përcakton objektin, fushën e zbatimit, terminologjinë themelore dhe elemente teknike për zbatimin e ligjit.</w:t>
      </w:r>
    </w:p>
    <w:p w14:paraId="3385FB05" w14:textId="77777777" w:rsidR="004D302D" w:rsidRPr="001D50E1" w:rsidRDefault="004D302D" w:rsidP="004D302D">
      <w:pPr>
        <w:rPr>
          <w:rFonts w:cs="Times New Roman"/>
          <w:sz w:val="24"/>
          <w:szCs w:val="24"/>
        </w:rPr>
      </w:pPr>
      <w:r w:rsidRPr="001D50E1">
        <w:rPr>
          <w:rFonts w:cs="Times New Roman"/>
          <w:b/>
          <w:sz w:val="24"/>
          <w:szCs w:val="24"/>
        </w:rPr>
        <w:t>Neni 1 – Objekti dhe fusha e zbatimit</w:t>
      </w:r>
    </w:p>
    <w:p w14:paraId="35FBCECD"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Përcakton se ligji rregullon publikimin e informacionit periodik dhe të vazhdueshëm nga emetuesit, titujt e të cilëve janë pranuar për tregtim në treg të rregulluar që ndodhet ose ushtron veprimtari në RSH ose në një shtet anëtar të BE‑së.</w:t>
      </w:r>
    </w:p>
    <w:p w14:paraId="18395C1A"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lastRenderedPageBreak/>
        <w:t>Parashikon përjashtime nga fusha e zbatimit (p.sh. kuotat e sipërmarrjeve të investimeve kolektive me pjesëmarrje të hapur) dhe përjashtime specifike për tituj të caktuar të emetuar nga shtete/autoritetet publike në lidhje me disa kërkesa të publikimit.</w:t>
      </w:r>
    </w:p>
    <w:p w14:paraId="6B8F0BD0"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Saktëson zbatimin për emetuesit për të cilët RSH është ‘shteti i origjinës’, si dhe rastin e emetuesve të listuar vetëm në treg të rregulluar në RSH.</w:t>
      </w:r>
    </w:p>
    <w:p w14:paraId="69C51782" w14:textId="77777777" w:rsidR="004D302D" w:rsidRPr="001D50E1" w:rsidRDefault="004D302D" w:rsidP="004D302D">
      <w:pPr>
        <w:rPr>
          <w:rFonts w:cs="Times New Roman"/>
          <w:sz w:val="24"/>
          <w:szCs w:val="24"/>
        </w:rPr>
      </w:pPr>
      <w:r w:rsidRPr="001D50E1">
        <w:rPr>
          <w:rFonts w:cs="Times New Roman"/>
          <w:b/>
          <w:sz w:val="24"/>
          <w:szCs w:val="24"/>
        </w:rPr>
        <w:t>Neni 2 – Përkufizime</w:t>
      </w:r>
    </w:p>
    <w:p w14:paraId="4923B443"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Përcakton termat kyç të ligjit (p.sh. ‘tituj’, ‘tituj borxhi’, ‘emetues’, ‘aksionar’, ‘shoqëri e kontrolluar’, ‘informacion i rregulluar’, ‘treg i rregulluar’).</w:t>
      </w:r>
    </w:p>
    <w:p w14:paraId="79C7469A" w14:textId="77777777" w:rsidR="004D302D" w:rsidRPr="001D50E1" w:rsidRDefault="004D302D" w:rsidP="004D302D">
      <w:pPr>
        <w:pStyle w:val="ListBullet"/>
        <w:tabs>
          <w:tab w:val="num" w:pos="720"/>
        </w:tabs>
        <w:ind w:left="720" w:hanging="360"/>
        <w:jc w:val="both"/>
        <w:rPr>
          <w:rFonts w:cs="Times New Roman"/>
          <w:sz w:val="24"/>
          <w:szCs w:val="24"/>
        </w:rPr>
      </w:pPr>
      <w:r w:rsidRPr="001D50E1">
        <w:rPr>
          <w:rFonts w:cs="Times New Roman"/>
          <w:sz w:val="24"/>
          <w:szCs w:val="24"/>
        </w:rPr>
        <w:t>Sistemon konceptet “shtet i origjinës” dhe “shtet pritës”, të domosdoshme për zbatimin ndërkufitar dhe përcaktimin e autoritetit kompetent në rastet e listimit në më shumë se një juridiksion.</w:t>
      </w:r>
    </w:p>
    <w:p w14:paraId="6CEC8119" w14:textId="77777777" w:rsidR="004D302D" w:rsidRPr="001D50E1" w:rsidRDefault="004D302D" w:rsidP="004D302D">
      <w:pPr>
        <w:rPr>
          <w:rFonts w:cs="Times New Roman"/>
          <w:sz w:val="24"/>
          <w:szCs w:val="24"/>
          <w:lang w:val="it-IT"/>
        </w:rPr>
      </w:pPr>
      <w:r w:rsidRPr="001D50E1">
        <w:rPr>
          <w:rFonts w:cs="Times New Roman"/>
          <w:b/>
          <w:sz w:val="24"/>
          <w:szCs w:val="24"/>
          <w:lang w:val="it-IT"/>
        </w:rPr>
        <w:t>Neni 3 – Kalendari i ditëve të tregtimit</w:t>
      </w:r>
    </w:p>
    <w:p w14:paraId="48217F5D"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Përcakton kuptimin e ‘ditëve të tregtimit’ si ditët e tregtimit të tregut të rregulluar të shtetit të origjinës.</w:t>
      </w:r>
    </w:p>
    <w:p w14:paraId="481FE030"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Ngarkon AMF me detyrimin për publikimin e kalendarit të ditëve të tregtimit (element i rëndësishëm për afatet e njoftimit dhe publikimit).</w:t>
      </w:r>
    </w:p>
    <w:p w14:paraId="09E85D45" w14:textId="77777777" w:rsidR="004D302D" w:rsidRPr="001D50E1" w:rsidRDefault="004D302D" w:rsidP="004D302D">
      <w:pPr>
        <w:rPr>
          <w:rFonts w:cs="Times New Roman"/>
          <w:sz w:val="24"/>
          <w:szCs w:val="24"/>
          <w:lang w:val="it-IT"/>
        </w:rPr>
      </w:pPr>
      <w:r w:rsidRPr="001D50E1">
        <w:rPr>
          <w:rFonts w:cs="Times New Roman"/>
          <w:b/>
          <w:sz w:val="24"/>
          <w:szCs w:val="24"/>
          <w:lang w:val="it-IT"/>
        </w:rPr>
        <w:t>KREU II – INFORMACIONI PERIODIK</w:t>
      </w:r>
    </w:p>
    <w:p w14:paraId="324ECCA6" w14:textId="77777777" w:rsidR="004D302D" w:rsidRPr="001D50E1" w:rsidRDefault="004D302D" w:rsidP="004D302D">
      <w:pPr>
        <w:rPr>
          <w:rFonts w:cs="Times New Roman"/>
          <w:sz w:val="24"/>
          <w:szCs w:val="24"/>
          <w:lang w:val="it-IT"/>
        </w:rPr>
      </w:pPr>
      <w:r w:rsidRPr="001D50E1">
        <w:rPr>
          <w:rFonts w:cs="Times New Roman"/>
          <w:sz w:val="24"/>
          <w:szCs w:val="24"/>
          <w:lang w:val="it-IT"/>
        </w:rPr>
        <w:t>Kreu II vendos detyrimet e raportimit financiar periodik dhe detyrime të lidhura, me afate dhe përmbajtje minimale të harmonizuara.</w:t>
      </w:r>
    </w:p>
    <w:p w14:paraId="140DD912" w14:textId="77777777" w:rsidR="004D302D" w:rsidRPr="001D50E1" w:rsidRDefault="004D302D" w:rsidP="004D302D">
      <w:pPr>
        <w:rPr>
          <w:rFonts w:cs="Times New Roman"/>
          <w:sz w:val="24"/>
          <w:szCs w:val="24"/>
        </w:rPr>
      </w:pPr>
      <w:r w:rsidRPr="001D50E1">
        <w:rPr>
          <w:rFonts w:cs="Times New Roman"/>
          <w:b/>
          <w:sz w:val="24"/>
          <w:szCs w:val="24"/>
        </w:rPr>
        <w:t>Neni 4 – Raportet financiare vjetore</w:t>
      </w:r>
    </w:p>
    <w:p w14:paraId="724D3611"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Detyron emetuesin të publikojë raportin financiar vjetor brenda 4 muajve nga mbyllja e vitit financiar dhe ta mbajë të aksesueshëm publikisht për të paktën 10 vjet.</w:t>
      </w:r>
    </w:p>
    <w:p w14:paraId="172022AA"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Përcakton përmbajtjen: pasqyra financiare të audituara; raport i drejtimit të brendshëm; deklarata përgjegjësie të personave përgjegjës; dhe raport/opinion auditimi, sipas kuadrit të kontabilitetit dhe auditimit.</w:t>
      </w:r>
    </w:p>
    <w:p w14:paraId="46DE8A3B"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Parashikon rregullat për pasqyrat e konsoliduara (IFRS kur kërkohet konsolidimi) dhe lidhjen me raportimin e qëndrueshmërisë, kur ky është i zbatueshëm për emetuesin.</w:t>
      </w:r>
    </w:p>
    <w:p w14:paraId="6269D54B"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Referon përdorimin e formatit unik elektronik të raportimit për publikimin e raporteve financiare (kuadër për standardizim dhe akses më të lehtë).</w:t>
      </w:r>
    </w:p>
    <w:p w14:paraId="1128929D" w14:textId="77777777" w:rsidR="004D302D" w:rsidRPr="001D50E1" w:rsidRDefault="004D302D" w:rsidP="004D302D">
      <w:pPr>
        <w:rPr>
          <w:rFonts w:cs="Times New Roman"/>
          <w:sz w:val="24"/>
          <w:szCs w:val="24"/>
        </w:rPr>
      </w:pPr>
      <w:r w:rsidRPr="001D50E1">
        <w:rPr>
          <w:rFonts w:cs="Times New Roman"/>
          <w:b/>
          <w:sz w:val="24"/>
          <w:szCs w:val="24"/>
        </w:rPr>
        <w:t>Neni 5 – Raportet financiare gjashtëmujore</w:t>
      </w:r>
    </w:p>
    <w:p w14:paraId="5C8D47E2"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Detyron publikimin e raportit financiar gjashtëmujor (për 6‑mujorin e parë) sa më shpejt të jetë e mundur, por jo më vonë se 3 muaj nga përfundimi i periudhës, dhe ruajtjen për të paktën 10 vjet.</w:t>
      </w:r>
    </w:p>
    <w:p w14:paraId="330B8171"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Përcakton përmbajtjen: pasqyra të përmbledhura financiare; raport i ndërmjetëm i drejtimit të brendshëm; deklarata përgjegjësie. Raporti i ndërmjetëm përfshin ngjarjet kryesore, ndikimet financiare dhe rreziqet/pasiguritë për pjesën e mbetur të vitit; për emetuesit e aksioneve përfshin edhe transaksionet e rëndësishme me palë të lidhura.</w:t>
      </w:r>
    </w:p>
    <w:p w14:paraId="5B71ABCF"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Rregullon trajtimin e auditimit/rishikimit: nëse auditohet ose rishikohet, raporti paraqitet i plotë; nëse jo, deklarohet shprehimisht mungesa e auditimit/rishikimit.</w:t>
      </w:r>
    </w:p>
    <w:p w14:paraId="32D90349" w14:textId="77777777" w:rsidR="004D302D" w:rsidRPr="001D50E1" w:rsidRDefault="004D302D" w:rsidP="004D302D">
      <w:pPr>
        <w:rPr>
          <w:rFonts w:cs="Times New Roman"/>
          <w:sz w:val="24"/>
          <w:szCs w:val="24"/>
          <w:lang w:val="it-IT"/>
        </w:rPr>
      </w:pPr>
      <w:r w:rsidRPr="001D50E1">
        <w:rPr>
          <w:rFonts w:cs="Times New Roman"/>
          <w:b/>
          <w:sz w:val="24"/>
          <w:szCs w:val="24"/>
          <w:lang w:val="it-IT"/>
        </w:rPr>
        <w:t>Neni 6 – Përmbajtja minimale e pasqyrave financiare gjashtëmujore individuale jo të konsoliduara</w:t>
      </w:r>
    </w:p>
    <w:p w14:paraId="4A5FCE40" w14:textId="47FC681C" w:rsidR="004D302D" w:rsidRPr="001D50E1" w:rsidRDefault="004D302D" w:rsidP="000E3347">
      <w:pPr>
        <w:pStyle w:val="ListBullet"/>
        <w:tabs>
          <w:tab w:val="num" w:pos="720"/>
        </w:tabs>
        <w:ind w:left="720" w:hanging="360"/>
        <w:jc w:val="both"/>
        <w:rPr>
          <w:rFonts w:cs="Times New Roman"/>
          <w:sz w:val="24"/>
          <w:szCs w:val="24"/>
          <w:lang w:val="it-IT"/>
        </w:rPr>
      </w:pPr>
      <w:r w:rsidRPr="001D50E1">
        <w:rPr>
          <w:rFonts w:cs="Times New Roman"/>
          <w:sz w:val="24"/>
          <w:szCs w:val="24"/>
          <w:lang w:val="it-IT"/>
        </w:rPr>
        <w:t>Përcakton përmbajtjen minimale kur pasqyrat e përmbledhura gjashtëmujore nuk përgatiten sipas IFRS: bilanc dhe pasqyrë e të ardhurave me të gjithë zërat/</w:t>
      </w:r>
      <w:r w:rsidR="000E3347">
        <w:rPr>
          <w:rFonts w:cs="Times New Roman"/>
          <w:sz w:val="24"/>
          <w:szCs w:val="24"/>
          <w:lang w:val="it-IT"/>
        </w:rPr>
        <w:t>nënzërat</w:t>
      </w:r>
      <w:r w:rsidRPr="001D50E1">
        <w:rPr>
          <w:rFonts w:cs="Times New Roman"/>
          <w:sz w:val="24"/>
          <w:szCs w:val="24"/>
          <w:lang w:val="it-IT"/>
        </w:rPr>
        <w:t xml:space="preserve"> e pasqyrave vjetore; zëra shtesë kur mungesa do të sillte pasqyrim të pasaktë.</w:t>
      </w:r>
    </w:p>
    <w:p w14:paraId="58785912" w14:textId="77777777" w:rsidR="004D302D" w:rsidRPr="001D50E1" w:rsidRDefault="004D302D" w:rsidP="000E3347">
      <w:pPr>
        <w:pStyle w:val="ListBullet"/>
        <w:tabs>
          <w:tab w:val="num" w:pos="720"/>
        </w:tabs>
        <w:ind w:left="720" w:hanging="360"/>
        <w:jc w:val="both"/>
        <w:rPr>
          <w:rFonts w:cs="Times New Roman"/>
          <w:sz w:val="24"/>
          <w:szCs w:val="24"/>
          <w:lang w:val="it-IT"/>
        </w:rPr>
      </w:pPr>
      <w:r w:rsidRPr="001D50E1">
        <w:rPr>
          <w:rFonts w:cs="Times New Roman"/>
          <w:sz w:val="24"/>
          <w:szCs w:val="24"/>
          <w:lang w:val="it-IT"/>
        </w:rPr>
        <w:lastRenderedPageBreak/>
        <w:t>Kërkon informacion krahasues (bilanci i periudhës dhe i vitit paraardhës; pasqyra e të ardhurave për periudhën dhe periudhën korresponduese të vitit të kaluar) dhe shënime shpjeguese për krahasueshmëri dhe për ndryshimet e rëndësishme.</w:t>
      </w:r>
    </w:p>
    <w:p w14:paraId="1BFDEFFE" w14:textId="77777777" w:rsidR="004D302D" w:rsidRPr="001D50E1" w:rsidRDefault="004D302D" w:rsidP="004D302D">
      <w:pPr>
        <w:rPr>
          <w:rFonts w:cs="Times New Roman"/>
          <w:sz w:val="24"/>
          <w:szCs w:val="24"/>
          <w:lang w:val="it-IT"/>
        </w:rPr>
      </w:pPr>
      <w:r w:rsidRPr="001D50E1">
        <w:rPr>
          <w:rFonts w:cs="Times New Roman"/>
          <w:b/>
          <w:sz w:val="24"/>
          <w:szCs w:val="24"/>
          <w:lang w:val="it-IT"/>
        </w:rPr>
        <w:t>Neni 7 – Transaksionet kryesore me palë të lidhura</w:t>
      </w:r>
    </w:p>
    <w:p w14:paraId="77EC9EB0"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Parashikon detyrimin e emetuesve të aksioneve që, në raportet e ndërmjetme të drejtimit të brendshëm, të bëjnë publike transaksionet kryesore me palë të lidhura që ndikojnë ndjeshëm pozicionin financiar ose performancën.</w:t>
      </w:r>
    </w:p>
    <w:p w14:paraId="4B90C7B7"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Kur emetuesi nuk përgatit pasqyra të konsoliduara, kërkesa minimale lidhet me publikimet sipas legjislacionit kombëtar të kontabilitetit.</w:t>
      </w:r>
    </w:p>
    <w:p w14:paraId="0C4A820A" w14:textId="77777777" w:rsidR="004D302D" w:rsidRPr="001D50E1" w:rsidRDefault="004D302D" w:rsidP="004D302D">
      <w:pPr>
        <w:rPr>
          <w:rFonts w:cs="Times New Roman"/>
          <w:sz w:val="24"/>
          <w:szCs w:val="24"/>
          <w:lang w:val="it-IT"/>
        </w:rPr>
      </w:pPr>
      <w:r w:rsidRPr="001D50E1">
        <w:rPr>
          <w:rFonts w:cs="Times New Roman"/>
          <w:b/>
          <w:sz w:val="24"/>
          <w:szCs w:val="24"/>
          <w:lang w:val="it-IT"/>
        </w:rPr>
        <w:t>Neni 8 – Raporti mbi pagesat që u bëhen institucioneve shtetërore</w:t>
      </w:r>
    </w:p>
    <w:p w14:paraId="216B62D8"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Vendos detyrim raportimi për emetuesit aktivë në industrinë nxjerrëse ose shfrytëzimin e pyjeve për lëndë drusore, në përputhje me kërkesat e legjislacionit të kontabilitetit.</w:t>
      </w:r>
    </w:p>
    <w:p w14:paraId="2FBBCE90"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Raporti publikohet jo më vonë se 6 muaj nga fundi i vitit financiar dhe mbahet i disponueshëm publikisht për të paktën 10 vjet; raportimi kryhet në nivel të konsoliduar.</w:t>
      </w:r>
    </w:p>
    <w:p w14:paraId="52F038D6" w14:textId="77777777" w:rsidR="004D302D" w:rsidRPr="001D50E1" w:rsidRDefault="004D302D" w:rsidP="004D302D">
      <w:pPr>
        <w:rPr>
          <w:rFonts w:cs="Times New Roman"/>
          <w:sz w:val="24"/>
          <w:szCs w:val="24"/>
        </w:rPr>
      </w:pPr>
      <w:r w:rsidRPr="001D50E1">
        <w:rPr>
          <w:rFonts w:cs="Times New Roman"/>
          <w:b/>
          <w:sz w:val="24"/>
          <w:szCs w:val="24"/>
        </w:rPr>
        <w:t>Neni 9 – Përgjegjësitë dhe detyrimet</w:t>
      </w:r>
    </w:p>
    <w:p w14:paraId="64C1515E"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Ngarkon emetuesin dhe organet e tij administrative/drejtuese/mbikëqyrëse me përgjegjësinë për hartimin dhe publikimin e informacionit sipas neneve përkatëse.</w:t>
      </w:r>
    </w:p>
    <w:p w14:paraId="675B6501"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Saktëson se përgjegjësitë dhe pasojat zbatohen sipas kuadrit ligjor ekzistues mbi përgjegjësinë e subjekteve dhe personave përgjegjës.</w:t>
      </w:r>
    </w:p>
    <w:p w14:paraId="383EB9BF" w14:textId="77777777" w:rsidR="004D302D" w:rsidRPr="001D50E1" w:rsidRDefault="004D302D" w:rsidP="004D302D">
      <w:pPr>
        <w:rPr>
          <w:rFonts w:cs="Times New Roman"/>
          <w:sz w:val="24"/>
          <w:szCs w:val="24"/>
        </w:rPr>
      </w:pPr>
      <w:r w:rsidRPr="001D50E1">
        <w:rPr>
          <w:rFonts w:cs="Times New Roman"/>
          <w:b/>
          <w:sz w:val="24"/>
          <w:szCs w:val="24"/>
        </w:rPr>
        <w:t>Neni 10 – Përjashtime</w:t>
      </w:r>
    </w:p>
    <w:p w14:paraId="59689AD1"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Përjashton nga nenet 4 dhe 5 kategori emetuesish (p.sh. shtete/autoritetet publike dhe disa organe ndërkombëtare; bankat qendrore; emetuesit ekskluzivë të titujve të borxhit me vlerë nominale të lartë për njësi).</w:t>
      </w:r>
    </w:p>
    <w:p w14:paraId="1D083A3D"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Parashikon përjashtime të posaçme për institucione krediti me tituj borxhi nën pragje të caktuara dhe rregulla kalimtare për tituj borxhi të pranuar për tregtim në BE para 31.12.2010.</w:t>
      </w:r>
    </w:p>
    <w:p w14:paraId="5FAF08BB" w14:textId="77777777" w:rsidR="004D302D" w:rsidRPr="001D50E1" w:rsidRDefault="004D302D" w:rsidP="004D302D">
      <w:pPr>
        <w:rPr>
          <w:rFonts w:cs="Times New Roman"/>
          <w:sz w:val="24"/>
          <w:szCs w:val="24"/>
        </w:rPr>
      </w:pPr>
      <w:r w:rsidRPr="001D50E1">
        <w:rPr>
          <w:rFonts w:cs="Times New Roman"/>
          <w:b/>
          <w:sz w:val="24"/>
          <w:szCs w:val="24"/>
        </w:rPr>
        <w:t>Neni 11 – Mekanizmat e kontrollit të AMF për krijuesit e tregut</w:t>
      </w:r>
    </w:p>
    <w:p w14:paraId="58EECE37"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Vendos detyrimin për krijuesit e tregut që kërkojnë të përfitojnë nga përjashtimet për njoftim të njoftojnë AMF brenda 4 ditëve tregtimi dhe të njoftojnë edhe ndërprerjen e veprimtarisë.</w:t>
      </w:r>
    </w:p>
    <w:p w14:paraId="5C69FD7A"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Përcakton kërkesat për identifikimin e aksioneve/instrumenteve të mbajtura për qëllime krijimi tregu dhe mundësinë e kërkesës për marrëveshje krijimi tregu.</w:t>
      </w:r>
    </w:p>
    <w:p w14:paraId="6CD9F5D2" w14:textId="77777777" w:rsidR="000E3347" w:rsidRDefault="000E3347" w:rsidP="004D302D">
      <w:pPr>
        <w:rPr>
          <w:rFonts w:cs="Times New Roman"/>
          <w:b/>
          <w:sz w:val="24"/>
          <w:szCs w:val="24"/>
        </w:rPr>
      </w:pPr>
    </w:p>
    <w:p w14:paraId="692E27EE" w14:textId="3932CC72" w:rsidR="004D302D" w:rsidRPr="001D50E1" w:rsidRDefault="004D302D" w:rsidP="004D302D">
      <w:pPr>
        <w:rPr>
          <w:rFonts w:cs="Times New Roman"/>
          <w:sz w:val="24"/>
          <w:szCs w:val="24"/>
        </w:rPr>
      </w:pPr>
      <w:r w:rsidRPr="001D50E1">
        <w:rPr>
          <w:rFonts w:cs="Times New Roman"/>
          <w:b/>
          <w:sz w:val="24"/>
          <w:szCs w:val="24"/>
        </w:rPr>
        <w:t>KREU III – INFORMACIONI I VAZHDUESHËM DHE DETYRIME TË TJERA TË TRANSPARENCËS</w:t>
      </w:r>
    </w:p>
    <w:p w14:paraId="2ABEC3E8" w14:textId="77777777" w:rsidR="004D302D" w:rsidRPr="001D50E1" w:rsidRDefault="004D302D" w:rsidP="004D302D">
      <w:pPr>
        <w:rPr>
          <w:rFonts w:cs="Times New Roman"/>
          <w:sz w:val="24"/>
          <w:szCs w:val="24"/>
        </w:rPr>
      </w:pPr>
      <w:r w:rsidRPr="001D50E1">
        <w:rPr>
          <w:rFonts w:cs="Times New Roman"/>
          <w:sz w:val="24"/>
          <w:szCs w:val="24"/>
        </w:rPr>
        <w:t>Kreu III rregullon njoftimin e zotërimeve të mëdha/pjesëmarrjeve të rëndësishme në kapital dhe instrumenteve financiare, detyrimet e informacionit ndaj mbajtësve të titujve, si dhe rregullat e publikimit, depozitimit, ruajtjes dhe aksesit në informacionin e rregulluar, përfshirë dispozitat për vendet e treta dhe ekuivalencën.</w:t>
      </w:r>
    </w:p>
    <w:p w14:paraId="736E6B14" w14:textId="77777777" w:rsidR="004D302D" w:rsidRPr="001D50E1" w:rsidRDefault="004D302D" w:rsidP="004D302D">
      <w:pPr>
        <w:rPr>
          <w:rFonts w:cs="Times New Roman"/>
          <w:sz w:val="24"/>
          <w:szCs w:val="24"/>
        </w:rPr>
      </w:pPr>
      <w:r w:rsidRPr="001D50E1">
        <w:rPr>
          <w:rFonts w:cs="Times New Roman"/>
          <w:b/>
          <w:sz w:val="24"/>
          <w:szCs w:val="24"/>
        </w:rPr>
        <w:t>Neni 12 – Njoftimi i blerjes ose shitjes së zotërimeve të mëdha/pjesëmarrjeve të rëndësishme në kapital</w:t>
      </w:r>
    </w:p>
    <w:p w14:paraId="6E0EC943"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Përcakton pragjet e njoftimit (5%, 10%, 15%, 20%, 25%, 30%, 50% dhe 75%) për aksionarët kur përqindja e të drejtave të votimit arrin/tejkalon ose bie nën këto pragje, si rezultat i blerjes/shitjes ose ngjarjeve që ndryshojnë përbërjen e të drejtave të votës.</w:t>
      </w:r>
    </w:p>
    <w:p w14:paraId="484BF7DD"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lastRenderedPageBreak/>
        <w:t>Parashikon përjashtime të detyrimit për njoftim në raste të veçanta (klerim/shlyerje, kujdestari, krijues tregu, libra tregtimi, stabilizim), me kushtet përkatëse të mos‑ushtrimit të të drejtave të votimit dhe mos‑ndërhyrjes në administrimin e emetuesit.</w:t>
      </w:r>
    </w:p>
    <w:p w14:paraId="2570C21D"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Ngarkon AMF me nxjerrjen e rregullave të detajuara për metodologjinë e përllogaritjes së kufirit 5% për disa nga përjashtimet.</w:t>
      </w:r>
    </w:p>
    <w:p w14:paraId="71D38A6E" w14:textId="77777777" w:rsidR="004D302D" w:rsidRPr="001D50E1" w:rsidRDefault="004D302D" w:rsidP="004D302D">
      <w:pPr>
        <w:rPr>
          <w:rFonts w:cs="Times New Roman"/>
          <w:sz w:val="24"/>
          <w:szCs w:val="24"/>
        </w:rPr>
      </w:pPr>
      <w:r w:rsidRPr="001D50E1">
        <w:rPr>
          <w:rFonts w:cs="Times New Roman"/>
          <w:b/>
          <w:sz w:val="24"/>
          <w:szCs w:val="24"/>
        </w:rPr>
        <w:t>Neni 13 – Blerja ose shitja e pjesëve të rëndësishme të të drejtave të votimit</w:t>
      </w:r>
    </w:p>
    <w:p w14:paraId="5B728B21"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Zgjeron detyrimin e njoftimit për rastet e zotërimit/ushtrimit të të drejtave të votimit në mënyrë të tërthortë (marrëveshje veprimi të përbashkët, transferim i përkohshëm, kolateral, uzufrukt, shoqëri të kontrolluara, depozitim aksionesh, proxy).</w:t>
      </w:r>
    </w:p>
    <w:p w14:paraId="545063DA"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Synon të mbulojë skemat e kontrollit që, pa u reflektuar domosdoshmërisht në zotërimin e drejtpërdrejtë, japin mundësi ndikimi real në të drejtat e votimit.</w:t>
      </w:r>
    </w:p>
    <w:p w14:paraId="2B138D7F" w14:textId="77777777" w:rsidR="004D302D" w:rsidRPr="001D50E1" w:rsidRDefault="004D302D" w:rsidP="004D302D">
      <w:pPr>
        <w:rPr>
          <w:rFonts w:cs="Times New Roman"/>
          <w:sz w:val="24"/>
          <w:szCs w:val="24"/>
          <w:lang w:val="it-IT"/>
        </w:rPr>
      </w:pPr>
      <w:r w:rsidRPr="001D50E1">
        <w:rPr>
          <w:rFonts w:cs="Times New Roman"/>
          <w:b/>
          <w:sz w:val="24"/>
          <w:szCs w:val="24"/>
          <w:lang w:val="it-IT"/>
        </w:rPr>
        <w:t>Neni 14 – Përjashtime për qëllime të politikës monetare</w:t>
      </w:r>
    </w:p>
    <w:p w14:paraId="2827F8CF"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Parashikon përjashtimin nga njoftimi për aksionet e dhëna/marra nga bankat qendrore në kuadër të politikës monetare, operacioneve të likuiditetit ose sistemeve të pagesave.</w:t>
      </w:r>
    </w:p>
    <w:p w14:paraId="2080F578"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Kushtëzon përjashtimin me mos‑ushtrimin e të drejtave të votimit dhe karakterin afatshkurtër të transaksioneve.</w:t>
      </w:r>
    </w:p>
    <w:p w14:paraId="0E55AF06" w14:textId="77777777" w:rsidR="004D302D" w:rsidRPr="001D50E1" w:rsidRDefault="004D302D" w:rsidP="004D302D">
      <w:pPr>
        <w:rPr>
          <w:rFonts w:cs="Times New Roman"/>
          <w:sz w:val="24"/>
          <w:szCs w:val="24"/>
          <w:lang w:val="it-IT"/>
        </w:rPr>
      </w:pPr>
      <w:r w:rsidRPr="001D50E1">
        <w:rPr>
          <w:rFonts w:cs="Times New Roman"/>
          <w:b/>
          <w:sz w:val="24"/>
          <w:szCs w:val="24"/>
          <w:lang w:val="it-IT"/>
        </w:rPr>
        <w:t>Neni 15 – Procedurat e njoftimit dhe publikimit të informacionit mbi zotërimet e mëdha</w:t>
      </w:r>
    </w:p>
    <w:p w14:paraId="08283606"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Përcakton elementet minimale të njoftimit (situata e të drejtave të votimit, zinxhiri i ndërmarrjeve të kontrolluara, data e kalimit të pragut, identitetet e personave që zotërojnë/ushtron të drejtat e votimit).</w:t>
      </w:r>
    </w:p>
    <w:p w14:paraId="09AD4A8A"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Vendos afatin e njoftimit: emetuesi njoftohet menjëherë, por jo më vonë se 4 ditë tregtimi nga momenti kur personi njoftues merr dijeni (ose duhej të merrte dijeni) ose merr njoftim për ngjarje që ndryshojnë të drejtat e votimit.</w:t>
      </w:r>
    </w:p>
    <w:p w14:paraId="5811591D"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Parashikon publikimin nga emetuesi të informacionit të njoftimit brenda 3 ditëve tregtimi; si alternativë, emetuesi përjashtohet kur publikimi kryhet nga AMF brenda të njëjtit afat sipas rregullave të ligjit.</w:t>
      </w:r>
    </w:p>
    <w:p w14:paraId="2C94843B"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Rregullon përjashtime dhe kushte pavarësie për shoqëri administruese dhe shoqëri komisionere në administrim portofoli, duke përcaktuar kur zotërimet agregohen në nivel shoqërie mëmë.</w:t>
      </w:r>
    </w:p>
    <w:p w14:paraId="58A184FA" w14:textId="77777777" w:rsidR="004D302D" w:rsidRPr="001D50E1" w:rsidRDefault="004D302D" w:rsidP="004D302D">
      <w:pPr>
        <w:rPr>
          <w:rFonts w:cs="Times New Roman"/>
          <w:sz w:val="24"/>
          <w:szCs w:val="24"/>
          <w:lang w:val="it-IT"/>
        </w:rPr>
      </w:pPr>
      <w:r w:rsidRPr="001D50E1">
        <w:rPr>
          <w:rFonts w:cs="Times New Roman"/>
          <w:b/>
          <w:sz w:val="24"/>
          <w:szCs w:val="24"/>
          <w:lang w:val="it-IT"/>
        </w:rPr>
        <w:t>Neni 16 – Subjektet e detyruara për njoftim</w:t>
      </w:r>
    </w:p>
    <w:p w14:paraId="477757D7"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Saktëson se detyrimi për njoftim është individual për secilin aksionar/person të përfshirë në skemat e nenit 13; në rastin e veprimit të përbashkët, detyrimi është kolektiv i ndarë ndërmjet palëve.</w:t>
      </w:r>
    </w:p>
    <w:p w14:paraId="4871B7F5"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Rregullon njoftimet në rast prokurash (proxy) dhe mundësinë e njoftimit të vetëm të përbashkët, pa cenuar përgjegjësinë individuale.</w:t>
      </w:r>
    </w:p>
    <w:p w14:paraId="4DAB1E93" w14:textId="77777777" w:rsidR="004D302D" w:rsidRPr="001D50E1" w:rsidRDefault="004D302D" w:rsidP="004D302D">
      <w:pPr>
        <w:rPr>
          <w:rFonts w:cs="Times New Roman"/>
          <w:sz w:val="24"/>
          <w:szCs w:val="24"/>
          <w:lang w:val="it-IT"/>
        </w:rPr>
      </w:pPr>
      <w:r w:rsidRPr="001D50E1">
        <w:rPr>
          <w:rFonts w:cs="Times New Roman"/>
          <w:b/>
          <w:sz w:val="24"/>
          <w:szCs w:val="24"/>
          <w:lang w:val="it-IT"/>
        </w:rPr>
        <w:t>Neni 17 – Momenti kur personi njoftues konsiderohet se ka marrë dijeni</w:t>
      </w:r>
    </w:p>
    <w:p w14:paraId="38C0CECF" w14:textId="77777777" w:rsidR="004D302D" w:rsidRPr="001D50E1" w:rsidRDefault="004D302D" w:rsidP="004D302D">
      <w:pPr>
        <w:pStyle w:val="ListBullet"/>
        <w:tabs>
          <w:tab w:val="num" w:pos="1080"/>
        </w:tabs>
        <w:ind w:left="1080" w:hanging="360"/>
        <w:rPr>
          <w:rFonts w:cs="Times New Roman"/>
          <w:sz w:val="24"/>
          <w:szCs w:val="24"/>
          <w:lang w:val="it-IT"/>
        </w:rPr>
      </w:pPr>
      <w:r w:rsidRPr="001D50E1">
        <w:rPr>
          <w:rFonts w:cs="Times New Roman"/>
          <w:sz w:val="24"/>
          <w:szCs w:val="24"/>
          <w:lang w:val="it-IT"/>
        </w:rPr>
        <w:t>Vendos një prezumim ligjor: personi njoftues konsiderohet se ka dijeni jo më vonë se 2 ditë tregtimi pas transaksionit, për qëllim të llogaritjes së afatit 4‑ditor të njoftimit.</w:t>
      </w:r>
    </w:p>
    <w:p w14:paraId="57CABA22" w14:textId="77777777" w:rsidR="004D302D" w:rsidRPr="001D50E1" w:rsidRDefault="004D302D" w:rsidP="004D302D">
      <w:pPr>
        <w:rPr>
          <w:rFonts w:cs="Times New Roman"/>
          <w:sz w:val="24"/>
          <w:szCs w:val="24"/>
          <w:lang w:val="it-IT"/>
        </w:rPr>
      </w:pPr>
      <w:r w:rsidRPr="001D50E1">
        <w:rPr>
          <w:rFonts w:cs="Times New Roman"/>
          <w:b/>
          <w:sz w:val="24"/>
          <w:szCs w:val="24"/>
          <w:lang w:val="it-IT"/>
        </w:rPr>
        <w:t>Neni 18 – Kushtet e pavarësisë për shoqëritë administruese dhe shoqëritë komisionere</w:t>
      </w:r>
    </w:p>
    <w:p w14:paraId="17538983"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Përcakton kushtet që duhen plotësuar që shoqëria mëmë të mos agregojë zotërimet e administruara nga shoqëria administruese/komisionere (mos‑ndërhyrje me udhëzime; ushtrim i pavarur i të drejtave të votës).</w:t>
      </w:r>
    </w:p>
    <w:p w14:paraId="7ACF344A"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Kërkon njoftim pranë AMF (listë shoqërish dhe deklaratë pavarësie) dhe përditësim të vazhdueshëm të listës; parashikon edhe kërkesat minimale për politika/procedura që parandalojnë shkëmbimin e informacionit mbi ushtrimin e votës.</w:t>
      </w:r>
    </w:p>
    <w:p w14:paraId="7A15E295" w14:textId="77777777" w:rsidR="004D302D" w:rsidRPr="001D50E1" w:rsidRDefault="004D302D" w:rsidP="004D302D">
      <w:pPr>
        <w:rPr>
          <w:rFonts w:cs="Times New Roman"/>
          <w:sz w:val="24"/>
          <w:szCs w:val="24"/>
          <w:lang w:val="it-IT"/>
        </w:rPr>
      </w:pPr>
      <w:r w:rsidRPr="001D50E1">
        <w:rPr>
          <w:rFonts w:cs="Times New Roman"/>
          <w:b/>
          <w:sz w:val="24"/>
          <w:szCs w:val="24"/>
          <w:lang w:val="it-IT"/>
        </w:rPr>
        <w:t>Neni 19 – Instrumentet financiare që japin të drejtë për të fituar aksione</w:t>
      </w:r>
    </w:p>
    <w:p w14:paraId="34A256F4"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lastRenderedPageBreak/>
        <w:t>Rregullon elementet e njoftimit kur instrumenti financiar i jep mbajtësit, vetëm me nismën e tij, të drejtën për të përfituar aksione me të drejtë vote (p.sh. identiteti i mbajtësit, emetuesi bazë, data e kalimit të pragut, periudha e ushtrimit, maturimi).</w:t>
      </w:r>
    </w:p>
    <w:p w14:paraId="52EEACF9"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Afati dhe adresimi i njoftimit harmonizohen me nenin 15; njoftimi i dërgohet emetuesit bazë dhe autoritetit kompetent.</w:t>
      </w:r>
    </w:p>
    <w:p w14:paraId="296EC099" w14:textId="77777777" w:rsidR="004D302D" w:rsidRPr="001D50E1" w:rsidRDefault="004D302D" w:rsidP="004D302D">
      <w:pPr>
        <w:rPr>
          <w:rFonts w:cs="Times New Roman"/>
          <w:sz w:val="24"/>
          <w:szCs w:val="24"/>
        </w:rPr>
      </w:pPr>
      <w:r w:rsidRPr="001D50E1">
        <w:rPr>
          <w:rFonts w:cs="Times New Roman"/>
          <w:b/>
          <w:sz w:val="24"/>
          <w:szCs w:val="24"/>
        </w:rPr>
        <w:t>Neni 20 – Detyrimi për njoftim për instrumente financiare me efekt ekonomik të ngjashëm</w:t>
      </w:r>
    </w:p>
    <w:p w14:paraId="18DF75E4" w14:textId="77777777" w:rsidR="004D302D" w:rsidRPr="001D50E1" w:rsidRDefault="004D302D" w:rsidP="004D302D">
      <w:pPr>
        <w:pStyle w:val="ListBullet"/>
        <w:tabs>
          <w:tab w:val="num" w:pos="1080"/>
        </w:tabs>
        <w:ind w:left="1080" w:hanging="360"/>
        <w:rPr>
          <w:rFonts w:cs="Times New Roman"/>
          <w:sz w:val="24"/>
          <w:szCs w:val="24"/>
        </w:rPr>
      </w:pPr>
      <w:r w:rsidRPr="001D50E1">
        <w:rPr>
          <w:rFonts w:cs="Times New Roman"/>
          <w:sz w:val="24"/>
          <w:szCs w:val="24"/>
        </w:rPr>
        <w:t>Zgjeron detyrimin e njoftimit për instrumente financiare që japin të drejtë për të fituar aksione ose që kanë efekt ekonomik të ngjashëm (përfshirë instrumente me shlyerje fizike ose ‘cash’).</w:t>
      </w:r>
    </w:p>
    <w:p w14:paraId="4FBA6A2B" w14:textId="77777777" w:rsidR="004D302D" w:rsidRPr="001D50E1" w:rsidRDefault="004D302D" w:rsidP="004D302D">
      <w:pPr>
        <w:pStyle w:val="ListBullet"/>
        <w:tabs>
          <w:tab w:val="num" w:pos="1080"/>
        </w:tabs>
        <w:ind w:left="1080" w:hanging="360"/>
        <w:jc w:val="both"/>
        <w:rPr>
          <w:rFonts w:cs="Times New Roman"/>
          <w:sz w:val="24"/>
          <w:szCs w:val="24"/>
        </w:rPr>
      </w:pPr>
      <w:r w:rsidRPr="001D50E1">
        <w:rPr>
          <w:rFonts w:cs="Times New Roman"/>
          <w:sz w:val="24"/>
          <w:szCs w:val="24"/>
        </w:rPr>
        <w:t>Vendos rregulla për përllogaritjen e të drejtave të votës, përfshirë përdorimin e axhustimit me koeficientin delta për instrumentet me shlyerje në para, trajtimin e shportave/indekseve dhe llogaritjen ditore të pozicioneve afatgjata.</w:t>
      </w:r>
    </w:p>
    <w:p w14:paraId="3D87D242" w14:textId="77777777" w:rsidR="004D302D" w:rsidRPr="001D50E1" w:rsidRDefault="004D302D" w:rsidP="004D302D">
      <w:pPr>
        <w:pStyle w:val="ListBullet"/>
        <w:tabs>
          <w:tab w:val="num" w:pos="1080"/>
        </w:tabs>
        <w:ind w:left="1080" w:hanging="360"/>
        <w:jc w:val="both"/>
        <w:rPr>
          <w:rFonts w:cs="Times New Roman"/>
          <w:sz w:val="24"/>
          <w:szCs w:val="24"/>
        </w:rPr>
      </w:pPr>
      <w:r w:rsidRPr="001D50E1">
        <w:rPr>
          <w:rFonts w:cs="Times New Roman"/>
          <w:sz w:val="24"/>
          <w:szCs w:val="24"/>
        </w:rPr>
        <w:t>Ngarkon AMF me hartimin e rregullave në përputhje me standardet teknike për formatet/modelet/procedurat e njoftimeve dhe me publikimin e listës treguese të instrumenteve të përfshira.</w:t>
      </w:r>
    </w:p>
    <w:p w14:paraId="1E99F144" w14:textId="77777777" w:rsidR="004D302D" w:rsidRPr="001D50E1" w:rsidRDefault="004D302D" w:rsidP="004D302D">
      <w:pPr>
        <w:rPr>
          <w:rFonts w:cs="Times New Roman"/>
          <w:sz w:val="24"/>
          <w:szCs w:val="24"/>
        </w:rPr>
      </w:pPr>
      <w:r w:rsidRPr="001D50E1">
        <w:rPr>
          <w:rFonts w:cs="Times New Roman"/>
          <w:b/>
          <w:sz w:val="24"/>
          <w:szCs w:val="24"/>
        </w:rPr>
        <w:t>Neni 21 – Agregimi i zotërimeve</w:t>
      </w:r>
    </w:p>
    <w:p w14:paraId="12C97587" w14:textId="77777777" w:rsidR="004D302D" w:rsidRPr="001D50E1" w:rsidRDefault="004D302D" w:rsidP="004D302D">
      <w:pPr>
        <w:pStyle w:val="ListBullet"/>
        <w:tabs>
          <w:tab w:val="num" w:pos="1080"/>
        </w:tabs>
        <w:ind w:left="1080" w:hanging="360"/>
        <w:rPr>
          <w:rFonts w:cs="Times New Roman"/>
          <w:sz w:val="24"/>
          <w:szCs w:val="24"/>
        </w:rPr>
      </w:pPr>
      <w:r w:rsidRPr="001D50E1">
        <w:rPr>
          <w:rFonts w:cs="Times New Roman"/>
          <w:sz w:val="24"/>
          <w:szCs w:val="24"/>
        </w:rPr>
        <w:t>Kërkon agregimin e të drejtave të votës nga aksionet dhe nga instrumentet financiare (nenet 12, 13 dhe 20) për të përcaktuar kalimin e pragjeve; njoftimi duhet të pasqyrojë ndarjen ndërmjet aksioneve dhe instrumenteve.</w:t>
      </w:r>
    </w:p>
    <w:p w14:paraId="55AE7BE2" w14:textId="77777777" w:rsidR="004D302D" w:rsidRPr="001D50E1" w:rsidRDefault="004D302D" w:rsidP="004D302D">
      <w:pPr>
        <w:pStyle w:val="ListBullet"/>
        <w:tabs>
          <w:tab w:val="num" w:pos="1080"/>
        </w:tabs>
        <w:ind w:left="1080" w:hanging="360"/>
        <w:rPr>
          <w:rFonts w:cs="Times New Roman"/>
          <w:sz w:val="24"/>
          <w:szCs w:val="24"/>
        </w:rPr>
      </w:pPr>
      <w:r w:rsidRPr="001D50E1">
        <w:rPr>
          <w:rFonts w:cs="Times New Roman"/>
          <w:sz w:val="24"/>
          <w:szCs w:val="24"/>
        </w:rPr>
        <w:t>Parashikon ri‑njoftim kur instrumentet financiare shndërrohen në aksione dhe si rezultat kalohen pragjet.</w:t>
      </w:r>
    </w:p>
    <w:p w14:paraId="21D35DA7" w14:textId="77777777" w:rsidR="004D302D" w:rsidRPr="001D50E1" w:rsidRDefault="004D302D" w:rsidP="004D302D">
      <w:pPr>
        <w:rPr>
          <w:rFonts w:cs="Times New Roman"/>
          <w:sz w:val="24"/>
          <w:szCs w:val="24"/>
          <w:lang w:val="it-IT"/>
        </w:rPr>
      </w:pPr>
      <w:r w:rsidRPr="001D50E1">
        <w:rPr>
          <w:rFonts w:cs="Times New Roman"/>
          <w:b/>
          <w:sz w:val="24"/>
          <w:szCs w:val="24"/>
          <w:lang w:val="it-IT"/>
        </w:rPr>
        <w:t>Neni 22 – Detyrimi për publikim nga emetuesi (aksionet e veta)</w:t>
      </w:r>
    </w:p>
    <w:p w14:paraId="44BC8D42" w14:textId="77777777" w:rsidR="004D302D" w:rsidRPr="001D50E1" w:rsidRDefault="004D302D" w:rsidP="004D302D">
      <w:pPr>
        <w:pStyle w:val="ListBullet"/>
        <w:tabs>
          <w:tab w:val="num" w:pos="1080"/>
        </w:tabs>
        <w:ind w:left="1080" w:hanging="360"/>
        <w:rPr>
          <w:rFonts w:cs="Times New Roman"/>
          <w:sz w:val="24"/>
          <w:szCs w:val="24"/>
          <w:lang w:val="it-IT"/>
        </w:rPr>
      </w:pPr>
      <w:r w:rsidRPr="001D50E1">
        <w:rPr>
          <w:rFonts w:cs="Times New Roman"/>
          <w:sz w:val="24"/>
          <w:szCs w:val="24"/>
          <w:lang w:val="it-IT"/>
        </w:rPr>
        <w:t>Kur emetuesi blen/she t aksionet e veta dhe si rezultat kalon pragjet 5% ose 10% të të drejtave të votimit, ai publikon përqindjen e aksioneve të veta jo më vonë se 4 ditë tregtimi.</w:t>
      </w:r>
    </w:p>
    <w:p w14:paraId="108402A8" w14:textId="77777777" w:rsidR="004D302D" w:rsidRPr="001D50E1" w:rsidRDefault="004D302D" w:rsidP="004D302D">
      <w:pPr>
        <w:pStyle w:val="ListBullet"/>
        <w:tabs>
          <w:tab w:val="num" w:pos="1080"/>
        </w:tabs>
        <w:ind w:left="1080" w:hanging="360"/>
        <w:rPr>
          <w:rFonts w:cs="Times New Roman"/>
          <w:sz w:val="24"/>
          <w:szCs w:val="24"/>
          <w:lang w:val="it-IT"/>
        </w:rPr>
      </w:pPr>
      <w:r w:rsidRPr="001D50E1">
        <w:rPr>
          <w:rFonts w:cs="Times New Roman"/>
          <w:sz w:val="24"/>
          <w:szCs w:val="24"/>
          <w:lang w:val="it-IT"/>
        </w:rPr>
        <w:t>AMF miraton rregulla të detajuara për zbatimin e këtij neni, në përputhje me aktet e deleguara përkatëse.</w:t>
      </w:r>
    </w:p>
    <w:p w14:paraId="3366AD2A" w14:textId="77777777" w:rsidR="004D302D" w:rsidRPr="001D50E1" w:rsidRDefault="004D302D" w:rsidP="004D302D">
      <w:pPr>
        <w:rPr>
          <w:rFonts w:cs="Times New Roman"/>
          <w:sz w:val="24"/>
          <w:szCs w:val="24"/>
          <w:lang w:val="it-IT"/>
        </w:rPr>
      </w:pPr>
      <w:r w:rsidRPr="001D50E1">
        <w:rPr>
          <w:rFonts w:cs="Times New Roman"/>
          <w:b/>
          <w:sz w:val="24"/>
          <w:szCs w:val="24"/>
          <w:lang w:val="it-IT"/>
        </w:rPr>
        <w:t>Neni 23 – Publikimi i të drejtave të votës dhe kapitalit</w:t>
      </w:r>
    </w:p>
    <w:p w14:paraId="050DFEB3" w14:textId="77777777" w:rsidR="004D302D" w:rsidRPr="001D50E1" w:rsidRDefault="004D302D" w:rsidP="004D302D">
      <w:pPr>
        <w:pStyle w:val="ListBullet"/>
        <w:numPr>
          <w:ilvl w:val="0"/>
          <w:numId w:val="3"/>
        </w:numPr>
        <w:ind w:left="1080" w:hanging="270"/>
        <w:rPr>
          <w:rFonts w:cs="Times New Roman"/>
          <w:sz w:val="24"/>
          <w:szCs w:val="24"/>
          <w:lang w:val="it-IT"/>
        </w:rPr>
      </w:pPr>
      <w:r w:rsidRPr="001D50E1">
        <w:rPr>
          <w:rFonts w:cs="Times New Roman"/>
          <w:sz w:val="24"/>
          <w:szCs w:val="24"/>
          <w:lang w:val="it-IT"/>
        </w:rPr>
        <w:t>Për qëllim llogaritjeje të pragjeve, emetuesi publikon numrin total të të drejtave të votës dhe kapitalit në fund të çdo muaji kalendarik kur ka pasur ndryshime.</w:t>
      </w:r>
    </w:p>
    <w:p w14:paraId="04F0D5B9" w14:textId="77777777" w:rsidR="004D302D" w:rsidRPr="001D50E1" w:rsidRDefault="004D302D" w:rsidP="004D302D">
      <w:pPr>
        <w:rPr>
          <w:rFonts w:cs="Times New Roman"/>
          <w:sz w:val="24"/>
          <w:szCs w:val="24"/>
        </w:rPr>
      </w:pPr>
      <w:r w:rsidRPr="001D50E1">
        <w:rPr>
          <w:rFonts w:cs="Times New Roman"/>
          <w:b/>
          <w:sz w:val="24"/>
          <w:szCs w:val="24"/>
        </w:rPr>
        <w:t>Neni 24 – Informacione shtesë</w:t>
      </w:r>
    </w:p>
    <w:p w14:paraId="2643D2A1" w14:textId="77777777" w:rsidR="004D302D" w:rsidRPr="001D50E1" w:rsidRDefault="004D302D" w:rsidP="004D302D">
      <w:pPr>
        <w:pStyle w:val="ListBullet"/>
        <w:tabs>
          <w:tab w:val="num" w:pos="1080"/>
        </w:tabs>
        <w:ind w:left="1080" w:hanging="360"/>
        <w:rPr>
          <w:rFonts w:cs="Times New Roman"/>
          <w:sz w:val="24"/>
          <w:szCs w:val="24"/>
        </w:rPr>
      </w:pPr>
      <w:r w:rsidRPr="001D50E1">
        <w:rPr>
          <w:rFonts w:cs="Times New Roman"/>
          <w:sz w:val="24"/>
          <w:szCs w:val="24"/>
        </w:rPr>
        <w:t>Kërkon publikim pa vonesë të ndryshimeve në të drejtat që lidhen me klasa të ndryshme aksionesh, përfshirë ndryshime në të drejta që lidhen me tituj derivativë të emetuar nga vetë emetuesi që japin akses në aksionet e tij.</w:t>
      </w:r>
    </w:p>
    <w:p w14:paraId="12F43BB7" w14:textId="77777777" w:rsidR="004D302D" w:rsidRPr="001D50E1" w:rsidRDefault="004D302D" w:rsidP="004D302D">
      <w:pPr>
        <w:pStyle w:val="ListBullet"/>
        <w:tabs>
          <w:tab w:val="num" w:pos="1080"/>
        </w:tabs>
        <w:ind w:left="1080" w:hanging="360"/>
        <w:rPr>
          <w:rFonts w:cs="Times New Roman"/>
          <w:sz w:val="24"/>
          <w:szCs w:val="24"/>
        </w:rPr>
      </w:pPr>
      <w:r w:rsidRPr="001D50E1">
        <w:rPr>
          <w:rFonts w:cs="Times New Roman"/>
          <w:sz w:val="24"/>
          <w:szCs w:val="24"/>
        </w:rPr>
        <w:t>Për emetuesit e titujve të tjerë (p.sh. tituj borxhi), kërkon publikim të ndryshimeve në të drejtat e mbajtësve, duke përfshirë termat/kushtet që ndikojnë në mënyrë indirekte këto të drejta.</w:t>
      </w:r>
    </w:p>
    <w:p w14:paraId="3EA38B0F" w14:textId="77777777" w:rsidR="004D302D" w:rsidRPr="001D50E1" w:rsidRDefault="004D302D" w:rsidP="004D302D">
      <w:pPr>
        <w:rPr>
          <w:rFonts w:cs="Times New Roman"/>
          <w:sz w:val="24"/>
          <w:szCs w:val="24"/>
        </w:rPr>
      </w:pPr>
      <w:r w:rsidRPr="001D50E1">
        <w:rPr>
          <w:rFonts w:cs="Times New Roman"/>
          <w:b/>
          <w:sz w:val="24"/>
          <w:szCs w:val="24"/>
        </w:rPr>
        <w:t>Neni 25 – Kërkesat për informacion për emetuesit e aksioneve të pranuara për tregtim</w:t>
      </w:r>
    </w:p>
    <w:p w14:paraId="231AA567"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Vendos parimin e trajtimit të barabartë për të gjithë mbajtësit e aksioneve në të njëjtin pozicion dhe kërkon që emetuesi të sigurojë mjetet/informacionet e nevojshme për ushtrimin e të drejtave (mbledhjet, agjenda, numri i aksioneve/votave, prokurat, agjent financiar, dividendë dhe aksione të reja).</w:t>
      </w:r>
    </w:p>
    <w:p w14:paraId="504829EC"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Lejon përdorimin e mjeteve elektronike për komunikim me aksionarët, me kushte për mos‑diskriminim, identifikim, kërkesë miratimi dhe të drejtën e aksionarëve për të kërkuar komunikim me shkrim.</w:t>
      </w:r>
    </w:p>
    <w:p w14:paraId="7B7D23D7" w14:textId="77777777" w:rsidR="004D302D" w:rsidRPr="001D50E1" w:rsidRDefault="004D302D" w:rsidP="004D302D">
      <w:pPr>
        <w:rPr>
          <w:rFonts w:cs="Times New Roman"/>
          <w:sz w:val="24"/>
          <w:szCs w:val="24"/>
        </w:rPr>
      </w:pPr>
      <w:r w:rsidRPr="001D50E1">
        <w:rPr>
          <w:rFonts w:cs="Times New Roman"/>
          <w:b/>
          <w:sz w:val="24"/>
          <w:szCs w:val="24"/>
        </w:rPr>
        <w:t>Neni 26 – Kërkesat për informacion për emetuesit e titujve të borxhit</w:t>
      </w:r>
    </w:p>
    <w:p w14:paraId="0AD4D888"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lastRenderedPageBreak/>
        <w:t>Vendos trajtim të barabartë për mbajtësit ‘pari passu’ dhe kërkon ofrimin e informacionit/mjeteve për ushtrimin e të drejtave (mbledhje, pagesa interesi, konvertim/këmbim/nënshkrim/anulim, shlyerje, prokurat, agjent financiar).</w:t>
      </w:r>
    </w:p>
    <w:p w14:paraId="2283A2C3"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Parashikon fleksibilitet për vendndodhjen e mbledhjeve për tituj borxhi me vlerë të lartë nominale për njësi dhe përdorimin e mjeteve elektronike me kushte të ngjashme me nenin 25.</w:t>
      </w:r>
    </w:p>
    <w:p w14:paraId="2F07E603" w14:textId="77777777" w:rsidR="004D302D" w:rsidRPr="001D50E1" w:rsidRDefault="004D302D" w:rsidP="004D302D">
      <w:pPr>
        <w:rPr>
          <w:rFonts w:cs="Times New Roman"/>
          <w:sz w:val="24"/>
          <w:szCs w:val="24"/>
          <w:lang w:val="it-IT"/>
        </w:rPr>
      </w:pPr>
      <w:r w:rsidRPr="001D50E1">
        <w:rPr>
          <w:rFonts w:cs="Times New Roman"/>
          <w:b/>
          <w:sz w:val="24"/>
          <w:szCs w:val="24"/>
          <w:lang w:val="it-IT"/>
        </w:rPr>
        <w:t>Neni 27 – Depozitimi dhe kontrolli i informacionit të rregulluar</w:t>
      </w:r>
    </w:p>
    <w:p w14:paraId="5D0FCC64"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Kërkon që, kur publikohet informacion i rregulluar, ai të depozitohet njëkohësisht pranë AMF; AMF e publikon informacionin e depozituar në faqen e saj zyrtare.</w:t>
      </w:r>
    </w:p>
    <w:p w14:paraId="42210739" w14:textId="77777777" w:rsidR="004D302D" w:rsidRPr="001D50E1" w:rsidRDefault="004D302D" w:rsidP="004D302D">
      <w:pPr>
        <w:pStyle w:val="ListBullet"/>
        <w:tabs>
          <w:tab w:val="num" w:pos="720"/>
        </w:tabs>
        <w:ind w:left="720" w:hanging="360"/>
        <w:rPr>
          <w:rFonts w:cs="Times New Roman"/>
          <w:sz w:val="24"/>
          <w:szCs w:val="24"/>
          <w:lang w:val="it-IT"/>
        </w:rPr>
      </w:pPr>
      <w:r w:rsidRPr="001D50E1">
        <w:rPr>
          <w:rFonts w:cs="Times New Roman"/>
          <w:sz w:val="24"/>
          <w:szCs w:val="24"/>
          <w:lang w:val="it-IT"/>
        </w:rPr>
        <w:t>Saktëson depozitimin pranë AMF edhe për informacionin që i përcillet emetuesit sipas dispozitave për zotërimet e mëdha dhe instrumentet financiare.</w:t>
      </w:r>
    </w:p>
    <w:p w14:paraId="081EE8F5" w14:textId="77777777" w:rsidR="004D302D" w:rsidRPr="001D50E1" w:rsidRDefault="004D302D" w:rsidP="004D302D">
      <w:pPr>
        <w:rPr>
          <w:rFonts w:cs="Times New Roman"/>
          <w:sz w:val="24"/>
          <w:szCs w:val="24"/>
        </w:rPr>
      </w:pPr>
      <w:r w:rsidRPr="001D50E1">
        <w:rPr>
          <w:rFonts w:cs="Times New Roman"/>
          <w:b/>
          <w:sz w:val="24"/>
          <w:szCs w:val="24"/>
        </w:rPr>
        <w:t>Neni 28 – Gjuhët</w:t>
      </w:r>
    </w:p>
    <w:p w14:paraId="24DBAAEA"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Përcakton rregulla të publikimit të informacionit të rregulluar sipas vendeve ku titujt janë pranuar për tregtim (vetëm në RSH; në RSH dhe shtete anëtare; vetëm në shtete anëtare).</w:t>
      </w:r>
    </w:p>
    <w:p w14:paraId="1A38976C"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Parashikon fleksibilitet gjuhësor për tituj borxhi me vlerë të lartë nominale dhe rregulla për njoftimet nga aksionarët/personat e tjerë; rregullon aspektin e kostove të përkthimit në procedime gjyqësore.</w:t>
      </w:r>
    </w:p>
    <w:p w14:paraId="0815B77F" w14:textId="77777777" w:rsidR="004D302D" w:rsidRPr="001D50E1" w:rsidRDefault="004D302D" w:rsidP="004D302D">
      <w:pPr>
        <w:rPr>
          <w:rFonts w:cs="Times New Roman"/>
          <w:sz w:val="24"/>
          <w:szCs w:val="24"/>
        </w:rPr>
      </w:pPr>
      <w:r w:rsidRPr="001D50E1">
        <w:rPr>
          <w:rFonts w:cs="Times New Roman"/>
          <w:b/>
          <w:sz w:val="24"/>
          <w:szCs w:val="24"/>
        </w:rPr>
        <w:t>Neni 29 – Aksesi dhe ruajtja qendrore e informacionit të rregulluar</w:t>
      </w:r>
    </w:p>
    <w:p w14:paraId="442D2B86"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Detyron publikimin në mënyrë që të sigurohet akses i shpejtë dhe jodiskriminues; ndalon vendosjen e kostove të posaçme ndaj investitorëve për ofrimin e informacionit.</w:t>
      </w:r>
    </w:p>
    <w:p w14:paraId="13EB89DA"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Ngarkon AMF me caktimin e mekanizmit/regjistrit zyrtar për ruajtje qendrore, me standarde minimale sigurie, regjistrim kohe dhe lehtësi aksesi; emetuesi depoziton informacionin njëkohësisht pranë AMF dhe mekanizmit.</w:t>
      </w:r>
    </w:p>
    <w:p w14:paraId="4E141F53"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Parashikon që mekanizmi zyrtar mund të mbahet nga AMF ose nga person juridik i miratuar, me kushte që sigurojnë ndërveprim dhe (kur është e aplikueshme) akses në nivel BE‑je.</w:t>
      </w:r>
    </w:p>
    <w:p w14:paraId="750296A7" w14:textId="77777777" w:rsidR="004D302D" w:rsidRPr="001D50E1" w:rsidRDefault="004D302D" w:rsidP="004D302D">
      <w:pPr>
        <w:rPr>
          <w:rFonts w:cs="Times New Roman"/>
          <w:sz w:val="24"/>
          <w:szCs w:val="24"/>
        </w:rPr>
      </w:pPr>
      <w:r w:rsidRPr="001D50E1">
        <w:rPr>
          <w:rFonts w:cs="Times New Roman"/>
          <w:b/>
          <w:sz w:val="24"/>
          <w:szCs w:val="24"/>
        </w:rPr>
        <w:t>Neni 30 – Standardet minimale të shpërndarjes</w:t>
      </w:r>
    </w:p>
    <w:p w14:paraId="7F5A8D42"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Përcakton standardet minimale për shpërndarjen e informacionit të rregulluar: shpërndarje në publik sa më të gjerë; komunikim i sigurt; tekst i plotë i pa‑edituar (me përjashtime kur mjafton njoftimi me referim në faqen e internetit).</w:t>
      </w:r>
    </w:p>
    <w:p w14:paraId="4FEA2246"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Kërkon identifikim të qartë të informacionit si ‘informacion i rregulluar’, identifikim të emetuesit dhe datë/orë komunikimi; parashikon detyrimin e ruajtjes së gjurmës së komunikimit për verifikim nga AMF.</w:t>
      </w:r>
    </w:p>
    <w:p w14:paraId="6431B6A9" w14:textId="77777777" w:rsidR="004D302D" w:rsidRPr="001D50E1" w:rsidRDefault="004D302D" w:rsidP="004D302D">
      <w:pPr>
        <w:rPr>
          <w:rFonts w:cs="Times New Roman"/>
          <w:sz w:val="24"/>
          <w:szCs w:val="24"/>
        </w:rPr>
      </w:pPr>
      <w:r w:rsidRPr="001D50E1">
        <w:rPr>
          <w:rFonts w:cs="Times New Roman"/>
          <w:b/>
          <w:sz w:val="24"/>
          <w:szCs w:val="24"/>
        </w:rPr>
        <w:t>Neni 31 – Pika Evropiane e Aksesit Elektronik</w:t>
      </w:r>
    </w:p>
    <w:p w14:paraId="62396C6D"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Përcakton portalin e aksesit elektronik të zhvilluar dhe operuar nga ESMA dhe sistemin e ndërlidhjes së mekanizmave zyrtarë të ruajtjes qendrore.</w:t>
      </w:r>
    </w:p>
    <w:p w14:paraId="5001752D"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AMF siguron aksesin në mekanizmin kombëtar përmes kësaj pike, sipas dispozitave kalimtare të ligjit.</w:t>
      </w:r>
    </w:p>
    <w:p w14:paraId="62F9288C" w14:textId="77777777" w:rsidR="004D302D" w:rsidRPr="001D50E1" w:rsidRDefault="004D302D" w:rsidP="004D302D">
      <w:pPr>
        <w:rPr>
          <w:rFonts w:cs="Times New Roman"/>
          <w:sz w:val="24"/>
          <w:szCs w:val="24"/>
        </w:rPr>
      </w:pPr>
      <w:r w:rsidRPr="001D50E1">
        <w:rPr>
          <w:rFonts w:cs="Times New Roman"/>
          <w:b/>
          <w:sz w:val="24"/>
          <w:szCs w:val="24"/>
        </w:rPr>
        <w:t>Neni 32 – Aksesi përmes Pikës së Vetme Evropiane të Aksesit (ESAP)</w:t>
      </w:r>
    </w:p>
    <w:p w14:paraId="0B955D9A"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Vendos detyrimin që informacioni i rregulluar të dorëzohet njëkohësisht te njësia mbledhëse e informacionit, në mënyrë që të jetë i aksesueshëm në ESAP; parashikon format të dhënash të ekstraktueshme/lexueshme nga makineria dhe metadatat shoqëruese (p.sh. LEI, madhësia e emetuesit, sektori, lloji i informacionit).</w:t>
      </w:r>
    </w:p>
    <w:p w14:paraId="7C348F25"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Cakton mekanizmin zyrtar të ruajtjes (neni 29) si njësinë mbledhëse dhe AMF si njësi mbledhëse për informacionin e akteve nënligjore, sipas rregullave të ESAP; zbatimi i plotë lidhet me anëtarësimin në BE.</w:t>
      </w:r>
    </w:p>
    <w:p w14:paraId="0764731C" w14:textId="77777777" w:rsidR="004D302D" w:rsidRPr="001D50E1" w:rsidRDefault="004D302D" w:rsidP="004D302D">
      <w:pPr>
        <w:rPr>
          <w:rFonts w:cs="Times New Roman"/>
          <w:sz w:val="24"/>
          <w:szCs w:val="24"/>
        </w:rPr>
      </w:pPr>
      <w:r w:rsidRPr="001D50E1">
        <w:rPr>
          <w:rFonts w:cs="Times New Roman"/>
          <w:b/>
          <w:sz w:val="24"/>
          <w:szCs w:val="24"/>
        </w:rPr>
        <w:lastRenderedPageBreak/>
        <w:t>Neni 33 – Aksesi në informacionin e rregulluar në nivel BE‑je</w:t>
      </w:r>
    </w:p>
    <w:p w14:paraId="33A0A59B" w14:textId="77777777" w:rsidR="004D302D" w:rsidRPr="001D50E1" w:rsidRDefault="004D302D" w:rsidP="004D302D">
      <w:pPr>
        <w:pStyle w:val="ListBullet"/>
        <w:tabs>
          <w:tab w:val="num" w:pos="1080"/>
        </w:tabs>
        <w:ind w:left="1080" w:hanging="360"/>
        <w:rPr>
          <w:rFonts w:cs="Times New Roman"/>
          <w:sz w:val="24"/>
          <w:szCs w:val="24"/>
        </w:rPr>
      </w:pPr>
      <w:r w:rsidRPr="001D50E1">
        <w:rPr>
          <w:rFonts w:cs="Times New Roman"/>
          <w:sz w:val="24"/>
          <w:szCs w:val="24"/>
        </w:rPr>
        <w:t>Ngarkon AMF me hartimin e rregullave teknike në përputhje me standardet e BE‑së për ndërveprimin dhe aksesin (teknologjitë e komunikimit, identifikuesi unik, formatet standarde dhe klasifikimi i informacionit).</w:t>
      </w:r>
    </w:p>
    <w:p w14:paraId="34FDFA22" w14:textId="77777777" w:rsidR="004D302D" w:rsidRPr="001D50E1" w:rsidRDefault="004D302D" w:rsidP="004D302D">
      <w:pPr>
        <w:rPr>
          <w:rFonts w:cs="Times New Roman"/>
          <w:sz w:val="24"/>
          <w:szCs w:val="24"/>
        </w:rPr>
      </w:pPr>
      <w:r w:rsidRPr="001D50E1">
        <w:rPr>
          <w:rFonts w:cs="Times New Roman"/>
          <w:b/>
          <w:sz w:val="24"/>
          <w:szCs w:val="24"/>
        </w:rPr>
        <w:t>Neni 34 – Vendet e treta</w:t>
      </w:r>
    </w:p>
    <w:p w14:paraId="0E71C77E"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Rregullon trajtimin e emetuesve me seli të regjistruar në vende të treta dhe vlerësimin e ekuivalencës së kërkesave të informacionit, përfshirë standardet e kontabilitetit dhe, kur është e aplikueshme, standardet e raportimit të qëndrueshmërisë.</w:t>
      </w:r>
    </w:p>
    <w:p w14:paraId="3DFED7C8"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Parashikon mundësi përjashtimi nga disa kërkesa (p.sh. format i pasqyrave) kur zbatohen standarde të pranuara ndërkombëtare/ekuivalente dhe kërkon që informacioni i rëndësishëm të publikohet në mënyrë të aksesueshme për publikun.</w:t>
      </w:r>
    </w:p>
    <w:p w14:paraId="74A8F788" w14:textId="77777777" w:rsidR="004D302D" w:rsidRPr="001D50E1" w:rsidRDefault="004D302D" w:rsidP="004D302D">
      <w:pPr>
        <w:rPr>
          <w:rFonts w:cs="Times New Roman"/>
          <w:sz w:val="24"/>
          <w:szCs w:val="24"/>
        </w:rPr>
      </w:pPr>
      <w:r w:rsidRPr="001D50E1">
        <w:rPr>
          <w:rFonts w:cs="Times New Roman"/>
          <w:b/>
          <w:sz w:val="24"/>
          <w:szCs w:val="24"/>
        </w:rPr>
        <w:t>Neni 35 – Kërkesat ekuivalente</w:t>
      </w:r>
    </w:p>
    <w:p w14:paraId="112D217B"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Përcakton kriteret minimale për të konsideruar kërkesa ‘ekuivalente’ në vende të treta (për raportin vjetor të drejtimit, raportin gjashtëmujor, deklaratat e përgjegjësisë, afatet për zotërimet e mëdha, publikimet e emetuesit, etj.).</w:t>
      </w:r>
    </w:p>
    <w:p w14:paraId="0B6A35F1"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Shërben si bazë për vendimmarrjen e AMF mbi ekuivalencën dhe për trajtimin e emetuesve të vendeve të treta në përputhje me standardet e transparencës.</w:t>
      </w:r>
    </w:p>
    <w:p w14:paraId="04A41241" w14:textId="77777777" w:rsidR="004D302D" w:rsidRPr="001D50E1" w:rsidRDefault="004D302D" w:rsidP="004D302D">
      <w:pPr>
        <w:rPr>
          <w:rFonts w:cs="Times New Roman"/>
          <w:sz w:val="24"/>
          <w:szCs w:val="24"/>
        </w:rPr>
      </w:pPr>
      <w:r w:rsidRPr="001D50E1">
        <w:rPr>
          <w:rFonts w:cs="Times New Roman"/>
          <w:b/>
          <w:sz w:val="24"/>
          <w:szCs w:val="24"/>
        </w:rPr>
        <w:t>KREU IV – KOMPETENCAT E AUTORITETIT</w:t>
      </w:r>
    </w:p>
    <w:p w14:paraId="255D07D4" w14:textId="77777777" w:rsidR="004D302D" w:rsidRPr="001D50E1" w:rsidRDefault="004D302D" w:rsidP="004D302D">
      <w:pPr>
        <w:rPr>
          <w:rFonts w:cs="Times New Roman"/>
          <w:sz w:val="24"/>
          <w:szCs w:val="24"/>
        </w:rPr>
      </w:pPr>
      <w:r w:rsidRPr="001D50E1">
        <w:rPr>
          <w:rFonts w:cs="Times New Roman"/>
          <w:sz w:val="24"/>
          <w:szCs w:val="24"/>
        </w:rPr>
        <w:t>Kreu IV përcakton AMF si autoritetin kompetent dhe rregullon kompetencat hetimore, mbikëqyrëse dhe bashkëpunimin.</w:t>
      </w:r>
    </w:p>
    <w:p w14:paraId="7D021D0A" w14:textId="77777777" w:rsidR="004D302D" w:rsidRPr="001D50E1" w:rsidRDefault="004D302D" w:rsidP="004D302D">
      <w:pPr>
        <w:rPr>
          <w:rFonts w:cs="Times New Roman"/>
          <w:sz w:val="24"/>
          <w:szCs w:val="24"/>
        </w:rPr>
      </w:pPr>
      <w:r w:rsidRPr="001D50E1">
        <w:rPr>
          <w:rFonts w:cs="Times New Roman"/>
          <w:b/>
          <w:sz w:val="24"/>
          <w:szCs w:val="24"/>
        </w:rPr>
        <w:t>Neni 36 – Autoritetet përgjegjëse dhe kompetencat e tyre</w:t>
      </w:r>
    </w:p>
    <w:p w14:paraId="5520FE58"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Përcakton AMF si autoritetin kompetent për zbatimin e ligjit dhe i njeh kompetenca për të kërkuar informacion/dokumente, për të kërkuar publikim informacioni dhe për të kryer inspektime në terren.</w:t>
      </w:r>
    </w:p>
    <w:p w14:paraId="6DCA5D98"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Parashikon masa mbikëqyrëse për integritetin e tregut, përfshirë pezullimin ose ndalimin e tregtimit të titujve në rast dyshimi për shkelje dhe publikimin e mos‑përputhshmërisë.</w:t>
      </w:r>
    </w:p>
    <w:p w14:paraId="07757214"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Saktëson mënyrat e ushtrimit të kompetencave sanksionuese (drejtpërdrejt, në bashkëpunim, me delegim ose përmes autoriteteve gjyqësore).</w:t>
      </w:r>
    </w:p>
    <w:p w14:paraId="3FA6256F" w14:textId="77777777" w:rsidR="004D302D" w:rsidRPr="001D50E1" w:rsidRDefault="004D302D" w:rsidP="004D302D">
      <w:pPr>
        <w:rPr>
          <w:rFonts w:cs="Times New Roman"/>
          <w:sz w:val="24"/>
          <w:szCs w:val="24"/>
        </w:rPr>
      </w:pPr>
      <w:r w:rsidRPr="001D50E1">
        <w:rPr>
          <w:rFonts w:cs="Times New Roman"/>
          <w:b/>
          <w:sz w:val="24"/>
          <w:szCs w:val="24"/>
        </w:rPr>
        <w:t>Neni 37 – Sekreti profesional dhe bashkëpunimi</w:t>
      </w:r>
    </w:p>
    <w:p w14:paraId="63F6E7B1"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Vendos detyrimin e sekretit profesional për personat që punojnë/punuan në AMF dhe rregullon kushtet e shkëmbimit të informacionit konfidencial.</w:t>
      </w:r>
    </w:p>
    <w:p w14:paraId="12235F60"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Parashikon bashkëpunimin me autoritetet e tjera kompetente, ESMA/ESRB dhe mundësinë e marrëveshjeve me autoritetet e vendeve të treta, me garanci të barasvlefshme konfidencialiteti (pjesët që lidhen drejtpërdrejt me mekanizmat e BE‑së zbatohen sipas dispozitave kalimtare).</w:t>
      </w:r>
    </w:p>
    <w:p w14:paraId="720E92D4" w14:textId="77777777" w:rsidR="004D302D" w:rsidRPr="001D50E1" w:rsidRDefault="004D302D" w:rsidP="004D302D">
      <w:pPr>
        <w:rPr>
          <w:rFonts w:cs="Times New Roman"/>
          <w:sz w:val="24"/>
          <w:szCs w:val="24"/>
        </w:rPr>
      </w:pPr>
      <w:r w:rsidRPr="001D50E1">
        <w:rPr>
          <w:rFonts w:cs="Times New Roman"/>
          <w:b/>
          <w:sz w:val="24"/>
          <w:szCs w:val="24"/>
        </w:rPr>
        <w:t>Neni 38 – Masat paraprake</w:t>
      </w:r>
    </w:p>
    <w:p w14:paraId="3423CE9F"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Rregullon veprimet e AMF në cilësinë e autoritetit kompetent të shtetit pritës: referimi i gjetjeve te autoriteti i shtetit të origjinës dhe te ESMA.</w:t>
      </w:r>
    </w:p>
    <w:p w14:paraId="5CBA6A20"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Nëse masat e shtetit të origjinës janë të pamjaftueshme, AMF merr masat e duhura për mbrojtjen e investitorëve dhe informon Komisionin Evropian dhe ESMA‑n.</w:t>
      </w:r>
    </w:p>
    <w:p w14:paraId="76862896" w14:textId="77777777" w:rsidR="004D302D" w:rsidRPr="001D50E1" w:rsidRDefault="004D302D" w:rsidP="004D302D">
      <w:pPr>
        <w:rPr>
          <w:rFonts w:cs="Times New Roman"/>
          <w:sz w:val="24"/>
          <w:szCs w:val="24"/>
        </w:rPr>
      </w:pPr>
      <w:r w:rsidRPr="001D50E1">
        <w:rPr>
          <w:rFonts w:cs="Times New Roman"/>
          <w:b/>
          <w:sz w:val="24"/>
          <w:szCs w:val="24"/>
        </w:rPr>
        <w:t>KREU V – SHKELJET, MASAT ADMINISTRATIVE DHE SANKSIONET</w:t>
      </w:r>
    </w:p>
    <w:p w14:paraId="13CFEFF7" w14:textId="77777777" w:rsidR="004D302D" w:rsidRPr="001D50E1" w:rsidRDefault="004D302D" w:rsidP="004D302D">
      <w:pPr>
        <w:rPr>
          <w:rFonts w:cs="Times New Roman"/>
          <w:sz w:val="24"/>
          <w:szCs w:val="24"/>
        </w:rPr>
      </w:pPr>
      <w:r w:rsidRPr="001D50E1">
        <w:rPr>
          <w:rFonts w:cs="Times New Roman"/>
          <w:sz w:val="24"/>
          <w:szCs w:val="24"/>
        </w:rPr>
        <w:t>Kreu V parashikon masat administrative dhe sanksionet, në mënyrë që zbatimi të jetë efektiv, proporcional dhe parandalues.</w:t>
      </w:r>
    </w:p>
    <w:p w14:paraId="2B3598BE" w14:textId="77777777" w:rsidR="004D302D" w:rsidRPr="001D50E1" w:rsidRDefault="004D302D" w:rsidP="004D302D">
      <w:pPr>
        <w:rPr>
          <w:rFonts w:cs="Times New Roman"/>
          <w:sz w:val="24"/>
          <w:szCs w:val="24"/>
        </w:rPr>
      </w:pPr>
      <w:r w:rsidRPr="001D50E1">
        <w:rPr>
          <w:rFonts w:cs="Times New Roman"/>
          <w:b/>
          <w:sz w:val="24"/>
          <w:szCs w:val="24"/>
        </w:rPr>
        <w:t>Neni 39 – Kundravajtjet administrative</w:t>
      </w:r>
    </w:p>
    <w:p w14:paraId="42318BD6"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Parashikon masat administrative që AMF mund të vendosë (publikim deklarate, urdhër për ndërprerje sjelljeje shkelëse, gjobë) dhe parimin e proporcionalitetit.</w:t>
      </w:r>
    </w:p>
    <w:p w14:paraId="01CE7048"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lastRenderedPageBreak/>
        <w:t>Saktëson se, krahas subjektit juridik, sanksionet mund të aplikohen edhe ndaj anëtarëve të organeve drejtuese/mbikëqyrëse dhe personave përgjegjës, sipas legjislacionit në fuqi.</w:t>
      </w:r>
    </w:p>
    <w:p w14:paraId="67B61DF8" w14:textId="77777777" w:rsidR="004D302D" w:rsidRPr="001D50E1" w:rsidRDefault="004D302D" w:rsidP="004D302D">
      <w:pPr>
        <w:rPr>
          <w:rFonts w:cs="Times New Roman"/>
          <w:sz w:val="24"/>
          <w:szCs w:val="24"/>
        </w:rPr>
      </w:pPr>
      <w:r w:rsidRPr="001D50E1">
        <w:rPr>
          <w:rFonts w:cs="Times New Roman"/>
          <w:b/>
          <w:sz w:val="24"/>
          <w:szCs w:val="24"/>
        </w:rPr>
        <w:t>Neni 40 – Sanksionet me gjobë</w:t>
      </w:r>
    </w:p>
    <w:p w14:paraId="50A8AC8E"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Vendos intervale gjobash për subjektet juridike dhe personat fizikë për shkelje tipike (mos‑publikim/mos‑depozitim i raporteve periodike, mos‑njoftime për zotërime të mëdha/instrumente financiare, mos‑publikime të detyrimeve ndaj mbajtësve të titujve, shkelje të rregullave të aksesit në informacion).</w:t>
      </w:r>
    </w:p>
    <w:p w14:paraId="71F09EEC"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Parashikon regjim të rritur për shkelje shumë të rënda që cenojnë integritetin e tregut: gjoba deri në ekuivalentin në lekë të 10 000 000 euro ose deri 5% të xhiros vjetore, ose deri në dyfishin e përfitimit/humbjes së shmangur; për persona fizikë deri në 2 000 000 euro ose dyfish përfitimi.</w:t>
      </w:r>
    </w:p>
    <w:p w14:paraId="370DADAF" w14:textId="77777777" w:rsidR="004D302D" w:rsidRPr="001D50E1" w:rsidRDefault="004D302D" w:rsidP="004D302D">
      <w:pPr>
        <w:rPr>
          <w:rFonts w:cs="Times New Roman"/>
          <w:sz w:val="24"/>
          <w:szCs w:val="24"/>
        </w:rPr>
      </w:pPr>
      <w:r w:rsidRPr="001D50E1">
        <w:rPr>
          <w:rFonts w:cs="Times New Roman"/>
          <w:b/>
          <w:sz w:val="24"/>
          <w:szCs w:val="24"/>
        </w:rPr>
        <w:t>Neni 41 – Ushtrimi i kompetencave sanksionuese</w:t>
      </w:r>
    </w:p>
    <w:p w14:paraId="22CCE66C"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Përcakton kriteret që AMF merr parasysh në individualizimin e sanksionit (kohëzgjatja, përgjegjësia, situata financiare, përfitimi, humbjet ndaj palëve të treta, bashkëpunimi, precedentët).</w:t>
      </w:r>
    </w:p>
    <w:p w14:paraId="29B07A87"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Saktëson se përpunimi i të dhënave personale kryhet në përputhje me kuadrin për mbrojtjen e të dhënave.</w:t>
      </w:r>
    </w:p>
    <w:p w14:paraId="725956D8" w14:textId="77777777" w:rsidR="004D302D" w:rsidRPr="001D50E1" w:rsidRDefault="004D302D" w:rsidP="004D302D">
      <w:pPr>
        <w:rPr>
          <w:rFonts w:cs="Times New Roman"/>
          <w:sz w:val="24"/>
          <w:szCs w:val="24"/>
        </w:rPr>
      </w:pPr>
      <w:r w:rsidRPr="001D50E1">
        <w:rPr>
          <w:rFonts w:cs="Times New Roman"/>
          <w:b/>
          <w:sz w:val="24"/>
          <w:szCs w:val="24"/>
        </w:rPr>
        <w:t>Neni 42 – Publikimi i vendimeve</w:t>
      </w:r>
    </w:p>
    <w:p w14:paraId="68659972"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Vendos detyrimin që AMF të publikojë pa vonesë vendimet e sanksioneve administrative në faqen zyrtare, me informacion minimal mbi shkeljen dhe identitetin e përgjegjësve.</w:t>
      </w:r>
    </w:p>
    <w:p w14:paraId="1CBCA9B8"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Parashikon vonesë ose anonimizim në rastet e disproporcionalitetit, rrezikut për stabilitet financiar/hetim në vazhdim ose dëmeve serioze joproporcionale; rregullon trajtimin në rast ankimi.</w:t>
      </w:r>
    </w:p>
    <w:p w14:paraId="0CC7C2A0" w14:textId="77777777" w:rsidR="004D302D" w:rsidRPr="001D50E1" w:rsidRDefault="004D302D" w:rsidP="004D302D">
      <w:pPr>
        <w:rPr>
          <w:rFonts w:cs="Times New Roman"/>
          <w:sz w:val="24"/>
          <w:szCs w:val="24"/>
          <w:lang w:val="it-IT"/>
        </w:rPr>
      </w:pPr>
      <w:r w:rsidRPr="001D50E1">
        <w:rPr>
          <w:rFonts w:cs="Times New Roman"/>
          <w:b/>
          <w:sz w:val="24"/>
          <w:szCs w:val="24"/>
          <w:lang w:val="it-IT"/>
        </w:rPr>
        <w:t>KREU VI – DISPOZITA PËRFUNDIMTARE DHE KALIMTARE</w:t>
      </w:r>
    </w:p>
    <w:p w14:paraId="6682323D" w14:textId="77777777" w:rsidR="004D302D" w:rsidRPr="001D50E1" w:rsidRDefault="004D302D" w:rsidP="004D302D">
      <w:pPr>
        <w:rPr>
          <w:rFonts w:cs="Times New Roman"/>
          <w:sz w:val="24"/>
          <w:szCs w:val="24"/>
          <w:lang w:val="it-IT"/>
        </w:rPr>
      </w:pPr>
      <w:r w:rsidRPr="001D50E1">
        <w:rPr>
          <w:rFonts w:cs="Times New Roman"/>
          <w:sz w:val="24"/>
          <w:szCs w:val="24"/>
          <w:lang w:val="it-IT"/>
        </w:rPr>
        <w:t>Kreu VI rregullon aktet nënligjore, dispozitat kalimtare, shfuqizimet dhe hyrjen në fuqi.</w:t>
      </w:r>
    </w:p>
    <w:p w14:paraId="2BCE3E41" w14:textId="77777777" w:rsidR="004D302D" w:rsidRPr="001D50E1" w:rsidRDefault="004D302D" w:rsidP="004D302D">
      <w:pPr>
        <w:rPr>
          <w:rFonts w:cs="Times New Roman"/>
          <w:sz w:val="24"/>
          <w:szCs w:val="24"/>
        </w:rPr>
      </w:pPr>
      <w:r w:rsidRPr="001D50E1">
        <w:rPr>
          <w:rFonts w:cs="Times New Roman"/>
          <w:b/>
          <w:sz w:val="24"/>
          <w:szCs w:val="24"/>
        </w:rPr>
        <w:t>Neni 43 – Aktet nënligjore</w:t>
      </w:r>
    </w:p>
    <w:p w14:paraId="22371344"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Ngarkon AMF të miratojë aktet nënligjore të nevojshme në zbatim të ligjit brenda 12 muajve nga hyrja në fuqi.</w:t>
      </w:r>
    </w:p>
    <w:p w14:paraId="35EACE67"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Aktet nënligjore do të konkretizojnë, ndër të tjera: formatet e njoftimeve, kërkesat teknike për mekanizmin zyrtar, standardet e shpërndarjes dhe elementet teknike të integrimit (kur është i aplikueshëm) me ESAP/ESMA.</w:t>
      </w:r>
    </w:p>
    <w:p w14:paraId="0BFD0FD3" w14:textId="77777777" w:rsidR="004D302D" w:rsidRPr="001D50E1" w:rsidRDefault="004D302D" w:rsidP="004D302D">
      <w:pPr>
        <w:rPr>
          <w:rFonts w:cs="Times New Roman"/>
          <w:sz w:val="24"/>
          <w:szCs w:val="24"/>
        </w:rPr>
      </w:pPr>
      <w:r w:rsidRPr="001D50E1">
        <w:rPr>
          <w:rFonts w:cs="Times New Roman"/>
          <w:b/>
          <w:sz w:val="24"/>
          <w:szCs w:val="24"/>
        </w:rPr>
        <w:t>Neni 44 – Dispozita kalimtare</w:t>
      </w:r>
    </w:p>
    <w:p w14:paraId="0654D34B"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Përcakton se dispozitat që lidhen drejtpërdrejt me mekanizmat dhe infrastrukturën e BE‑së zbatohen plotësisht nga data e anëtarësimit të RSH në BE (p.sh. neni 31; pjesë të nenit 32; neni 33; dispozita të caktuara të nenit 37; dhe dispozita të tjera për raportime ndaj ESMA/ESAP).</w:t>
      </w:r>
    </w:p>
    <w:p w14:paraId="7F3A9C37"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Saktëson se detyrimet kryesore të emetuesve dhe personave të tjerë për publikim dhe depozitim në mekanizmin zyrtar zbatohen nga data e hyrjes në fuqi të ligjit.</w:t>
      </w:r>
    </w:p>
    <w:p w14:paraId="0687DE20" w14:textId="77777777" w:rsidR="004D302D" w:rsidRPr="001D50E1" w:rsidRDefault="004D302D" w:rsidP="004D302D">
      <w:pPr>
        <w:pStyle w:val="ListBullet"/>
        <w:tabs>
          <w:tab w:val="num" w:pos="720"/>
        </w:tabs>
        <w:ind w:left="720" w:hanging="360"/>
        <w:rPr>
          <w:rFonts w:cs="Times New Roman"/>
          <w:sz w:val="24"/>
          <w:szCs w:val="24"/>
        </w:rPr>
      </w:pPr>
      <w:r w:rsidRPr="001D50E1">
        <w:rPr>
          <w:rFonts w:cs="Times New Roman"/>
          <w:sz w:val="24"/>
          <w:szCs w:val="24"/>
        </w:rPr>
        <w:t>Parashikon përparësinë e këtij ligji ndaj ligjit “Për tregjet e kapitalit” për çështjet që rregullohen shprehimisht prej tij.</w:t>
      </w:r>
    </w:p>
    <w:p w14:paraId="256113B8" w14:textId="77777777" w:rsidR="004D302D" w:rsidRPr="001D50E1" w:rsidRDefault="004D302D" w:rsidP="004D302D">
      <w:pPr>
        <w:rPr>
          <w:rFonts w:cs="Times New Roman"/>
          <w:sz w:val="24"/>
          <w:szCs w:val="24"/>
        </w:rPr>
      </w:pPr>
      <w:r w:rsidRPr="001D50E1">
        <w:rPr>
          <w:rFonts w:cs="Times New Roman"/>
          <w:b/>
          <w:sz w:val="24"/>
          <w:szCs w:val="24"/>
        </w:rPr>
        <w:t>Neni 45 – Shfuqizime</w:t>
      </w:r>
    </w:p>
    <w:p w14:paraId="183E4620" w14:textId="77777777" w:rsidR="004D302D" w:rsidRPr="001D50E1" w:rsidRDefault="004D302D" w:rsidP="004D302D">
      <w:pPr>
        <w:pStyle w:val="ListBullet"/>
        <w:tabs>
          <w:tab w:val="num" w:pos="1080"/>
        </w:tabs>
        <w:ind w:left="1080" w:hanging="360"/>
        <w:rPr>
          <w:rFonts w:cs="Times New Roman"/>
          <w:sz w:val="24"/>
          <w:szCs w:val="24"/>
        </w:rPr>
      </w:pPr>
      <w:r w:rsidRPr="001D50E1">
        <w:rPr>
          <w:rFonts w:cs="Times New Roman"/>
          <w:sz w:val="24"/>
          <w:szCs w:val="24"/>
        </w:rPr>
        <w:t>Shfuqizon rregulloren ekzistuese të AMF “Për kërkesat e transparencës në lidhje me informacionin e shoqërive të listuara” (Vendimi nr. 5, datë 26.01.2015), duke e zëvendësuar kuadrin nënligjor me rregullim në nivel ligji.</w:t>
      </w:r>
    </w:p>
    <w:p w14:paraId="2814E9A8" w14:textId="77777777" w:rsidR="004D302D" w:rsidRPr="001D50E1" w:rsidRDefault="004D302D" w:rsidP="004D302D">
      <w:pPr>
        <w:rPr>
          <w:rFonts w:cs="Times New Roman"/>
          <w:sz w:val="24"/>
          <w:szCs w:val="24"/>
        </w:rPr>
      </w:pPr>
      <w:r w:rsidRPr="001D50E1">
        <w:rPr>
          <w:rFonts w:cs="Times New Roman"/>
          <w:b/>
          <w:sz w:val="24"/>
          <w:szCs w:val="24"/>
        </w:rPr>
        <w:t>Neni 46 – Hyrja në fuqi</w:t>
      </w:r>
    </w:p>
    <w:p w14:paraId="45549611" w14:textId="77777777" w:rsidR="004D302D" w:rsidRPr="001D50E1" w:rsidRDefault="004D302D" w:rsidP="004D302D">
      <w:pPr>
        <w:pStyle w:val="ListBullet"/>
        <w:tabs>
          <w:tab w:val="num" w:pos="1080"/>
        </w:tabs>
        <w:ind w:left="1080" w:hanging="360"/>
        <w:rPr>
          <w:rFonts w:cs="Times New Roman"/>
          <w:sz w:val="24"/>
          <w:szCs w:val="24"/>
        </w:rPr>
      </w:pPr>
      <w:r w:rsidRPr="001D50E1">
        <w:rPr>
          <w:rFonts w:cs="Times New Roman"/>
          <w:sz w:val="24"/>
          <w:szCs w:val="24"/>
        </w:rPr>
        <w:lastRenderedPageBreak/>
        <w:t>Përcakton hyrjen në fuqi të ligjit 15 ditë pas botimit në Fletoren Zyrtare, ndërsa për dispozitat e lidhura me funksionimin e mekanizmave të BE‑së zbatohen rregullat kalimtare të nenit 44.</w:t>
      </w:r>
    </w:p>
    <w:p w14:paraId="590DE151" w14:textId="77777777" w:rsidR="004D302D" w:rsidRDefault="004D302D" w:rsidP="004D302D">
      <w:pPr>
        <w:rPr>
          <w:rFonts w:cs="Times New Roman"/>
          <w:b/>
          <w:sz w:val="24"/>
          <w:szCs w:val="24"/>
        </w:rPr>
      </w:pPr>
    </w:p>
    <w:p w14:paraId="0489C3C9" w14:textId="77777777" w:rsidR="004D302D" w:rsidRPr="004111F6" w:rsidRDefault="004D302D" w:rsidP="004D302D">
      <w:pPr>
        <w:rPr>
          <w:rFonts w:cs="Times New Roman"/>
          <w:sz w:val="24"/>
          <w:szCs w:val="24"/>
        </w:rPr>
      </w:pPr>
      <w:r w:rsidRPr="004111F6">
        <w:rPr>
          <w:rFonts w:cs="Times New Roman"/>
          <w:b/>
          <w:sz w:val="24"/>
          <w:szCs w:val="24"/>
        </w:rPr>
        <w:t>VII. INSTITUCIONET DHE ORGANET QË NGARKOHEN PËR ZBATIMIN E AKTIT</w:t>
      </w:r>
    </w:p>
    <w:p w14:paraId="3428A3F4" w14:textId="77777777" w:rsidR="004D302D" w:rsidRPr="004111F6" w:rsidRDefault="004D302D" w:rsidP="004D302D">
      <w:pPr>
        <w:jc w:val="both"/>
        <w:rPr>
          <w:rFonts w:cs="Times New Roman"/>
          <w:sz w:val="24"/>
          <w:szCs w:val="24"/>
        </w:rPr>
      </w:pPr>
      <w:r w:rsidRPr="004111F6">
        <w:rPr>
          <w:rFonts w:cs="Times New Roman"/>
          <w:sz w:val="24"/>
          <w:szCs w:val="24"/>
        </w:rPr>
        <w:t>Ngarkohet për zbatimin e këtij projektligji Autoriteti i Mbikëqyrjes Financiare (AMF), në cilësinë e autoritetit kompetent për mbikëqyrjen e respektimit të kërkesave të transparencës. Në kuadër të zbatimit, AMF:</w:t>
      </w:r>
    </w:p>
    <w:p w14:paraId="16268862" w14:textId="77777777" w:rsidR="004D302D" w:rsidRPr="004111F6" w:rsidRDefault="004D302D" w:rsidP="004D302D">
      <w:pPr>
        <w:pStyle w:val="ListBullet"/>
        <w:tabs>
          <w:tab w:val="num" w:pos="720"/>
        </w:tabs>
        <w:ind w:left="720" w:hanging="360"/>
        <w:jc w:val="both"/>
        <w:rPr>
          <w:rFonts w:cs="Times New Roman"/>
          <w:sz w:val="24"/>
          <w:szCs w:val="24"/>
        </w:rPr>
      </w:pPr>
      <w:r w:rsidRPr="004111F6">
        <w:rPr>
          <w:rFonts w:cs="Times New Roman"/>
          <w:sz w:val="24"/>
          <w:szCs w:val="24"/>
        </w:rPr>
        <w:t>monitoron respektimin nga emetuesit dhe subjektet e tjera të përfshira të kërkesave për publikimin, depozitimin dhe ruajtjen e informacionit të rregulluar;</w:t>
      </w:r>
    </w:p>
    <w:p w14:paraId="5F4AC8AE" w14:textId="77777777" w:rsidR="004D302D" w:rsidRPr="004111F6" w:rsidRDefault="004D302D" w:rsidP="004D302D">
      <w:pPr>
        <w:pStyle w:val="ListBullet"/>
        <w:tabs>
          <w:tab w:val="num" w:pos="720"/>
        </w:tabs>
        <w:ind w:left="720" w:hanging="360"/>
        <w:jc w:val="both"/>
        <w:rPr>
          <w:rFonts w:cs="Times New Roman"/>
          <w:sz w:val="24"/>
          <w:szCs w:val="24"/>
        </w:rPr>
      </w:pPr>
      <w:r w:rsidRPr="004111F6">
        <w:rPr>
          <w:rFonts w:cs="Times New Roman"/>
          <w:sz w:val="24"/>
          <w:szCs w:val="24"/>
        </w:rPr>
        <w:t>verifikon përmbushjen e detyrimeve për raportimin periodik dhe njoftimet e zotërimeve të mëdha/instrumenteve financiare, si dhe kërkesat e informacionit për mbajtësit e titujve;</w:t>
      </w:r>
    </w:p>
    <w:p w14:paraId="53019413" w14:textId="77777777" w:rsidR="004D302D" w:rsidRPr="004111F6" w:rsidRDefault="004D302D" w:rsidP="004D302D">
      <w:pPr>
        <w:pStyle w:val="ListBullet"/>
        <w:tabs>
          <w:tab w:val="num" w:pos="720"/>
        </w:tabs>
        <w:ind w:left="720" w:hanging="360"/>
        <w:jc w:val="both"/>
        <w:rPr>
          <w:rFonts w:cs="Times New Roman"/>
          <w:sz w:val="24"/>
          <w:szCs w:val="24"/>
        </w:rPr>
      </w:pPr>
      <w:r w:rsidRPr="004111F6">
        <w:rPr>
          <w:rFonts w:cs="Times New Roman"/>
          <w:sz w:val="24"/>
          <w:szCs w:val="24"/>
        </w:rPr>
        <w:t>cakton dhe/ose miraton mekanizmin zyrtar për ruajtjen qendrore të informacionit të rregulluar dhe miraton standardet e shpërndarjes;</w:t>
      </w:r>
    </w:p>
    <w:p w14:paraId="7E9A8712" w14:textId="77777777" w:rsidR="004D302D" w:rsidRPr="004111F6" w:rsidRDefault="004D302D" w:rsidP="004D302D">
      <w:pPr>
        <w:pStyle w:val="ListBullet"/>
        <w:tabs>
          <w:tab w:val="num" w:pos="720"/>
        </w:tabs>
        <w:ind w:left="720" w:hanging="360"/>
        <w:jc w:val="both"/>
        <w:rPr>
          <w:rFonts w:cs="Times New Roman"/>
          <w:sz w:val="24"/>
          <w:szCs w:val="24"/>
        </w:rPr>
      </w:pPr>
      <w:r w:rsidRPr="004111F6">
        <w:rPr>
          <w:rFonts w:cs="Times New Roman"/>
          <w:sz w:val="24"/>
          <w:szCs w:val="24"/>
        </w:rPr>
        <w:t xml:space="preserve">merr masa administrative dhe vendos sanksione në rast të mosrespektimit, si dhe publikon vendimet sipas </w:t>
      </w:r>
      <w:r>
        <w:rPr>
          <w:rFonts w:cs="Times New Roman"/>
          <w:sz w:val="24"/>
          <w:szCs w:val="24"/>
        </w:rPr>
        <w:t xml:space="preserve">kërkesave </w:t>
      </w:r>
      <w:r w:rsidRPr="004111F6">
        <w:rPr>
          <w:rFonts w:cs="Times New Roman"/>
          <w:sz w:val="24"/>
          <w:szCs w:val="24"/>
        </w:rPr>
        <w:t>të ligjit;</w:t>
      </w:r>
    </w:p>
    <w:p w14:paraId="093CCC82" w14:textId="77777777" w:rsidR="004D302D" w:rsidRPr="004111F6" w:rsidRDefault="004D302D" w:rsidP="004D302D">
      <w:pPr>
        <w:pStyle w:val="ListBullet"/>
        <w:tabs>
          <w:tab w:val="num" w:pos="720"/>
        </w:tabs>
        <w:ind w:left="720" w:hanging="360"/>
        <w:jc w:val="both"/>
        <w:rPr>
          <w:rFonts w:cs="Times New Roman"/>
          <w:sz w:val="24"/>
          <w:szCs w:val="24"/>
        </w:rPr>
      </w:pPr>
      <w:r w:rsidRPr="004111F6">
        <w:rPr>
          <w:rFonts w:cs="Times New Roman"/>
          <w:sz w:val="24"/>
          <w:szCs w:val="24"/>
        </w:rPr>
        <w:t>bashkëpunon me autoritetet e tjera kombëtare dhe (kur është e aplikueshme) me autoritetet e BE‑së dhe ESMA‑n.</w:t>
      </w:r>
    </w:p>
    <w:p w14:paraId="7C7E3A37" w14:textId="77777777" w:rsidR="004D302D" w:rsidRPr="004111F6" w:rsidRDefault="004D302D" w:rsidP="004D302D">
      <w:pPr>
        <w:jc w:val="both"/>
        <w:rPr>
          <w:rFonts w:cs="Times New Roman"/>
          <w:sz w:val="24"/>
          <w:szCs w:val="24"/>
        </w:rPr>
      </w:pPr>
      <w:r w:rsidRPr="004111F6">
        <w:rPr>
          <w:rFonts w:cs="Times New Roman"/>
          <w:sz w:val="24"/>
          <w:szCs w:val="24"/>
        </w:rPr>
        <w:t>Emetuesit, aksionarët dhe personat e tjerë të përfshirë në ligj kanë detyrimin të krijojnë procedura të brendshme për raportim dhe njoftim në afatet e përcaktuara. Audituesit ligjorë, tregjet e rregulluara dhe ndërmjetësit financiarë kontribuojnë në zbatimin praktik, sipas roleve të tyre në kuadrin e tregut.</w:t>
      </w:r>
    </w:p>
    <w:p w14:paraId="118C4984" w14:textId="77777777" w:rsidR="004D302D" w:rsidRDefault="004D302D" w:rsidP="004D302D">
      <w:pPr>
        <w:jc w:val="both"/>
        <w:rPr>
          <w:rFonts w:cs="Times New Roman"/>
          <w:b/>
          <w:sz w:val="24"/>
          <w:szCs w:val="24"/>
        </w:rPr>
      </w:pPr>
    </w:p>
    <w:p w14:paraId="4DED1868" w14:textId="77777777" w:rsidR="004D302D" w:rsidRPr="00EB2B22" w:rsidRDefault="004D302D" w:rsidP="004D302D">
      <w:pPr>
        <w:jc w:val="both"/>
        <w:rPr>
          <w:rFonts w:cs="Times New Roman"/>
          <w:sz w:val="28"/>
          <w:szCs w:val="28"/>
        </w:rPr>
      </w:pPr>
      <w:r w:rsidRPr="00EB2B22">
        <w:rPr>
          <w:rFonts w:cs="Times New Roman"/>
          <w:b/>
          <w:sz w:val="28"/>
          <w:szCs w:val="28"/>
        </w:rPr>
        <w:t>VIII. PERSONAT DHE INSTITUCIONET QË KANË KONTRIBUAR NË HARTIMIN E PROJEKTAKTIT</w:t>
      </w:r>
    </w:p>
    <w:p w14:paraId="1BCE2440" w14:textId="77777777" w:rsidR="004D302D" w:rsidRDefault="004D302D" w:rsidP="004D302D">
      <w:pPr>
        <w:jc w:val="both"/>
        <w:rPr>
          <w:rFonts w:cs="Times New Roman"/>
          <w:sz w:val="24"/>
          <w:szCs w:val="24"/>
        </w:rPr>
      </w:pPr>
    </w:p>
    <w:p w14:paraId="4E517641" w14:textId="77777777" w:rsidR="004D302D" w:rsidRPr="004111F6" w:rsidRDefault="004D302D" w:rsidP="004D302D">
      <w:pPr>
        <w:jc w:val="both"/>
        <w:rPr>
          <w:rFonts w:cs="Times New Roman"/>
          <w:sz w:val="24"/>
          <w:szCs w:val="24"/>
        </w:rPr>
      </w:pPr>
      <w:r w:rsidRPr="004111F6">
        <w:rPr>
          <w:rFonts w:cs="Times New Roman"/>
          <w:sz w:val="24"/>
          <w:szCs w:val="24"/>
        </w:rPr>
        <w:t>Projektligji është hartuar nga Autoriteti i Mbikëqyrjes Financiare, në kuadër të përmbushjes së detyrimeve për përafrimin e legjislacionit shqiptar me acquis të Bashkimit Evropian në fushën e tregjeve të kapitalit dhe transparencës së emetuesve.</w:t>
      </w:r>
    </w:p>
    <w:p w14:paraId="26326EA3" w14:textId="77777777" w:rsidR="004D302D" w:rsidRDefault="004D302D" w:rsidP="004D302D">
      <w:pPr>
        <w:jc w:val="both"/>
        <w:rPr>
          <w:rFonts w:cs="Times New Roman"/>
          <w:sz w:val="24"/>
          <w:szCs w:val="24"/>
        </w:rPr>
      </w:pPr>
      <w:r w:rsidRPr="004111F6">
        <w:rPr>
          <w:rFonts w:cs="Times New Roman"/>
          <w:sz w:val="24"/>
          <w:szCs w:val="24"/>
        </w:rPr>
        <w:t xml:space="preserve">Në procesin e hartimit janë marrë në konsideratë praktikat dhe standardet e BE‑së për publikimin e informacionit të rregulluar, si dhe nevoja për zhvillimin gradual të tregut shqiptar të kapitalit. </w:t>
      </w:r>
    </w:p>
    <w:p w14:paraId="77CB2094" w14:textId="77777777" w:rsidR="004D302D" w:rsidRDefault="004D302D" w:rsidP="004D302D">
      <w:pPr>
        <w:jc w:val="both"/>
        <w:rPr>
          <w:rFonts w:cs="Times New Roman"/>
          <w:sz w:val="24"/>
          <w:szCs w:val="24"/>
        </w:rPr>
      </w:pPr>
    </w:p>
    <w:p w14:paraId="46ADC4E7" w14:textId="77777777" w:rsidR="004D302D" w:rsidRPr="004111F6" w:rsidRDefault="004D302D" w:rsidP="004D302D">
      <w:pPr>
        <w:jc w:val="both"/>
        <w:rPr>
          <w:rFonts w:cs="Times New Roman"/>
          <w:sz w:val="24"/>
          <w:szCs w:val="24"/>
        </w:rPr>
      </w:pPr>
      <w:r w:rsidRPr="004111F6">
        <w:rPr>
          <w:rFonts w:cs="Times New Roman"/>
          <w:sz w:val="24"/>
          <w:szCs w:val="24"/>
        </w:rPr>
        <w:t>Projektligji propozohet për miratim nga Ministria e Ekonomisë dhe Inovacionit.</w:t>
      </w:r>
    </w:p>
    <w:p w14:paraId="1367A491" w14:textId="77777777" w:rsidR="004D302D" w:rsidRDefault="004D302D" w:rsidP="004D302D">
      <w:pPr>
        <w:rPr>
          <w:rFonts w:cs="Times New Roman"/>
          <w:b/>
          <w:sz w:val="24"/>
          <w:szCs w:val="24"/>
        </w:rPr>
      </w:pPr>
    </w:p>
    <w:p w14:paraId="0A210F91" w14:textId="77777777" w:rsidR="004D302D" w:rsidRPr="00EB2B22" w:rsidRDefault="004D302D" w:rsidP="004D302D">
      <w:pPr>
        <w:rPr>
          <w:rFonts w:cs="Times New Roman"/>
          <w:sz w:val="28"/>
          <w:szCs w:val="28"/>
        </w:rPr>
      </w:pPr>
      <w:r w:rsidRPr="00EB2B22">
        <w:rPr>
          <w:rFonts w:cs="Times New Roman"/>
          <w:b/>
          <w:sz w:val="28"/>
          <w:szCs w:val="28"/>
        </w:rPr>
        <w:t>IX. RAPORTI I VLERËSIMIT TË TË ARDHURAVE DHE SHPENZIMEVE BUXHETORE</w:t>
      </w:r>
    </w:p>
    <w:p w14:paraId="315EECB1" w14:textId="77777777" w:rsidR="004D302D" w:rsidRPr="00D427BE" w:rsidRDefault="004D302D" w:rsidP="004D302D">
      <w:pPr>
        <w:spacing w:before="100" w:beforeAutospacing="1" w:after="100" w:afterAutospacing="1"/>
        <w:rPr>
          <w:rFonts w:cs="Times New Roman"/>
          <w:sz w:val="24"/>
          <w:szCs w:val="24"/>
        </w:rPr>
      </w:pPr>
      <w:r w:rsidRPr="00D427BE">
        <w:rPr>
          <w:rFonts w:cs="Times New Roman"/>
          <w:sz w:val="24"/>
          <w:szCs w:val="24"/>
        </w:rPr>
        <w:t>Zbatimi i projektligjit nuk sjell kosto shtesë për buxhetin e shtetit.</w:t>
      </w:r>
    </w:p>
    <w:p w14:paraId="21AB12ED" w14:textId="77777777" w:rsidR="004D302D" w:rsidRDefault="004D302D" w:rsidP="004D302D">
      <w:pPr>
        <w:rPr>
          <w:rFonts w:cs="Times New Roman"/>
          <w:sz w:val="24"/>
          <w:szCs w:val="24"/>
        </w:rPr>
      </w:pPr>
    </w:p>
    <w:p w14:paraId="3B01D2A8" w14:textId="77777777" w:rsidR="004D302D" w:rsidRDefault="004D302D" w:rsidP="004D302D">
      <w:pPr>
        <w:rPr>
          <w:rFonts w:cs="Times New Roman"/>
          <w:sz w:val="24"/>
          <w:szCs w:val="24"/>
        </w:rPr>
      </w:pPr>
    </w:p>
    <w:p w14:paraId="4FFB5896" w14:textId="77777777" w:rsidR="004D302D" w:rsidRPr="00A267E6" w:rsidRDefault="004D302D" w:rsidP="004D302D">
      <w:pPr>
        <w:spacing w:after="200" w:line="276" w:lineRule="auto"/>
        <w:jc w:val="center"/>
        <w:rPr>
          <w:rFonts w:cs="Times New Roman"/>
          <w:b/>
          <w:sz w:val="28"/>
          <w:szCs w:val="28"/>
          <w:lang w:val="sq-AL"/>
        </w:rPr>
      </w:pPr>
      <w:r w:rsidRPr="00A267E6">
        <w:rPr>
          <w:rFonts w:cs="Times New Roman"/>
          <w:b/>
          <w:sz w:val="28"/>
          <w:szCs w:val="28"/>
          <w:lang w:val="sq-AL"/>
        </w:rPr>
        <w:t>MINISTRI</w:t>
      </w:r>
    </w:p>
    <w:p w14:paraId="78825F5C" w14:textId="77777777" w:rsidR="004D302D" w:rsidRPr="004111F6" w:rsidRDefault="004D302D" w:rsidP="004D302D">
      <w:pPr>
        <w:jc w:val="center"/>
        <w:rPr>
          <w:rFonts w:cs="Times New Roman"/>
          <w:sz w:val="24"/>
          <w:szCs w:val="24"/>
        </w:rPr>
      </w:pPr>
      <w:r>
        <w:rPr>
          <w:rFonts w:cs="Times New Roman"/>
          <w:b/>
          <w:bCs/>
          <w:sz w:val="28"/>
          <w:szCs w:val="28"/>
          <w:lang w:val="sq-AL"/>
        </w:rPr>
        <w:t>DELINA IBRAHIMAJ</w:t>
      </w:r>
    </w:p>
    <w:p w14:paraId="77D85D66" w14:textId="77777777" w:rsidR="00A83D4E" w:rsidRPr="004D302D" w:rsidRDefault="00A83D4E" w:rsidP="004D302D"/>
    <w:sectPr w:rsidR="00A83D4E" w:rsidRPr="004D30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54CD" w14:textId="77777777" w:rsidR="004234EA" w:rsidRDefault="004234EA" w:rsidP="00E9260E">
      <w:r>
        <w:separator/>
      </w:r>
    </w:p>
  </w:endnote>
  <w:endnote w:type="continuationSeparator" w:id="0">
    <w:p w14:paraId="156872AC" w14:textId="77777777" w:rsidR="004234EA" w:rsidRDefault="004234EA" w:rsidP="00E9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441960"/>
      <w:docPartObj>
        <w:docPartGallery w:val="Page Numbers (Bottom of Page)"/>
        <w:docPartUnique/>
      </w:docPartObj>
    </w:sdtPr>
    <w:sdtEndPr>
      <w:rPr>
        <w:noProof/>
      </w:rPr>
    </w:sdtEndPr>
    <w:sdtContent>
      <w:p w14:paraId="70F30163" w14:textId="20545ECE" w:rsidR="00E9260E" w:rsidRDefault="00E926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0A9947" w14:textId="77777777" w:rsidR="00E9260E" w:rsidRDefault="00E92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18083" w14:textId="77777777" w:rsidR="004234EA" w:rsidRDefault="004234EA" w:rsidP="00E9260E">
      <w:r>
        <w:separator/>
      </w:r>
    </w:p>
  </w:footnote>
  <w:footnote w:type="continuationSeparator" w:id="0">
    <w:p w14:paraId="1A42BDFC" w14:textId="77777777" w:rsidR="004234EA" w:rsidRDefault="004234EA" w:rsidP="00E92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BE46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AF78A5"/>
    <w:multiLevelType w:val="hybridMultilevel"/>
    <w:tmpl w:val="C4885018"/>
    <w:lvl w:ilvl="0" w:tplc="667CF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57B37"/>
    <w:multiLevelType w:val="hybridMultilevel"/>
    <w:tmpl w:val="5B846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B4F0623"/>
    <w:multiLevelType w:val="hybridMultilevel"/>
    <w:tmpl w:val="4B5208E8"/>
    <w:lvl w:ilvl="0" w:tplc="69A8D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801457">
    <w:abstractNumId w:val="1"/>
  </w:num>
  <w:num w:numId="2" w16cid:durableId="727189843">
    <w:abstractNumId w:val="3"/>
  </w:num>
  <w:num w:numId="3" w16cid:durableId="1209604726">
    <w:abstractNumId w:val="2"/>
  </w:num>
  <w:num w:numId="4" w16cid:durableId="113764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A8"/>
    <w:rsid w:val="000E3347"/>
    <w:rsid w:val="001439D7"/>
    <w:rsid w:val="00154D99"/>
    <w:rsid w:val="001D50E1"/>
    <w:rsid w:val="002B5B7F"/>
    <w:rsid w:val="003C08C7"/>
    <w:rsid w:val="004234EA"/>
    <w:rsid w:val="004D302D"/>
    <w:rsid w:val="00541F3D"/>
    <w:rsid w:val="005647ED"/>
    <w:rsid w:val="007747B5"/>
    <w:rsid w:val="008360A8"/>
    <w:rsid w:val="00871B67"/>
    <w:rsid w:val="00973DA1"/>
    <w:rsid w:val="00A83D4E"/>
    <w:rsid w:val="00C02DC9"/>
    <w:rsid w:val="00E926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B305"/>
  <w15:chartTrackingRefBased/>
  <w15:docId w15:val="{73909FD5-FE21-4FE2-B248-E43E955E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02D"/>
    <w:pPr>
      <w:spacing w:after="0" w:line="240" w:lineRule="auto"/>
    </w:pPr>
    <w:rPr>
      <w:rFonts w:ascii="Times New Roman" w:eastAsia="Times New Roman" w:hAnsi="Times New Roman"/>
      <w:kern w:val="0"/>
      <w:sz w:val="22"/>
      <w:szCs w:val="22"/>
      <w14:ligatures w14:val="none"/>
    </w:rPr>
  </w:style>
  <w:style w:type="paragraph" w:styleId="Heading1">
    <w:name w:val="heading 1"/>
    <w:basedOn w:val="Normal"/>
    <w:next w:val="Normal"/>
    <w:link w:val="Heading1Char"/>
    <w:uiPriority w:val="9"/>
    <w:qFormat/>
    <w:rsid w:val="00836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0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0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0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0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0A8"/>
    <w:rPr>
      <w:rFonts w:eastAsiaTheme="majorEastAsia" w:cstheme="majorBidi"/>
      <w:color w:val="272727" w:themeColor="text1" w:themeTint="D8"/>
    </w:rPr>
  </w:style>
  <w:style w:type="paragraph" w:styleId="Title">
    <w:name w:val="Title"/>
    <w:basedOn w:val="Normal"/>
    <w:next w:val="Normal"/>
    <w:link w:val="TitleChar"/>
    <w:uiPriority w:val="10"/>
    <w:qFormat/>
    <w:rsid w:val="008360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0A8"/>
    <w:pPr>
      <w:spacing w:before="160"/>
      <w:jc w:val="center"/>
    </w:pPr>
    <w:rPr>
      <w:i/>
      <w:iCs/>
      <w:color w:val="404040" w:themeColor="text1" w:themeTint="BF"/>
    </w:rPr>
  </w:style>
  <w:style w:type="character" w:customStyle="1" w:styleId="QuoteChar">
    <w:name w:val="Quote Char"/>
    <w:basedOn w:val="DefaultParagraphFont"/>
    <w:link w:val="Quote"/>
    <w:uiPriority w:val="29"/>
    <w:rsid w:val="008360A8"/>
    <w:rPr>
      <w:i/>
      <w:iCs/>
      <w:color w:val="404040" w:themeColor="text1" w:themeTint="BF"/>
    </w:rPr>
  </w:style>
  <w:style w:type="paragraph" w:styleId="ListParagraph">
    <w:name w:val="List Paragraph"/>
    <w:basedOn w:val="Normal"/>
    <w:uiPriority w:val="34"/>
    <w:qFormat/>
    <w:rsid w:val="008360A8"/>
    <w:pPr>
      <w:ind w:left="720"/>
      <w:contextualSpacing/>
    </w:pPr>
  </w:style>
  <w:style w:type="character" w:styleId="IntenseEmphasis">
    <w:name w:val="Intense Emphasis"/>
    <w:basedOn w:val="DefaultParagraphFont"/>
    <w:uiPriority w:val="21"/>
    <w:qFormat/>
    <w:rsid w:val="008360A8"/>
    <w:rPr>
      <w:i/>
      <w:iCs/>
      <w:color w:val="0F4761" w:themeColor="accent1" w:themeShade="BF"/>
    </w:rPr>
  </w:style>
  <w:style w:type="paragraph" w:styleId="IntenseQuote">
    <w:name w:val="Intense Quote"/>
    <w:basedOn w:val="Normal"/>
    <w:next w:val="Normal"/>
    <w:link w:val="IntenseQuoteChar"/>
    <w:uiPriority w:val="30"/>
    <w:qFormat/>
    <w:rsid w:val="00836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0A8"/>
    <w:rPr>
      <w:i/>
      <w:iCs/>
      <w:color w:val="0F4761" w:themeColor="accent1" w:themeShade="BF"/>
    </w:rPr>
  </w:style>
  <w:style w:type="character" w:styleId="IntenseReference">
    <w:name w:val="Intense Reference"/>
    <w:basedOn w:val="DefaultParagraphFont"/>
    <w:uiPriority w:val="32"/>
    <w:qFormat/>
    <w:rsid w:val="008360A8"/>
    <w:rPr>
      <w:b/>
      <w:bCs/>
      <w:smallCaps/>
      <w:color w:val="0F4761" w:themeColor="accent1" w:themeShade="BF"/>
      <w:spacing w:val="5"/>
    </w:rPr>
  </w:style>
  <w:style w:type="paragraph" w:styleId="Header">
    <w:name w:val="header"/>
    <w:basedOn w:val="Normal"/>
    <w:link w:val="HeaderChar"/>
    <w:uiPriority w:val="99"/>
    <w:unhideWhenUsed/>
    <w:rsid w:val="00E9260E"/>
    <w:pPr>
      <w:tabs>
        <w:tab w:val="center" w:pos="4680"/>
        <w:tab w:val="right" w:pos="9360"/>
      </w:tabs>
    </w:pPr>
  </w:style>
  <w:style w:type="character" w:customStyle="1" w:styleId="HeaderChar">
    <w:name w:val="Header Char"/>
    <w:basedOn w:val="DefaultParagraphFont"/>
    <w:link w:val="Header"/>
    <w:uiPriority w:val="99"/>
    <w:rsid w:val="00E9260E"/>
  </w:style>
  <w:style w:type="paragraph" w:styleId="Footer">
    <w:name w:val="footer"/>
    <w:basedOn w:val="Normal"/>
    <w:link w:val="FooterChar"/>
    <w:uiPriority w:val="99"/>
    <w:unhideWhenUsed/>
    <w:rsid w:val="00E9260E"/>
    <w:pPr>
      <w:tabs>
        <w:tab w:val="center" w:pos="4680"/>
        <w:tab w:val="right" w:pos="9360"/>
      </w:tabs>
    </w:pPr>
  </w:style>
  <w:style w:type="character" w:customStyle="1" w:styleId="FooterChar">
    <w:name w:val="Footer Char"/>
    <w:basedOn w:val="DefaultParagraphFont"/>
    <w:link w:val="Footer"/>
    <w:uiPriority w:val="99"/>
    <w:rsid w:val="00E9260E"/>
  </w:style>
  <w:style w:type="paragraph" w:styleId="ListBullet">
    <w:name w:val="List Bullet"/>
    <w:basedOn w:val="Normal"/>
    <w:uiPriority w:val="99"/>
    <w:unhideWhenUsed/>
    <w:rsid w:val="004D302D"/>
    <w:pPr>
      <w:numPr>
        <w:numId w:val="4"/>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4966</Words>
  <Characters>28310</Characters>
  <Application>Microsoft Office Word</Application>
  <DocSecurity>0</DocSecurity>
  <Lines>235</Lines>
  <Paragraphs>66</Paragraphs>
  <ScaleCrop>false</ScaleCrop>
  <Company/>
  <LinksUpToDate>false</LinksUpToDate>
  <CharactersWithSpaces>33210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Patris Poshnjari</dc:creator>
  <cp:keywords/>
  <dc:description/>
  <cp:lastModifiedBy>Patris Poshnjari</cp:lastModifiedBy>
  <cp:revision>20</cp:revision>
  <dcterms:created xsi:type="dcterms:W3CDTF">2026-03-06T14:13:00Z</dcterms:created>
  <dcterms:modified xsi:type="dcterms:W3CDTF">2026-03-18T14:32:00Z</dcterms:modified>
</cp:coreProperties>
</file>