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FDD1F" w14:textId="0265852A" w:rsidR="008675CA" w:rsidRPr="007A462A" w:rsidRDefault="00D61801" w:rsidP="00B523F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A462A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7A462A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6309A53" w14:textId="6E541598" w:rsidR="00B87EE9" w:rsidRPr="007A462A" w:rsidRDefault="00E54C97" w:rsidP="00B523F5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P</w:t>
      </w:r>
      <w:r w:rsidR="00044810" w:rsidRPr="007A462A">
        <w:rPr>
          <w:rFonts w:ascii="Times New Roman" w:hAnsi="Times New Roman"/>
          <w:sz w:val="24"/>
          <w:szCs w:val="24"/>
          <w:lang w:val="sq-AL"/>
        </w:rPr>
        <w:t>ë</w:t>
      </w:r>
      <w:r w:rsidRPr="007A462A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2F29B1" w:rsidRPr="007A462A">
        <w:rPr>
          <w:rFonts w:ascii="Times New Roman" w:hAnsi="Times New Roman"/>
          <w:sz w:val="24"/>
          <w:szCs w:val="24"/>
          <w:lang w:val="sq-AL"/>
        </w:rPr>
        <w:t>projektligjin</w:t>
      </w:r>
      <w:r w:rsidR="00B87EE9" w:rsidRPr="007A462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83913" w:rsidRPr="007A462A">
        <w:rPr>
          <w:rFonts w:ascii="Times New Roman" w:hAnsi="Times New Roman"/>
          <w:sz w:val="24"/>
          <w:szCs w:val="24"/>
          <w:lang w:val="sq-AL"/>
        </w:rPr>
        <w:t>“</w:t>
      </w:r>
      <w:r w:rsidR="0068479F" w:rsidRPr="0068479F">
        <w:rPr>
          <w:rFonts w:ascii="Times New Roman" w:hAnsi="Times New Roman"/>
          <w:sz w:val="24"/>
          <w:szCs w:val="24"/>
          <w:lang w:val="sq-AL"/>
        </w:rPr>
        <w:t>Për disa shtesa dhe ndryshime në ligjin nr. 37, datë 30.03.2017 “Kodi i Drejtësisë Penale për të Mitur”</w:t>
      </w:r>
      <w:r w:rsidR="0068479F">
        <w:rPr>
          <w:rFonts w:ascii="Times New Roman" w:hAnsi="Times New Roman"/>
          <w:sz w:val="24"/>
          <w:szCs w:val="24"/>
          <w:lang w:val="sq-AL"/>
        </w:rPr>
        <w:t>”.</w:t>
      </w:r>
    </w:p>
    <w:p w14:paraId="6372D3DD" w14:textId="56A76AA2" w:rsidR="008675CA" w:rsidRPr="007A462A" w:rsidRDefault="008675CA" w:rsidP="00B523F5">
      <w:pPr>
        <w:pStyle w:val="BodyText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3BF55563" w14:textId="77777777" w:rsidTr="009F3A30">
        <w:tc>
          <w:tcPr>
            <w:tcW w:w="9212" w:type="dxa"/>
          </w:tcPr>
          <w:p w14:paraId="107036DC" w14:textId="6A0591A9" w:rsidR="001E4573" w:rsidRPr="007A462A" w:rsidRDefault="00B87EE9" w:rsidP="00B523F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Drejtësisë, </w:t>
            </w:r>
            <w:r w:rsidR="00F2034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në kuadër të procesit të konsultimit  p</w:t>
            </w:r>
            <w:r w:rsidR="004B5D68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2034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projektligjin </w:t>
            </w:r>
            <w:r w:rsidR="0068479F" w:rsidRPr="0068479F">
              <w:rPr>
                <w:rFonts w:ascii="Times New Roman" w:hAnsi="Times New Roman"/>
                <w:sz w:val="24"/>
                <w:szCs w:val="24"/>
                <w:lang w:val="sq-AL"/>
              </w:rPr>
              <w:t>“Për disa shtesa dhe ndryshime në ligjin nr. 37, datë 30.03.2017 “Kodi i Drejtësisë Penale për të Mitur”</w:t>
            </w:r>
            <w:r w:rsidR="0068479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” </w:t>
            </w: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të gjitha </w:t>
            </w:r>
            <w:r w:rsidR="00B0093C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092682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ionet e interesuara</w:t>
            </w: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organizata jofitimprurëse</w:t>
            </w:r>
            <w:r w:rsidR="0082029A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, lidhur me nd</w:t>
            </w:r>
            <w:r w:rsidR="004B5D68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rhyrjet e synuara n</w:t>
            </w:r>
            <w:r w:rsidR="004B5D68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ligjin </w:t>
            </w:r>
            <w:r w:rsidR="00683913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nr. </w:t>
            </w:r>
            <w:r w:rsidR="0068479F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37</w:t>
            </w:r>
            <w:r w:rsidR="00683913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, datë </w:t>
            </w:r>
            <w:r w:rsidR="0068479F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30.03.2017</w:t>
            </w:r>
            <w:r w:rsidR="00683913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“Kodi </w:t>
            </w:r>
            <w:r w:rsidR="0068479F" w:rsidRPr="0068479F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i Drejtësisë Penale për të Mitur</w:t>
            </w:r>
            <w:r w:rsidR="00683913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”</w:t>
            </w:r>
            <w:r w:rsidR="00B523F5" w:rsidRPr="007A462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.</w:t>
            </w:r>
          </w:p>
        </w:tc>
      </w:tr>
    </w:tbl>
    <w:p w14:paraId="4DD98B09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A462A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0A95A18B" w14:textId="77777777" w:rsidTr="009F3A30">
        <w:tc>
          <w:tcPr>
            <w:tcW w:w="9212" w:type="dxa"/>
          </w:tcPr>
          <w:p w14:paraId="5863E002" w14:textId="56CB6ADF" w:rsidR="001E4573" w:rsidRPr="007A462A" w:rsidRDefault="00B0093C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68479F">
              <w:rPr>
                <w:rFonts w:ascii="Times New Roman" w:hAnsi="Times New Roman"/>
                <w:sz w:val="24"/>
                <w:szCs w:val="24"/>
                <w:lang w:val="sq-AL"/>
              </w:rPr>
              <w:t>5.1</w:t>
            </w:r>
            <w:r w:rsidR="002F29B1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68479F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2F29B1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0FF81B91" w14:textId="77777777" w:rsidTr="009F3A30">
        <w:tc>
          <w:tcPr>
            <w:tcW w:w="9212" w:type="dxa"/>
          </w:tcPr>
          <w:p w14:paraId="725A5EEA" w14:textId="29718B1C" w:rsidR="008675CA" w:rsidRPr="007A462A" w:rsidRDefault="00B0093C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>Kontributet në kuadër të procesit të konsultimit dhe përmirësimit të përmbajtjes së projektligjit, do të përcillen nga institucionet e interesuara nëpërmjet postës elektronik</w:t>
            </w:r>
            <w:r w:rsidR="007B4AD9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Drejtësisë, me anë të regjistrit elektronik në adresën </w:t>
            </w:r>
            <w:r w:rsidR="0071344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begin"/>
            </w:r>
            <w:r w:rsidR="0071344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 xml:space="preserve"> HYPERLINK "</w:instrText>
            </w:r>
            <w:r w:rsidR="00713444" w:rsidRPr="0071344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>http://www.konsultimipublik.gov.al</w:instrText>
            </w:r>
            <w:r w:rsidR="0071344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 xml:space="preserve">" </w:instrText>
            </w:r>
            <w:r w:rsidR="0071344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separate"/>
            </w:r>
            <w:r w:rsidR="00713444" w:rsidRPr="006F4979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http://www.konsultimipublik.gov.al</w:t>
            </w:r>
            <w:r w:rsidR="0071344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end"/>
            </w:r>
            <w:r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në adresën postare të Ministrisë së Drejtësisë </w:t>
            </w:r>
            <w:r w:rsidR="002F29B1"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“</w:t>
            </w:r>
            <w:r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Bulevardi “Zogu I-rë”, Tiranë</w:t>
            </w:r>
            <w:r w:rsidR="002F29B1"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”</w:t>
            </w:r>
            <w:r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="002F29B1"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dhe </w:t>
            </w:r>
            <w:r w:rsidR="007B4AD9" w:rsidRPr="007A46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në adresën e emailit të koordinatorit për konsultimin publik</w:t>
            </w:r>
            <w:r w:rsidR="002F29B1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Greis.Como@drejtesia.gov.al.</w:t>
            </w:r>
          </w:p>
        </w:tc>
      </w:tr>
    </w:tbl>
    <w:p w14:paraId="3C463429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Kontakti</w:t>
      </w:r>
      <w:r w:rsidR="008675CA" w:rsidRPr="007A462A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12B24D1C" w14:textId="77777777" w:rsidTr="009F3A30">
        <w:tc>
          <w:tcPr>
            <w:tcW w:w="9212" w:type="dxa"/>
          </w:tcPr>
          <w:p w14:paraId="3637B89E" w14:textId="1FF67478" w:rsidR="00B0093C" w:rsidRPr="007A462A" w:rsidRDefault="002F29B1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Greis </w:t>
            </w:r>
            <w:r w:rsidR="00F33BA2">
              <w:rPr>
                <w:rFonts w:ascii="Times New Roman" w:hAnsi="Times New Roman"/>
                <w:sz w:val="24"/>
                <w:szCs w:val="24"/>
                <w:lang w:val="sq-AL"/>
              </w:rPr>
              <w:t>Ç</w:t>
            </w: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>omo</w:t>
            </w:r>
            <w:r w:rsidR="00B0093C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5" w:history="1">
              <w:r w:rsidRPr="007A462A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Greis.Como@drejtesia.gov.al</w:t>
              </w:r>
            </w:hyperlink>
          </w:p>
        </w:tc>
      </w:tr>
    </w:tbl>
    <w:p w14:paraId="5D44D821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A462A" w14:paraId="7239AD1E" w14:textId="77777777" w:rsidTr="009F3A30">
        <w:tc>
          <w:tcPr>
            <w:tcW w:w="9212" w:type="dxa"/>
          </w:tcPr>
          <w:p w14:paraId="225A0334" w14:textId="1623A6DC" w:rsidR="00AD4479" w:rsidRPr="007A462A" w:rsidRDefault="00AD4479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E-Konsultimi: në portalin “Rregjistri Elektronik për Njoftimet dhe Konsultimet Publike” </w:t>
            </w:r>
            <w:r w:rsidR="007765B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ditë pune, duke filluar nga data </w:t>
            </w:r>
            <w:r w:rsidR="0068479F">
              <w:rPr>
                <w:rFonts w:ascii="Times New Roman" w:hAnsi="Times New Roman"/>
                <w:sz w:val="24"/>
                <w:szCs w:val="24"/>
                <w:lang w:val="sq-AL"/>
              </w:rPr>
              <w:t>5.1</w:t>
            </w:r>
            <w:r w:rsidR="00213058" w:rsidRPr="007A462A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68479F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7765B7" w:rsidRPr="007A462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7A462A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A462A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13444" w14:paraId="5017327A" w14:textId="77777777" w:rsidTr="009F3A30">
        <w:tc>
          <w:tcPr>
            <w:tcW w:w="9212" w:type="dxa"/>
          </w:tcPr>
          <w:sdt>
            <w:sdtPr>
              <w:rPr>
                <w:rFonts w:ascii="Times New Roman" w:eastAsiaTheme="majorEastAsia" w:hAnsi="Times New Roman"/>
                <w:sz w:val="24"/>
                <w:szCs w:val="24"/>
                <w:lang w:val="sq-AL"/>
              </w:rPr>
              <w:id w:val="183797412"/>
              <w:placeholder>
                <w:docPart w:val="4F0CD719731043F0A6F115B206695FBC"/>
              </w:placeholder>
            </w:sdtPr>
            <w:sdtEndPr/>
            <w:sdtContent>
              <w:p w14:paraId="6937DC71" w14:textId="0D120D98" w:rsidR="0068479F" w:rsidRPr="00713444" w:rsidRDefault="0068479F" w:rsidP="00713444">
                <w:pPr>
                  <w:spacing w:line="276" w:lineRule="auto"/>
                  <w:jc w:val="both"/>
                  <w:rPr>
                    <w:rFonts w:ascii="Times New Roman" w:eastAsia="Calibri" w:hAnsi="Times New Roman"/>
                    <w:b/>
                    <w:sz w:val="24"/>
                    <w:szCs w:val="24"/>
                    <w:lang w:val="en-US"/>
                  </w:rPr>
                </w:pP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Nisma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ndryshimin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plotësimin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kuadrit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ligjor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është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ndërmarrë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kuadër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procesit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përafrimit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legjislacionit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brendshëm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me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standardet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Bashkimit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fushën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drejtave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procedurale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procesin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penal,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mbrojtjes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miturve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garantimit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aksesit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drejtësi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mbrojtjes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viktimave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krimit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luftës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kundër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trafikimit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qenieve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njerëzore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abuzimit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shfrytëzimit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seksual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fëmijëve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urdhrave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mbrojtjes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mbrojtjes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dhënave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fushën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penale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si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parandalimit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luftimit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dhunës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ndaj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grave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dhunës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familje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. </w:t>
                </w:r>
              </w:p>
              <w:p w14:paraId="1F10CAC5" w14:textId="5385B8A0" w:rsidR="0068479F" w:rsidRPr="0068479F" w:rsidRDefault="0068479F" w:rsidP="00713444">
                <w:pPr>
                  <w:spacing w:line="276" w:lineRule="auto"/>
                  <w:jc w:val="both"/>
                  <w:rPr>
                    <w:rFonts w:ascii="Times New Roman" w:eastAsia="Calibri" w:hAnsi="Times New Roman"/>
                    <w:b/>
                    <w:sz w:val="24"/>
                    <w:szCs w:val="24"/>
                    <w:lang w:val="sq-AL"/>
                  </w:rPr>
                </w:pPr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sq-AL"/>
                  </w:rPr>
                  <w:t>Konkretisht ky projektligj synon përafrimin me aktet e mëposhtme:</w:t>
                </w:r>
              </w:p>
              <w:p w14:paraId="623FBABC" w14:textId="21F81AC8" w:rsidR="0068479F" w:rsidRPr="00713444" w:rsidRDefault="0068479F" w:rsidP="00713444">
                <w:pPr>
                  <w:pStyle w:val="ListParagraph"/>
                  <w:numPr>
                    <w:ilvl w:val="0"/>
                    <w:numId w:val="8"/>
                  </w:numPr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lastRenderedPageBreak/>
                  <w:t>Direktiva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2016/800/BE, </w:t>
                </w:r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11 </w:t>
                </w:r>
                <w:proofErr w:type="spellStart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maj</w:t>
                </w:r>
                <w:proofErr w:type="spellEnd"/>
                <w:r w:rsidRPr="00713444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2016,</w:t>
                </w:r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mbi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garancitë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procedurale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fëmijët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që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janë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dyshuar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ose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pandehur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procedime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penale</w:t>
                </w:r>
                <w:proofErr w:type="spellEnd"/>
                <w:r w:rsidRPr="00713444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;</w:t>
                </w:r>
              </w:p>
              <w:p w14:paraId="41EBAFF7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2010/64/BE, </w:t>
                </w:r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tetor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2010,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drejtën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përkthim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procedimet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penale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;</w:t>
                </w:r>
              </w:p>
              <w:p w14:paraId="09CA5F44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2013/48/BE, </w:t>
                </w:r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, </w:t>
                </w:r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22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tetor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2013,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drejtën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pasur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një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avokat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procedime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penale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procedurat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urdhrit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arrestimit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drejtën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njoftuar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një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palë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tretë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gjatë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privimit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nga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liria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komunikuar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me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palë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treta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me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autoritetet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konsullore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gjatë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privimit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nga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liria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;</w:t>
                </w:r>
              </w:p>
              <w:p w14:paraId="33B56096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2012/13/BE </w:t>
                </w:r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22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maj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2013,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drejtën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informitmit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procedime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penale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;</w:t>
                </w:r>
              </w:p>
              <w:p w14:paraId="50472CC3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2016/343/BE, </w:t>
                </w:r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9 mars 2016,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forcimin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disa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aspekteve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parimit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pafajësisë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drejtës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qenë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prezent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gjykim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procedimet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penale</w:t>
                </w:r>
                <w:proofErr w:type="spellEnd"/>
              </w:p>
              <w:p w14:paraId="558D1F9D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2016/1919/BE, </w:t>
                </w:r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26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tetor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2016,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ndihmën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juridike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dyshuarit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pandehurit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procedimet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penale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personat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kërkuar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procedurat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urdhrit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arrestimit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.</w:t>
                </w:r>
              </w:p>
              <w:p w14:paraId="22029DA8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2012/29/BE, </w:t>
                </w:r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25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tetor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2012,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vendosjen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standardeve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minimale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drejtat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mbështetjen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mbrojtjen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viktimave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krimit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zëvendësimin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Vendimit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Kuadër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2001/220/JHA.</w:t>
                </w:r>
              </w:p>
              <w:p w14:paraId="596704C8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2011/93/BE, </w:t>
                </w:r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13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dhjetor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2011,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luftimin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abuzimit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seksual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shfrytëzimit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seksual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fëmijëve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pornografisë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me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fëmijë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zëvendësimin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Vendimit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Kuadër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2004/68/JHA.</w:t>
                </w:r>
              </w:p>
              <w:p w14:paraId="602F42D2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2011/36/BE, </w:t>
                </w:r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5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prillit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2011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parandalimin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luftimin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trafikimit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qenieve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njerëzore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mbrojtjen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viktimave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tij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që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zëvendëson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Vendimin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Kuadër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bCs/>
                    <w:sz w:val="24"/>
                    <w:szCs w:val="24"/>
                    <w:lang w:val="en-US"/>
                  </w:rPr>
                  <w:t xml:space="preserve"> 2002/629/JHA</w:t>
                </w:r>
              </w:p>
              <w:p w14:paraId="10236E26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2011/99/BE,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Europian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13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dhjetor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2011,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mbi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urdhrin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evropian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mbrojtjes</w:t>
                </w:r>
                <w:proofErr w:type="spellEnd"/>
              </w:p>
              <w:p w14:paraId="3A4564F2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2016/680/BE,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Europian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27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prill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2016,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mbrojtjen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personave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fizikë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lidhje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me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përpunimin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dhënave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personale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nga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autoritetet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kompetente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qëllimet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parandalimit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hetimit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zbulimit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ose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ndjekjes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veprave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penale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ose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ekzekutimit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dënimeve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penale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lëvizjen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lirë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dhënave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tilla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shfuqizimin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Vendimit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Kuadër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të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2008/977/JHA.</w:t>
                </w:r>
              </w:p>
              <w:p w14:paraId="133E7A26" w14:textId="77777777" w:rsidR="0068479F" w:rsidRPr="0068479F" w:rsidRDefault="0068479F" w:rsidP="00713444">
                <w:pPr>
                  <w:numPr>
                    <w:ilvl w:val="0"/>
                    <w:numId w:val="8"/>
                  </w:numPr>
                  <w:tabs>
                    <w:tab w:val="clear" w:pos="360"/>
                    <w:tab w:val="num" w:pos="720"/>
                  </w:tabs>
                  <w:spacing w:after="200" w:line="276" w:lineRule="auto"/>
                  <w:jc w:val="both"/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</w:pP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Direktiva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2024/1385/BE,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Parlamentit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Europian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Këshillit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,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datës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14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maj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2024,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për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luftën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dhunës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ndaj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grave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dhunës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në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familje</w:t>
                </w:r>
                <w:proofErr w:type="spellEnd"/>
                <w:r w:rsidRPr="0068479F">
                  <w:rPr>
                    <w:rFonts w:ascii="Times New Roman" w:eastAsia="Calibri" w:hAnsi="Times New Roman"/>
                    <w:sz w:val="24"/>
                    <w:szCs w:val="24"/>
                    <w:lang w:val="en-US"/>
                  </w:rPr>
                  <w:t>.</w:t>
                </w:r>
              </w:p>
              <w:p w14:paraId="7590D3B8" w14:textId="61A501C7" w:rsidR="00DD0BE1" w:rsidRPr="00713444" w:rsidRDefault="002310D5" w:rsidP="00713444">
                <w:pPr>
                  <w:pStyle w:val="BodyText"/>
                  <w:spacing w:line="276" w:lineRule="auto"/>
                  <w:jc w:val="both"/>
                  <w:rPr>
                    <w:rFonts w:ascii="Times New Roman" w:hAnsi="Times New Roman"/>
                    <w:i/>
                    <w:sz w:val="24"/>
                    <w:szCs w:val="24"/>
                    <w:lang w:val="sq-AL"/>
                  </w:rPr>
                </w:pPr>
                <w:r w:rsidRPr="00713444">
                  <w:rPr>
                    <w:rFonts w:ascii="Times New Roman" w:eastAsiaTheme="majorEastAsia" w:hAnsi="Times New Roman"/>
                    <w:b/>
                    <w:sz w:val="24"/>
                    <w:szCs w:val="24"/>
                    <w:lang w:val="sq-AL"/>
                  </w:rPr>
                  <w:lastRenderedPageBreak/>
                  <w:t>Grupet e prekura:</w:t>
                </w:r>
                <w:r w:rsidR="00B024AC" w:rsidRPr="00713444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lang w:val="sq-AL" w:bidi="en-US"/>
                  </w:rPr>
                  <w:t xml:space="preserve"> </w:t>
                </w:r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Ky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projektligj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prek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kryesisht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të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miturit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që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janë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të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përfshirë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në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procedurat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penale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,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si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dhe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të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gjithë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aktorët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e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sistemit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të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drejtësisë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penale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që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merren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me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çështjet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e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të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miturve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. </w:t>
                </w:r>
                <w:proofErr w:type="spellStart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>Gjithashtu</w:t>
                </w:r>
                <w:proofErr w:type="spellEnd"/>
                <w:r w:rsidR="00713444" w:rsidRPr="00713444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bidi="en-US"/>
                  </w:rPr>
                  <w:t xml:space="preserve">,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projektligij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ndikon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në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nivelin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më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të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gjerë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, duke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kontribuar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në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edukimin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dhe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ndërgjegjësimin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shoqërisë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për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trajtimin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të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miturve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në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sistemin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drejtësisë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penale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dhe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për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nevojën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mbrojtjes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së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të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drejtave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të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tyre, duke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përfshirë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shoqatat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dhe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organizatat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joqeveritare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që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punojnë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për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mbrojtjen</w:t>
                </w:r>
                <w:proofErr w:type="spellEnd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713444" w:rsidRPr="00713444">
                  <w:rPr>
                    <w:rFonts w:ascii="Times New Roman" w:hAnsi="Times New Roman"/>
                    <w:sz w:val="24"/>
                    <w:szCs w:val="24"/>
                  </w:rPr>
                  <w:t>fëmijëve</w:t>
                </w:r>
                <w:proofErr w:type="spellEnd"/>
                <w:r w:rsidR="00713444"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</w:tr>
    </w:tbl>
    <w:p w14:paraId="671DF514" w14:textId="77777777" w:rsidR="00E54C97" w:rsidRPr="00713444" w:rsidRDefault="00E54C97" w:rsidP="00713444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713444" w:rsidRDefault="00E54C97" w:rsidP="00713444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13444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13444" w14:paraId="59FC2C08" w14:textId="77777777" w:rsidTr="009F3A30">
        <w:tc>
          <w:tcPr>
            <w:tcW w:w="9212" w:type="dxa"/>
          </w:tcPr>
          <w:p w14:paraId="19942B45" w14:textId="18D03416" w:rsidR="00ED3C9B" w:rsidRPr="00713444" w:rsidRDefault="00713444" w:rsidP="00713444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Hlk148085050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Ky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projektligj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ka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për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qëllim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përmirësimin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përafrimin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legjislacionit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shqiptar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me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standardet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aktet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Bashkimit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Evropian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, me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qëllim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krijimin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një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sistemi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drejtësisë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penale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që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respekton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drejtat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miturve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Objektivi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kryesor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është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përshtatja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legjislacionit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brendshëm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me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kërkesat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e BE-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së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në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fushën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drejtësisë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për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miturit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, duke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siguruar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mbrojtjen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drejtave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tyre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gjatë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procedurave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penale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dhe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pas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përfundimit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të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procesit</w:t>
            </w:r>
            <w:proofErr w:type="spellEnd"/>
            <w:r w:rsidRPr="00713444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Ky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projektligj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fokusohet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aspekte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thelbësore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trajtimit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miturve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sistemin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drejtësisë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C9B" w:rsidRPr="00713444">
              <w:rPr>
                <w:rFonts w:ascii="Times New Roman" w:hAnsi="Times New Roman"/>
                <w:sz w:val="24"/>
                <w:szCs w:val="24"/>
              </w:rPr>
              <w:t>penale</w:t>
            </w:r>
            <w:proofErr w:type="spellEnd"/>
            <w:r w:rsidR="00ED3C9B" w:rsidRPr="007134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44CB681" w14:textId="066ADD8D" w:rsidR="00ED3C9B" w:rsidRPr="00713444" w:rsidRDefault="00ED3C9B" w:rsidP="00713444">
            <w:pPr>
              <w:pStyle w:val="NormalWeb"/>
              <w:numPr>
                <w:ilvl w:val="0"/>
                <w:numId w:val="9"/>
              </w:numPr>
              <w:spacing w:line="276" w:lineRule="auto"/>
              <w:jc w:val="both"/>
            </w:pPr>
            <w:proofErr w:type="spellStart"/>
            <w:r w:rsidRPr="00713444">
              <w:t>Sigurimi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i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kushteve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veçanta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për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mbrojtjen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miturve</w:t>
            </w:r>
            <w:proofErr w:type="spellEnd"/>
            <w:r w:rsidRPr="00713444">
              <w:t xml:space="preserve">, </w:t>
            </w:r>
            <w:proofErr w:type="spellStart"/>
            <w:r w:rsidRPr="00713444">
              <w:t>përfshirë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mundësinë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regjistrimit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audioviziv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pyetjeve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dhe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një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qasje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ndjeshme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ndaj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nevojave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miturve</w:t>
            </w:r>
            <w:proofErr w:type="spellEnd"/>
            <w:r w:rsidRPr="00713444">
              <w:t>.</w:t>
            </w:r>
          </w:p>
          <w:p w14:paraId="6E0254CB" w14:textId="2B5CE1CD" w:rsidR="00ED3C9B" w:rsidRPr="00713444" w:rsidRDefault="00687303" w:rsidP="00713444">
            <w:pPr>
              <w:pStyle w:val="NormalWeb"/>
              <w:numPr>
                <w:ilvl w:val="0"/>
                <w:numId w:val="9"/>
              </w:numPr>
              <w:spacing w:line="276" w:lineRule="auto"/>
              <w:jc w:val="both"/>
            </w:pPr>
            <w:proofErr w:type="spellStart"/>
            <w:r w:rsidRPr="00687303">
              <w:rPr>
                <w:rStyle w:val="Strong"/>
                <w:b w:val="0"/>
              </w:rPr>
              <w:t>Mbrojtja</w:t>
            </w:r>
            <w:proofErr w:type="spellEnd"/>
            <w:r w:rsidR="00ED3C9B"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="00ED3C9B" w:rsidRPr="00713444">
              <w:rPr>
                <w:rStyle w:val="Strong"/>
                <w:b w:val="0"/>
              </w:rPr>
              <w:t>juridike</w:t>
            </w:r>
            <w:proofErr w:type="spellEnd"/>
            <w:r w:rsidR="00ED3C9B" w:rsidRPr="00713444">
              <w:rPr>
                <w:rStyle w:val="Strong"/>
                <w:b w:val="0"/>
              </w:rPr>
              <w:t xml:space="preserve"> </w:t>
            </w:r>
            <w:proofErr w:type="spellStart"/>
            <w:r>
              <w:rPr>
                <w:rStyle w:val="Strong"/>
                <w:b w:val="0"/>
              </w:rPr>
              <w:t>e</w:t>
            </w:r>
            <w:r w:rsidR="00ED3C9B" w:rsidRPr="00713444">
              <w:rPr>
                <w:rStyle w:val="Strong"/>
                <w:b w:val="0"/>
              </w:rPr>
              <w:t xml:space="preserve"> të</w:t>
            </w:r>
            <w:proofErr w:type="spellEnd"/>
            <w:r w:rsidR="00ED3C9B"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="00ED3C9B" w:rsidRPr="00713444">
              <w:rPr>
                <w:rStyle w:val="Strong"/>
                <w:b w:val="0"/>
              </w:rPr>
              <w:t>miturve</w:t>
            </w:r>
            <w:proofErr w:type="spellEnd"/>
            <w:r w:rsidR="00713444">
              <w:rPr>
                <w:rStyle w:val="Strong"/>
                <w:b w:val="0"/>
              </w:rPr>
              <w:t xml:space="preserve"> duke</w:t>
            </w:r>
            <w:r w:rsidR="00ED3C9B" w:rsidRPr="00713444">
              <w:t xml:space="preserve"> </w:t>
            </w:r>
            <w:proofErr w:type="spellStart"/>
            <w:r>
              <w:t>theksuar</w:t>
            </w:r>
            <w:proofErr w:type="spellEnd"/>
            <w:r w:rsidR="00713444">
              <w:t xml:space="preserve"> </w:t>
            </w:r>
            <w:proofErr w:type="spellStart"/>
            <w:r w:rsidR="00713444">
              <w:t>o</w:t>
            </w:r>
            <w:r w:rsidR="00ED3C9B" w:rsidRPr="00713444">
              <w:t>frimi</w:t>
            </w:r>
            <w:r w:rsidR="00713444">
              <w:t>n</w:t>
            </w:r>
            <w:proofErr w:type="spellEnd"/>
            <w:r w:rsidR="00ED3C9B" w:rsidRPr="00713444">
              <w:t xml:space="preserve"> </w:t>
            </w:r>
            <w:r w:rsidR="00713444">
              <w:t>e</w:t>
            </w:r>
            <w:r w:rsidR="00ED3C9B" w:rsidRPr="00713444">
              <w:t xml:space="preserve"> </w:t>
            </w:r>
            <w:proofErr w:type="spellStart"/>
            <w:r w:rsidR="00ED3C9B" w:rsidRPr="00713444">
              <w:t>mbrojtjes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juridike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falas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dhe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mundësitë</w:t>
            </w:r>
            <w:proofErr w:type="spellEnd"/>
            <w:r w:rsidR="00ED3C9B" w:rsidRPr="00713444">
              <w:t xml:space="preserve"> e </w:t>
            </w:r>
            <w:proofErr w:type="spellStart"/>
            <w:r w:rsidR="00ED3C9B" w:rsidRPr="00713444">
              <w:t>trajtimit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të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veçantë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për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të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miturit</w:t>
            </w:r>
            <w:proofErr w:type="spellEnd"/>
            <w:r w:rsidR="00ED3C9B" w:rsidRPr="00713444">
              <w:t xml:space="preserve">, </w:t>
            </w:r>
            <w:proofErr w:type="spellStart"/>
            <w:r w:rsidR="00ED3C9B" w:rsidRPr="00713444">
              <w:t>përfshirë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ndihmën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dhe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mbështetje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sociale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gjatë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dhe</w:t>
            </w:r>
            <w:proofErr w:type="spellEnd"/>
            <w:r w:rsidR="00ED3C9B" w:rsidRPr="00713444">
              <w:t xml:space="preserve"> pas </w:t>
            </w:r>
            <w:proofErr w:type="spellStart"/>
            <w:r w:rsidR="00ED3C9B" w:rsidRPr="00713444">
              <w:t>procedurave</w:t>
            </w:r>
            <w:proofErr w:type="spellEnd"/>
            <w:r w:rsidR="00ED3C9B" w:rsidRPr="00713444">
              <w:t xml:space="preserve"> </w:t>
            </w:r>
            <w:proofErr w:type="spellStart"/>
            <w:r w:rsidR="00ED3C9B" w:rsidRPr="00713444">
              <w:t>penale</w:t>
            </w:r>
            <w:proofErr w:type="spellEnd"/>
            <w:r w:rsidR="00ED3C9B" w:rsidRPr="00713444">
              <w:t>.</w:t>
            </w:r>
          </w:p>
          <w:p w14:paraId="6A7BD918" w14:textId="7A50B36F" w:rsidR="00ED3C9B" w:rsidRPr="00713444" w:rsidRDefault="00ED3C9B" w:rsidP="00713444">
            <w:pPr>
              <w:pStyle w:val="NormalWeb"/>
              <w:numPr>
                <w:ilvl w:val="0"/>
                <w:numId w:val="9"/>
              </w:numPr>
              <w:spacing w:line="276" w:lineRule="auto"/>
              <w:jc w:val="both"/>
            </w:pPr>
            <w:proofErr w:type="spellStart"/>
            <w:r w:rsidRPr="00713444">
              <w:t>Trajtimi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i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miturve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privuar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nga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liria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kushte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që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favorizojnë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rehabilitimin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tyre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dhe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riintegrimin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shoqëri</w:t>
            </w:r>
            <w:proofErr w:type="spellEnd"/>
            <w:r w:rsidRPr="00713444">
              <w:t xml:space="preserve">, me </w:t>
            </w:r>
            <w:proofErr w:type="spellStart"/>
            <w:r w:rsidRPr="00713444">
              <w:t>fokus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arsim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dhe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zhvillimin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aftësive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profesionale</w:t>
            </w:r>
            <w:proofErr w:type="spellEnd"/>
            <w:r w:rsidRPr="00713444">
              <w:t>.</w:t>
            </w:r>
          </w:p>
          <w:p w14:paraId="2C44568C" w14:textId="77777777" w:rsidR="00ED3C9B" w:rsidRPr="00713444" w:rsidRDefault="00ED3C9B" w:rsidP="00D50E98">
            <w:pPr>
              <w:pStyle w:val="NormalWeb"/>
              <w:spacing w:line="276" w:lineRule="auto"/>
              <w:jc w:val="both"/>
            </w:pPr>
            <w:proofErr w:type="spellStart"/>
            <w:r w:rsidRPr="00713444">
              <w:t>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kuadër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integrimit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Shqipërisë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Bashkimin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Evropian</w:t>
            </w:r>
            <w:proofErr w:type="spellEnd"/>
            <w:r w:rsidRPr="00713444">
              <w:t xml:space="preserve">, </w:t>
            </w:r>
            <w:proofErr w:type="spellStart"/>
            <w:r w:rsidRPr="00713444">
              <w:t>ky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projektligj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përfshin</w:t>
            </w:r>
            <w:proofErr w:type="spellEnd"/>
            <w:r w:rsidRPr="00713444">
              <w:t xml:space="preserve"> masa </w:t>
            </w:r>
            <w:proofErr w:type="spellStart"/>
            <w:r w:rsidRPr="00713444">
              <w:t>që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ndihmojnë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përmbushjen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angazhimeve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vendit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për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përmirësimin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mbrojtjes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së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miturve</w:t>
            </w:r>
            <w:proofErr w:type="spellEnd"/>
            <w:r w:rsidRPr="00713444">
              <w:t xml:space="preserve">, duke u </w:t>
            </w:r>
            <w:proofErr w:type="spellStart"/>
            <w:r w:rsidRPr="00713444">
              <w:t>përshtatur</w:t>
            </w:r>
            <w:proofErr w:type="spellEnd"/>
            <w:r w:rsidRPr="00713444">
              <w:t xml:space="preserve"> me </w:t>
            </w:r>
            <w:proofErr w:type="spellStart"/>
            <w:r w:rsidRPr="00713444">
              <w:t>kërkesat</w:t>
            </w:r>
            <w:proofErr w:type="spellEnd"/>
            <w:r w:rsidRPr="00713444">
              <w:t xml:space="preserve"> e acquis </w:t>
            </w:r>
            <w:proofErr w:type="spellStart"/>
            <w:r w:rsidRPr="00713444">
              <w:t>communautaire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BE-</w:t>
            </w:r>
            <w:proofErr w:type="spellStart"/>
            <w:r w:rsidRPr="00713444">
              <w:t>së</w:t>
            </w:r>
            <w:proofErr w:type="spellEnd"/>
            <w:r w:rsidRPr="00713444">
              <w:t xml:space="preserve">, </w:t>
            </w:r>
            <w:proofErr w:type="spellStart"/>
            <w:r w:rsidRPr="00713444">
              <w:t>veçanërisht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lidhje</w:t>
            </w:r>
            <w:proofErr w:type="spellEnd"/>
            <w:r w:rsidRPr="00713444">
              <w:t xml:space="preserve"> me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drejtat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njeriut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dhe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trajtimin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miturve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në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sistemin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drejtësisë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penale</w:t>
            </w:r>
            <w:proofErr w:type="spellEnd"/>
            <w:r w:rsidRPr="00713444">
              <w:t>.</w:t>
            </w:r>
          </w:p>
          <w:p w14:paraId="6FDC32DD" w14:textId="2CF464D2" w:rsidR="00D50E98" w:rsidRPr="00D50E98" w:rsidRDefault="00ED3C9B" w:rsidP="00D50E98">
            <w:pPr>
              <w:pStyle w:val="NormalWeb"/>
              <w:spacing w:line="276" w:lineRule="auto"/>
              <w:jc w:val="both"/>
            </w:pPr>
            <w:proofErr w:type="spellStart"/>
            <w:r w:rsidRPr="00713444">
              <w:t>Përmes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këtij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ligji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synohet</w:t>
            </w:r>
            <w:proofErr w:type="spellEnd"/>
            <w:r w:rsidR="00D50E98">
              <w:t xml:space="preserve"> </w:t>
            </w:r>
            <w:proofErr w:type="spellStart"/>
            <w:r w:rsidR="00D50E98" w:rsidRPr="00D50E98">
              <w:rPr>
                <w:rStyle w:val="Strong"/>
                <w:b w:val="0"/>
              </w:rPr>
              <w:t>p</w:t>
            </w:r>
            <w:r w:rsidRPr="00713444">
              <w:rPr>
                <w:rStyle w:val="Strong"/>
                <w:b w:val="0"/>
              </w:rPr>
              <w:t>ërmirësimi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i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kushteve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dhe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procedurave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për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të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miturit</w:t>
            </w:r>
            <w:proofErr w:type="spellEnd"/>
            <w:r w:rsidRPr="00713444">
              <w:t xml:space="preserve"> duke </w:t>
            </w:r>
            <w:r w:rsidR="00D50E98">
              <w:t>u</w:t>
            </w:r>
            <w:r w:rsidRPr="00713444">
              <w:t xml:space="preserve"> </w:t>
            </w:r>
            <w:proofErr w:type="spellStart"/>
            <w:r w:rsidRPr="00713444">
              <w:t>siguruar</w:t>
            </w:r>
            <w:proofErr w:type="spellEnd"/>
            <w:r w:rsidRPr="00713444">
              <w:t xml:space="preserve"> se </w:t>
            </w:r>
            <w:proofErr w:type="spellStart"/>
            <w:r w:rsidRPr="00713444">
              <w:t>ata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trajtohen</w:t>
            </w:r>
            <w:proofErr w:type="spellEnd"/>
            <w:r w:rsidRPr="00713444">
              <w:t xml:space="preserve"> me </w:t>
            </w:r>
            <w:proofErr w:type="spellStart"/>
            <w:r w:rsidRPr="00713444">
              <w:t>ndjeshmëri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dhe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respekt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për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dinjitetin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tyre</w:t>
            </w:r>
            <w:proofErr w:type="spellEnd"/>
            <w:r w:rsidR="00D50E98">
              <w:t xml:space="preserve">; </w:t>
            </w:r>
            <w:proofErr w:type="spellStart"/>
            <w:r w:rsidR="00D50E98">
              <w:t>p</w:t>
            </w:r>
            <w:r w:rsidRPr="00713444">
              <w:rPr>
                <w:rStyle w:val="Strong"/>
                <w:b w:val="0"/>
              </w:rPr>
              <w:t>ërmirësimi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i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formimit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të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aktorëve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të</w:t>
            </w:r>
            <w:proofErr w:type="spellEnd"/>
            <w:r w:rsidRPr="00713444">
              <w:rPr>
                <w:rStyle w:val="Strong"/>
                <w:b w:val="0"/>
              </w:rPr>
              <w:t xml:space="preserve"> </w:t>
            </w:r>
            <w:proofErr w:type="spellStart"/>
            <w:r w:rsidRPr="00713444">
              <w:rPr>
                <w:rStyle w:val="Strong"/>
                <w:b w:val="0"/>
              </w:rPr>
              <w:t>drejtësisë</w:t>
            </w:r>
            <w:proofErr w:type="spellEnd"/>
            <w:r w:rsidR="00D50E98">
              <w:rPr>
                <w:rStyle w:val="Strong"/>
                <w:b w:val="0"/>
              </w:rPr>
              <w:t xml:space="preserve"> </w:t>
            </w:r>
            <w:r w:rsidR="00D50E98" w:rsidRPr="00D50E98">
              <w:rPr>
                <w:rStyle w:val="Strong"/>
                <w:b w:val="0"/>
              </w:rPr>
              <w:t>duke</w:t>
            </w:r>
            <w:r w:rsidRPr="00713444">
              <w:t xml:space="preserve"> </w:t>
            </w:r>
            <w:proofErr w:type="spellStart"/>
            <w:r w:rsidR="00D50E98">
              <w:t>r</w:t>
            </w:r>
            <w:r w:rsidRPr="00713444">
              <w:t>rit</w:t>
            </w:r>
            <w:r w:rsidR="00D50E98">
              <w:t>ur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trajnimi</w:t>
            </w:r>
            <w:r w:rsidR="00D50E98">
              <w:t>n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dhe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aftësi</w:t>
            </w:r>
            <w:r w:rsidR="00D50E98">
              <w:t>të</w:t>
            </w:r>
            <w:proofErr w:type="spellEnd"/>
            <w:r w:rsidRPr="00713444">
              <w:t xml:space="preserve"> </w:t>
            </w:r>
            <w:r w:rsidR="00D50E98">
              <w:t>e</w:t>
            </w:r>
            <w:r w:rsidRPr="00713444">
              <w:t xml:space="preserve"> </w:t>
            </w:r>
            <w:proofErr w:type="spellStart"/>
            <w:r w:rsidRPr="00713444">
              <w:t>profesionistëve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që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punojnë</w:t>
            </w:r>
            <w:proofErr w:type="spellEnd"/>
            <w:r w:rsidRPr="00713444">
              <w:t xml:space="preserve"> me </w:t>
            </w:r>
            <w:proofErr w:type="spellStart"/>
            <w:r w:rsidRPr="00713444">
              <w:t>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mitur</w:t>
            </w:r>
            <w:proofErr w:type="spellEnd"/>
            <w:r w:rsidR="00D50E98">
              <w:t xml:space="preserve">: </w:t>
            </w:r>
            <w:proofErr w:type="spellStart"/>
            <w:r w:rsidR="00D50E98">
              <w:t>k</w:t>
            </w:r>
            <w:r w:rsidRPr="00713444">
              <w:t>rijimi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i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masave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për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ruajtjen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konfidencialitetit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dhe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sigurimin</w:t>
            </w:r>
            <w:proofErr w:type="spellEnd"/>
            <w:r w:rsidRPr="00713444">
              <w:t xml:space="preserve"> e </w:t>
            </w:r>
            <w:proofErr w:type="spellStart"/>
            <w:r w:rsidRPr="00713444">
              <w:t>privatësisë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gjatë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gjithë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procedurave</w:t>
            </w:r>
            <w:proofErr w:type="spellEnd"/>
            <w:r w:rsidRPr="00713444">
              <w:t xml:space="preserve"> </w:t>
            </w:r>
            <w:proofErr w:type="spellStart"/>
            <w:r w:rsidRPr="00713444">
              <w:t>penale</w:t>
            </w:r>
            <w:proofErr w:type="spellEnd"/>
            <w:r w:rsidRPr="00713444">
              <w:t>.</w:t>
            </w:r>
          </w:p>
          <w:p w14:paraId="3D0A2177" w14:textId="4D451FA7" w:rsidR="00317D42" w:rsidRPr="00713444" w:rsidRDefault="00317D42" w:rsidP="00713444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Objektivat kryesore që synohen të arrihen:</w:t>
            </w:r>
          </w:p>
          <w:p w14:paraId="41527F03" w14:textId="7C14BAD2" w:rsidR="0068479F" w:rsidRPr="00713444" w:rsidRDefault="00317D42" w:rsidP="00713444">
            <w:pPr>
              <w:spacing w:line="276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• </w:t>
            </w:r>
            <w:r w:rsidR="0068479F"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Përmirësimi i mbrojtjes së të miturve në sistemin e drejtësisë penale: Krijimi i kushteve të duhura për trajtimin e të miturve, duke siguruar që të drejtat e tyre të respektohen gjatë gjithë procedurës penale;</w:t>
            </w:r>
          </w:p>
          <w:p w14:paraId="06F09DB3" w14:textId="12FFFD7D" w:rsidR="00317D42" w:rsidRPr="00713444" w:rsidRDefault="00317D42" w:rsidP="00713444">
            <w:pPr>
              <w:spacing w:line="276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• </w:t>
            </w:r>
            <w:r w:rsidR="0068479F"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Rritja e aftësive profesionale të aktorëve të drejtësisë: Sigurimi i trajnimit të specializuar dhe të vazhdueshëm për profesionistët që merren me çështje që përfshijnë të mitur, si gjyqtarë, prokurorë, oficerë të policisë gjyqësore dhe mbrojtës;</w:t>
            </w:r>
          </w:p>
          <w:p w14:paraId="57DEA1EF" w14:textId="66252906" w:rsidR="00317D42" w:rsidRPr="00713444" w:rsidRDefault="00317D42" w:rsidP="00713444">
            <w:pPr>
              <w:spacing w:line="276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lastRenderedPageBreak/>
              <w:t xml:space="preserve">• </w:t>
            </w:r>
            <w:r w:rsidR="00ED3C9B"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Sigurimi i mbrojtjes së privatësisë dhe sigurisë së informacionit të të miturve: Përcaktimi i masave për ruajtjen e të dhënave personale dhe konfidencialitetin e informacionit që lidhet me të miturit gjatë procedurës penale;</w:t>
            </w:r>
          </w:p>
          <w:p w14:paraId="7A7AF454" w14:textId="1D6C7D81" w:rsidR="001E4573" w:rsidRPr="00713444" w:rsidRDefault="00317D42" w:rsidP="00713444">
            <w:pPr>
              <w:spacing w:line="276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• </w:t>
            </w:r>
            <w:r w:rsidR="00ED3C9B"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Sigurimi i një procesi të drejtë dhe të shpejtë: Përmirësimi i efikasitetit të procesit të drejtësisë për të miturit, me synim që ata të trajtohen me drejtësi, dhe të kenë mundësinë të përfitojnë nga mbrojtja e plotë e të drejtave të tyre</w:t>
            </w:r>
            <w:bookmarkEnd w:id="0"/>
            <w:r w:rsidR="00ED3C9B" w:rsidRPr="00713444">
              <w:rPr>
                <w:rFonts w:ascii="Times New Roman" w:eastAsia="Calibri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F974B7" w:rsidRPr="00713444" w14:paraId="690FB6A0" w14:textId="77777777" w:rsidTr="009F3A30">
        <w:tc>
          <w:tcPr>
            <w:tcW w:w="9212" w:type="dxa"/>
          </w:tcPr>
          <w:p w14:paraId="2E3CAEEE" w14:textId="77777777" w:rsidR="00F974B7" w:rsidRPr="00713444" w:rsidRDefault="00F974B7" w:rsidP="0071344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713444" w:rsidRDefault="008675CA" w:rsidP="00713444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713444" w:rsidRDefault="00E54C97" w:rsidP="00713444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13444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13444" w14:paraId="6F85D1AB" w14:textId="77777777" w:rsidTr="009F3A30">
        <w:tc>
          <w:tcPr>
            <w:tcW w:w="9212" w:type="dxa"/>
          </w:tcPr>
          <w:p w14:paraId="410B064F" w14:textId="77777777" w:rsidR="00092682" w:rsidRPr="00713444" w:rsidRDefault="00092682" w:rsidP="00713444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13444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 janë:</w:t>
            </w:r>
          </w:p>
          <w:p w14:paraId="43295C1D" w14:textId="77777777" w:rsidR="00687303" w:rsidRPr="00687303" w:rsidRDefault="00687303" w:rsidP="00713444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87303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mjaftueshme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mbrojtja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privatësisë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siguria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miturit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gjyqësor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ndihmës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7303">
              <w:rPr>
                <w:rFonts w:ascii="Times New Roman" w:hAnsi="Times New Roman"/>
                <w:sz w:val="24"/>
                <w:szCs w:val="24"/>
              </w:rPr>
              <w:t>juridike</w:t>
            </w:r>
            <w:proofErr w:type="spellEnd"/>
            <w:r w:rsidRPr="0068730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A0FF773" w14:textId="5B93762C" w:rsidR="0068479F" w:rsidRPr="00713444" w:rsidRDefault="0068479F" w:rsidP="00713444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13444">
              <w:rPr>
                <w:rFonts w:ascii="Times New Roman" w:hAnsi="Times New Roman"/>
                <w:sz w:val="24"/>
                <w:szCs w:val="24"/>
                <w:lang w:val="sq-AL"/>
              </w:rPr>
              <w:t>A konsideroni se përdorimi i teknologjisë për regjistrimin audioviziv të marrjes në pyetje dhe përdorimin e mjeteve të tjera të komunikimit për të miturit është një hap i duhur për të mbrojtur të drejtat e t</w:t>
            </w:r>
            <w:r w:rsidR="00ED3C9B" w:rsidRPr="0071344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134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miturve n</w:t>
            </w:r>
            <w:r w:rsidR="00ED3C9B" w:rsidRPr="0071344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134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procesin penal?</w:t>
            </w:r>
          </w:p>
          <w:p w14:paraId="3D4086F2" w14:textId="40E1308A" w:rsidR="004A562E" w:rsidRPr="00713444" w:rsidRDefault="004A562E" w:rsidP="00713444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13444">
              <w:rPr>
                <w:rFonts w:ascii="Times New Roman" w:hAnsi="Times New Roman"/>
                <w:sz w:val="24"/>
                <w:szCs w:val="24"/>
                <w:lang w:val="sq-AL"/>
              </w:rPr>
              <w:t>A ka elementë të tjerë që duhet të përfshihen në projektligj?</w:t>
            </w:r>
          </w:p>
        </w:tc>
      </w:tr>
    </w:tbl>
    <w:p w14:paraId="7BC99291" w14:textId="77777777" w:rsidR="008675CA" w:rsidRPr="007A462A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7A462A" w:rsidRDefault="008675CA" w:rsidP="00B523F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7A462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185E"/>
    <w:multiLevelType w:val="multilevel"/>
    <w:tmpl w:val="1FD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62EE4"/>
    <w:multiLevelType w:val="multilevel"/>
    <w:tmpl w:val="4DDED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A2A1C"/>
    <w:multiLevelType w:val="multilevel"/>
    <w:tmpl w:val="453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A6B11"/>
    <w:multiLevelType w:val="multilevel"/>
    <w:tmpl w:val="8C4E1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D3FB7"/>
    <w:multiLevelType w:val="hybridMultilevel"/>
    <w:tmpl w:val="00A04CD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7443B"/>
    <w:rsid w:val="00085C3F"/>
    <w:rsid w:val="00092682"/>
    <w:rsid w:val="000C405D"/>
    <w:rsid w:val="00103C86"/>
    <w:rsid w:val="00113CD7"/>
    <w:rsid w:val="00144A90"/>
    <w:rsid w:val="001851BF"/>
    <w:rsid w:val="001A367F"/>
    <w:rsid w:val="001A7984"/>
    <w:rsid w:val="001E4573"/>
    <w:rsid w:val="00213058"/>
    <w:rsid w:val="002310D5"/>
    <w:rsid w:val="002477BC"/>
    <w:rsid w:val="0025194A"/>
    <w:rsid w:val="002A4AF6"/>
    <w:rsid w:val="002D2E4B"/>
    <w:rsid w:val="002F29B1"/>
    <w:rsid w:val="00317D42"/>
    <w:rsid w:val="003B4C0F"/>
    <w:rsid w:val="003C4034"/>
    <w:rsid w:val="003F361A"/>
    <w:rsid w:val="004046E2"/>
    <w:rsid w:val="00453FEB"/>
    <w:rsid w:val="00463C25"/>
    <w:rsid w:val="004749A0"/>
    <w:rsid w:val="00486E89"/>
    <w:rsid w:val="004A34AE"/>
    <w:rsid w:val="004A562E"/>
    <w:rsid w:val="004A5D69"/>
    <w:rsid w:val="004B5D68"/>
    <w:rsid w:val="004C5AE2"/>
    <w:rsid w:val="00574E6C"/>
    <w:rsid w:val="005A11D3"/>
    <w:rsid w:val="00621C8F"/>
    <w:rsid w:val="00683913"/>
    <w:rsid w:val="0068479F"/>
    <w:rsid w:val="00687303"/>
    <w:rsid w:val="006A172C"/>
    <w:rsid w:val="00713444"/>
    <w:rsid w:val="00736496"/>
    <w:rsid w:val="007765B7"/>
    <w:rsid w:val="00785430"/>
    <w:rsid w:val="00792314"/>
    <w:rsid w:val="007A462A"/>
    <w:rsid w:val="007B4AD9"/>
    <w:rsid w:val="0082029A"/>
    <w:rsid w:val="008675CA"/>
    <w:rsid w:val="009C5F77"/>
    <w:rsid w:val="00A006AD"/>
    <w:rsid w:val="00A07789"/>
    <w:rsid w:val="00A73EFE"/>
    <w:rsid w:val="00AD4479"/>
    <w:rsid w:val="00B0093C"/>
    <w:rsid w:val="00B024AC"/>
    <w:rsid w:val="00B21675"/>
    <w:rsid w:val="00B523F5"/>
    <w:rsid w:val="00B76E89"/>
    <w:rsid w:val="00B87EE9"/>
    <w:rsid w:val="00B9699A"/>
    <w:rsid w:val="00BD2CC2"/>
    <w:rsid w:val="00C05F86"/>
    <w:rsid w:val="00C45ED8"/>
    <w:rsid w:val="00C64006"/>
    <w:rsid w:val="00CC3D10"/>
    <w:rsid w:val="00D50E98"/>
    <w:rsid w:val="00D61801"/>
    <w:rsid w:val="00DA23C4"/>
    <w:rsid w:val="00DA60A1"/>
    <w:rsid w:val="00DD0BE1"/>
    <w:rsid w:val="00DE1DCB"/>
    <w:rsid w:val="00E42CA5"/>
    <w:rsid w:val="00E51D09"/>
    <w:rsid w:val="00E54C97"/>
    <w:rsid w:val="00EC0831"/>
    <w:rsid w:val="00ED3C9B"/>
    <w:rsid w:val="00F20347"/>
    <w:rsid w:val="00F33BA2"/>
    <w:rsid w:val="00F34765"/>
    <w:rsid w:val="00F378E5"/>
    <w:rsid w:val="00F974B7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29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D3C9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D3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is.Como@drejtesia.gov.a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0CD719731043F0A6F115B20669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5627-92A5-46C0-8144-B9FD5C1786FE}"/>
      </w:docPartPr>
      <w:docPartBody>
        <w:p w:rsidR="004C1CEE" w:rsidRDefault="00D07C26" w:rsidP="00D07C26">
          <w:pPr>
            <w:pStyle w:val="4F0CD719731043F0A6F115B206695FBC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26"/>
    <w:rsid w:val="000B62F4"/>
    <w:rsid w:val="000E55B1"/>
    <w:rsid w:val="0012745E"/>
    <w:rsid w:val="001A4186"/>
    <w:rsid w:val="00247F15"/>
    <w:rsid w:val="00350D6D"/>
    <w:rsid w:val="003A2C85"/>
    <w:rsid w:val="004A033C"/>
    <w:rsid w:val="004C1CEE"/>
    <w:rsid w:val="0056430C"/>
    <w:rsid w:val="005E7CFD"/>
    <w:rsid w:val="00B05F51"/>
    <w:rsid w:val="00CB366B"/>
    <w:rsid w:val="00D07C26"/>
    <w:rsid w:val="00E003A0"/>
    <w:rsid w:val="00E947DE"/>
    <w:rsid w:val="00EC0831"/>
    <w:rsid w:val="00ED5324"/>
    <w:rsid w:val="00F0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C26"/>
    <w:rPr>
      <w:color w:val="808080"/>
    </w:rPr>
  </w:style>
  <w:style w:type="paragraph" w:customStyle="1" w:styleId="4F0CD719731043F0A6F115B206695FBC">
    <w:name w:val="4F0CD719731043F0A6F115B206695FBC"/>
    <w:rsid w:val="00D07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Greis Como</dc:creator>
  <cp:lastModifiedBy>Irena Staka</cp:lastModifiedBy>
  <cp:revision>3</cp:revision>
  <dcterms:created xsi:type="dcterms:W3CDTF">2026-01-07T08:55:00Z</dcterms:created>
  <dcterms:modified xsi:type="dcterms:W3CDTF">2026-01-07T09:05:00Z</dcterms:modified>
</cp:coreProperties>
</file>