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F0C27" w14:textId="77777777" w:rsidR="00A92832" w:rsidRPr="002D3044" w:rsidRDefault="00A92832" w:rsidP="002D3044">
      <w:pPr>
        <w:pStyle w:val="ListParagraph"/>
        <w:contextualSpacing/>
        <w:jc w:val="both"/>
        <w:rPr>
          <w:rFonts w:ascii="Times New Roman" w:hAnsi="Times New Roman"/>
          <w:sz w:val="28"/>
          <w:szCs w:val="28"/>
          <w:lang w:bidi="en-GB"/>
        </w:rPr>
      </w:pPr>
      <w:r w:rsidRPr="002D3044">
        <w:rPr>
          <w:rFonts w:ascii="Times New Roman" w:hAnsi="Times New Roman"/>
          <w:noProof/>
          <w:sz w:val="28"/>
          <w:szCs w:val="28"/>
          <w:lang w:val="en-US"/>
        </w:rPr>
        <w:drawing>
          <wp:inline distT="0" distB="0" distL="0" distR="0" wp14:anchorId="28746A6C" wp14:editId="641E9592">
            <wp:extent cx="5683885" cy="841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204" cy="845193"/>
                    </a:xfrm>
                    <a:prstGeom prst="rect">
                      <a:avLst/>
                    </a:prstGeom>
                    <a:noFill/>
                    <a:ln>
                      <a:noFill/>
                    </a:ln>
                  </pic:spPr>
                </pic:pic>
              </a:graphicData>
            </a:graphic>
          </wp:inline>
        </w:drawing>
      </w:r>
    </w:p>
    <w:p w14:paraId="6116C263" w14:textId="4AA7F053" w:rsidR="00250175" w:rsidRDefault="00250175" w:rsidP="002D3044">
      <w:pPr>
        <w:tabs>
          <w:tab w:val="left" w:pos="1155"/>
        </w:tabs>
        <w:contextualSpacing/>
        <w:jc w:val="both"/>
        <w:rPr>
          <w:rFonts w:ascii="Times New Roman" w:hAnsi="Times New Roman"/>
          <w:b/>
          <w:bCs/>
          <w:sz w:val="28"/>
          <w:szCs w:val="28"/>
        </w:rPr>
      </w:pPr>
    </w:p>
    <w:p w14:paraId="4AD20145" w14:textId="6A33D246" w:rsidR="00A92832" w:rsidRPr="002D3044" w:rsidRDefault="00A92832" w:rsidP="00250175">
      <w:pPr>
        <w:tabs>
          <w:tab w:val="left" w:pos="1155"/>
        </w:tabs>
        <w:contextualSpacing/>
        <w:jc w:val="center"/>
        <w:rPr>
          <w:rFonts w:ascii="Times New Roman" w:hAnsi="Times New Roman"/>
          <w:sz w:val="28"/>
          <w:szCs w:val="28"/>
        </w:rPr>
      </w:pPr>
      <w:r w:rsidRPr="002D3044">
        <w:rPr>
          <w:rFonts w:ascii="Times New Roman" w:hAnsi="Times New Roman"/>
          <w:b/>
          <w:bCs/>
          <w:sz w:val="28"/>
          <w:szCs w:val="28"/>
        </w:rPr>
        <w:t>MINISTRIA E MJEDISIT</w:t>
      </w:r>
    </w:p>
    <w:p w14:paraId="66AF4E66" w14:textId="77777777" w:rsidR="00C3043F" w:rsidRPr="002D3044" w:rsidRDefault="00C3043F" w:rsidP="002D3044">
      <w:pPr>
        <w:contextualSpacing/>
        <w:jc w:val="both"/>
        <w:rPr>
          <w:rFonts w:ascii="Times New Roman" w:hAnsi="Times New Roman"/>
          <w:b/>
          <w:bCs/>
          <w:iCs/>
          <w:sz w:val="28"/>
          <w:szCs w:val="28"/>
          <w:lang w:bidi="en-GB"/>
        </w:rPr>
      </w:pPr>
    </w:p>
    <w:p w14:paraId="5A31CF3E" w14:textId="79EB3889" w:rsidR="00A92832" w:rsidRPr="002D3044" w:rsidRDefault="00A92832" w:rsidP="002D3044">
      <w:pPr>
        <w:contextualSpacing/>
        <w:jc w:val="center"/>
        <w:rPr>
          <w:rFonts w:ascii="Times New Roman" w:hAnsi="Times New Roman"/>
          <w:b/>
          <w:bCs/>
          <w:iCs/>
          <w:sz w:val="28"/>
          <w:szCs w:val="28"/>
          <w:lang w:bidi="en-GB"/>
        </w:rPr>
      </w:pPr>
      <w:r w:rsidRPr="002D3044">
        <w:rPr>
          <w:rFonts w:ascii="Times New Roman" w:hAnsi="Times New Roman"/>
          <w:b/>
          <w:bCs/>
          <w:iCs/>
          <w:sz w:val="28"/>
          <w:szCs w:val="28"/>
          <w:lang w:bidi="en-GB"/>
        </w:rPr>
        <w:t>Raport për rezultatet e konsultim</w:t>
      </w:r>
      <w:r w:rsidR="00C3043F" w:rsidRPr="002D3044">
        <w:rPr>
          <w:rFonts w:ascii="Times New Roman" w:hAnsi="Times New Roman"/>
          <w:b/>
          <w:bCs/>
          <w:iCs/>
          <w:sz w:val="28"/>
          <w:szCs w:val="28"/>
          <w:lang w:bidi="en-GB"/>
        </w:rPr>
        <w:t>it publik</w:t>
      </w:r>
    </w:p>
    <w:p w14:paraId="43E8678C" w14:textId="77777777" w:rsidR="00A92832" w:rsidRPr="002D3044" w:rsidRDefault="00A92832" w:rsidP="002D3044">
      <w:pPr>
        <w:contextualSpacing/>
        <w:jc w:val="both"/>
        <w:rPr>
          <w:rFonts w:ascii="Times New Roman" w:hAnsi="Times New Roman"/>
          <w:sz w:val="28"/>
          <w:szCs w:val="28"/>
        </w:rPr>
      </w:pPr>
    </w:p>
    <w:p w14:paraId="45D94086" w14:textId="77777777" w:rsidR="00A92832" w:rsidRPr="002D3044" w:rsidRDefault="00A92832" w:rsidP="002D3044">
      <w:pPr>
        <w:contextualSpacing/>
        <w:jc w:val="both"/>
        <w:rPr>
          <w:rFonts w:ascii="Times New Roman" w:hAnsi="Times New Roman"/>
          <w:sz w:val="28"/>
          <w:szCs w:val="28"/>
        </w:rPr>
      </w:pPr>
    </w:p>
    <w:p w14:paraId="3A8D2647" w14:textId="44E17769" w:rsidR="00A92832" w:rsidRPr="002D3044" w:rsidRDefault="00A92832" w:rsidP="002D3044">
      <w:pPr>
        <w:pStyle w:val="ListParagraph"/>
        <w:numPr>
          <w:ilvl w:val="0"/>
          <w:numId w:val="1"/>
        </w:numPr>
        <w:contextualSpacing/>
        <w:jc w:val="both"/>
        <w:rPr>
          <w:rFonts w:ascii="Times New Roman" w:hAnsi="Times New Roman"/>
          <w:b/>
          <w:bCs/>
          <w:noProof/>
          <w:sz w:val="28"/>
          <w:szCs w:val="28"/>
        </w:rPr>
      </w:pPr>
      <w:r w:rsidRPr="002D3044">
        <w:rPr>
          <w:rFonts w:ascii="Times New Roman" w:hAnsi="Times New Roman"/>
          <w:b/>
          <w:bCs/>
          <w:noProof/>
          <w:sz w:val="28"/>
          <w:szCs w:val="28"/>
        </w:rPr>
        <w:t xml:space="preserve">Titulli i </w:t>
      </w:r>
      <w:r w:rsidR="008D24E7" w:rsidRPr="002D3044">
        <w:rPr>
          <w:rFonts w:ascii="Times New Roman" w:hAnsi="Times New Roman"/>
          <w:b/>
          <w:bCs/>
          <w:noProof/>
          <w:sz w:val="28"/>
          <w:szCs w:val="28"/>
        </w:rPr>
        <w:t>projekt</w:t>
      </w:r>
      <w:r w:rsidRPr="002D3044">
        <w:rPr>
          <w:rFonts w:ascii="Times New Roman" w:hAnsi="Times New Roman"/>
          <w:b/>
          <w:bCs/>
          <w:noProof/>
          <w:sz w:val="28"/>
          <w:szCs w:val="28"/>
        </w:rPr>
        <w:t xml:space="preserve"> aktit</w:t>
      </w:r>
    </w:p>
    <w:p w14:paraId="54024437" w14:textId="6BC0BF3D" w:rsidR="004A0E97" w:rsidRPr="002D3044" w:rsidRDefault="00237151" w:rsidP="002D3044">
      <w:pPr>
        <w:contextualSpacing/>
        <w:jc w:val="both"/>
        <w:rPr>
          <w:rFonts w:ascii="Times New Roman" w:hAnsi="Times New Roman"/>
          <w:sz w:val="28"/>
          <w:szCs w:val="28"/>
        </w:rPr>
      </w:pPr>
      <w:r w:rsidRPr="002D3044">
        <w:rPr>
          <w:rFonts w:ascii="Times New Roman" w:hAnsi="Times New Roman"/>
          <w:noProof/>
          <w:sz w:val="28"/>
          <w:szCs w:val="28"/>
        </w:rPr>
        <w:t>Projekt</w:t>
      </w:r>
      <w:r w:rsidR="00C150AC" w:rsidRPr="002D3044">
        <w:rPr>
          <w:rFonts w:ascii="Times New Roman" w:hAnsi="Times New Roman"/>
          <w:noProof/>
          <w:sz w:val="28"/>
          <w:szCs w:val="28"/>
        </w:rPr>
        <w:t>vendimi</w:t>
      </w:r>
      <w:r w:rsidR="00D14805" w:rsidRPr="002D3044">
        <w:rPr>
          <w:rFonts w:ascii="Times New Roman" w:hAnsi="Times New Roman"/>
          <w:noProof/>
          <w:sz w:val="28"/>
          <w:szCs w:val="28"/>
        </w:rPr>
        <w:t xml:space="preserve"> </w:t>
      </w:r>
      <w:r w:rsidR="00504AE4" w:rsidRPr="002D3044">
        <w:rPr>
          <w:rFonts w:ascii="Times New Roman" w:hAnsi="Times New Roman"/>
          <w:bCs/>
          <w:iCs/>
          <w:sz w:val="28"/>
          <w:szCs w:val="28"/>
        </w:rPr>
        <w:t xml:space="preserve">“Për </w:t>
      </w:r>
      <w:r w:rsidR="00F3045A" w:rsidRPr="002D3044">
        <w:rPr>
          <w:rFonts w:ascii="Times New Roman" w:hAnsi="Times New Roman"/>
          <w:bCs/>
          <w:iCs/>
          <w:sz w:val="28"/>
          <w:szCs w:val="28"/>
        </w:rPr>
        <w:t>miratimin e Programit Komb</w:t>
      </w:r>
      <w:r w:rsidR="00BD3697" w:rsidRPr="002D3044">
        <w:rPr>
          <w:rFonts w:ascii="Times New Roman" w:hAnsi="Times New Roman"/>
          <w:bCs/>
          <w:iCs/>
          <w:sz w:val="28"/>
          <w:szCs w:val="28"/>
        </w:rPr>
        <w:t>ë</w:t>
      </w:r>
      <w:r w:rsidR="00F3045A" w:rsidRPr="002D3044">
        <w:rPr>
          <w:rFonts w:ascii="Times New Roman" w:hAnsi="Times New Roman"/>
          <w:bCs/>
          <w:iCs/>
          <w:sz w:val="28"/>
          <w:szCs w:val="28"/>
        </w:rPr>
        <w:t>tar t</w:t>
      </w:r>
      <w:r w:rsidR="00BD3697" w:rsidRPr="002D3044">
        <w:rPr>
          <w:rFonts w:ascii="Times New Roman" w:hAnsi="Times New Roman"/>
          <w:bCs/>
          <w:iCs/>
          <w:sz w:val="28"/>
          <w:szCs w:val="28"/>
        </w:rPr>
        <w:t>ë</w:t>
      </w:r>
      <w:r w:rsidR="00F3045A" w:rsidRPr="002D3044">
        <w:rPr>
          <w:rFonts w:ascii="Times New Roman" w:hAnsi="Times New Roman"/>
          <w:bCs/>
          <w:iCs/>
          <w:sz w:val="28"/>
          <w:szCs w:val="28"/>
        </w:rPr>
        <w:t xml:space="preserve"> Parandalimit t</w:t>
      </w:r>
      <w:r w:rsidR="00BD3697" w:rsidRPr="002D3044">
        <w:rPr>
          <w:rFonts w:ascii="Times New Roman" w:hAnsi="Times New Roman"/>
          <w:bCs/>
          <w:iCs/>
          <w:sz w:val="28"/>
          <w:szCs w:val="28"/>
        </w:rPr>
        <w:t>ë</w:t>
      </w:r>
      <w:r w:rsidR="00F3045A" w:rsidRPr="002D3044">
        <w:rPr>
          <w:rFonts w:ascii="Times New Roman" w:hAnsi="Times New Roman"/>
          <w:bCs/>
          <w:iCs/>
          <w:sz w:val="28"/>
          <w:szCs w:val="28"/>
        </w:rPr>
        <w:t xml:space="preserve"> Krijimit të Mbetjeve”</w:t>
      </w:r>
      <w:r w:rsidR="00F15FB4" w:rsidRPr="002D3044">
        <w:rPr>
          <w:rFonts w:ascii="Times New Roman" w:hAnsi="Times New Roman"/>
          <w:bCs/>
          <w:iCs/>
          <w:sz w:val="28"/>
          <w:szCs w:val="28"/>
        </w:rPr>
        <w:t>.</w:t>
      </w:r>
    </w:p>
    <w:p w14:paraId="75FFC453" w14:textId="77777777" w:rsidR="00A92832" w:rsidRPr="002D3044" w:rsidRDefault="00A92832" w:rsidP="002D3044">
      <w:pPr>
        <w:contextualSpacing/>
        <w:jc w:val="both"/>
        <w:rPr>
          <w:rFonts w:ascii="Times New Roman" w:hAnsi="Times New Roman"/>
          <w:b/>
          <w:bCs/>
          <w:noProof/>
          <w:sz w:val="28"/>
          <w:szCs w:val="28"/>
        </w:rPr>
      </w:pPr>
    </w:p>
    <w:p w14:paraId="701B95E4" w14:textId="6C5CDFA8" w:rsidR="00A92832" w:rsidRPr="00FB1B86" w:rsidRDefault="00A92832" w:rsidP="002D3044">
      <w:pPr>
        <w:pStyle w:val="ListParagraph"/>
        <w:numPr>
          <w:ilvl w:val="0"/>
          <w:numId w:val="1"/>
        </w:numPr>
        <w:contextualSpacing/>
        <w:jc w:val="both"/>
        <w:rPr>
          <w:rFonts w:ascii="Times New Roman" w:hAnsi="Times New Roman"/>
          <w:iCs/>
          <w:noProof/>
          <w:sz w:val="28"/>
          <w:szCs w:val="28"/>
        </w:rPr>
      </w:pPr>
      <w:r w:rsidRPr="002D3044">
        <w:rPr>
          <w:rFonts w:ascii="Times New Roman" w:hAnsi="Times New Roman"/>
          <w:b/>
          <w:bCs/>
          <w:noProof/>
          <w:sz w:val="28"/>
          <w:szCs w:val="28"/>
        </w:rPr>
        <w:t>Kohëzgjatja e konsultimeve</w:t>
      </w:r>
    </w:p>
    <w:p w14:paraId="41FD1050" w14:textId="77777777" w:rsidR="00FB1B86" w:rsidRPr="002D3044" w:rsidRDefault="00FB1B86" w:rsidP="00FB1B86">
      <w:pPr>
        <w:pStyle w:val="ListParagraph"/>
        <w:ind w:left="720" w:firstLine="0"/>
        <w:contextualSpacing/>
        <w:jc w:val="both"/>
        <w:rPr>
          <w:rFonts w:ascii="Times New Roman" w:hAnsi="Times New Roman"/>
          <w:iCs/>
          <w:noProof/>
          <w:sz w:val="28"/>
          <w:szCs w:val="28"/>
        </w:rPr>
      </w:pPr>
    </w:p>
    <w:p w14:paraId="76BBB495" w14:textId="77777777" w:rsidR="006661A0" w:rsidRPr="002D3044" w:rsidRDefault="006661A0" w:rsidP="002D3044">
      <w:pPr>
        <w:contextualSpacing/>
        <w:jc w:val="both"/>
        <w:rPr>
          <w:rFonts w:ascii="Times New Roman" w:hAnsi="Times New Roman"/>
          <w:i/>
          <w:color w:val="000000"/>
          <w:sz w:val="28"/>
          <w:szCs w:val="28"/>
        </w:rPr>
      </w:pPr>
      <w:r w:rsidRPr="002D3044">
        <w:rPr>
          <w:rFonts w:ascii="Times New Roman" w:hAnsi="Times New Roman"/>
          <w:i/>
          <w:color w:val="000000"/>
          <w:sz w:val="28"/>
          <w:szCs w:val="28"/>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bookmarkStart w:id="0" w:name="_GoBack"/>
      <w:bookmarkEnd w:id="0"/>
    </w:p>
    <w:p w14:paraId="2028840C" w14:textId="77777777" w:rsidR="00F3045A" w:rsidRPr="002D3044" w:rsidRDefault="00F3045A" w:rsidP="002D3044">
      <w:pPr>
        <w:contextualSpacing/>
        <w:jc w:val="both"/>
        <w:rPr>
          <w:rFonts w:ascii="Times New Roman" w:hAnsi="Times New Roman"/>
          <w:i/>
          <w:color w:val="000000"/>
          <w:sz w:val="28"/>
          <w:szCs w:val="28"/>
        </w:rPr>
      </w:pPr>
    </w:p>
    <w:p w14:paraId="7AC367C1" w14:textId="77777777" w:rsidR="00FB1B86" w:rsidRDefault="001E2CDE" w:rsidP="002D3044">
      <w:pPr>
        <w:contextualSpacing/>
        <w:jc w:val="both"/>
        <w:rPr>
          <w:rFonts w:ascii="Times New Roman" w:hAnsi="Times New Roman"/>
          <w:iCs/>
          <w:color w:val="000000"/>
          <w:sz w:val="28"/>
          <w:szCs w:val="28"/>
        </w:rPr>
      </w:pPr>
      <w:r w:rsidRPr="002D3044">
        <w:rPr>
          <w:rFonts w:ascii="Times New Roman" w:hAnsi="Times New Roman"/>
          <w:iCs/>
          <w:color w:val="000000"/>
          <w:sz w:val="28"/>
          <w:szCs w:val="28"/>
        </w:rPr>
        <w:t>P</w:t>
      </w:r>
      <w:r w:rsidR="00F3045A" w:rsidRPr="002D3044">
        <w:rPr>
          <w:rFonts w:ascii="Times New Roman" w:hAnsi="Times New Roman"/>
          <w:iCs/>
          <w:color w:val="000000"/>
          <w:sz w:val="28"/>
          <w:szCs w:val="28"/>
        </w:rPr>
        <w:t>rojektvendimi “P</w:t>
      </w:r>
      <w:r w:rsidR="00BD3697" w:rsidRPr="002D3044">
        <w:rPr>
          <w:rFonts w:ascii="Times New Roman" w:hAnsi="Times New Roman"/>
          <w:iCs/>
          <w:color w:val="000000"/>
          <w:sz w:val="28"/>
          <w:szCs w:val="28"/>
        </w:rPr>
        <w:t>ë</w:t>
      </w:r>
      <w:r w:rsidR="00F3045A" w:rsidRPr="002D3044">
        <w:rPr>
          <w:rFonts w:ascii="Times New Roman" w:hAnsi="Times New Roman"/>
          <w:iCs/>
          <w:color w:val="000000"/>
          <w:sz w:val="28"/>
          <w:szCs w:val="28"/>
        </w:rPr>
        <w:t xml:space="preserve">r miratimin e Programit Kombëtar të Parandalimit të Krijimit të Mbetjeve” u </w:t>
      </w:r>
      <w:r w:rsidRPr="002D3044">
        <w:rPr>
          <w:rFonts w:ascii="Times New Roman" w:hAnsi="Times New Roman"/>
          <w:iCs/>
          <w:color w:val="000000"/>
          <w:sz w:val="28"/>
          <w:szCs w:val="28"/>
        </w:rPr>
        <w:t>hartua</w:t>
      </w:r>
      <w:r w:rsidR="00F3045A" w:rsidRPr="002D3044">
        <w:rPr>
          <w:rFonts w:ascii="Times New Roman" w:hAnsi="Times New Roman"/>
          <w:iCs/>
          <w:color w:val="000000"/>
          <w:sz w:val="28"/>
          <w:szCs w:val="28"/>
        </w:rPr>
        <w:t xml:space="preserve"> me mbështetjen e Organizatës Gjermane për Bashkëpunim Teknik në Shqipëri (GIZ) si dhe specialistë të mjedisit pranë </w:t>
      </w:r>
      <w:r w:rsidR="00F15FB4" w:rsidRPr="002D3044">
        <w:rPr>
          <w:rFonts w:ascii="Times New Roman" w:hAnsi="Times New Roman"/>
          <w:iCs/>
          <w:color w:val="000000"/>
          <w:sz w:val="28"/>
          <w:szCs w:val="28"/>
        </w:rPr>
        <w:t xml:space="preserve">Drejtorisë së Menaxhimit të Integruar të Mbetjeve në </w:t>
      </w:r>
      <w:r w:rsidR="00F3045A" w:rsidRPr="002D3044">
        <w:rPr>
          <w:rFonts w:ascii="Times New Roman" w:hAnsi="Times New Roman"/>
          <w:iCs/>
          <w:color w:val="000000"/>
          <w:sz w:val="28"/>
          <w:szCs w:val="28"/>
        </w:rPr>
        <w:t>Ministri</w:t>
      </w:r>
      <w:r w:rsidR="00F15FB4" w:rsidRPr="002D3044">
        <w:rPr>
          <w:rFonts w:ascii="Times New Roman" w:hAnsi="Times New Roman"/>
          <w:iCs/>
          <w:color w:val="000000"/>
          <w:sz w:val="28"/>
          <w:szCs w:val="28"/>
        </w:rPr>
        <w:t>n</w:t>
      </w:r>
      <w:r w:rsidR="00F3045A" w:rsidRPr="002D3044">
        <w:rPr>
          <w:rFonts w:ascii="Times New Roman" w:hAnsi="Times New Roman"/>
          <w:iCs/>
          <w:color w:val="000000"/>
          <w:sz w:val="28"/>
          <w:szCs w:val="28"/>
        </w:rPr>
        <w:t xml:space="preserve">ë </w:t>
      </w:r>
      <w:r w:rsidR="00F15FB4" w:rsidRPr="002D3044">
        <w:rPr>
          <w:rFonts w:ascii="Times New Roman" w:hAnsi="Times New Roman"/>
          <w:iCs/>
          <w:color w:val="000000"/>
          <w:sz w:val="28"/>
          <w:szCs w:val="28"/>
        </w:rPr>
        <w:t>e</w:t>
      </w:r>
      <w:r w:rsidR="00F3045A" w:rsidRPr="002D3044">
        <w:rPr>
          <w:rFonts w:ascii="Times New Roman" w:hAnsi="Times New Roman"/>
          <w:iCs/>
          <w:color w:val="000000"/>
          <w:sz w:val="28"/>
          <w:szCs w:val="28"/>
        </w:rPr>
        <w:t xml:space="preserve"> Mjedisit duke u ko</w:t>
      </w:r>
      <w:r w:rsidR="00FB1B86">
        <w:rPr>
          <w:rFonts w:ascii="Times New Roman" w:hAnsi="Times New Roman"/>
          <w:iCs/>
          <w:color w:val="000000"/>
          <w:sz w:val="28"/>
          <w:szCs w:val="28"/>
        </w:rPr>
        <w:t>nsultuar me grupet e interesit.</w:t>
      </w:r>
    </w:p>
    <w:p w14:paraId="320DF5B9" w14:textId="77777777" w:rsidR="00FB1B86" w:rsidRDefault="00FB1B86" w:rsidP="002D3044">
      <w:pPr>
        <w:contextualSpacing/>
        <w:jc w:val="both"/>
        <w:rPr>
          <w:rFonts w:ascii="Times New Roman" w:hAnsi="Times New Roman"/>
          <w:iCs/>
          <w:color w:val="000000"/>
          <w:sz w:val="28"/>
          <w:szCs w:val="28"/>
        </w:rPr>
      </w:pPr>
    </w:p>
    <w:p w14:paraId="3F64857A" w14:textId="204FD793" w:rsidR="00F3045A" w:rsidRPr="002D3044" w:rsidRDefault="00F3045A" w:rsidP="002D3044">
      <w:pPr>
        <w:contextualSpacing/>
        <w:jc w:val="both"/>
        <w:rPr>
          <w:rFonts w:ascii="Times New Roman" w:hAnsi="Times New Roman"/>
          <w:iCs/>
          <w:color w:val="000000"/>
          <w:sz w:val="28"/>
          <w:szCs w:val="28"/>
        </w:rPr>
      </w:pPr>
      <w:r w:rsidRPr="002D3044">
        <w:rPr>
          <w:rFonts w:ascii="Times New Roman" w:hAnsi="Times New Roman"/>
          <w:iCs/>
          <w:color w:val="000000"/>
          <w:sz w:val="28"/>
          <w:szCs w:val="28"/>
        </w:rPr>
        <w:t>Në fazën e parë të hartimit të draftit të programit, në përputhje me</w:t>
      </w:r>
      <w:r w:rsidR="00F15FB4" w:rsidRPr="002D3044">
        <w:rPr>
          <w:rFonts w:ascii="Times New Roman" w:hAnsi="Times New Roman"/>
          <w:iCs/>
          <w:color w:val="000000"/>
          <w:sz w:val="28"/>
          <w:szCs w:val="28"/>
        </w:rPr>
        <w:t xml:space="preserve"> parashikimet ligjore,</w:t>
      </w:r>
      <w:r w:rsidRPr="002D3044">
        <w:rPr>
          <w:rFonts w:ascii="Times New Roman" w:hAnsi="Times New Roman"/>
          <w:iCs/>
          <w:color w:val="000000"/>
          <w:sz w:val="28"/>
          <w:szCs w:val="28"/>
        </w:rPr>
        <w:t xml:space="preserve"> objektivat dhe parimet e mbrojtjes së mjedisit, n</w:t>
      </w:r>
      <w:r w:rsidR="00BD3697" w:rsidRPr="002D3044">
        <w:rPr>
          <w:rFonts w:ascii="Times New Roman" w:hAnsi="Times New Roman"/>
          <w:iCs/>
          <w:color w:val="000000"/>
          <w:sz w:val="28"/>
          <w:szCs w:val="28"/>
        </w:rPr>
        <w:t>ë</w:t>
      </w:r>
      <w:r w:rsidRPr="002D3044">
        <w:rPr>
          <w:rFonts w:ascii="Times New Roman" w:hAnsi="Times New Roman"/>
          <w:iCs/>
          <w:color w:val="000000"/>
          <w:sz w:val="28"/>
          <w:szCs w:val="28"/>
        </w:rPr>
        <w:t xml:space="preserve"> dhjetor t</w:t>
      </w:r>
      <w:r w:rsidR="00BD3697" w:rsidRPr="002D3044">
        <w:rPr>
          <w:rFonts w:ascii="Times New Roman" w:hAnsi="Times New Roman"/>
          <w:iCs/>
          <w:color w:val="000000"/>
          <w:sz w:val="28"/>
          <w:szCs w:val="28"/>
        </w:rPr>
        <w:t>ë</w:t>
      </w:r>
      <w:r w:rsidRPr="002D3044">
        <w:rPr>
          <w:rFonts w:ascii="Times New Roman" w:hAnsi="Times New Roman"/>
          <w:iCs/>
          <w:color w:val="000000"/>
          <w:sz w:val="28"/>
          <w:szCs w:val="28"/>
        </w:rPr>
        <w:t xml:space="preserve"> vitit 2025</w:t>
      </w:r>
      <w:r w:rsidR="00BB712B">
        <w:rPr>
          <w:rFonts w:ascii="Times New Roman" w:hAnsi="Times New Roman"/>
          <w:iCs/>
          <w:color w:val="000000"/>
          <w:sz w:val="28"/>
          <w:szCs w:val="28"/>
        </w:rPr>
        <w:t>,</w:t>
      </w:r>
      <w:r w:rsidR="00BB712B" w:rsidRPr="00BB712B">
        <w:rPr>
          <w:rFonts w:ascii="Times New Roman" w:hAnsi="Times New Roman"/>
          <w:iCs/>
          <w:color w:val="000000"/>
          <w:sz w:val="28"/>
          <w:szCs w:val="28"/>
        </w:rPr>
        <w:t xml:space="preserve"> </w:t>
      </w:r>
      <w:r w:rsidR="00BB712B" w:rsidRPr="002D3044">
        <w:rPr>
          <w:rFonts w:ascii="Times New Roman" w:hAnsi="Times New Roman"/>
          <w:iCs/>
          <w:color w:val="000000"/>
          <w:sz w:val="28"/>
          <w:szCs w:val="28"/>
        </w:rPr>
        <w:t>projektvendimi</w:t>
      </w:r>
      <w:r w:rsidRPr="002D3044">
        <w:rPr>
          <w:rFonts w:ascii="Times New Roman" w:hAnsi="Times New Roman"/>
          <w:iCs/>
          <w:color w:val="000000"/>
          <w:sz w:val="28"/>
          <w:szCs w:val="28"/>
        </w:rPr>
        <w:t xml:space="preserve"> </w:t>
      </w:r>
      <w:r w:rsidR="00BB712B">
        <w:rPr>
          <w:rFonts w:ascii="Times New Roman" w:hAnsi="Times New Roman"/>
          <w:iCs/>
          <w:color w:val="000000"/>
          <w:sz w:val="28"/>
          <w:szCs w:val="28"/>
        </w:rPr>
        <w:t>i</w:t>
      </w:r>
      <w:r w:rsidR="00F15FB4" w:rsidRPr="002D3044">
        <w:rPr>
          <w:rFonts w:ascii="Times New Roman" w:hAnsi="Times New Roman"/>
          <w:iCs/>
          <w:color w:val="000000"/>
          <w:sz w:val="28"/>
          <w:szCs w:val="28"/>
        </w:rPr>
        <w:t>u</w:t>
      </w:r>
      <w:r w:rsidRPr="002D3044">
        <w:rPr>
          <w:rFonts w:ascii="Times New Roman" w:hAnsi="Times New Roman"/>
          <w:iCs/>
          <w:color w:val="000000"/>
          <w:sz w:val="28"/>
          <w:szCs w:val="28"/>
        </w:rPr>
        <w:t xml:space="preserve"> dërgua për mendim në rrugë elektronike ministrive të linjës dhe agjencive si dhe njësive të vetëqeverisjes vendore.</w:t>
      </w:r>
    </w:p>
    <w:p w14:paraId="7E98E2DB" w14:textId="77777777" w:rsidR="000D4D5A" w:rsidRPr="002D3044" w:rsidRDefault="000D4D5A" w:rsidP="002D3044">
      <w:pPr>
        <w:contextualSpacing/>
        <w:jc w:val="both"/>
        <w:rPr>
          <w:rFonts w:ascii="Times New Roman" w:hAnsi="Times New Roman"/>
          <w:iCs/>
          <w:noProof/>
          <w:sz w:val="28"/>
          <w:szCs w:val="28"/>
        </w:rPr>
      </w:pPr>
    </w:p>
    <w:p w14:paraId="207103AD" w14:textId="625F1D22" w:rsidR="00FF1177" w:rsidRPr="002D3044" w:rsidRDefault="00BB712B" w:rsidP="002D3044">
      <w:pPr>
        <w:contextualSpacing/>
        <w:jc w:val="both"/>
        <w:rPr>
          <w:rFonts w:ascii="Times New Roman" w:hAnsi="Times New Roman"/>
          <w:noProof/>
          <w:sz w:val="28"/>
          <w:szCs w:val="28"/>
        </w:rPr>
      </w:pPr>
      <w:r>
        <w:rPr>
          <w:rFonts w:ascii="Times New Roman" w:hAnsi="Times New Roman"/>
          <w:iCs/>
          <w:noProof/>
          <w:sz w:val="28"/>
          <w:szCs w:val="28"/>
        </w:rPr>
        <w:t>Gjithashtu,</w:t>
      </w:r>
      <w:r w:rsidR="00F3045A" w:rsidRPr="002D3044">
        <w:rPr>
          <w:rFonts w:ascii="Times New Roman" w:hAnsi="Times New Roman"/>
          <w:iCs/>
          <w:noProof/>
          <w:sz w:val="28"/>
          <w:szCs w:val="28"/>
        </w:rPr>
        <w:t xml:space="preserve"> p</w:t>
      </w:r>
      <w:r w:rsidR="00CA58C8" w:rsidRPr="002D3044">
        <w:rPr>
          <w:rFonts w:ascii="Times New Roman" w:hAnsi="Times New Roman"/>
          <w:iCs/>
          <w:noProof/>
          <w:sz w:val="28"/>
          <w:szCs w:val="28"/>
        </w:rPr>
        <w:t>rojekt</w:t>
      </w:r>
      <w:r w:rsidR="004D6AEC" w:rsidRPr="002D3044">
        <w:rPr>
          <w:rFonts w:ascii="Times New Roman" w:hAnsi="Times New Roman"/>
          <w:iCs/>
          <w:noProof/>
          <w:sz w:val="28"/>
          <w:szCs w:val="28"/>
        </w:rPr>
        <w:t>vendimi</w:t>
      </w:r>
      <w:r w:rsidR="00CA58C8" w:rsidRPr="002D3044">
        <w:rPr>
          <w:rFonts w:ascii="Times New Roman" w:hAnsi="Times New Roman"/>
          <w:iCs/>
          <w:noProof/>
          <w:sz w:val="28"/>
          <w:szCs w:val="28"/>
        </w:rPr>
        <w:t xml:space="preserve"> </w:t>
      </w:r>
      <w:r w:rsidR="00F3045A" w:rsidRPr="002D3044">
        <w:rPr>
          <w:rFonts w:ascii="Times New Roman" w:hAnsi="Times New Roman"/>
          <w:iCs/>
          <w:color w:val="000000"/>
          <w:sz w:val="28"/>
          <w:szCs w:val="28"/>
        </w:rPr>
        <w:t>“P</w:t>
      </w:r>
      <w:r w:rsidR="00BD3697" w:rsidRPr="002D3044">
        <w:rPr>
          <w:rFonts w:ascii="Times New Roman" w:hAnsi="Times New Roman"/>
          <w:iCs/>
          <w:color w:val="000000"/>
          <w:sz w:val="28"/>
          <w:szCs w:val="28"/>
        </w:rPr>
        <w:t>ë</w:t>
      </w:r>
      <w:r w:rsidR="00F3045A" w:rsidRPr="002D3044">
        <w:rPr>
          <w:rFonts w:ascii="Times New Roman" w:hAnsi="Times New Roman"/>
          <w:iCs/>
          <w:color w:val="000000"/>
          <w:sz w:val="28"/>
          <w:szCs w:val="28"/>
        </w:rPr>
        <w:t xml:space="preserve">r miratimin e Programit Kombëtar të Parandalimit të Krijimit të Mbetjeve” </w:t>
      </w:r>
      <w:r w:rsidR="00CA58C8" w:rsidRPr="002D3044">
        <w:rPr>
          <w:rFonts w:ascii="Times New Roman" w:hAnsi="Times New Roman"/>
          <w:iCs/>
          <w:noProof/>
          <w:sz w:val="28"/>
          <w:szCs w:val="28"/>
        </w:rPr>
        <w:t>i</w:t>
      </w:r>
      <w:r w:rsidR="00F15FB4" w:rsidRPr="002D3044">
        <w:rPr>
          <w:rFonts w:ascii="Times New Roman" w:hAnsi="Times New Roman"/>
          <w:iCs/>
          <w:noProof/>
          <w:sz w:val="28"/>
          <w:szCs w:val="28"/>
        </w:rPr>
        <w:t>u</w:t>
      </w:r>
      <w:r w:rsidR="00CA58C8" w:rsidRPr="002D3044">
        <w:rPr>
          <w:rFonts w:ascii="Times New Roman" w:hAnsi="Times New Roman"/>
          <w:iCs/>
          <w:noProof/>
          <w:sz w:val="28"/>
          <w:szCs w:val="28"/>
        </w:rPr>
        <w:t xml:space="preserve"> nënshtrua procesit të konsultimit publik nëpërmjet publikimit në regjistrin elektronik të njoftimit dhe konsultimit publik (RENJKP)</w:t>
      </w:r>
      <w:bookmarkStart w:id="1" w:name="_Hlk193898325"/>
      <w:r w:rsidR="00FF1177" w:rsidRPr="002D3044">
        <w:rPr>
          <w:rFonts w:ascii="Times New Roman" w:hAnsi="Times New Roman"/>
          <w:iCs/>
          <w:noProof/>
          <w:sz w:val="28"/>
          <w:szCs w:val="28"/>
        </w:rPr>
        <w:t xml:space="preserve">, nga data </w:t>
      </w:r>
      <w:r w:rsidR="00F96756" w:rsidRPr="002D3044">
        <w:rPr>
          <w:rFonts w:ascii="Times New Roman" w:hAnsi="Times New Roman"/>
          <w:iCs/>
          <w:noProof/>
          <w:sz w:val="28"/>
          <w:szCs w:val="28"/>
        </w:rPr>
        <w:t xml:space="preserve">15.12.2025 </w:t>
      </w:r>
      <w:r w:rsidR="00D45A39" w:rsidRPr="002D3044">
        <w:rPr>
          <w:rFonts w:ascii="Times New Roman" w:hAnsi="Times New Roman"/>
          <w:iCs/>
          <w:noProof/>
          <w:sz w:val="28"/>
          <w:szCs w:val="28"/>
        </w:rPr>
        <w:t>deri n</w:t>
      </w:r>
      <w:r w:rsidR="00677043" w:rsidRPr="002D3044">
        <w:rPr>
          <w:rFonts w:ascii="Times New Roman" w:hAnsi="Times New Roman"/>
          <w:iCs/>
          <w:noProof/>
          <w:sz w:val="28"/>
          <w:szCs w:val="28"/>
        </w:rPr>
        <w:t>ë</w:t>
      </w:r>
      <w:r w:rsidR="00D45A39" w:rsidRPr="002D3044">
        <w:rPr>
          <w:rFonts w:ascii="Times New Roman" w:hAnsi="Times New Roman"/>
          <w:iCs/>
          <w:noProof/>
          <w:sz w:val="28"/>
          <w:szCs w:val="28"/>
        </w:rPr>
        <w:t xml:space="preserve"> </w:t>
      </w:r>
      <w:r w:rsidR="00FF1177" w:rsidRPr="002D3044">
        <w:rPr>
          <w:rFonts w:ascii="Times New Roman" w:hAnsi="Times New Roman"/>
          <w:iCs/>
          <w:noProof/>
          <w:sz w:val="28"/>
          <w:szCs w:val="28"/>
        </w:rPr>
        <w:t xml:space="preserve">datë </w:t>
      </w:r>
      <w:r w:rsidR="00F96756" w:rsidRPr="002D3044">
        <w:rPr>
          <w:rFonts w:ascii="Times New Roman" w:hAnsi="Times New Roman"/>
          <w:iCs/>
          <w:noProof/>
          <w:sz w:val="28"/>
          <w:szCs w:val="28"/>
        </w:rPr>
        <w:t>15</w:t>
      </w:r>
      <w:r w:rsidR="00215E34" w:rsidRPr="002D3044">
        <w:rPr>
          <w:rFonts w:ascii="Times New Roman" w:hAnsi="Times New Roman"/>
          <w:iCs/>
          <w:noProof/>
          <w:sz w:val="28"/>
          <w:szCs w:val="28"/>
        </w:rPr>
        <w:t>.</w:t>
      </w:r>
      <w:r w:rsidR="00F96756" w:rsidRPr="002D3044">
        <w:rPr>
          <w:rFonts w:ascii="Times New Roman" w:hAnsi="Times New Roman"/>
          <w:iCs/>
          <w:noProof/>
          <w:sz w:val="28"/>
          <w:szCs w:val="28"/>
        </w:rPr>
        <w:t>1</w:t>
      </w:r>
      <w:r w:rsidR="00215A59" w:rsidRPr="002D3044">
        <w:rPr>
          <w:rFonts w:ascii="Times New Roman" w:hAnsi="Times New Roman"/>
          <w:iCs/>
          <w:noProof/>
          <w:sz w:val="28"/>
          <w:szCs w:val="28"/>
        </w:rPr>
        <w:t>.202</w:t>
      </w:r>
      <w:r w:rsidR="00F96756" w:rsidRPr="002D3044">
        <w:rPr>
          <w:rFonts w:ascii="Times New Roman" w:hAnsi="Times New Roman"/>
          <w:iCs/>
          <w:noProof/>
          <w:sz w:val="28"/>
          <w:szCs w:val="28"/>
        </w:rPr>
        <w:t>6</w:t>
      </w:r>
      <w:r w:rsidR="00215E34" w:rsidRPr="002D3044">
        <w:rPr>
          <w:rFonts w:ascii="Times New Roman" w:hAnsi="Times New Roman"/>
          <w:noProof/>
          <w:sz w:val="28"/>
          <w:szCs w:val="28"/>
        </w:rPr>
        <w:t xml:space="preserve">. </w:t>
      </w:r>
      <w:r w:rsidR="00D45A39" w:rsidRPr="002D3044">
        <w:rPr>
          <w:rFonts w:ascii="Times New Roman" w:hAnsi="Times New Roman"/>
          <w:noProof/>
          <w:sz w:val="28"/>
          <w:szCs w:val="28"/>
        </w:rPr>
        <w:t>Ka patur</w:t>
      </w:r>
      <w:r w:rsidR="00F15FB4" w:rsidRPr="002D3044">
        <w:rPr>
          <w:rFonts w:ascii="Times New Roman" w:hAnsi="Times New Roman"/>
          <w:noProof/>
          <w:sz w:val="28"/>
          <w:szCs w:val="28"/>
        </w:rPr>
        <w:t xml:space="preserve"> në total</w:t>
      </w:r>
      <w:r w:rsidR="00D45A39" w:rsidRPr="002D3044">
        <w:rPr>
          <w:rFonts w:ascii="Times New Roman" w:hAnsi="Times New Roman"/>
          <w:noProof/>
          <w:sz w:val="28"/>
          <w:szCs w:val="28"/>
        </w:rPr>
        <w:t xml:space="preserve"> </w:t>
      </w:r>
      <w:r w:rsidR="00F96756" w:rsidRPr="002D3044">
        <w:rPr>
          <w:rFonts w:ascii="Times New Roman" w:hAnsi="Times New Roman"/>
          <w:noProof/>
          <w:sz w:val="28"/>
          <w:szCs w:val="28"/>
        </w:rPr>
        <w:t>333</w:t>
      </w:r>
      <w:r w:rsidR="00D45A39" w:rsidRPr="002D3044">
        <w:rPr>
          <w:rFonts w:ascii="Times New Roman" w:hAnsi="Times New Roman"/>
          <w:noProof/>
          <w:sz w:val="28"/>
          <w:szCs w:val="28"/>
        </w:rPr>
        <w:t xml:space="preserve"> shikime dhe </w:t>
      </w:r>
      <w:r w:rsidR="00F96756" w:rsidRPr="002D3044">
        <w:rPr>
          <w:rFonts w:ascii="Times New Roman" w:hAnsi="Times New Roman"/>
          <w:noProof/>
          <w:sz w:val="28"/>
          <w:szCs w:val="28"/>
        </w:rPr>
        <w:t>disa</w:t>
      </w:r>
      <w:r w:rsidR="00D45A39" w:rsidRPr="002D3044">
        <w:rPr>
          <w:rFonts w:ascii="Times New Roman" w:hAnsi="Times New Roman"/>
          <w:noProof/>
          <w:sz w:val="28"/>
          <w:szCs w:val="28"/>
        </w:rPr>
        <w:t xml:space="preserve"> koment</w:t>
      </w:r>
      <w:r w:rsidR="00F96756" w:rsidRPr="002D3044">
        <w:rPr>
          <w:rFonts w:ascii="Times New Roman" w:hAnsi="Times New Roman"/>
          <w:noProof/>
          <w:sz w:val="28"/>
          <w:szCs w:val="28"/>
        </w:rPr>
        <w:t>e</w:t>
      </w:r>
      <w:r w:rsidR="00D45A39" w:rsidRPr="002D3044">
        <w:rPr>
          <w:rFonts w:ascii="Times New Roman" w:hAnsi="Times New Roman"/>
          <w:noProof/>
          <w:sz w:val="28"/>
          <w:szCs w:val="28"/>
        </w:rPr>
        <w:t xml:space="preserve"> t</w:t>
      </w:r>
      <w:r w:rsidR="00677043" w:rsidRPr="002D3044">
        <w:rPr>
          <w:rFonts w:ascii="Times New Roman" w:hAnsi="Times New Roman"/>
          <w:noProof/>
          <w:sz w:val="28"/>
          <w:szCs w:val="28"/>
        </w:rPr>
        <w:t>ë</w:t>
      </w:r>
      <w:r w:rsidR="00D45A39" w:rsidRPr="002D3044">
        <w:rPr>
          <w:rFonts w:ascii="Times New Roman" w:hAnsi="Times New Roman"/>
          <w:noProof/>
          <w:sz w:val="28"/>
          <w:szCs w:val="28"/>
        </w:rPr>
        <w:t xml:space="preserve"> regjistruar</w:t>
      </w:r>
      <w:r w:rsidR="00F96756" w:rsidRPr="002D3044">
        <w:rPr>
          <w:rFonts w:ascii="Times New Roman" w:hAnsi="Times New Roman"/>
          <w:noProof/>
          <w:sz w:val="28"/>
          <w:szCs w:val="28"/>
        </w:rPr>
        <w:t>a</w:t>
      </w:r>
      <w:r w:rsidR="00D45A39" w:rsidRPr="002D3044">
        <w:rPr>
          <w:rFonts w:ascii="Times New Roman" w:hAnsi="Times New Roman"/>
          <w:noProof/>
          <w:sz w:val="28"/>
          <w:szCs w:val="28"/>
        </w:rPr>
        <w:t xml:space="preserve"> n</w:t>
      </w:r>
      <w:r w:rsidR="00677043" w:rsidRPr="002D3044">
        <w:rPr>
          <w:rFonts w:ascii="Times New Roman" w:hAnsi="Times New Roman"/>
          <w:noProof/>
          <w:sz w:val="28"/>
          <w:szCs w:val="28"/>
        </w:rPr>
        <w:t>ë</w:t>
      </w:r>
      <w:r w:rsidR="00D45A39" w:rsidRPr="002D3044">
        <w:rPr>
          <w:rFonts w:ascii="Times New Roman" w:hAnsi="Times New Roman"/>
          <w:noProof/>
          <w:sz w:val="28"/>
          <w:szCs w:val="28"/>
        </w:rPr>
        <w:t xml:space="preserve"> RENJKP,</w:t>
      </w:r>
      <w:r w:rsidR="00227812" w:rsidRPr="002D3044">
        <w:rPr>
          <w:rFonts w:ascii="Times New Roman" w:hAnsi="Times New Roman"/>
          <w:noProof/>
          <w:sz w:val="28"/>
          <w:szCs w:val="28"/>
        </w:rPr>
        <w:t xml:space="preserve"> </w:t>
      </w:r>
      <w:r w:rsidR="00F15FB4" w:rsidRPr="002D3044">
        <w:rPr>
          <w:rFonts w:ascii="Times New Roman" w:hAnsi="Times New Roman"/>
          <w:noProof/>
          <w:sz w:val="28"/>
          <w:szCs w:val="28"/>
        </w:rPr>
        <w:t xml:space="preserve">të renditura si </w:t>
      </w:r>
      <w:r w:rsidR="00D45A39" w:rsidRPr="002D3044">
        <w:rPr>
          <w:rFonts w:ascii="Times New Roman" w:hAnsi="Times New Roman"/>
          <w:noProof/>
          <w:sz w:val="28"/>
          <w:szCs w:val="28"/>
        </w:rPr>
        <w:t>m</w:t>
      </w:r>
      <w:r w:rsidR="00677043" w:rsidRPr="002D3044">
        <w:rPr>
          <w:rFonts w:ascii="Times New Roman" w:hAnsi="Times New Roman"/>
          <w:noProof/>
          <w:sz w:val="28"/>
          <w:szCs w:val="28"/>
        </w:rPr>
        <w:t>ë</w:t>
      </w:r>
      <w:r w:rsidR="00D45A39" w:rsidRPr="002D3044">
        <w:rPr>
          <w:rFonts w:ascii="Times New Roman" w:hAnsi="Times New Roman"/>
          <w:noProof/>
          <w:sz w:val="28"/>
          <w:szCs w:val="28"/>
        </w:rPr>
        <w:t xml:space="preserve"> posht</w:t>
      </w:r>
      <w:r w:rsidR="00677043" w:rsidRPr="002D3044">
        <w:rPr>
          <w:rFonts w:ascii="Times New Roman" w:hAnsi="Times New Roman"/>
          <w:noProof/>
          <w:sz w:val="28"/>
          <w:szCs w:val="28"/>
        </w:rPr>
        <w:t>ë</w:t>
      </w:r>
      <w:r w:rsidR="00F15FB4" w:rsidRPr="002D3044">
        <w:rPr>
          <w:rFonts w:ascii="Times New Roman" w:hAnsi="Times New Roman"/>
          <w:noProof/>
          <w:sz w:val="28"/>
          <w:szCs w:val="28"/>
        </w:rPr>
        <w:t xml:space="preserve"> vijon</w:t>
      </w:r>
      <w:r w:rsidR="00215E34" w:rsidRPr="002D3044">
        <w:rPr>
          <w:rFonts w:ascii="Times New Roman" w:hAnsi="Times New Roman"/>
          <w:noProof/>
          <w:sz w:val="28"/>
          <w:szCs w:val="28"/>
        </w:rPr>
        <w:t>:</w:t>
      </w:r>
    </w:p>
    <w:bookmarkEnd w:id="1"/>
    <w:p w14:paraId="5DE8B3E1" w14:textId="77777777" w:rsidR="00F96756" w:rsidRPr="002D3044" w:rsidRDefault="00F96756" w:rsidP="002D3044">
      <w:pPr>
        <w:contextualSpacing/>
        <w:jc w:val="both"/>
        <w:rPr>
          <w:rFonts w:ascii="Times New Roman" w:hAnsi="Times New Roman"/>
          <w:b/>
          <w:bCs/>
          <w:sz w:val="28"/>
          <w:szCs w:val="28"/>
        </w:rPr>
      </w:pPr>
    </w:p>
    <w:p w14:paraId="593F92AB" w14:textId="786E9A22" w:rsidR="002A4C02" w:rsidRPr="002D3044" w:rsidRDefault="00F96756" w:rsidP="002D3044">
      <w:pPr>
        <w:pStyle w:val="ListParagraph"/>
        <w:numPr>
          <w:ilvl w:val="0"/>
          <w:numId w:val="11"/>
        </w:numPr>
        <w:spacing w:after="0"/>
        <w:contextualSpacing/>
        <w:jc w:val="both"/>
        <w:rPr>
          <w:rFonts w:ascii="Times New Roman" w:hAnsi="Times New Roman"/>
          <w:sz w:val="28"/>
          <w:szCs w:val="28"/>
        </w:rPr>
      </w:pPr>
      <w:r w:rsidRPr="002D3044">
        <w:rPr>
          <w:rFonts w:ascii="Times New Roman" w:hAnsi="Times New Roman"/>
          <w:sz w:val="28"/>
          <w:szCs w:val="28"/>
        </w:rPr>
        <w:t>Përkufizimi ‘Paguaj sipas hedhjes’ PAYT dhe take-a</w:t>
      </w:r>
      <w:r w:rsidR="00D356ED">
        <w:rPr>
          <w:rFonts w:ascii="Times New Roman" w:hAnsi="Times New Roman"/>
          <w:sz w:val="28"/>
          <w:szCs w:val="28"/>
        </w:rPr>
        <w:t>w</w:t>
      </w:r>
      <w:r w:rsidRPr="002D3044">
        <w:rPr>
          <w:rFonts w:ascii="Times New Roman" w:hAnsi="Times New Roman"/>
          <w:sz w:val="28"/>
          <w:szCs w:val="28"/>
        </w:rPr>
        <w:t>ay) nuk ekziston as në ligjin bazë nr. 57, datë 16.10.2025 "Për menaxhimin e integruar të mbetjeve" dhe ligjit nr.74/2025 “Për përgjegjësinë e zgjeruar të prodhuesit” (PZP). Kërkohet një sqarim për këtë përkufizim, cila nuk ekziston në legjislacionin në fuqi për mbetjet.</w:t>
      </w:r>
    </w:p>
    <w:p w14:paraId="214A9E35" w14:textId="77777777" w:rsidR="002A4C02" w:rsidRPr="002D3044" w:rsidRDefault="002A4C02" w:rsidP="002D3044">
      <w:pPr>
        <w:pStyle w:val="ListParagraph"/>
        <w:spacing w:after="0"/>
        <w:ind w:left="0"/>
        <w:contextualSpacing/>
        <w:jc w:val="both"/>
        <w:rPr>
          <w:rFonts w:ascii="Times New Roman" w:hAnsi="Times New Roman"/>
          <w:sz w:val="28"/>
          <w:szCs w:val="28"/>
        </w:rPr>
      </w:pPr>
    </w:p>
    <w:p w14:paraId="6153FFE3" w14:textId="44F02BC9" w:rsidR="00F96756" w:rsidRPr="002D3044" w:rsidRDefault="00F96756" w:rsidP="002D3044">
      <w:pPr>
        <w:pStyle w:val="ListParagraph"/>
        <w:numPr>
          <w:ilvl w:val="0"/>
          <w:numId w:val="11"/>
        </w:numPr>
        <w:spacing w:after="0"/>
        <w:contextualSpacing/>
        <w:jc w:val="both"/>
        <w:rPr>
          <w:rFonts w:ascii="Times New Roman" w:hAnsi="Times New Roman"/>
          <w:sz w:val="28"/>
          <w:szCs w:val="28"/>
        </w:rPr>
      </w:pPr>
      <w:r w:rsidRPr="002D3044">
        <w:rPr>
          <w:rFonts w:ascii="Times New Roman" w:hAnsi="Times New Roman"/>
          <w:sz w:val="28"/>
          <w:szCs w:val="28"/>
        </w:rPr>
        <w:t>Në Programin Kombëtar për Parandalimin e Krijimit të Mbetjeve, konstatohet se dokumenti paraqet vetëm projekte pilot në disa bashki por nuk pasqyron kostot dhe përparësitë, pavarësisht nga fakti nëse ato teknika përdoren apo prodhohen në Republikën e Shqipërisë, për sa kohë ato janë të arritshme nga përdoruesi. Pajisjet dhe impiantet për parandalimin e menaxhimit të mbetjeve që duhet të menaxhohen sipas parimit të përgjegjshmërisë ndaj mjedisit, me qëllim që të shmanget ndikimi i tyre mbi mjedisin, dhe në rastet kur ky ndikim nuk mund të shmanget apo të minimizohet.</w:t>
      </w:r>
    </w:p>
    <w:p w14:paraId="70B1F5F7" w14:textId="77777777" w:rsidR="002A4C02" w:rsidRPr="002D3044" w:rsidRDefault="00F96756" w:rsidP="002D3044">
      <w:pPr>
        <w:pStyle w:val="ListParagraph"/>
        <w:spacing w:after="0"/>
        <w:ind w:left="0"/>
        <w:contextualSpacing/>
        <w:jc w:val="both"/>
        <w:rPr>
          <w:rFonts w:ascii="Times New Roman" w:hAnsi="Times New Roman"/>
          <w:sz w:val="28"/>
          <w:szCs w:val="28"/>
        </w:rPr>
      </w:pPr>
      <w:r w:rsidRPr="002D3044">
        <w:rPr>
          <w:rFonts w:ascii="Times New Roman" w:hAnsi="Times New Roman"/>
          <w:sz w:val="28"/>
          <w:szCs w:val="28"/>
        </w:rPr>
        <w:tab/>
      </w:r>
    </w:p>
    <w:p w14:paraId="32EC2237" w14:textId="3E466E1A" w:rsidR="00F96756" w:rsidRPr="002D3044" w:rsidRDefault="00F96756" w:rsidP="002D3044">
      <w:pPr>
        <w:pStyle w:val="ListParagraph"/>
        <w:numPr>
          <w:ilvl w:val="0"/>
          <w:numId w:val="11"/>
        </w:numPr>
        <w:spacing w:after="0"/>
        <w:contextualSpacing/>
        <w:jc w:val="both"/>
        <w:rPr>
          <w:rFonts w:ascii="Times New Roman" w:hAnsi="Times New Roman"/>
          <w:sz w:val="28"/>
          <w:szCs w:val="28"/>
        </w:rPr>
      </w:pPr>
      <w:r w:rsidRPr="002D3044">
        <w:rPr>
          <w:rFonts w:ascii="Times New Roman" w:hAnsi="Times New Roman"/>
          <w:sz w:val="28"/>
          <w:szCs w:val="28"/>
        </w:rPr>
        <w:t>Bazuar në Shtojcën 5 të ligjit nr. 57, datë 16.10.2025 "Për menaxhimin e integruar të mbetjev</w:t>
      </w:r>
      <w:r w:rsidR="001E2CDE" w:rsidRPr="002D3044">
        <w:rPr>
          <w:rFonts w:ascii="Times New Roman" w:hAnsi="Times New Roman"/>
          <w:sz w:val="28"/>
          <w:szCs w:val="28"/>
        </w:rPr>
        <w:t>e", ky projektakt nuk pasqyron:</w:t>
      </w:r>
    </w:p>
    <w:p w14:paraId="2EFABEBA" w14:textId="0835D7BC" w:rsidR="002D3044" w:rsidRPr="002D3044" w:rsidRDefault="002D3044" w:rsidP="002D3044">
      <w:pPr>
        <w:contextualSpacing/>
        <w:jc w:val="both"/>
        <w:rPr>
          <w:rFonts w:ascii="Times New Roman" w:hAnsi="Times New Roman"/>
          <w:sz w:val="28"/>
          <w:szCs w:val="28"/>
        </w:rPr>
      </w:pPr>
    </w:p>
    <w:p w14:paraId="27E96B74" w14:textId="303EB7DC" w:rsidR="00F96756" w:rsidRPr="002D3044" w:rsidRDefault="00F96756" w:rsidP="002D3044">
      <w:pPr>
        <w:pStyle w:val="ListParagraph"/>
        <w:numPr>
          <w:ilvl w:val="0"/>
          <w:numId w:val="12"/>
        </w:numPr>
        <w:contextualSpacing/>
        <w:jc w:val="both"/>
        <w:rPr>
          <w:rFonts w:ascii="Times New Roman" w:hAnsi="Times New Roman"/>
          <w:sz w:val="28"/>
          <w:szCs w:val="28"/>
        </w:rPr>
      </w:pPr>
      <w:r w:rsidRPr="002D3044">
        <w:rPr>
          <w:rFonts w:ascii="Times New Roman" w:hAnsi="Times New Roman"/>
          <w:sz w:val="28"/>
          <w:szCs w:val="28"/>
        </w:rPr>
        <w:t>Përdorimi</w:t>
      </w:r>
      <w:r w:rsidR="002D3044" w:rsidRPr="002D3044">
        <w:rPr>
          <w:rFonts w:ascii="Times New Roman" w:hAnsi="Times New Roman"/>
          <w:sz w:val="28"/>
          <w:szCs w:val="28"/>
        </w:rPr>
        <w:t>n e</w:t>
      </w:r>
      <w:r w:rsidRPr="002D3044">
        <w:rPr>
          <w:rFonts w:ascii="Times New Roman" w:hAnsi="Times New Roman"/>
          <w:sz w:val="28"/>
          <w:szCs w:val="28"/>
        </w:rPr>
        <w:t xml:space="preserve"> masave të planifikimit ose instrumenteve të tjera ekonomike që nxisin përdorimin e burimeve në mënyrë eficiente; </w:t>
      </w:r>
    </w:p>
    <w:p w14:paraId="40CC01F4" w14:textId="4B0D97AE" w:rsidR="00F96756" w:rsidRDefault="00F96756" w:rsidP="002D3044">
      <w:pPr>
        <w:pStyle w:val="ListParagraph"/>
        <w:numPr>
          <w:ilvl w:val="0"/>
          <w:numId w:val="12"/>
        </w:numPr>
        <w:contextualSpacing/>
        <w:jc w:val="both"/>
        <w:rPr>
          <w:rFonts w:ascii="Times New Roman" w:hAnsi="Times New Roman"/>
          <w:sz w:val="28"/>
          <w:szCs w:val="28"/>
        </w:rPr>
      </w:pPr>
      <w:r w:rsidRPr="002D3044">
        <w:rPr>
          <w:rFonts w:ascii="Times New Roman" w:hAnsi="Times New Roman"/>
          <w:sz w:val="28"/>
          <w:szCs w:val="28"/>
        </w:rPr>
        <w:t>Nxitjen e veprimtarive të kërkimit dhe zhvillimit me qëllim realizimin e produkteve dhe teknologjive më të pastra dhe që krijojnë më pak mbetje dhe shpërndarjen dhe përdorimin e rezultateve të veprimtar</w:t>
      </w:r>
      <w:r w:rsidR="001E2CDE" w:rsidRPr="002D3044">
        <w:rPr>
          <w:rFonts w:ascii="Times New Roman" w:hAnsi="Times New Roman"/>
          <w:sz w:val="28"/>
          <w:szCs w:val="28"/>
        </w:rPr>
        <w:t>ive të kërkimit dhe zhvillimit.</w:t>
      </w:r>
    </w:p>
    <w:p w14:paraId="6380C43A" w14:textId="77777777" w:rsidR="00BB712B" w:rsidRPr="002D3044" w:rsidRDefault="00BB712B" w:rsidP="00BB712B">
      <w:pPr>
        <w:pStyle w:val="ListParagraph"/>
        <w:ind w:left="720" w:firstLine="0"/>
        <w:contextualSpacing/>
        <w:jc w:val="both"/>
        <w:rPr>
          <w:rFonts w:ascii="Times New Roman" w:hAnsi="Times New Roman"/>
          <w:sz w:val="28"/>
          <w:szCs w:val="28"/>
        </w:rPr>
      </w:pPr>
    </w:p>
    <w:p w14:paraId="6D73CC0C" w14:textId="4D756E3C" w:rsidR="00F96756" w:rsidRPr="00BB712B" w:rsidRDefault="00F96756" w:rsidP="00BB712B">
      <w:pPr>
        <w:pStyle w:val="ListParagraph"/>
        <w:numPr>
          <w:ilvl w:val="0"/>
          <w:numId w:val="11"/>
        </w:numPr>
        <w:contextualSpacing/>
        <w:jc w:val="both"/>
        <w:rPr>
          <w:rFonts w:ascii="Times New Roman" w:hAnsi="Times New Roman"/>
          <w:sz w:val="28"/>
          <w:szCs w:val="28"/>
        </w:rPr>
      </w:pPr>
      <w:r w:rsidRPr="00BB712B">
        <w:rPr>
          <w:rFonts w:ascii="Times New Roman" w:hAnsi="Times New Roman"/>
          <w:sz w:val="28"/>
          <w:szCs w:val="28"/>
        </w:rPr>
        <w:t>Në program nuk janë përcaktuar masat që merren para se një substancë, material ose produkt të kthehet në mbe</w:t>
      </w:r>
      <w:r w:rsidR="002D3044" w:rsidRPr="00BB712B">
        <w:rPr>
          <w:rFonts w:ascii="Times New Roman" w:hAnsi="Times New Roman"/>
          <w:sz w:val="28"/>
          <w:szCs w:val="28"/>
        </w:rPr>
        <w:t>tje, me qëllim që të pakësohet:</w:t>
      </w:r>
    </w:p>
    <w:p w14:paraId="4D0A58DB" w14:textId="77777777" w:rsidR="002D3044" w:rsidRPr="002D3044" w:rsidRDefault="002D3044" w:rsidP="002D3044">
      <w:pPr>
        <w:contextualSpacing/>
        <w:jc w:val="both"/>
        <w:rPr>
          <w:rFonts w:ascii="Times New Roman" w:hAnsi="Times New Roman"/>
          <w:sz w:val="28"/>
          <w:szCs w:val="28"/>
        </w:rPr>
      </w:pPr>
    </w:p>
    <w:p w14:paraId="0E67E378" w14:textId="56A2F594" w:rsidR="00F96756" w:rsidRPr="002D3044" w:rsidRDefault="00F96756" w:rsidP="002D3044">
      <w:pPr>
        <w:pStyle w:val="ListParagraph"/>
        <w:numPr>
          <w:ilvl w:val="0"/>
          <w:numId w:val="13"/>
        </w:numPr>
        <w:contextualSpacing/>
        <w:jc w:val="both"/>
        <w:rPr>
          <w:rFonts w:ascii="Times New Roman" w:hAnsi="Times New Roman"/>
          <w:sz w:val="28"/>
          <w:szCs w:val="28"/>
        </w:rPr>
      </w:pPr>
      <w:r w:rsidRPr="002D3044">
        <w:rPr>
          <w:rFonts w:ascii="Times New Roman" w:hAnsi="Times New Roman"/>
          <w:sz w:val="28"/>
          <w:szCs w:val="28"/>
        </w:rPr>
        <w:t xml:space="preserve">sasia e mbetjeve, përfshirë masat për ripërdorimin e produkteve ose zgjatjen e jetës së tyre; </w:t>
      </w:r>
    </w:p>
    <w:p w14:paraId="428E36DB" w14:textId="54841303" w:rsidR="00F96756" w:rsidRPr="002D3044" w:rsidRDefault="00F96756" w:rsidP="002D3044">
      <w:pPr>
        <w:pStyle w:val="ListParagraph"/>
        <w:numPr>
          <w:ilvl w:val="0"/>
          <w:numId w:val="13"/>
        </w:numPr>
        <w:contextualSpacing/>
        <w:jc w:val="both"/>
        <w:rPr>
          <w:rFonts w:ascii="Times New Roman" w:hAnsi="Times New Roman"/>
          <w:sz w:val="28"/>
          <w:szCs w:val="28"/>
        </w:rPr>
      </w:pPr>
      <w:r w:rsidRPr="002D3044">
        <w:rPr>
          <w:rFonts w:ascii="Times New Roman" w:hAnsi="Times New Roman"/>
          <w:sz w:val="28"/>
          <w:szCs w:val="28"/>
        </w:rPr>
        <w:t>ndikimi negativ i mbetjeve në mje</w:t>
      </w:r>
      <w:r w:rsidR="002D3044" w:rsidRPr="002D3044">
        <w:rPr>
          <w:rFonts w:ascii="Times New Roman" w:hAnsi="Times New Roman"/>
          <w:sz w:val="28"/>
          <w:szCs w:val="28"/>
        </w:rPr>
        <w:t>dis ose në shëndetin e njeriut;</w:t>
      </w:r>
    </w:p>
    <w:p w14:paraId="64DB353D" w14:textId="52094DAF" w:rsidR="00F96756" w:rsidRPr="002D3044" w:rsidRDefault="00F96756" w:rsidP="002D3044">
      <w:pPr>
        <w:pStyle w:val="ListParagraph"/>
        <w:numPr>
          <w:ilvl w:val="0"/>
          <w:numId w:val="13"/>
        </w:numPr>
        <w:contextualSpacing/>
        <w:jc w:val="both"/>
        <w:rPr>
          <w:rFonts w:ascii="Times New Roman" w:hAnsi="Times New Roman"/>
          <w:sz w:val="28"/>
          <w:szCs w:val="28"/>
        </w:rPr>
      </w:pPr>
      <w:r w:rsidRPr="002D3044">
        <w:rPr>
          <w:rFonts w:ascii="Times New Roman" w:hAnsi="Times New Roman"/>
          <w:sz w:val="28"/>
          <w:szCs w:val="28"/>
        </w:rPr>
        <w:t>përmbajtja e substancave të rrezikshme në materiale dhe produkte</w:t>
      </w:r>
      <w:r w:rsidR="001E2CDE" w:rsidRPr="002D3044">
        <w:rPr>
          <w:rFonts w:ascii="Times New Roman" w:hAnsi="Times New Roman"/>
          <w:sz w:val="28"/>
          <w:szCs w:val="28"/>
        </w:rPr>
        <w:t>,</w:t>
      </w:r>
      <w:r w:rsidR="002D3044" w:rsidRPr="002D3044">
        <w:rPr>
          <w:rFonts w:ascii="Times New Roman" w:hAnsi="Times New Roman"/>
          <w:sz w:val="28"/>
          <w:szCs w:val="28"/>
        </w:rPr>
        <w:t xml:space="preserve"> si dhe</w:t>
      </w:r>
    </w:p>
    <w:p w14:paraId="48966284" w14:textId="26D8335C" w:rsidR="00F96756" w:rsidRPr="002D3044" w:rsidRDefault="00F96756" w:rsidP="002D3044">
      <w:pPr>
        <w:pStyle w:val="ListParagraph"/>
        <w:numPr>
          <w:ilvl w:val="0"/>
          <w:numId w:val="13"/>
        </w:numPr>
        <w:contextualSpacing/>
        <w:jc w:val="both"/>
        <w:rPr>
          <w:rFonts w:ascii="Times New Roman" w:hAnsi="Times New Roman"/>
          <w:sz w:val="28"/>
          <w:szCs w:val="28"/>
        </w:rPr>
      </w:pPr>
      <w:r w:rsidRPr="002D3044">
        <w:rPr>
          <w:rFonts w:ascii="Times New Roman" w:hAnsi="Times New Roman"/>
          <w:sz w:val="28"/>
          <w:szCs w:val="28"/>
        </w:rPr>
        <w:t>nuk është ndjekur hirarkia e mbetjeve duke përshirë parandalimin e mbetjeve; përgatitjen e mbetjeve për ripërdorim; riciklimin e mbetjeve; rikuperime të tjera të mbetjeve; asgjësimin e mbetjeve.</w:t>
      </w:r>
    </w:p>
    <w:p w14:paraId="07562C0D" w14:textId="77777777" w:rsidR="002A4C02" w:rsidRPr="002D3044" w:rsidRDefault="002A4C02" w:rsidP="002D3044">
      <w:pPr>
        <w:pStyle w:val="ListParagraph"/>
        <w:spacing w:after="0"/>
        <w:ind w:left="-567" w:firstLine="0"/>
        <w:contextualSpacing/>
        <w:jc w:val="both"/>
        <w:rPr>
          <w:rFonts w:ascii="Times New Roman" w:hAnsi="Times New Roman"/>
          <w:sz w:val="28"/>
          <w:szCs w:val="28"/>
        </w:rPr>
      </w:pPr>
    </w:p>
    <w:p w14:paraId="0590E716" w14:textId="233E636A" w:rsidR="00BB712B" w:rsidRDefault="00F96756" w:rsidP="002D3044">
      <w:pPr>
        <w:pStyle w:val="ListParagraph"/>
        <w:numPr>
          <w:ilvl w:val="0"/>
          <w:numId w:val="11"/>
        </w:numPr>
        <w:contextualSpacing/>
        <w:jc w:val="both"/>
        <w:rPr>
          <w:rFonts w:ascii="Times New Roman" w:hAnsi="Times New Roman"/>
          <w:sz w:val="28"/>
          <w:szCs w:val="28"/>
        </w:rPr>
      </w:pPr>
      <w:r w:rsidRPr="002D3044">
        <w:rPr>
          <w:rFonts w:ascii="Times New Roman" w:hAnsi="Times New Roman"/>
          <w:sz w:val="28"/>
          <w:szCs w:val="28"/>
        </w:rPr>
        <w:t>Në ta</w:t>
      </w:r>
      <w:r w:rsidR="001E2CDE" w:rsidRPr="002D3044">
        <w:rPr>
          <w:rFonts w:ascii="Times New Roman" w:hAnsi="Times New Roman"/>
          <w:sz w:val="28"/>
          <w:szCs w:val="28"/>
        </w:rPr>
        <w:t>belën e planit të veprimit 8, p</w:t>
      </w:r>
      <w:r w:rsidRPr="002D3044">
        <w:rPr>
          <w:rFonts w:ascii="Times New Roman" w:hAnsi="Times New Roman"/>
          <w:sz w:val="28"/>
          <w:szCs w:val="28"/>
        </w:rPr>
        <w:t>rogrami i këtij projektakti</w:t>
      </w:r>
      <w:r w:rsidR="00BB712B">
        <w:rPr>
          <w:rFonts w:ascii="Times New Roman" w:hAnsi="Times New Roman"/>
          <w:sz w:val="28"/>
          <w:szCs w:val="28"/>
        </w:rPr>
        <w:t xml:space="preserve"> nuk jep detaje të matjes së:</w:t>
      </w:r>
    </w:p>
    <w:p w14:paraId="2B788DE2" w14:textId="77777777" w:rsidR="00250175" w:rsidRPr="00250175" w:rsidRDefault="00250175" w:rsidP="00250175">
      <w:pPr>
        <w:contextualSpacing/>
        <w:jc w:val="both"/>
        <w:rPr>
          <w:rFonts w:ascii="Times New Roman" w:hAnsi="Times New Roman"/>
          <w:sz w:val="28"/>
          <w:szCs w:val="28"/>
        </w:rPr>
      </w:pPr>
    </w:p>
    <w:p w14:paraId="11772EAA" w14:textId="77777777" w:rsidR="00BB712B" w:rsidRDefault="00F96756" w:rsidP="00BB712B">
      <w:pPr>
        <w:pStyle w:val="ListParagraph"/>
        <w:numPr>
          <w:ilvl w:val="1"/>
          <w:numId w:val="1"/>
        </w:numPr>
        <w:contextualSpacing/>
        <w:jc w:val="both"/>
        <w:rPr>
          <w:rFonts w:ascii="Times New Roman" w:hAnsi="Times New Roman"/>
          <w:sz w:val="28"/>
          <w:szCs w:val="28"/>
        </w:rPr>
      </w:pPr>
      <w:r w:rsidRPr="002D3044">
        <w:rPr>
          <w:rFonts w:ascii="Times New Roman" w:hAnsi="Times New Roman"/>
          <w:sz w:val="28"/>
          <w:szCs w:val="28"/>
        </w:rPr>
        <w:t>ndikatorëve të menaxhimit të integ</w:t>
      </w:r>
      <w:r w:rsidR="00BB712B">
        <w:rPr>
          <w:rFonts w:ascii="Times New Roman" w:hAnsi="Times New Roman"/>
          <w:sz w:val="28"/>
          <w:szCs w:val="28"/>
        </w:rPr>
        <w:t>ruar të mbetjeve;</w:t>
      </w:r>
    </w:p>
    <w:p w14:paraId="32BA56F6" w14:textId="11F34C40" w:rsidR="00BB712B" w:rsidRDefault="00F96756" w:rsidP="00BB712B">
      <w:pPr>
        <w:pStyle w:val="ListParagraph"/>
        <w:numPr>
          <w:ilvl w:val="1"/>
          <w:numId w:val="1"/>
        </w:numPr>
        <w:contextualSpacing/>
        <w:jc w:val="both"/>
        <w:rPr>
          <w:rFonts w:ascii="Times New Roman" w:hAnsi="Times New Roman"/>
          <w:sz w:val="28"/>
          <w:szCs w:val="28"/>
        </w:rPr>
      </w:pPr>
      <w:r w:rsidRPr="002D3044">
        <w:rPr>
          <w:rFonts w:ascii="Times New Roman" w:hAnsi="Times New Roman"/>
          <w:sz w:val="28"/>
          <w:szCs w:val="28"/>
        </w:rPr>
        <w:t>Perfomancë</w:t>
      </w:r>
      <w:r w:rsidR="00BB712B">
        <w:rPr>
          <w:rFonts w:ascii="Times New Roman" w:hAnsi="Times New Roman"/>
          <w:sz w:val="28"/>
          <w:szCs w:val="28"/>
        </w:rPr>
        <w:t>s s</w:t>
      </w:r>
      <w:r w:rsidR="00FB1B86">
        <w:rPr>
          <w:rFonts w:ascii="Times New Roman" w:hAnsi="Times New Roman"/>
          <w:sz w:val="28"/>
          <w:szCs w:val="28"/>
        </w:rPr>
        <w:t>ë</w:t>
      </w:r>
      <w:r w:rsidRPr="002D3044">
        <w:rPr>
          <w:rFonts w:ascii="Times New Roman" w:hAnsi="Times New Roman"/>
          <w:sz w:val="28"/>
          <w:szCs w:val="28"/>
        </w:rPr>
        <w:t xml:space="preserve"> bashkive në fushë</w:t>
      </w:r>
      <w:r w:rsidR="00BB712B">
        <w:rPr>
          <w:rFonts w:ascii="Times New Roman" w:hAnsi="Times New Roman"/>
          <w:sz w:val="28"/>
          <w:szCs w:val="28"/>
        </w:rPr>
        <w:t>n e parandalimit të mbetjeve;</w:t>
      </w:r>
    </w:p>
    <w:p w14:paraId="3641E12A" w14:textId="3011F4B2" w:rsidR="00BB712B" w:rsidRDefault="00F96756" w:rsidP="00BB712B">
      <w:pPr>
        <w:pStyle w:val="ListParagraph"/>
        <w:numPr>
          <w:ilvl w:val="1"/>
          <w:numId w:val="1"/>
        </w:numPr>
        <w:contextualSpacing/>
        <w:jc w:val="both"/>
        <w:rPr>
          <w:rFonts w:ascii="Times New Roman" w:hAnsi="Times New Roman"/>
          <w:sz w:val="28"/>
          <w:szCs w:val="28"/>
        </w:rPr>
      </w:pPr>
      <w:r w:rsidRPr="002D3044">
        <w:rPr>
          <w:rFonts w:ascii="Times New Roman" w:hAnsi="Times New Roman"/>
          <w:sz w:val="28"/>
          <w:szCs w:val="28"/>
        </w:rPr>
        <w:t>Incentiv</w:t>
      </w:r>
      <w:r w:rsidR="00FB1B86">
        <w:rPr>
          <w:rFonts w:ascii="Times New Roman" w:hAnsi="Times New Roman"/>
          <w:sz w:val="28"/>
          <w:szCs w:val="28"/>
        </w:rPr>
        <w:t>ë</w:t>
      </w:r>
      <w:r w:rsidR="00BB712B">
        <w:rPr>
          <w:rFonts w:ascii="Times New Roman" w:hAnsi="Times New Roman"/>
          <w:sz w:val="28"/>
          <w:szCs w:val="28"/>
        </w:rPr>
        <w:t>s</w:t>
      </w:r>
      <w:r w:rsidRPr="002D3044">
        <w:rPr>
          <w:rFonts w:ascii="Times New Roman" w:hAnsi="Times New Roman"/>
          <w:sz w:val="28"/>
          <w:szCs w:val="28"/>
        </w:rPr>
        <w:t xml:space="preserve"> ekonomik</w:t>
      </w:r>
      <w:r w:rsidR="00BB712B">
        <w:rPr>
          <w:rFonts w:ascii="Times New Roman" w:hAnsi="Times New Roman"/>
          <w:sz w:val="28"/>
          <w:szCs w:val="28"/>
        </w:rPr>
        <w:t>e</w:t>
      </w:r>
      <w:r w:rsidRPr="002D3044">
        <w:rPr>
          <w:rFonts w:ascii="Times New Roman" w:hAnsi="Times New Roman"/>
          <w:sz w:val="28"/>
          <w:szCs w:val="28"/>
        </w:rPr>
        <w:t xml:space="preserve"> për autoritetet qendrore dhe vendore, veçanërisht për promovimin e parandalimit të mbetjeve dhe përforcimin e skemave të</w:t>
      </w:r>
      <w:r w:rsidR="00BB712B">
        <w:rPr>
          <w:rFonts w:ascii="Times New Roman" w:hAnsi="Times New Roman"/>
          <w:sz w:val="28"/>
          <w:szCs w:val="28"/>
        </w:rPr>
        <w:t xml:space="preserve"> grumbullimit të diferencuar;</w:t>
      </w:r>
    </w:p>
    <w:p w14:paraId="6FAF140C" w14:textId="5F941FF1" w:rsidR="00F96756" w:rsidRPr="002D3044" w:rsidRDefault="00F96756" w:rsidP="00BB712B">
      <w:pPr>
        <w:pStyle w:val="ListParagraph"/>
        <w:numPr>
          <w:ilvl w:val="1"/>
          <w:numId w:val="1"/>
        </w:numPr>
        <w:contextualSpacing/>
        <w:jc w:val="both"/>
        <w:rPr>
          <w:rFonts w:ascii="Times New Roman" w:hAnsi="Times New Roman"/>
          <w:sz w:val="28"/>
          <w:szCs w:val="28"/>
        </w:rPr>
      </w:pPr>
      <w:r w:rsidRPr="002D3044">
        <w:rPr>
          <w:rFonts w:ascii="Times New Roman" w:hAnsi="Times New Roman"/>
          <w:sz w:val="28"/>
          <w:szCs w:val="28"/>
        </w:rPr>
        <w:t>Planifikimi</w:t>
      </w:r>
      <w:r w:rsidR="00BB712B">
        <w:rPr>
          <w:rFonts w:ascii="Times New Roman" w:hAnsi="Times New Roman"/>
          <w:sz w:val="28"/>
          <w:szCs w:val="28"/>
        </w:rPr>
        <w:t>t t</w:t>
      </w:r>
      <w:r w:rsidR="00FB1B86">
        <w:rPr>
          <w:rFonts w:ascii="Times New Roman" w:hAnsi="Times New Roman"/>
          <w:sz w:val="28"/>
          <w:szCs w:val="28"/>
        </w:rPr>
        <w:t>ë</w:t>
      </w:r>
      <w:r w:rsidRPr="002D3044">
        <w:rPr>
          <w:rFonts w:ascii="Times New Roman" w:hAnsi="Times New Roman"/>
          <w:sz w:val="28"/>
          <w:szCs w:val="28"/>
        </w:rPr>
        <w:t xml:space="preserve"> investimeve të nivelit qendror dhe vendor në përputhje me nevojat e ngritjes së infrastrukturës së menaxhimit të integruar të mbetjeve</w:t>
      </w:r>
      <w:r w:rsidR="002A4C02" w:rsidRPr="002D3044">
        <w:rPr>
          <w:rFonts w:ascii="Times New Roman" w:hAnsi="Times New Roman"/>
          <w:sz w:val="28"/>
          <w:szCs w:val="28"/>
        </w:rPr>
        <w:t>.</w:t>
      </w:r>
    </w:p>
    <w:p w14:paraId="00679D15" w14:textId="3B5EB682" w:rsidR="00F15FB4" w:rsidRPr="002D3044" w:rsidRDefault="00F15FB4" w:rsidP="002D3044">
      <w:pPr>
        <w:contextualSpacing/>
        <w:jc w:val="both"/>
        <w:rPr>
          <w:rFonts w:ascii="Times New Roman" w:hAnsi="Times New Roman"/>
          <w:noProof/>
          <w:sz w:val="28"/>
          <w:szCs w:val="28"/>
        </w:rPr>
      </w:pPr>
    </w:p>
    <w:p w14:paraId="3A26C5F9" w14:textId="31CAAC84" w:rsidR="00A92832" w:rsidRPr="002D3044" w:rsidRDefault="00A92832" w:rsidP="002D3044">
      <w:pPr>
        <w:pStyle w:val="ListParagraph"/>
        <w:numPr>
          <w:ilvl w:val="0"/>
          <w:numId w:val="1"/>
        </w:numPr>
        <w:contextualSpacing/>
        <w:jc w:val="both"/>
        <w:rPr>
          <w:rFonts w:ascii="Times New Roman" w:hAnsi="Times New Roman"/>
          <w:noProof/>
          <w:sz w:val="28"/>
          <w:szCs w:val="28"/>
        </w:rPr>
      </w:pPr>
      <w:r w:rsidRPr="002D3044">
        <w:rPr>
          <w:rFonts w:ascii="Times New Roman" w:hAnsi="Times New Roman"/>
          <w:b/>
          <w:bCs/>
          <w:noProof/>
          <w:sz w:val="28"/>
          <w:szCs w:val="28"/>
        </w:rPr>
        <w:lastRenderedPageBreak/>
        <w:t>Metoda</w:t>
      </w:r>
      <w:r w:rsidR="00A054A2" w:rsidRPr="002D3044">
        <w:rPr>
          <w:rFonts w:ascii="Times New Roman" w:hAnsi="Times New Roman"/>
          <w:b/>
          <w:bCs/>
          <w:noProof/>
          <w:sz w:val="28"/>
          <w:szCs w:val="28"/>
        </w:rPr>
        <w:t>t</w:t>
      </w:r>
      <w:r w:rsidRPr="002D3044">
        <w:rPr>
          <w:rFonts w:ascii="Times New Roman" w:hAnsi="Times New Roman"/>
          <w:b/>
          <w:bCs/>
          <w:noProof/>
          <w:sz w:val="28"/>
          <w:szCs w:val="28"/>
        </w:rPr>
        <w:t xml:space="preserve"> e konsultimit</w:t>
      </w:r>
    </w:p>
    <w:p w14:paraId="0F6BF01B" w14:textId="77777777" w:rsidR="006661A0" w:rsidRPr="002D3044" w:rsidRDefault="006661A0" w:rsidP="002D3044">
      <w:pPr>
        <w:contextualSpacing/>
        <w:jc w:val="both"/>
        <w:rPr>
          <w:rFonts w:ascii="Times New Roman" w:hAnsi="Times New Roman"/>
          <w:i/>
          <w:noProof/>
          <w:sz w:val="28"/>
          <w:szCs w:val="28"/>
        </w:rPr>
      </w:pPr>
      <w:r w:rsidRPr="002D3044">
        <w:rPr>
          <w:rFonts w:ascii="Times New Roman" w:hAnsi="Times New Roman"/>
          <w:i/>
          <w:noProof/>
          <w:sz w:val="28"/>
          <w:szCs w:val="28"/>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 Shpjegoni se si u shpërnda informacioni mbi konsultimet e hapura, si u ftuan palët e interesuara të kontribuojnë. Përfshini gjithashtu aktivitete nga konsultimet paraprake nëse janë organizuar të tilla).</w:t>
      </w:r>
    </w:p>
    <w:p w14:paraId="4911CE35" w14:textId="77777777" w:rsidR="006661A0" w:rsidRPr="002D3044" w:rsidRDefault="006661A0" w:rsidP="002D3044">
      <w:pPr>
        <w:contextualSpacing/>
        <w:jc w:val="both"/>
        <w:rPr>
          <w:rFonts w:ascii="Times New Roman" w:hAnsi="Times New Roman"/>
          <w:noProof/>
          <w:sz w:val="28"/>
          <w:szCs w:val="28"/>
        </w:rPr>
      </w:pPr>
    </w:p>
    <w:p w14:paraId="2968006F" w14:textId="7E7A34FB" w:rsidR="007829AD" w:rsidRPr="002D3044" w:rsidRDefault="00237151" w:rsidP="002D3044">
      <w:pPr>
        <w:contextualSpacing/>
        <w:jc w:val="both"/>
        <w:rPr>
          <w:rFonts w:ascii="Times New Roman" w:hAnsi="Times New Roman"/>
          <w:noProof/>
          <w:sz w:val="28"/>
          <w:szCs w:val="28"/>
        </w:rPr>
      </w:pPr>
      <w:r w:rsidRPr="002D3044">
        <w:rPr>
          <w:rFonts w:ascii="Times New Roman" w:hAnsi="Times New Roman"/>
          <w:noProof/>
          <w:sz w:val="28"/>
          <w:szCs w:val="28"/>
        </w:rPr>
        <w:t>Metodat e konsultimit</w:t>
      </w:r>
      <w:r w:rsidR="00A054A2" w:rsidRPr="002D3044">
        <w:rPr>
          <w:rFonts w:ascii="Times New Roman" w:hAnsi="Times New Roman"/>
          <w:noProof/>
          <w:sz w:val="28"/>
          <w:szCs w:val="28"/>
        </w:rPr>
        <w:t xml:space="preserve"> t</w:t>
      </w:r>
      <w:r w:rsidR="0048650C" w:rsidRPr="002D3044">
        <w:rPr>
          <w:rFonts w:ascii="Times New Roman" w:hAnsi="Times New Roman"/>
          <w:noProof/>
          <w:sz w:val="28"/>
          <w:szCs w:val="28"/>
        </w:rPr>
        <w:t>ë</w:t>
      </w:r>
      <w:r w:rsidR="00A054A2" w:rsidRPr="002D3044">
        <w:rPr>
          <w:rFonts w:ascii="Times New Roman" w:hAnsi="Times New Roman"/>
          <w:noProof/>
          <w:sz w:val="28"/>
          <w:szCs w:val="28"/>
        </w:rPr>
        <w:t xml:space="preserve"> </w:t>
      </w:r>
      <w:r w:rsidR="000846E6" w:rsidRPr="002D3044">
        <w:rPr>
          <w:rFonts w:ascii="Times New Roman" w:hAnsi="Times New Roman"/>
          <w:noProof/>
          <w:sz w:val="28"/>
          <w:szCs w:val="28"/>
        </w:rPr>
        <w:t>p</w:t>
      </w:r>
      <w:r w:rsidR="00677043" w:rsidRPr="002D3044">
        <w:rPr>
          <w:rFonts w:ascii="Times New Roman" w:hAnsi="Times New Roman"/>
          <w:noProof/>
          <w:sz w:val="28"/>
          <w:szCs w:val="28"/>
        </w:rPr>
        <w:t>ë</w:t>
      </w:r>
      <w:r w:rsidR="000846E6" w:rsidRPr="002D3044">
        <w:rPr>
          <w:rFonts w:ascii="Times New Roman" w:hAnsi="Times New Roman"/>
          <w:noProof/>
          <w:sz w:val="28"/>
          <w:szCs w:val="28"/>
        </w:rPr>
        <w:t>rdorura p</w:t>
      </w:r>
      <w:r w:rsidR="00677043" w:rsidRPr="002D3044">
        <w:rPr>
          <w:rFonts w:ascii="Times New Roman" w:hAnsi="Times New Roman"/>
          <w:noProof/>
          <w:sz w:val="28"/>
          <w:szCs w:val="28"/>
        </w:rPr>
        <w:t>ë</w:t>
      </w:r>
      <w:r w:rsidR="000846E6" w:rsidRPr="002D3044">
        <w:rPr>
          <w:rFonts w:ascii="Times New Roman" w:hAnsi="Times New Roman"/>
          <w:noProof/>
          <w:sz w:val="28"/>
          <w:szCs w:val="28"/>
        </w:rPr>
        <w:t>r k</w:t>
      </w:r>
      <w:r w:rsidR="00677043" w:rsidRPr="002D3044">
        <w:rPr>
          <w:rFonts w:ascii="Times New Roman" w:hAnsi="Times New Roman"/>
          <w:noProof/>
          <w:sz w:val="28"/>
          <w:szCs w:val="28"/>
        </w:rPr>
        <w:t>ë</w:t>
      </w:r>
      <w:r w:rsidR="000846E6" w:rsidRPr="002D3044">
        <w:rPr>
          <w:rFonts w:ascii="Times New Roman" w:hAnsi="Times New Roman"/>
          <w:noProof/>
          <w:sz w:val="28"/>
          <w:szCs w:val="28"/>
        </w:rPr>
        <w:t>t</w:t>
      </w:r>
      <w:r w:rsidR="00677043" w:rsidRPr="002D3044">
        <w:rPr>
          <w:rFonts w:ascii="Times New Roman" w:hAnsi="Times New Roman"/>
          <w:noProof/>
          <w:sz w:val="28"/>
          <w:szCs w:val="28"/>
        </w:rPr>
        <w:t>ë</w:t>
      </w:r>
      <w:r w:rsidR="000846E6" w:rsidRPr="002D3044">
        <w:rPr>
          <w:rFonts w:ascii="Times New Roman" w:hAnsi="Times New Roman"/>
          <w:noProof/>
          <w:sz w:val="28"/>
          <w:szCs w:val="28"/>
        </w:rPr>
        <w:t xml:space="preserve"> projektvendim,</w:t>
      </w:r>
      <w:r w:rsidRPr="002D3044">
        <w:rPr>
          <w:rFonts w:ascii="Times New Roman" w:hAnsi="Times New Roman"/>
          <w:noProof/>
          <w:sz w:val="28"/>
          <w:szCs w:val="28"/>
        </w:rPr>
        <w:t xml:space="preserve"> </w:t>
      </w:r>
      <w:r w:rsidR="00F15FB4" w:rsidRPr="002D3044">
        <w:rPr>
          <w:rFonts w:ascii="Times New Roman" w:hAnsi="Times New Roman"/>
          <w:noProof/>
          <w:sz w:val="28"/>
          <w:szCs w:val="28"/>
        </w:rPr>
        <w:t>janë</w:t>
      </w:r>
      <w:r w:rsidR="007829AD" w:rsidRPr="002D3044">
        <w:rPr>
          <w:rFonts w:ascii="Times New Roman" w:hAnsi="Times New Roman"/>
          <w:noProof/>
          <w:sz w:val="28"/>
          <w:szCs w:val="28"/>
        </w:rPr>
        <w:t>:</w:t>
      </w:r>
    </w:p>
    <w:p w14:paraId="0048A09F" w14:textId="77777777" w:rsidR="00A054A2" w:rsidRPr="002D3044" w:rsidRDefault="00A054A2" w:rsidP="002D3044">
      <w:pPr>
        <w:contextualSpacing/>
        <w:jc w:val="both"/>
        <w:rPr>
          <w:rFonts w:ascii="Times New Roman" w:hAnsi="Times New Roman"/>
          <w:noProof/>
          <w:sz w:val="28"/>
          <w:szCs w:val="28"/>
        </w:rPr>
      </w:pPr>
    </w:p>
    <w:p w14:paraId="72B62B5B" w14:textId="77B07A53" w:rsidR="007829AD" w:rsidRPr="002D3044" w:rsidRDefault="003230B7" w:rsidP="002D3044">
      <w:pPr>
        <w:pStyle w:val="ListParagraph"/>
        <w:numPr>
          <w:ilvl w:val="3"/>
          <w:numId w:val="1"/>
        </w:numPr>
        <w:ind w:left="630"/>
        <w:contextualSpacing/>
        <w:jc w:val="both"/>
        <w:rPr>
          <w:rFonts w:ascii="Times New Roman" w:hAnsi="Times New Roman"/>
          <w:noProof/>
          <w:sz w:val="28"/>
          <w:szCs w:val="28"/>
        </w:rPr>
      </w:pPr>
      <w:r w:rsidRPr="002D3044">
        <w:rPr>
          <w:rFonts w:ascii="Times New Roman" w:hAnsi="Times New Roman"/>
          <w:noProof/>
          <w:sz w:val="28"/>
          <w:szCs w:val="28"/>
        </w:rPr>
        <w:t>P</w:t>
      </w:r>
      <w:r w:rsidR="00237151" w:rsidRPr="002D3044">
        <w:rPr>
          <w:rFonts w:ascii="Times New Roman" w:hAnsi="Times New Roman"/>
          <w:noProof/>
          <w:sz w:val="28"/>
          <w:szCs w:val="28"/>
        </w:rPr>
        <w:t>ublikimi në regjistrin elektronik të njoftimit dhe konsultimit publik (RENJKP)</w:t>
      </w:r>
      <w:r w:rsidR="00FE443A" w:rsidRPr="002D3044">
        <w:rPr>
          <w:rFonts w:ascii="Times New Roman" w:hAnsi="Times New Roman"/>
          <w:noProof/>
          <w:sz w:val="28"/>
          <w:szCs w:val="28"/>
        </w:rPr>
        <w:t>;</w:t>
      </w:r>
    </w:p>
    <w:p w14:paraId="2992A0AF" w14:textId="570B68CF" w:rsidR="00660B60" w:rsidRPr="002D3044" w:rsidRDefault="003230B7" w:rsidP="002D3044">
      <w:pPr>
        <w:pStyle w:val="ListParagraph"/>
        <w:numPr>
          <w:ilvl w:val="3"/>
          <w:numId w:val="1"/>
        </w:numPr>
        <w:ind w:left="630"/>
        <w:contextualSpacing/>
        <w:jc w:val="both"/>
        <w:rPr>
          <w:rFonts w:ascii="Times New Roman" w:hAnsi="Times New Roman"/>
          <w:noProof/>
          <w:sz w:val="28"/>
          <w:szCs w:val="28"/>
        </w:rPr>
      </w:pPr>
      <w:r w:rsidRPr="002D3044">
        <w:rPr>
          <w:rFonts w:ascii="Times New Roman" w:hAnsi="Times New Roman"/>
          <w:noProof/>
          <w:sz w:val="28"/>
          <w:szCs w:val="28"/>
        </w:rPr>
        <w:t>K</w:t>
      </w:r>
      <w:r w:rsidR="00556C4F" w:rsidRPr="002D3044">
        <w:rPr>
          <w:rFonts w:ascii="Times New Roman" w:hAnsi="Times New Roman"/>
          <w:noProof/>
          <w:sz w:val="28"/>
          <w:szCs w:val="28"/>
        </w:rPr>
        <w:t>onsultime</w:t>
      </w:r>
      <w:r w:rsidR="00F96756" w:rsidRPr="002D3044">
        <w:rPr>
          <w:rFonts w:ascii="Times New Roman" w:hAnsi="Times New Roman"/>
          <w:noProof/>
          <w:sz w:val="28"/>
          <w:szCs w:val="28"/>
        </w:rPr>
        <w:t>/Takime</w:t>
      </w:r>
      <w:r w:rsidR="00556C4F" w:rsidRPr="002D3044">
        <w:rPr>
          <w:rFonts w:ascii="Times New Roman" w:hAnsi="Times New Roman"/>
          <w:noProof/>
          <w:sz w:val="28"/>
          <w:szCs w:val="28"/>
        </w:rPr>
        <w:t xml:space="preserve"> të zhvilluara </w:t>
      </w:r>
      <w:r w:rsidR="008050BC" w:rsidRPr="002D3044">
        <w:rPr>
          <w:rFonts w:ascii="Times New Roman" w:hAnsi="Times New Roman"/>
          <w:noProof/>
          <w:sz w:val="28"/>
          <w:szCs w:val="28"/>
        </w:rPr>
        <w:t>me</w:t>
      </w:r>
      <w:r w:rsidR="00F15FB4" w:rsidRPr="002D3044">
        <w:rPr>
          <w:rFonts w:ascii="Times New Roman" w:hAnsi="Times New Roman"/>
          <w:noProof/>
          <w:sz w:val="28"/>
          <w:szCs w:val="28"/>
        </w:rPr>
        <w:t xml:space="preserve"> ekspertë të Organizatës Gjermane për Bashkëpunim Ndërkombëtar (GIZ),</w:t>
      </w:r>
    </w:p>
    <w:p w14:paraId="072965AB" w14:textId="49B2F04B" w:rsidR="00C80110" w:rsidRPr="002D3044" w:rsidRDefault="000846E6" w:rsidP="002D3044">
      <w:pPr>
        <w:pStyle w:val="ListParagraph"/>
        <w:numPr>
          <w:ilvl w:val="3"/>
          <w:numId w:val="1"/>
        </w:numPr>
        <w:ind w:left="630"/>
        <w:contextualSpacing/>
        <w:jc w:val="both"/>
        <w:rPr>
          <w:rFonts w:ascii="Times New Roman" w:hAnsi="Times New Roman"/>
          <w:noProof/>
          <w:sz w:val="28"/>
          <w:szCs w:val="28"/>
        </w:rPr>
      </w:pPr>
      <w:r w:rsidRPr="002D3044">
        <w:rPr>
          <w:rFonts w:ascii="Times New Roman" w:hAnsi="Times New Roman"/>
          <w:sz w:val="28"/>
          <w:szCs w:val="28"/>
        </w:rPr>
        <w:t xml:space="preserve">Konsultim me </w:t>
      </w:r>
      <w:r w:rsidR="00660B60" w:rsidRPr="002D3044">
        <w:rPr>
          <w:rFonts w:ascii="Times New Roman" w:hAnsi="Times New Roman"/>
          <w:iCs/>
          <w:noProof/>
          <w:sz w:val="28"/>
          <w:szCs w:val="28"/>
        </w:rPr>
        <w:t>Agjenci</w:t>
      </w:r>
      <w:r w:rsidR="004A743B" w:rsidRPr="002D3044">
        <w:rPr>
          <w:rFonts w:ascii="Times New Roman" w:hAnsi="Times New Roman"/>
          <w:iCs/>
          <w:noProof/>
          <w:sz w:val="28"/>
          <w:szCs w:val="28"/>
        </w:rPr>
        <w:t>në</w:t>
      </w:r>
      <w:r w:rsidR="00660B60" w:rsidRPr="002D3044">
        <w:rPr>
          <w:rFonts w:ascii="Times New Roman" w:hAnsi="Times New Roman"/>
          <w:iCs/>
          <w:noProof/>
          <w:sz w:val="28"/>
          <w:szCs w:val="28"/>
        </w:rPr>
        <w:t xml:space="preserve"> e Mbështetjes së Vetëqeverisjes Vendore,</w:t>
      </w:r>
      <w:r w:rsidRPr="002D3044">
        <w:rPr>
          <w:rFonts w:ascii="Times New Roman" w:hAnsi="Times New Roman"/>
          <w:iCs/>
          <w:noProof/>
          <w:sz w:val="28"/>
          <w:szCs w:val="28"/>
        </w:rPr>
        <w:t xml:space="preserve"> q</w:t>
      </w:r>
      <w:r w:rsidR="00677043" w:rsidRPr="002D3044">
        <w:rPr>
          <w:rFonts w:ascii="Times New Roman" w:hAnsi="Times New Roman"/>
          <w:iCs/>
          <w:noProof/>
          <w:sz w:val="28"/>
          <w:szCs w:val="28"/>
        </w:rPr>
        <w:t>ë</w:t>
      </w:r>
      <w:r w:rsidRPr="002D3044">
        <w:rPr>
          <w:rFonts w:ascii="Times New Roman" w:hAnsi="Times New Roman"/>
          <w:iCs/>
          <w:noProof/>
          <w:sz w:val="28"/>
          <w:szCs w:val="28"/>
        </w:rPr>
        <w:t xml:space="preserve"> u zhvillua </w:t>
      </w:r>
      <w:r w:rsidR="00C80110" w:rsidRPr="002D3044">
        <w:rPr>
          <w:rFonts w:ascii="Times New Roman" w:hAnsi="Times New Roman"/>
          <w:sz w:val="28"/>
          <w:szCs w:val="28"/>
        </w:rPr>
        <w:t xml:space="preserve">në mbledhjen e datës </w:t>
      </w:r>
      <w:r w:rsidR="00A1177C" w:rsidRPr="002D3044">
        <w:rPr>
          <w:rFonts w:ascii="Times New Roman" w:hAnsi="Times New Roman"/>
          <w:sz w:val="28"/>
          <w:szCs w:val="28"/>
        </w:rPr>
        <w:t>17.12.2025</w:t>
      </w:r>
      <w:r w:rsidR="00677043" w:rsidRPr="002D3044">
        <w:rPr>
          <w:rFonts w:ascii="Times New Roman" w:hAnsi="Times New Roman"/>
          <w:sz w:val="28"/>
          <w:szCs w:val="28"/>
        </w:rPr>
        <w:t>, të Këshillit Konsultativ Qeveri Qendrore</w:t>
      </w:r>
      <w:r w:rsidR="001E2CDE" w:rsidRPr="002D3044">
        <w:rPr>
          <w:rFonts w:ascii="Times New Roman" w:hAnsi="Times New Roman"/>
          <w:sz w:val="28"/>
          <w:szCs w:val="28"/>
        </w:rPr>
        <w:t xml:space="preserve"> </w:t>
      </w:r>
      <w:r w:rsidR="00677043" w:rsidRPr="002D3044">
        <w:rPr>
          <w:rFonts w:ascii="Times New Roman" w:hAnsi="Times New Roman"/>
          <w:sz w:val="28"/>
          <w:szCs w:val="28"/>
        </w:rPr>
        <w:t>-Vetëqeverisje Vendore</w:t>
      </w:r>
      <w:r w:rsidRPr="002D3044">
        <w:rPr>
          <w:rFonts w:ascii="Times New Roman" w:hAnsi="Times New Roman"/>
          <w:sz w:val="28"/>
          <w:szCs w:val="28"/>
        </w:rPr>
        <w:t>. Nuk pati</w:t>
      </w:r>
      <w:r w:rsidR="00C80110" w:rsidRPr="002D3044">
        <w:rPr>
          <w:rFonts w:ascii="Times New Roman" w:hAnsi="Times New Roman"/>
          <w:sz w:val="28"/>
          <w:szCs w:val="28"/>
        </w:rPr>
        <w:t xml:space="preserve"> komente.</w:t>
      </w:r>
    </w:p>
    <w:p w14:paraId="2E3BE924" w14:textId="77777777" w:rsidR="004A0E97" w:rsidRPr="002D3044" w:rsidRDefault="004A0E97" w:rsidP="002D3044">
      <w:pPr>
        <w:ind w:left="360"/>
        <w:contextualSpacing/>
        <w:jc w:val="both"/>
        <w:rPr>
          <w:rFonts w:ascii="Times New Roman" w:hAnsi="Times New Roman"/>
          <w:noProof/>
          <w:sz w:val="28"/>
          <w:szCs w:val="28"/>
        </w:rPr>
      </w:pPr>
    </w:p>
    <w:p w14:paraId="4B6BD4C8" w14:textId="77777777" w:rsidR="00A92832" w:rsidRPr="002D3044" w:rsidRDefault="00A92832" w:rsidP="002D3044">
      <w:pPr>
        <w:pStyle w:val="ListParagraph"/>
        <w:numPr>
          <w:ilvl w:val="0"/>
          <w:numId w:val="1"/>
        </w:numPr>
        <w:contextualSpacing/>
        <w:jc w:val="both"/>
        <w:rPr>
          <w:rFonts w:ascii="Times New Roman" w:hAnsi="Times New Roman"/>
          <w:b/>
          <w:bCs/>
          <w:noProof/>
          <w:sz w:val="28"/>
          <w:szCs w:val="28"/>
        </w:rPr>
      </w:pPr>
      <w:r w:rsidRPr="002D3044">
        <w:rPr>
          <w:rFonts w:ascii="Times New Roman" w:hAnsi="Times New Roman"/>
          <w:b/>
          <w:bCs/>
          <w:noProof/>
          <w:sz w:val="28"/>
          <w:szCs w:val="28"/>
        </w:rPr>
        <w:t>Palët e interesit të përfshira</w:t>
      </w:r>
    </w:p>
    <w:p w14:paraId="26656ABA" w14:textId="2A0F9D79" w:rsidR="00BE1FE7" w:rsidRPr="002D3044" w:rsidRDefault="00BE1FE7" w:rsidP="002D3044">
      <w:pPr>
        <w:contextualSpacing/>
        <w:jc w:val="both"/>
        <w:rPr>
          <w:rFonts w:ascii="Times New Roman" w:hAnsi="Times New Roman"/>
          <w:i/>
          <w:iCs/>
          <w:noProof/>
          <w:sz w:val="28"/>
          <w:szCs w:val="28"/>
        </w:rPr>
      </w:pPr>
      <w:r w:rsidRPr="002D3044">
        <w:rPr>
          <w:rFonts w:ascii="Times New Roman" w:hAnsi="Times New Roman"/>
          <w:i/>
          <w:iCs/>
          <w:noProof/>
          <w:sz w:val="28"/>
          <w:szCs w:val="28"/>
        </w:rPr>
        <w:t>Listoni të gjithë palët e interesuara, qoftë organizata apo individë, të cilët kanë dhënë komente/kontribut në konsultimet publike përmes metodave të ndryshme të konsultimit, gjatë gjithë procesit të hartimit. Përmendni gjithashtu numrin dhe strukturën e palëve të interesuara që morën pjesë në takime publike ose seanca të organeve këshilluese. Specifikoni palët e interesuara që morën pjesë në grupin e punës për hartimin e aktit.</w:t>
      </w:r>
    </w:p>
    <w:p w14:paraId="3418E301" w14:textId="77777777" w:rsidR="00BE1FE7" w:rsidRPr="002D3044" w:rsidRDefault="00BE1FE7" w:rsidP="002D3044">
      <w:pPr>
        <w:contextualSpacing/>
        <w:jc w:val="both"/>
        <w:rPr>
          <w:rFonts w:ascii="Times New Roman" w:hAnsi="Times New Roman"/>
          <w:iCs/>
          <w:noProof/>
          <w:sz w:val="28"/>
          <w:szCs w:val="28"/>
        </w:rPr>
      </w:pPr>
    </w:p>
    <w:p w14:paraId="036D92F4" w14:textId="2604CFA4" w:rsidR="006B6F48" w:rsidRPr="002D3044" w:rsidRDefault="006B6F48" w:rsidP="002D3044">
      <w:pPr>
        <w:tabs>
          <w:tab w:val="left" w:pos="7552"/>
        </w:tabs>
        <w:contextualSpacing/>
        <w:jc w:val="both"/>
        <w:rPr>
          <w:rFonts w:ascii="Times New Roman" w:hAnsi="Times New Roman"/>
          <w:iCs/>
          <w:noProof/>
          <w:sz w:val="28"/>
          <w:szCs w:val="28"/>
        </w:rPr>
      </w:pPr>
      <w:r w:rsidRPr="002D3044">
        <w:rPr>
          <w:rFonts w:ascii="Times New Roman" w:hAnsi="Times New Roman"/>
          <w:iCs/>
          <w:noProof/>
          <w:sz w:val="28"/>
          <w:szCs w:val="28"/>
        </w:rPr>
        <w:t>Në procesin e hartimit të projektvendimit dhe konsultimit publik kanë marrë pjesë institucione të nivelit qendror dhe vendor që veprojnë në fushën e menaxhimit të mbetjeve dhe mbrojtjes së mjedisit, përfshirë ministritë e linjës, agjencitë përkatëse dhe njësitë e vetëqeverisjes vendore.</w:t>
      </w:r>
    </w:p>
    <w:p w14:paraId="0DF3F20E" w14:textId="77777777" w:rsidR="001E2CDE" w:rsidRPr="002D3044" w:rsidRDefault="001E2CDE" w:rsidP="002D3044">
      <w:pPr>
        <w:tabs>
          <w:tab w:val="left" w:pos="7552"/>
        </w:tabs>
        <w:contextualSpacing/>
        <w:jc w:val="both"/>
        <w:rPr>
          <w:rFonts w:ascii="Times New Roman" w:hAnsi="Times New Roman"/>
          <w:iCs/>
          <w:noProof/>
          <w:sz w:val="28"/>
          <w:szCs w:val="28"/>
        </w:rPr>
      </w:pPr>
    </w:p>
    <w:p w14:paraId="1DAB57C9" w14:textId="6B516599" w:rsidR="006B6F48" w:rsidRPr="002D3044" w:rsidRDefault="006B6F48" w:rsidP="002D3044">
      <w:pPr>
        <w:tabs>
          <w:tab w:val="left" w:pos="7552"/>
        </w:tabs>
        <w:contextualSpacing/>
        <w:jc w:val="both"/>
        <w:rPr>
          <w:rFonts w:ascii="Times New Roman" w:hAnsi="Times New Roman"/>
          <w:iCs/>
          <w:noProof/>
          <w:sz w:val="28"/>
          <w:szCs w:val="28"/>
        </w:rPr>
      </w:pPr>
      <w:r w:rsidRPr="002D3044">
        <w:rPr>
          <w:rFonts w:ascii="Times New Roman" w:hAnsi="Times New Roman"/>
          <w:iCs/>
          <w:noProof/>
          <w:sz w:val="28"/>
          <w:szCs w:val="28"/>
        </w:rPr>
        <w:t>Gjithashtu, në hartimin e projektaktit kanë kontribu</w:t>
      </w:r>
      <w:r w:rsidR="00A32465">
        <w:rPr>
          <w:rFonts w:ascii="Times New Roman" w:hAnsi="Times New Roman"/>
          <w:iCs/>
          <w:noProof/>
          <w:sz w:val="28"/>
          <w:szCs w:val="28"/>
        </w:rPr>
        <w:t>u</w:t>
      </w:r>
      <w:r w:rsidRPr="002D3044">
        <w:rPr>
          <w:rFonts w:ascii="Times New Roman" w:hAnsi="Times New Roman"/>
          <w:iCs/>
          <w:noProof/>
          <w:sz w:val="28"/>
          <w:szCs w:val="28"/>
        </w:rPr>
        <w:t>ar ekspertë të Organizatës Gjermane për Bashkëpunim Teknik (GIZ), në kuadër të projektit të Bashkimit Evropian për ekonominë qarkulluese dhe rritjen e gjelbër.</w:t>
      </w:r>
    </w:p>
    <w:p w14:paraId="6CBD9AAA" w14:textId="77777777" w:rsidR="001E2CDE" w:rsidRPr="002D3044" w:rsidRDefault="001E2CDE" w:rsidP="002D3044">
      <w:pPr>
        <w:tabs>
          <w:tab w:val="left" w:pos="7552"/>
        </w:tabs>
        <w:contextualSpacing/>
        <w:jc w:val="both"/>
        <w:rPr>
          <w:rFonts w:ascii="Times New Roman" w:hAnsi="Times New Roman"/>
          <w:iCs/>
          <w:noProof/>
          <w:sz w:val="28"/>
          <w:szCs w:val="28"/>
        </w:rPr>
      </w:pPr>
    </w:p>
    <w:p w14:paraId="515375E3" w14:textId="77777777" w:rsidR="006B6F48" w:rsidRPr="002D3044" w:rsidRDefault="006B6F48" w:rsidP="002D3044">
      <w:pPr>
        <w:tabs>
          <w:tab w:val="left" w:pos="7552"/>
        </w:tabs>
        <w:contextualSpacing/>
        <w:jc w:val="both"/>
        <w:rPr>
          <w:rFonts w:ascii="Times New Roman" w:hAnsi="Times New Roman"/>
          <w:iCs/>
          <w:noProof/>
          <w:sz w:val="28"/>
          <w:szCs w:val="28"/>
        </w:rPr>
      </w:pPr>
      <w:r w:rsidRPr="002D3044">
        <w:rPr>
          <w:rFonts w:ascii="Times New Roman" w:hAnsi="Times New Roman"/>
          <w:iCs/>
          <w:noProof/>
          <w:sz w:val="28"/>
          <w:szCs w:val="28"/>
        </w:rPr>
        <w:t>Përveç sa më sipër, nuk rezulton të kenë marrë pjesë palë të tjera interesi jo-qeveritare (organizata të shoqërisë civile, subjekte private apo individë) në procesin e hartimit dhe konsultimit publik të projektaktit.</w:t>
      </w:r>
    </w:p>
    <w:p w14:paraId="31FCC40B" w14:textId="77777777" w:rsidR="00F15FB4" w:rsidRPr="002D3044" w:rsidRDefault="00F15FB4" w:rsidP="002D3044">
      <w:pPr>
        <w:tabs>
          <w:tab w:val="left" w:pos="7552"/>
        </w:tabs>
        <w:contextualSpacing/>
        <w:jc w:val="both"/>
        <w:rPr>
          <w:rFonts w:ascii="Times New Roman" w:hAnsi="Times New Roman"/>
          <w:iCs/>
          <w:noProof/>
          <w:sz w:val="28"/>
          <w:szCs w:val="28"/>
        </w:rPr>
      </w:pPr>
    </w:p>
    <w:p w14:paraId="5DD1FE3B" w14:textId="36DE858A" w:rsidR="00A92832" w:rsidRPr="002D3044" w:rsidRDefault="00A92832" w:rsidP="002D3044">
      <w:pPr>
        <w:pStyle w:val="ListParagraph"/>
        <w:numPr>
          <w:ilvl w:val="0"/>
          <w:numId w:val="1"/>
        </w:numPr>
        <w:tabs>
          <w:tab w:val="left" w:pos="7552"/>
        </w:tabs>
        <w:contextualSpacing/>
        <w:jc w:val="both"/>
        <w:rPr>
          <w:rFonts w:ascii="Times New Roman" w:hAnsi="Times New Roman"/>
          <w:b/>
          <w:bCs/>
          <w:noProof/>
          <w:sz w:val="28"/>
          <w:szCs w:val="28"/>
        </w:rPr>
      </w:pPr>
      <w:r w:rsidRPr="002D3044">
        <w:rPr>
          <w:rFonts w:ascii="Times New Roman" w:hAnsi="Times New Roman"/>
          <w:b/>
          <w:bCs/>
          <w:noProof/>
          <w:sz w:val="28"/>
          <w:szCs w:val="28"/>
        </w:rPr>
        <w:t>Pasqyra e komenteve të pranuara me arsyetimin e komenteve të pranuara/ refuzuara</w:t>
      </w:r>
    </w:p>
    <w:p w14:paraId="35BCD732" w14:textId="346BA852" w:rsidR="00A84CB6" w:rsidRPr="002D3044" w:rsidRDefault="00A84CB6" w:rsidP="002D3044">
      <w:pPr>
        <w:contextualSpacing/>
        <w:jc w:val="both"/>
        <w:rPr>
          <w:rFonts w:ascii="Times New Roman" w:hAnsi="Times New Roman"/>
          <w:bCs/>
          <w:i/>
          <w:noProof/>
          <w:sz w:val="28"/>
          <w:szCs w:val="28"/>
        </w:rPr>
      </w:pPr>
      <w:r w:rsidRPr="002D3044">
        <w:rPr>
          <w:rFonts w:ascii="Times New Roman" w:hAnsi="Times New Roman"/>
          <w:bCs/>
          <w:i/>
          <w:noProof/>
          <w:sz w:val="28"/>
          <w:szCs w:val="28"/>
        </w:rPr>
        <w:t>Gruponi komentet/ propozimet e pranuara sipas çështjes që ato ngritën; Gruponi komente të ngjashme së bashku dhe renditni palët e interesuara që i ngritën ato;</w:t>
      </w:r>
    </w:p>
    <w:p w14:paraId="3BF68E3B" w14:textId="79EB7144" w:rsidR="00EE1E81" w:rsidRPr="002D3044" w:rsidRDefault="00A84CB6" w:rsidP="002D3044">
      <w:pPr>
        <w:contextualSpacing/>
        <w:jc w:val="both"/>
        <w:rPr>
          <w:rFonts w:ascii="Times New Roman" w:hAnsi="Times New Roman"/>
          <w:bCs/>
          <w:i/>
          <w:noProof/>
          <w:sz w:val="28"/>
          <w:szCs w:val="28"/>
        </w:rPr>
      </w:pPr>
      <w:r w:rsidRPr="002D3044">
        <w:rPr>
          <w:rFonts w:ascii="Times New Roman" w:hAnsi="Times New Roman"/>
          <w:bCs/>
          <w:i/>
          <w:noProof/>
          <w:sz w:val="28"/>
          <w:szCs w:val="28"/>
        </w:rPr>
        <w:lastRenderedPageBreak/>
        <w:t>Shpjegoni cili ishte vendimi i marrë dhe sqaroni shkurtimisht arsyet për të.</w:t>
      </w:r>
    </w:p>
    <w:p w14:paraId="21252F3A" w14:textId="034E58AB" w:rsidR="00A84CB6" w:rsidRDefault="00A84CB6" w:rsidP="002D3044">
      <w:pPr>
        <w:contextualSpacing/>
        <w:jc w:val="both"/>
        <w:rPr>
          <w:rFonts w:ascii="Times New Roman" w:hAnsi="Times New Roman"/>
          <w:bCs/>
          <w:i/>
          <w:noProof/>
          <w:sz w:val="28"/>
          <w:szCs w:val="28"/>
        </w:rPr>
      </w:pPr>
    </w:p>
    <w:p w14:paraId="6FAC4227" w14:textId="34C3562B" w:rsidR="0063157E" w:rsidRDefault="0063157E" w:rsidP="002D3044">
      <w:pPr>
        <w:contextualSpacing/>
        <w:jc w:val="both"/>
        <w:rPr>
          <w:rFonts w:ascii="Times New Roman" w:hAnsi="Times New Roman"/>
          <w:bCs/>
          <w:i/>
          <w:noProof/>
          <w:sz w:val="28"/>
          <w:szCs w:val="28"/>
        </w:rPr>
      </w:pPr>
    </w:p>
    <w:tbl>
      <w:tblPr>
        <w:tblStyle w:val="TableGrid"/>
        <w:tblW w:w="9810" w:type="dxa"/>
        <w:tblInd w:w="-275" w:type="dxa"/>
        <w:tblLook w:val="04A0" w:firstRow="1" w:lastRow="0" w:firstColumn="1" w:lastColumn="0" w:noHBand="0" w:noVBand="1"/>
      </w:tblPr>
      <w:tblGrid>
        <w:gridCol w:w="2610"/>
        <w:gridCol w:w="1406"/>
        <w:gridCol w:w="1494"/>
        <w:gridCol w:w="1780"/>
        <w:gridCol w:w="2520"/>
      </w:tblGrid>
      <w:tr w:rsidR="0037631C" w:rsidRPr="002D3044" w14:paraId="27D46257" w14:textId="77777777" w:rsidTr="00FB1B86">
        <w:trPr>
          <w:trHeight w:val="863"/>
        </w:trPr>
        <w:tc>
          <w:tcPr>
            <w:tcW w:w="2610" w:type="dxa"/>
          </w:tcPr>
          <w:p w14:paraId="3DAE736D" w14:textId="77777777" w:rsidR="0037631C" w:rsidRPr="002D3044" w:rsidRDefault="0037631C" w:rsidP="002D3044">
            <w:pPr>
              <w:contextualSpacing/>
              <w:jc w:val="center"/>
              <w:rPr>
                <w:rFonts w:ascii="Times New Roman" w:hAnsi="Times New Roman"/>
                <w:b/>
                <w:bCs/>
                <w:noProof/>
                <w:sz w:val="28"/>
                <w:szCs w:val="28"/>
              </w:rPr>
            </w:pPr>
          </w:p>
          <w:p w14:paraId="688EE307" w14:textId="4618D1F1" w:rsidR="0037631C" w:rsidRPr="002D3044" w:rsidRDefault="0037631C" w:rsidP="002D3044">
            <w:pPr>
              <w:contextualSpacing/>
              <w:jc w:val="center"/>
              <w:rPr>
                <w:rFonts w:ascii="Times New Roman" w:hAnsi="Times New Roman"/>
                <w:b/>
                <w:bCs/>
                <w:noProof/>
                <w:sz w:val="28"/>
                <w:szCs w:val="28"/>
              </w:rPr>
            </w:pPr>
            <w:r w:rsidRPr="002D3044">
              <w:rPr>
                <w:rFonts w:ascii="Times New Roman" w:hAnsi="Times New Roman"/>
                <w:b/>
                <w:bCs/>
                <w:noProof/>
                <w:sz w:val="28"/>
                <w:szCs w:val="28"/>
              </w:rPr>
              <w:t>Çështja</w:t>
            </w:r>
          </w:p>
          <w:p w14:paraId="0BAAECDC" w14:textId="77777777" w:rsidR="0037631C" w:rsidRPr="002D3044" w:rsidRDefault="0037631C" w:rsidP="002D3044">
            <w:pPr>
              <w:contextualSpacing/>
              <w:jc w:val="center"/>
              <w:rPr>
                <w:rFonts w:ascii="Times New Roman" w:hAnsi="Times New Roman"/>
                <w:b/>
                <w:bCs/>
                <w:noProof/>
                <w:sz w:val="28"/>
                <w:szCs w:val="28"/>
              </w:rPr>
            </w:pPr>
            <w:r w:rsidRPr="002D3044">
              <w:rPr>
                <w:rFonts w:ascii="Times New Roman" w:hAnsi="Times New Roman"/>
                <w:b/>
                <w:bCs/>
                <w:noProof/>
                <w:sz w:val="28"/>
                <w:szCs w:val="28"/>
              </w:rPr>
              <w:t>e adresuar</w:t>
            </w:r>
          </w:p>
          <w:p w14:paraId="4CA879DB" w14:textId="77777777" w:rsidR="0037631C" w:rsidRPr="002D3044" w:rsidRDefault="0037631C" w:rsidP="002D3044">
            <w:pPr>
              <w:contextualSpacing/>
              <w:jc w:val="center"/>
              <w:rPr>
                <w:rFonts w:ascii="Times New Roman" w:hAnsi="Times New Roman"/>
                <w:b/>
                <w:bCs/>
                <w:noProof/>
                <w:sz w:val="28"/>
                <w:szCs w:val="28"/>
              </w:rPr>
            </w:pPr>
          </w:p>
        </w:tc>
        <w:tc>
          <w:tcPr>
            <w:tcW w:w="1406" w:type="dxa"/>
          </w:tcPr>
          <w:p w14:paraId="76579920" w14:textId="77777777" w:rsidR="0037631C" w:rsidRPr="002D3044" w:rsidRDefault="0037631C" w:rsidP="002D3044">
            <w:pPr>
              <w:contextualSpacing/>
              <w:jc w:val="center"/>
              <w:rPr>
                <w:rFonts w:ascii="Times New Roman" w:hAnsi="Times New Roman"/>
                <w:b/>
                <w:bCs/>
                <w:noProof/>
                <w:sz w:val="28"/>
                <w:szCs w:val="28"/>
              </w:rPr>
            </w:pPr>
          </w:p>
          <w:p w14:paraId="199A6746" w14:textId="77777777" w:rsidR="0037631C" w:rsidRPr="002D3044" w:rsidRDefault="0037631C" w:rsidP="002D3044">
            <w:pPr>
              <w:contextualSpacing/>
              <w:jc w:val="center"/>
              <w:rPr>
                <w:rFonts w:ascii="Times New Roman" w:hAnsi="Times New Roman"/>
                <w:b/>
                <w:bCs/>
                <w:noProof/>
                <w:sz w:val="28"/>
                <w:szCs w:val="28"/>
              </w:rPr>
            </w:pPr>
            <w:r w:rsidRPr="002D3044">
              <w:rPr>
                <w:rFonts w:ascii="Times New Roman" w:hAnsi="Times New Roman"/>
                <w:b/>
                <w:bCs/>
                <w:noProof/>
                <w:sz w:val="28"/>
                <w:szCs w:val="28"/>
              </w:rPr>
              <w:t>Komenti</w:t>
            </w:r>
          </w:p>
        </w:tc>
        <w:tc>
          <w:tcPr>
            <w:tcW w:w="1494" w:type="dxa"/>
          </w:tcPr>
          <w:p w14:paraId="5378ABA4" w14:textId="77777777" w:rsidR="0037631C" w:rsidRPr="002D3044" w:rsidRDefault="0037631C" w:rsidP="002D3044">
            <w:pPr>
              <w:contextualSpacing/>
              <w:jc w:val="center"/>
              <w:rPr>
                <w:rFonts w:ascii="Times New Roman" w:hAnsi="Times New Roman"/>
                <w:b/>
                <w:bCs/>
                <w:noProof/>
                <w:sz w:val="28"/>
                <w:szCs w:val="28"/>
              </w:rPr>
            </w:pPr>
          </w:p>
          <w:p w14:paraId="575D89CB" w14:textId="77777777" w:rsidR="0037631C" w:rsidRPr="002D3044" w:rsidRDefault="0037631C" w:rsidP="002D3044">
            <w:pPr>
              <w:contextualSpacing/>
              <w:jc w:val="center"/>
              <w:rPr>
                <w:rFonts w:ascii="Times New Roman" w:hAnsi="Times New Roman"/>
                <w:b/>
                <w:bCs/>
                <w:noProof/>
                <w:sz w:val="28"/>
                <w:szCs w:val="28"/>
              </w:rPr>
            </w:pPr>
            <w:r w:rsidRPr="002D3044">
              <w:rPr>
                <w:rFonts w:ascii="Times New Roman" w:hAnsi="Times New Roman"/>
                <w:b/>
                <w:bCs/>
                <w:noProof/>
                <w:sz w:val="28"/>
                <w:szCs w:val="28"/>
              </w:rPr>
              <w:t>Palët e intresuara</w:t>
            </w:r>
          </w:p>
        </w:tc>
        <w:tc>
          <w:tcPr>
            <w:tcW w:w="1780" w:type="dxa"/>
          </w:tcPr>
          <w:p w14:paraId="3A7C1B12" w14:textId="77777777" w:rsidR="0037631C" w:rsidRPr="002D3044" w:rsidRDefault="0037631C" w:rsidP="002D3044">
            <w:pPr>
              <w:contextualSpacing/>
              <w:jc w:val="center"/>
              <w:rPr>
                <w:rFonts w:ascii="Times New Roman" w:hAnsi="Times New Roman"/>
                <w:b/>
                <w:bCs/>
                <w:noProof/>
                <w:sz w:val="28"/>
                <w:szCs w:val="28"/>
              </w:rPr>
            </w:pPr>
          </w:p>
          <w:p w14:paraId="462751B6" w14:textId="77777777" w:rsidR="0037631C" w:rsidRPr="002D3044" w:rsidRDefault="0037631C" w:rsidP="002D3044">
            <w:pPr>
              <w:contextualSpacing/>
              <w:jc w:val="center"/>
              <w:rPr>
                <w:rFonts w:ascii="Times New Roman" w:hAnsi="Times New Roman"/>
                <w:b/>
                <w:bCs/>
                <w:noProof/>
                <w:sz w:val="28"/>
                <w:szCs w:val="28"/>
              </w:rPr>
            </w:pPr>
            <w:r w:rsidRPr="002D3044">
              <w:rPr>
                <w:rFonts w:ascii="Times New Roman" w:hAnsi="Times New Roman"/>
                <w:b/>
                <w:bCs/>
                <w:noProof/>
                <w:sz w:val="28"/>
                <w:szCs w:val="28"/>
              </w:rPr>
              <w:t>Vendimi</w:t>
            </w:r>
          </w:p>
        </w:tc>
        <w:tc>
          <w:tcPr>
            <w:tcW w:w="2520" w:type="dxa"/>
          </w:tcPr>
          <w:p w14:paraId="6D769A97" w14:textId="77777777" w:rsidR="0037631C" w:rsidRPr="002D3044" w:rsidRDefault="0037631C" w:rsidP="002D3044">
            <w:pPr>
              <w:contextualSpacing/>
              <w:jc w:val="center"/>
              <w:rPr>
                <w:rFonts w:ascii="Times New Roman" w:hAnsi="Times New Roman"/>
                <w:b/>
                <w:bCs/>
                <w:noProof/>
                <w:sz w:val="28"/>
                <w:szCs w:val="28"/>
              </w:rPr>
            </w:pPr>
          </w:p>
          <w:p w14:paraId="7A158D23" w14:textId="77777777" w:rsidR="0037631C" w:rsidRPr="002D3044" w:rsidRDefault="0037631C" w:rsidP="002D3044">
            <w:pPr>
              <w:contextualSpacing/>
              <w:jc w:val="center"/>
              <w:rPr>
                <w:rFonts w:ascii="Times New Roman" w:hAnsi="Times New Roman"/>
                <w:b/>
                <w:bCs/>
                <w:noProof/>
                <w:sz w:val="28"/>
                <w:szCs w:val="28"/>
              </w:rPr>
            </w:pPr>
            <w:r w:rsidRPr="002D3044">
              <w:rPr>
                <w:rFonts w:ascii="Times New Roman" w:hAnsi="Times New Roman"/>
                <w:b/>
                <w:bCs/>
                <w:noProof/>
                <w:sz w:val="28"/>
                <w:szCs w:val="28"/>
              </w:rPr>
              <w:t>Justifikimi</w:t>
            </w:r>
          </w:p>
        </w:tc>
      </w:tr>
      <w:tr w:rsidR="0037631C" w:rsidRPr="002D3044" w14:paraId="20EEFE9F" w14:textId="77777777" w:rsidTr="00FB1B86">
        <w:trPr>
          <w:trHeight w:val="4220"/>
        </w:trPr>
        <w:tc>
          <w:tcPr>
            <w:tcW w:w="2610" w:type="dxa"/>
          </w:tcPr>
          <w:p w14:paraId="190F262D" w14:textId="7FD98DD8" w:rsidR="002A4C02" w:rsidRPr="002D3044" w:rsidRDefault="002A4C02" w:rsidP="002D3044">
            <w:pPr>
              <w:pStyle w:val="ListParagraph"/>
              <w:spacing w:after="0"/>
              <w:ind w:left="0"/>
              <w:contextualSpacing/>
              <w:jc w:val="both"/>
              <w:rPr>
                <w:rFonts w:ascii="Times New Roman" w:hAnsi="Times New Roman"/>
                <w:sz w:val="28"/>
                <w:szCs w:val="28"/>
              </w:rPr>
            </w:pPr>
            <w:r w:rsidRPr="002D3044">
              <w:rPr>
                <w:rFonts w:ascii="Times New Roman" w:hAnsi="Times New Roman"/>
                <w:sz w:val="28"/>
                <w:szCs w:val="28"/>
              </w:rPr>
              <w:t>1.  Përkufizimi ‘Paguaj sipas hedhjes’ PAYT dhe take-a</w:t>
            </w:r>
            <w:r w:rsidR="00BD3697" w:rsidRPr="002D3044">
              <w:rPr>
                <w:rFonts w:ascii="Times New Roman" w:hAnsi="Times New Roman"/>
                <w:sz w:val="28"/>
                <w:szCs w:val="28"/>
              </w:rPr>
              <w:t>ë</w:t>
            </w:r>
            <w:r w:rsidRPr="002D3044">
              <w:rPr>
                <w:rFonts w:ascii="Times New Roman" w:hAnsi="Times New Roman"/>
                <w:sz w:val="28"/>
                <w:szCs w:val="28"/>
              </w:rPr>
              <w:t>ay) nuk ekziston as në ligjin bazë nr. 57, datë 16.10.2025 "Për menaxhimin e integruar të mbetjeve" dhe ligjit nr.74/2025 “Për përgjegjësinë e zgjeruar të prodhuesit” (PZP). Kërkohet një sqarim për këtë përkufizim, cila nuk ekziston në legj</w:t>
            </w:r>
            <w:r w:rsidR="00250175">
              <w:rPr>
                <w:rFonts w:ascii="Times New Roman" w:hAnsi="Times New Roman"/>
                <w:sz w:val="28"/>
                <w:szCs w:val="28"/>
              </w:rPr>
              <w:t>islacionin në fuqi për mbetjet.</w:t>
            </w:r>
          </w:p>
          <w:p w14:paraId="784FF2BE" w14:textId="53059AC4" w:rsidR="0037631C" w:rsidRPr="002D3044" w:rsidRDefault="0037631C" w:rsidP="002D3044">
            <w:pPr>
              <w:contextualSpacing/>
              <w:jc w:val="both"/>
              <w:rPr>
                <w:rFonts w:ascii="Times New Roman" w:hAnsi="Times New Roman"/>
                <w:noProof/>
                <w:sz w:val="28"/>
                <w:szCs w:val="28"/>
              </w:rPr>
            </w:pPr>
          </w:p>
        </w:tc>
        <w:tc>
          <w:tcPr>
            <w:tcW w:w="1406" w:type="dxa"/>
          </w:tcPr>
          <w:p w14:paraId="2A43C890" w14:textId="3C332300" w:rsidR="0037631C" w:rsidRPr="002D3044" w:rsidRDefault="0037631C" w:rsidP="002D3044">
            <w:pPr>
              <w:contextualSpacing/>
              <w:jc w:val="both"/>
              <w:rPr>
                <w:rFonts w:ascii="Times New Roman" w:hAnsi="Times New Roman"/>
                <w:noProof/>
                <w:sz w:val="28"/>
                <w:szCs w:val="28"/>
              </w:rPr>
            </w:pPr>
            <w:r w:rsidRPr="002D3044">
              <w:rPr>
                <w:rFonts w:ascii="Times New Roman" w:hAnsi="Times New Roman"/>
                <w:noProof/>
                <w:sz w:val="28"/>
                <w:szCs w:val="28"/>
              </w:rPr>
              <w:t xml:space="preserve">U </w:t>
            </w:r>
            <w:r w:rsidR="002A4C02" w:rsidRPr="002D3044">
              <w:rPr>
                <w:rFonts w:ascii="Times New Roman" w:hAnsi="Times New Roman"/>
                <w:noProof/>
                <w:sz w:val="28"/>
                <w:szCs w:val="28"/>
              </w:rPr>
              <w:t>sqarua n</w:t>
            </w:r>
            <w:r w:rsidR="00BD3697" w:rsidRPr="002D3044">
              <w:rPr>
                <w:rFonts w:ascii="Times New Roman" w:hAnsi="Times New Roman"/>
                <w:noProof/>
                <w:sz w:val="28"/>
                <w:szCs w:val="28"/>
              </w:rPr>
              <w:t>ë</w:t>
            </w:r>
            <w:r w:rsidR="002A4C02" w:rsidRPr="002D3044">
              <w:rPr>
                <w:rFonts w:ascii="Times New Roman" w:hAnsi="Times New Roman"/>
                <w:noProof/>
                <w:sz w:val="28"/>
                <w:szCs w:val="28"/>
              </w:rPr>
              <w:t xml:space="preserve"> r</w:t>
            </w:r>
            <w:r w:rsidR="006B6F48" w:rsidRPr="002D3044">
              <w:rPr>
                <w:rFonts w:ascii="Times New Roman" w:hAnsi="Times New Roman"/>
                <w:noProof/>
                <w:sz w:val="28"/>
                <w:szCs w:val="28"/>
              </w:rPr>
              <w:t>e</w:t>
            </w:r>
            <w:r w:rsidR="002A4C02" w:rsidRPr="002D3044">
              <w:rPr>
                <w:rFonts w:ascii="Times New Roman" w:hAnsi="Times New Roman"/>
                <w:noProof/>
                <w:sz w:val="28"/>
                <w:szCs w:val="28"/>
              </w:rPr>
              <w:t>lacionin shoq</w:t>
            </w:r>
            <w:r w:rsidR="00BD3697" w:rsidRPr="002D3044">
              <w:rPr>
                <w:rFonts w:ascii="Times New Roman" w:hAnsi="Times New Roman"/>
                <w:noProof/>
                <w:sz w:val="28"/>
                <w:szCs w:val="28"/>
              </w:rPr>
              <w:t>ë</w:t>
            </w:r>
            <w:r w:rsidR="002A4C02" w:rsidRPr="002D3044">
              <w:rPr>
                <w:rFonts w:ascii="Times New Roman" w:hAnsi="Times New Roman"/>
                <w:noProof/>
                <w:sz w:val="28"/>
                <w:szCs w:val="28"/>
              </w:rPr>
              <w:t>rues.</w:t>
            </w:r>
          </w:p>
        </w:tc>
        <w:tc>
          <w:tcPr>
            <w:tcW w:w="1494" w:type="dxa"/>
          </w:tcPr>
          <w:p w14:paraId="016D2E83" w14:textId="5CE7B34F" w:rsidR="0037631C" w:rsidRPr="002D3044" w:rsidRDefault="002A4C02" w:rsidP="002D3044">
            <w:pPr>
              <w:contextualSpacing/>
              <w:jc w:val="both"/>
              <w:rPr>
                <w:rFonts w:ascii="Times New Roman" w:hAnsi="Times New Roman"/>
                <w:noProof/>
                <w:sz w:val="28"/>
                <w:szCs w:val="28"/>
              </w:rPr>
            </w:pPr>
            <w:r w:rsidRPr="002D3044">
              <w:rPr>
                <w:rFonts w:ascii="Times New Roman" w:hAnsi="Times New Roman"/>
                <w:noProof/>
                <w:sz w:val="28"/>
                <w:szCs w:val="28"/>
              </w:rPr>
              <w:t>Polikron Horeshka</w:t>
            </w:r>
          </w:p>
        </w:tc>
        <w:tc>
          <w:tcPr>
            <w:tcW w:w="1780" w:type="dxa"/>
          </w:tcPr>
          <w:p w14:paraId="4B0A2655" w14:textId="77777777" w:rsidR="006B6F48" w:rsidRPr="002D3044" w:rsidRDefault="006B6F48" w:rsidP="002D3044">
            <w:pPr>
              <w:contextualSpacing/>
              <w:jc w:val="both"/>
              <w:rPr>
                <w:rFonts w:ascii="Times New Roman" w:hAnsi="Times New Roman"/>
                <w:noProof/>
                <w:sz w:val="28"/>
                <w:szCs w:val="28"/>
                <w:lang w:val="en-US"/>
              </w:rPr>
            </w:pPr>
            <w:r w:rsidRPr="002D3044">
              <w:rPr>
                <w:rFonts w:ascii="Times New Roman" w:hAnsi="Times New Roman"/>
                <w:noProof/>
                <w:sz w:val="28"/>
                <w:szCs w:val="28"/>
                <w:lang w:val="en-US"/>
              </w:rPr>
              <w:t>Refuzuar</w:t>
            </w:r>
          </w:p>
          <w:p w14:paraId="3BE695AC" w14:textId="3DD26219" w:rsidR="0037631C" w:rsidRPr="002D3044" w:rsidRDefault="0037631C" w:rsidP="002D3044">
            <w:pPr>
              <w:contextualSpacing/>
              <w:jc w:val="both"/>
              <w:rPr>
                <w:rFonts w:ascii="Times New Roman" w:hAnsi="Times New Roman"/>
                <w:noProof/>
                <w:sz w:val="28"/>
                <w:szCs w:val="28"/>
              </w:rPr>
            </w:pPr>
          </w:p>
        </w:tc>
        <w:tc>
          <w:tcPr>
            <w:tcW w:w="2520" w:type="dxa"/>
          </w:tcPr>
          <w:p w14:paraId="6183A747" w14:textId="15590A20" w:rsidR="002A4C02" w:rsidRPr="002D3044" w:rsidRDefault="002A4C02" w:rsidP="00FB1B86">
            <w:pPr>
              <w:pStyle w:val="ListParagraph"/>
              <w:tabs>
                <w:tab w:val="clear" w:pos="567"/>
                <w:tab w:val="left" w:pos="163"/>
              </w:tabs>
              <w:spacing w:after="0"/>
              <w:ind w:left="73" w:hanging="623"/>
              <w:contextualSpacing/>
              <w:jc w:val="both"/>
              <w:rPr>
                <w:rFonts w:ascii="Times New Roman" w:hAnsi="Times New Roman"/>
                <w:b/>
                <w:bCs/>
                <w:sz w:val="28"/>
                <w:szCs w:val="28"/>
              </w:rPr>
            </w:pPr>
            <w:r w:rsidRPr="002D3044">
              <w:rPr>
                <w:rFonts w:ascii="Times New Roman" w:hAnsi="Times New Roman"/>
                <w:sz w:val="28"/>
                <w:szCs w:val="28"/>
              </w:rPr>
              <w:t>LidSqarojmë se Programi Kombëtar i Parandalimit të Krijimit të Mbetjeve është një dokument strategjik, i hartuar në zbatim të nenit 66 të ligjit nr. 57/2025 “Për menaxhimin e integruar të mbetjeve”, me qëllim përcaktimin e politikave dhe masave që nxisin parandalimin e mbetjeve, në përputhje me hierarkinë e mbetjeve dhe parimet e ekonomisë qarkulluese.</w:t>
            </w:r>
            <w:r w:rsidRPr="002D3044">
              <w:rPr>
                <w:rFonts w:ascii="Times New Roman" w:hAnsi="Times New Roman"/>
                <w:b/>
                <w:bCs/>
                <w:sz w:val="28"/>
                <w:szCs w:val="28"/>
              </w:rPr>
              <w:t xml:space="preserve"> </w:t>
            </w:r>
            <w:r w:rsidRPr="002D3044">
              <w:rPr>
                <w:rFonts w:ascii="Times New Roman" w:hAnsi="Times New Roman"/>
                <w:sz w:val="28"/>
                <w:szCs w:val="28"/>
              </w:rPr>
              <w:t xml:space="preserve">Në këtë kuadër, Programi parashikon përdorimin e instrumenteve ekonomikë si mjete mbështetëse për arritjen e objektivave të parandalimit, duke përfshirë edhe skemat e tarifimit të </w:t>
            </w:r>
            <w:r w:rsidRPr="002D3044">
              <w:rPr>
                <w:rFonts w:ascii="Times New Roman" w:hAnsi="Times New Roman"/>
                <w:sz w:val="28"/>
                <w:szCs w:val="28"/>
              </w:rPr>
              <w:lastRenderedPageBreak/>
              <w:t>diferencuar, si “Paguaj sipas hedhjes” (PAYT), të cilat transpozojnë parimin “ndotësi paguan” dhe lidhin koston e shërbimit me sasinë e mbetjeve të gjeneruara. Referimi ndaj PAYT në Program bëhet si instrument politikash dhe si praktikë e mirë ndërkombëtare, e përdorur gjerësisht në shtetet anëtare të Bashkimit Evropian për reduktimin e mbetjeve dhe rritjen e ndarjes në burim.</w:t>
            </w:r>
            <w:r w:rsidRPr="002D3044">
              <w:rPr>
                <w:rFonts w:ascii="Times New Roman" w:hAnsi="Times New Roman"/>
                <w:b/>
                <w:bCs/>
                <w:sz w:val="28"/>
                <w:szCs w:val="28"/>
              </w:rPr>
              <w:t xml:space="preserve"> </w:t>
            </w:r>
            <w:r w:rsidRPr="002D3044">
              <w:rPr>
                <w:rFonts w:ascii="Times New Roman" w:hAnsi="Times New Roman"/>
                <w:sz w:val="28"/>
                <w:szCs w:val="28"/>
              </w:rPr>
              <w:t xml:space="preserve">Përfshirja e këtij koncepti në Program nuk nënkupton vendosje të menjëhershme të një skeme tarifore, as krijim detyrimesh financiare për qytetarët apo subjektet, por synon të orientojë autoritetet publike, veçanërisht njësitë e vetëqeverisjes vendore, drejt përdorimit të instrumenteve që nxisin parandalimin e mbetjeve, në përputhje me </w:t>
            </w:r>
            <w:r w:rsidRPr="002D3044">
              <w:rPr>
                <w:rFonts w:ascii="Times New Roman" w:hAnsi="Times New Roman"/>
                <w:sz w:val="28"/>
                <w:szCs w:val="28"/>
              </w:rPr>
              <w:lastRenderedPageBreak/>
              <w:t>zhvillimet strategjike kombëtare dhe angazhimet ndërkombëtare të Shqipërisë.</w:t>
            </w:r>
          </w:p>
          <w:p w14:paraId="2312BD25" w14:textId="75EE1B5B" w:rsidR="0037631C" w:rsidRPr="002D3044" w:rsidRDefault="0037631C" w:rsidP="00FB1B86">
            <w:pPr>
              <w:contextualSpacing/>
              <w:jc w:val="both"/>
              <w:rPr>
                <w:rFonts w:ascii="Times New Roman" w:hAnsi="Times New Roman"/>
                <w:noProof/>
                <w:sz w:val="28"/>
                <w:szCs w:val="28"/>
              </w:rPr>
            </w:pPr>
          </w:p>
        </w:tc>
      </w:tr>
      <w:tr w:rsidR="00BD3697" w:rsidRPr="002D3044" w14:paraId="7B6B690B" w14:textId="77777777" w:rsidTr="00FB1B86">
        <w:trPr>
          <w:trHeight w:val="1143"/>
        </w:trPr>
        <w:tc>
          <w:tcPr>
            <w:tcW w:w="2610" w:type="dxa"/>
          </w:tcPr>
          <w:p w14:paraId="6DE10CEC" w14:textId="4C967319" w:rsidR="00BD3697" w:rsidRPr="002D3044" w:rsidRDefault="00BD3697" w:rsidP="002D3044">
            <w:pPr>
              <w:pStyle w:val="ListParagraph"/>
              <w:spacing w:after="0"/>
              <w:ind w:left="0"/>
              <w:contextualSpacing/>
              <w:jc w:val="both"/>
              <w:rPr>
                <w:rFonts w:ascii="Times New Roman" w:hAnsi="Times New Roman"/>
                <w:sz w:val="28"/>
                <w:szCs w:val="28"/>
              </w:rPr>
            </w:pPr>
            <w:r w:rsidRPr="002D3044">
              <w:rPr>
                <w:rFonts w:ascii="Times New Roman" w:hAnsi="Times New Roman"/>
                <w:sz w:val="28"/>
                <w:szCs w:val="28"/>
              </w:rPr>
              <w:lastRenderedPageBreak/>
              <w:t xml:space="preserve">Në </w:t>
            </w:r>
            <w:r w:rsidR="002D3044">
              <w:rPr>
                <w:rFonts w:ascii="Times New Roman" w:hAnsi="Times New Roman"/>
                <w:sz w:val="28"/>
                <w:szCs w:val="28"/>
              </w:rPr>
              <w:t xml:space="preserve"> </w:t>
            </w:r>
            <w:r w:rsidRPr="002D3044">
              <w:rPr>
                <w:rFonts w:ascii="Times New Roman" w:hAnsi="Times New Roman"/>
                <w:sz w:val="28"/>
                <w:szCs w:val="28"/>
              </w:rPr>
              <w:t xml:space="preserve">Programin Kombëtar për Parandalimin e Krijimit të Mbetjeve, konstatohet se dokumenti paraqet vetëm projekte pilot në disa bashki por nuk pasqyron kostot dhe përparësitë, pavarësisht nga fakti nëse ato teknika përdoren apo prodhohen në Republikën e Shqipërisë, për sa kohë ato janë të arritshme nga përdoruesi. Pajisjet dhe impiantet për parandalimin e menaxhimit të mbetjeve që duhet të menaxhohen sipas parimit të përgjegjshmërisë ndaj mjedisit, me qëllim që të shmanget ndikimi i tyre mbi mjedisin, dhe në rastet kur ky </w:t>
            </w:r>
            <w:r w:rsidRPr="002D3044">
              <w:rPr>
                <w:rFonts w:ascii="Times New Roman" w:hAnsi="Times New Roman"/>
                <w:sz w:val="28"/>
                <w:szCs w:val="28"/>
              </w:rPr>
              <w:lastRenderedPageBreak/>
              <w:t xml:space="preserve">ndikim nuk mund të shmanget apo të minimizohet. </w:t>
            </w:r>
          </w:p>
          <w:p w14:paraId="39F9D0DB" w14:textId="77777777" w:rsidR="00BD3697" w:rsidRPr="002D3044" w:rsidRDefault="00BD3697" w:rsidP="002D3044">
            <w:pPr>
              <w:contextualSpacing/>
              <w:jc w:val="both"/>
              <w:rPr>
                <w:rFonts w:ascii="Times New Roman" w:hAnsi="Times New Roman"/>
                <w:kern w:val="2"/>
                <w:sz w:val="28"/>
                <w:szCs w:val="28"/>
                <w14:ligatures w14:val="standardContextual"/>
              </w:rPr>
            </w:pPr>
          </w:p>
        </w:tc>
        <w:tc>
          <w:tcPr>
            <w:tcW w:w="1406" w:type="dxa"/>
          </w:tcPr>
          <w:p w14:paraId="3FCE375A" w14:textId="2887F52A" w:rsidR="00BD3697" w:rsidRPr="002D3044" w:rsidRDefault="00BD3697" w:rsidP="002D3044">
            <w:pPr>
              <w:contextualSpacing/>
              <w:jc w:val="both"/>
              <w:rPr>
                <w:rFonts w:ascii="Times New Roman" w:hAnsi="Times New Roman"/>
                <w:noProof/>
                <w:sz w:val="28"/>
                <w:szCs w:val="28"/>
              </w:rPr>
            </w:pPr>
            <w:r w:rsidRPr="002D3044">
              <w:rPr>
                <w:rFonts w:ascii="Times New Roman" w:hAnsi="Times New Roman"/>
                <w:noProof/>
                <w:sz w:val="28"/>
                <w:szCs w:val="28"/>
              </w:rPr>
              <w:lastRenderedPageBreak/>
              <w:t>U sqarua në r</w:t>
            </w:r>
            <w:r w:rsidR="006B6F48" w:rsidRPr="002D3044">
              <w:rPr>
                <w:rFonts w:ascii="Times New Roman" w:hAnsi="Times New Roman"/>
                <w:noProof/>
                <w:sz w:val="28"/>
                <w:szCs w:val="28"/>
              </w:rPr>
              <w:t>e</w:t>
            </w:r>
            <w:r w:rsidRPr="002D3044">
              <w:rPr>
                <w:rFonts w:ascii="Times New Roman" w:hAnsi="Times New Roman"/>
                <w:noProof/>
                <w:sz w:val="28"/>
                <w:szCs w:val="28"/>
              </w:rPr>
              <w:t>lacionin shoqërues.</w:t>
            </w:r>
          </w:p>
        </w:tc>
        <w:tc>
          <w:tcPr>
            <w:tcW w:w="1494" w:type="dxa"/>
          </w:tcPr>
          <w:p w14:paraId="652E50B5" w14:textId="1E4B5CDF" w:rsidR="00BD3697" w:rsidRPr="002D3044" w:rsidRDefault="00BD3697" w:rsidP="002D3044">
            <w:pPr>
              <w:contextualSpacing/>
              <w:jc w:val="both"/>
              <w:rPr>
                <w:rFonts w:ascii="Times New Roman" w:hAnsi="Times New Roman"/>
                <w:noProof/>
                <w:sz w:val="28"/>
                <w:szCs w:val="28"/>
              </w:rPr>
            </w:pPr>
            <w:r w:rsidRPr="002D3044">
              <w:rPr>
                <w:rFonts w:ascii="Times New Roman" w:hAnsi="Times New Roman"/>
                <w:noProof/>
                <w:sz w:val="28"/>
                <w:szCs w:val="28"/>
              </w:rPr>
              <w:t>Polikron Horeshka</w:t>
            </w:r>
          </w:p>
        </w:tc>
        <w:tc>
          <w:tcPr>
            <w:tcW w:w="1780" w:type="dxa"/>
          </w:tcPr>
          <w:p w14:paraId="3405239A" w14:textId="77777777" w:rsidR="006B6F48" w:rsidRPr="002D3044" w:rsidRDefault="006B6F48" w:rsidP="002D3044">
            <w:pPr>
              <w:contextualSpacing/>
              <w:jc w:val="both"/>
              <w:rPr>
                <w:rFonts w:ascii="Times New Roman" w:hAnsi="Times New Roman"/>
                <w:noProof/>
                <w:sz w:val="28"/>
                <w:szCs w:val="28"/>
                <w:lang w:val="en-US"/>
              </w:rPr>
            </w:pPr>
            <w:r w:rsidRPr="002D3044">
              <w:rPr>
                <w:rFonts w:ascii="Times New Roman" w:hAnsi="Times New Roman"/>
                <w:noProof/>
                <w:sz w:val="28"/>
                <w:szCs w:val="28"/>
                <w:lang w:val="en-US"/>
              </w:rPr>
              <w:t>Refuzuar</w:t>
            </w:r>
          </w:p>
          <w:p w14:paraId="3CDB27DD" w14:textId="20493864" w:rsidR="00BD3697" w:rsidRPr="002D3044" w:rsidRDefault="00BD3697" w:rsidP="002D3044">
            <w:pPr>
              <w:contextualSpacing/>
              <w:jc w:val="both"/>
              <w:rPr>
                <w:rFonts w:ascii="Times New Roman" w:hAnsi="Times New Roman"/>
                <w:noProof/>
                <w:sz w:val="28"/>
                <w:szCs w:val="28"/>
              </w:rPr>
            </w:pPr>
          </w:p>
        </w:tc>
        <w:tc>
          <w:tcPr>
            <w:tcW w:w="2520" w:type="dxa"/>
          </w:tcPr>
          <w:p w14:paraId="3AA77692" w14:textId="61EE24EA" w:rsidR="00BD3697" w:rsidRPr="002D3044" w:rsidRDefault="00BD3697" w:rsidP="00FB1B86">
            <w:pPr>
              <w:pStyle w:val="ListParagraph"/>
              <w:spacing w:after="0"/>
              <w:ind w:left="0"/>
              <w:contextualSpacing/>
              <w:jc w:val="both"/>
              <w:rPr>
                <w:rFonts w:ascii="Times New Roman" w:hAnsi="Times New Roman"/>
                <w:sz w:val="28"/>
                <w:szCs w:val="28"/>
              </w:rPr>
            </w:pPr>
            <w:r w:rsidRPr="002D3044">
              <w:rPr>
                <w:rFonts w:ascii="Times New Roman" w:hAnsi="Times New Roman"/>
                <w:sz w:val="28"/>
                <w:szCs w:val="28"/>
              </w:rPr>
              <w:t>Për</w:t>
            </w:r>
            <w:r w:rsidR="001E2CDE" w:rsidRPr="002D3044">
              <w:rPr>
                <w:rFonts w:ascii="Times New Roman" w:hAnsi="Times New Roman"/>
                <w:sz w:val="28"/>
                <w:szCs w:val="28"/>
              </w:rPr>
              <w:t xml:space="preserve"> </w:t>
            </w:r>
            <w:r w:rsidRPr="002D3044">
              <w:rPr>
                <w:rFonts w:ascii="Times New Roman" w:hAnsi="Times New Roman"/>
                <w:sz w:val="28"/>
                <w:szCs w:val="28"/>
              </w:rPr>
              <w:t xml:space="preserve">Sqarojmë se Programi nuk parashikon projekte pilot dhe nuk ka për objekt identifikimin apo përshkrimin e pajisjeve, impianteve apo teknologjive specifike për menaxhimin e mbetjeve. Programi përcakton kuadrin strategjik, objektivat dhe masat për parandalimin e krijimit të mbetjeve, në përputhje me hierarkinë e mbetjeve dhe legjislacionin në fuqi. Për pasojë, çështje të tilla si kostot, përparësitë teknike, disponueshmëria e pajisjeve apo vendi i prodhimit të tyre nuk janë pjesë e objektit të këtij </w:t>
            </w:r>
            <w:r w:rsidRPr="002D3044">
              <w:rPr>
                <w:rFonts w:ascii="Times New Roman" w:hAnsi="Times New Roman"/>
                <w:sz w:val="28"/>
                <w:szCs w:val="28"/>
              </w:rPr>
              <w:lastRenderedPageBreak/>
              <w:t xml:space="preserve">dokumenti dhe trajtohen në dokumente dhe procese të tjera të planifikimit dhe zbatimit, sipas rasteve. </w:t>
            </w:r>
          </w:p>
          <w:p w14:paraId="3E9529A5" w14:textId="77777777" w:rsidR="00BD3697" w:rsidRPr="002D3044" w:rsidRDefault="00BD3697" w:rsidP="00FB1B86">
            <w:pPr>
              <w:contextualSpacing/>
              <w:jc w:val="both"/>
              <w:rPr>
                <w:rFonts w:ascii="Times New Roman" w:hAnsi="Times New Roman"/>
                <w:kern w:val="2"/>
                <w:sz w:val="28"/>
                <w:szCs w:val="28"/>
                <w14:ligatures w14:val="standardContextual"/>
              </w:rPr>
            </w:pPr>
          </w:p>
        </w:tc>
      </w:tr>
      <w:tr w:rsidR="00BD3697" w:rsidRPr="002D3044" w14:paraId="0947A249" w14:textId="77777777" w:rsidTr="00FB1B86">
        <w:trPr>
          <w:trHeight w:val="1520"/>
        </w:trPr>
        <w:tc>
          <w:tcPr>
            <w:tcW w:w="2610" w:type="dxa"/>
          </w:tcPr>
          <w:p w14:paraId="780F5A80" w14:textId="70974B29" w:rsidR="00BD3697" w:rsidRPr="002D3044" w:rsidRDefault="00BD3697" w:rsidP="002D3044">
            <w:pPr>
              <w:contextualSpacing/>
              <w:jc w:val="both"/>
              <w:rPr>
                <w:rFonts w:ascii="Times New Roman" w:hAnsi="Times New Roman"/>
                <w:sz w:val="28"/>
                <w:szCs w:val="28"/>
              </w:rPr>
            </w:pPr>
            <w:r w:rsidRPr="002D3044">
              <w:rPr>
                <w:rFonts w:ascii="Times New Roman" w:hAnsi="Times New Roman"/>
                <w:sz w:val="28"/>
                <w:szCs w:val="28"/>
              </w:rPr>
              <w:lastRenderedPageBreak/>
              <w:t xml:space="preserve">Bazuar në Shtojcën 5 të ligjit nr. 57, datë 16.10.2025 "Për menaxhimin e integruar të mbetjeve", ky projektakt nuk pasqyron: </w:t>
            </w:r>
          </w:p>
          <w:p w14:paraId="000FDB50" w14:textId="77777777" w:rsidR="00BD3697" w:rsidRPr="002D3044" w:rsidRDefault="00BD3697" w:rsidP="002D3044">
            <w:pPr>
              <w:contextualSpacing/>
              <w:jc w:val="both"/>
              <w:rPr>
                <w:rFonts w:ascii="Times New Roman" w:hAnsi="Times New Roman"/>
                <w:sz w:val="28"/>
                <w:szCs w:val="28"/>
              </w:rPr>
            </w:pPr>
            <w:r w:rsidRPr="002D3044">
              <w:rPr>
                <w:rFonts w:ascii="Times New Roman" w:hAnsi="Times New Roman"/>
                <w:sz w:val="28"/>
                <w:szCs w:val="28"/>
              </w:rPr>
              <w:t xml:space="preserve">- Përdorimi i masave të planifikimit ose instrumenteve të tjera ekonomike që nxisin përdorimin e burimeve në mënyrë eficiente; </w:t>
            </w:r>
          </w:p>
          <w:p w14:paraId="7B5D3472" w14:textId="77777777" w:rsidR="00BD3697" w:rsidRPr="002D3044" w:rsidRDefault="00BD3697" w:rsidP="002D3044">
            <w:pPr>
              <w:contextualSpacing/>
              <w:jc w:val="both"/>
              <w:rPr>
                <w:rFonts w:ascii="Times New Roman" w:hAnsi="Times New Roman"/>
                <w:sz w:val="28"/>
                <w:szCs w:val="28"/>
              </w:rPr>
            </w:pPr>
            <w:r w:rsidRPr="002D3044">
              <w:rPr>
                <w:rFonts w:ascii="Times New Roman" w:hAnsi="Times New Roman"/>
                <w:sz w:val="28"/>
                <w:szCs w:val="28"/>
              </w:rPr>
              <w:t xml:space="preserve">- Nxitjen e veprimtarive të kërkimit dhe zhvillimit me qëllim realizimin e produkteve dhe teknologjive më të pastra dhe që krijojnë më pak mbetje dhe shpërndarjen dhe përdorimin e rezultateve të veprimtarive të kërkimit dhe zhvillimit. </w:t>
            </w:r>
          </w:p>
          <w:p w14:paraId="41B1F5F2" w14:textId="77777777" w:rsidR="00BD3697" w:rsidRPr="002D3044" w:rsidRDefault="00BD3697" w:rsidP="002D3044">
            <w:pPr>
              <w:contextualSpacing/>
              <w:jc w:val="both"/>
              <w:rPr>
                <w:rFonts w:ascii="Times New Roman" w:hAnsi="Times New Roman"/>
                <w:sz w:val="28"/>
                <w:szCs w:val="28"/>
              </w:rPr>
            </w:pPr>
            <w:r w:rsidRPr="002D3044">
              <w:rPr>
                <w:rFonts w:ascii="Times New Roman" w:hAnsi="Times New Roman"/>
                <w:sz w:val="28"/>
                <w:szCs w:val="28"/>
              </w:rPr>
              <w:t xml:space="preserve">Në program nuk janë përcaktuar masat që merren para se një substancë, material ose produkt të </w:t>
            </w:r>
            <w:r w:rsidRPr="002D3044">
              <w:rPr>
                <w:rFonts w:ascii="Times New Roman" w:hAnsi="Times New Roman"/>
                <w:sz w:val="28"/>
                <w:szCs w:val="28"/>
              </w:rPr>
              <w:lastRenderedPageBreak/>
              <w:t xml:space="preserve">kthehet në mbetje, me qëllim që të pakësohet: </w:t>
            </w:r>
          </w:p>
          <w:p w14:paraId="63352831" w14:textId="77777777" w:rsidR="00BD3697" w:rsidRPr="002D3044" w:rsidRDefault="00BD3697" w:rsidP="002D3044">
            <w:pPr>
              <w:contextualSpacing/>
              <w:jc w:val="both"/>
              <w:rPr>
                <w:rFonts w:ascii="Times New Roman" w:hAnsi="Times New Roman"/>
                <w:sz w:val="28"/>
                <w:szCs w:val="28"/>
              </w:rPr>
            </w:pPr>
            <w:r w:rsidRPr="002D3044">
              <w:rPr>
                <w:rFonts w:ascii="Times New Roman" w:hAnsi="Times New Roman"/>
                <w:sz w:val="28"/>
                <w:szCs w:val="28"/>
              </w:rPr>
              <w:t xml:space="preserve">a. sasia e mbetjeve, përfshirë masat për ripërdorimin e produkteve ose zgjatjen e jetës së tyre; </w:t>
            </w:r>
          </w:p>
          <w:p w14:paraId="0953D37E" w14:textId="77777777" w:rsidR="00BD3697" w:rsidRPr="002D3044" w:rsidRDefault="00BD3697" w:rsidP="002D3044">
            <w:pPr>
              <w:contextualSpacing/>
              <w:jc w:val="both"/>
              <w:rPr>
                <w:rFonts w:ascii="Times New Roman" w:hAnsi="Times New Roman"/>
                <w:sz w:val="28"/>
                <w:szCs w:val="28"/>
              </w:rPr>
            </w:pPr>
            <w:r w:rsidRPr="002D3044">
              <w:rPr>
                <w:rFonts w:ascii="Times New Roman" w:hAnsi="Times New Roman"/>
                <w:sz w:val="28"/>
                <w:szCs w:val="28"/>
              </w:rPr>
              <w:t xml:space="preserve">b. ndikimi negativ i mbetjeve në mjedis ose në shëndetin e njeriut; </w:t>
            </w:r>
          </w:p>
          <w:p w14:paraId="6FE54DA1" w14:textId="77777777" w:rsidR="00BD3697" w:rsidRPr="002D3044" w:rsidRDefault="00BD3697" w:rsidP="002D3044">
            <w:pPr>
              <w:contextualSpacing/>
              <w:jc w:val="both"/>
              <w:rPr>
                <w:rFonts w:ascii="Times New Roman" w:hAnsi="Times New Roman"/>
                <w:sz w:val="28"/>
                <w:szCs w:val="28"/>
              </w:rPr>
            </w:pPr>
            <w:r w:rsidRPr="002D3044">
              <w:rPr>
                <w:rFonts w:ascii="Times New Roman" w:hAnsi="Times New Roman"/>
                <w:sz w:val="28"/>
                <w:szCs w:val="28"/>
              </w:rPr>
              <w:t xml:space="preserve">c. përmbajtja e substancave të rrezikshme në materiale dhe produkte si dhe </w:t>
            </w:r>
          </w:p>
          <w:p w14:paraId="4AE016EB" w14:textId="77777777" w:rsidR="00BD3697" w:rsidRPr="002D3044" w:rsidRDefault="00BD3697" w:rsidP="002D3044">
            <w:pPr>
              <w:contextualSpacing/>
              <w:jc w:val="both"/>
              <w:rPr>
                <w:rFonts w:ascii="Times New Roman" w:hAnsi="Times New Roman"/>
                <w:sz w:val="28"/>
                <w:szCs w:val="28"/>
              </w:rPr>
            </w:pPr>
            <w:r w:rsidRPr="002D3044">
              <w:rPr>
                <w:rFonts w:ascii="Times New Roman" w:hAnsi="Times New Roman"/>
                <w:sz w:val="28"/>
                <w:szCs w:val="28"/>
              </w:rPr>
              <w:t>d. nuk është ndjekur hirarkia e mbetjeve duke përshirë parandalimin e mbetjeve; përgatitjen e mbetjeve për ripërdorim; riciklimin e mbetjeve; rikuperime të tjera të mbetjeve; asgjësimin e mbetjeve.</w:t>
            </w:r>
          </w:p>
          <w:p w14:paraId="3A7C92D1" w14:textId="77777777" w:rsidR="00BD3697" w:rsidRPr="002D3044" w:rsidRDefault="00BD3697" w:rsidP="002D3044">
            <w:pPr>
              <w:contextualSpacing/>
              <w:jc w:val="both"/>
              <w:rPr>
                <w:rFonts w:ascii="Times New Roman" w:hAnsi="Times New Roman"/>
                <w:sz w:val="28"/>
                <w:szCs w:val="28"/>
              </w:rPr>
            </w:pPr>
          </w:p>
        </w:tc>
        <w:tc>
          <w:tcPr>
            <w:tcW w:w="1406" w:type="dxa"/>
          </w:tcPr>
          <w:p w14:paraId="58193B29" w14:textId="593C78E2" w:rsidR="00BD3697" w:rsidRPr="002D3044" w:rsidRDefault="00BD3697" w:rsidP="002D3044">
            <w:pPr>
              <w:contextualSpacing/>
              <w:jc w:val="both"/>
              <w:rPr>
                <w:rFonts w:ascii="Times New Roman" w:hAnsi="Times New Roman"/>
                <w:noProof/>
                <w:sz w:val="28"/>
                <w:szCs w:val="28"/>
              </w:rPr>
            </w:pPr>
            <w:r w:rsidRPr="002D3044">
              <w:rPr>
                <w:rFonts w:ascii="Times New Roman" w:hAnsi="Times New Roman"/>
                <w:noProof/>
                <w:sz w:val="28"/>
                <w:szCs w:val="28"/>
              </w:rPr>
              <w:lastRenderedPageBreak/>
              <w:t>U sqarua në r</w:t>
            </w:r>
            <w:r w:rsidR="006B6F48" w:rsidRPr="002D3044">
              <w:rPr>
                <w:rFonts w:ascii="Times New Roman" w:hAnsi="Times New Roman"/>
                <w:noProof/>
                <w:sz w:val="28"/>
                <w:szCs w:val="28"/>
              </w:rPr>
              <w:t>e</w:t>
            </w:r>
            <w:r w:rsidRPr="002D3044">
              <w:rPr>
                <w:rFonts w:ascii="Times New Roman" w:hAnsi="Times New Roman"/>
                <w:noProof/>
                <w:sz w:val="28"/>
                <w:szCs w:val="28"/>
              </w:rPr>
              <w:t>lacionin shoqërues.</w:t>
            </w:r>
          </w:p>
        </w:tc>
        <w:tc>
          <w:tcPr>
            <w:tcW w:w="1494" w:type="dxa"/>
          </w:tcPr>
          <w:p w14:paraId="5AFF6890" w14:textId="0B084C99" w:rsidR="00BD3697" w:rsidRPr="002D3044" w:rsidRDefault="00BD3697" w:rsidP="002D3044">
            <w:pPr>
              <w:contextualSpacing/>
              <w:jc w:val="both"/>
              <w:rPr>
                <w:rFonts w:ascii="Times New Roman" w:hAnsi="Times New Roman"/>
                <w:noProof/>
                <w:sz w:val="28"/>
                <w:szCs w:val="28"/>
              </w:rPr>
            </w:pPr>
            <w:r w:rsidRPr="002D3044">
              <w:rPr>
                <w:rFonts w:ascii="Times New Roman" w:hAnsi="Times New Roman"/>
                <w:noProof/>
                <w:sz w:val="28"/>
                <w:szCs w:val="28"/>
              </w:rPr>
              <w:t>Polikron Horeshka</w:t>
            </w:r>
          </w:p>
        </w:tc>
        <w:tc>
          <w:tcPr>
            <w:tcW w:w="1780" w:type="dxa"/>
          </w:tcPr>
          <w:p w14:paraId="32ED173F" w14:textId="77777777" w:rsidR="006B6F48" w:rsidRPr="002D3044" w:rsidRDefault="006B6F48" w:rsidP="002D3044">
            <w:pPr>
              <w:contextualSpacing/>
              <w:jc w:val="both"/>
              <w:rPr>
                <w:rFonts w:ascii="Times New Roman" w:hAnsi="Times New Roman"/>
                <w:noProof/>
                <w:sz w:val="28"/>
                <w:szCs w:val="28"/>
                <w:lang w:val="en-US"/>
              </w:rPr>
            </w:pPr>
            <w:r w:rsidRPr="002D3044">
              <w:rPr>
                <w:rFonts w:ascii="Times New Roman" w:hAnsi="Times New Roman"/>
                <w:noProof/>
                <w:sz w:val="28"/>
                <w:szCs w:val="28"/>
                <w:lang w:val="en-US"/>
              </w:rPr>
              <w:t>Refuzuar</w:t>
            </w:r>
          </w:p>
          <w:p w14:paraId="135B3FE5" w14:textId="4EEE9C40" w:rsidR="00BD3697" w:rsidRPr="002D3044" w:rsidRDefault="00BD3697" w:rsidP="002D3044">
            <w:pPr>
              <w:contextualSpacing/>
              <w:jc w:val="both"/>
              <w:rPr>
                <w:rFonts w:ascii="Times New Roman" w:hAnsi="Times New Roman"/>
                <w:noProof/>
                <w:sz w:val="28"/>
                <w:szCs w:val="28"/>
              </w:rPr>
            </w:pPr>
          </w:p>
        </w:tc>
        <w:tc>
          <w:tcPr>
            <w:tcW w:w="2520" w:type="dxa"/>
          </w:tcPr>
          <w:p w14:paraId="0709E719" w14:textId="3B77B6E1" w:rsidR="00BD3697" w:rsidRPr="002D3044" w:rsidRDefault="00BD3697" w:rsidP="00FB1B86">
            <w:pPr>
              <w:pStyle w:val="ListParagraph"/>
              <w:spacing w:after="0"/>
              <w:ind w:left="0"/>
              <w:contextualSpacing/>
              <w:jc w:val="both"/>
              <w:rPr>
                <w:rFonts w:ascii="Times New Roman" w:hAnsi="Times New Roman"/>
                <w:sz w:val="28"/>
                <w:szCs w:val="28"/>
              </w:rPr>
            </w:pPr>
            <w:r w:rsidRPr="002D3044">
              <w:rPr>
                <w:rFonts w:ascii="Times New Roman" w:hAnsi="Times New Roman"/>
                <w:sz w:val="28"/>
                <w:szCs w:val="28"/>
              </w:rPr>
              <w:t xml:space="preserve">Sa Sqarojmë se programi përfshin masa planifikuese dhe instrumente ekonomikë që nxisin përdorimin efikas të burimeve, masa për parandalimin në burim përmes ripërdorimit, riparimit dhe zgjatjes së jetëgjatësisë së produkteve, si dhe ndërhyrje që synojnë reduktimin e ndikimeve mjedisore dhe të substancave problematike. Programi ndjek hierarkinë e mbetjeve të përcaktuar në ligjin nr. 57/2025, duke vendosur parandalimin në krye të ndërhyrjeve, të ndjekur nga përgatitja për ripërdorim, riciklimi dhe format e tjera të rikuperimit, ndërsa asgjësimi trajtohet vetëm si opsion i </w:t>
            </w:r>
            <w:r w:rsidRPr="002D3044">
              <w:rPr>
                <w:rFonts w:ascii="Times New Roman" w:hAnsi="Times New Roman"/>
                <w:sz w:val="28"/>
                <w:szCs w:val="28"/>
              </w:rPr>
              <w:lastRenderedPageBreak/>
              <w:t>fundit. Për rrjedhojë, Programi rezulton se  adreson kërkesat e përcaktuara në Shtojcën 5 të ligjit nr. 57/2025, duke përfshirë masat planifikuese, instrumentet ekonomikë, parandalimin në burim dhe respektimin e hierarkisë së mbetjeve, në përputhje me kuadrin ligjor në fuqi dhe me parimet e Direktivës Kuadër për Mbetjet.</w:t>
            </w:r>
          </w:p>
          <w:p w14:paraId="2EAEF707" w14:textId="77777777" w:rsidR="00BD3697" w:rsidRPr="002D3044" w:rsidRDefault="00BD3697" w:rsidP="00FB1B86">
            <w:pPr>
              <w:contextualSpacing/>
              <w:jc w:val="both"/>
              <w:rPr>
                <w:rFonts w:ascii="Times New Roman" w:hAnsi="Times New Roman"/>
                <w:sz w:val="28"/>
                <w:szCs w:val="28"/>
              </w:rPr>
            </w:pPr>
          </w:p>
        </w:tc>
      </w:tr>
      <w:tr w:rsidR="00BD3697" w:rsidRPr="002D3044" w14:paraId="7A2A425B" w14:textId="77777777" w:rsidTr="00FB1B86">
        <w:trPr>
          <w:trHeight w:val="1520"/>
        </w:trPr>
        <w:tc>
          <w:tcPr>
            <w:tcW w:w="2610" w:type="dxa"/>
          </w:tcPr>
          <w:p w14:paraId="2E3369C5" w14:textId="60E7892D" w:rsidR="00BD3697" w:rsidRPr="002D3044" w:rsidRDefault="00BD3697" w:rsidP="002D3044">
            <w:pPr>
              <w:contextualSpacing/>
              <w:jc w:val="both"/>
              <w:rPr>
                <w:rFonts w:ascii="Times New Roman" w:hAnsi="Times New Roman"/>
                <w:sz w:val="28"/>
                <w:szCs w:val="28"/>
              </w:rPr>
            </w:pPr>
            <w:r w:rsidRPr="002D3044">
              <w:rPr>
                <w:rFonts w:ascii="Times New Roman" w:hAnsi="Times New Roman"/>
                <w:sz w:val="28"/>
                <w:szCs w:val="28"/>
              </w:rPr>
              <w:lastRenderedPageBreak/>
              <w:t>Në tabelën e planit të veprimit 8 të</w:t>
            </w:r>
            <w:r w:rsidR="002D3044">
              <w:rPr>
                <w:rFonts w:ascii="Times New Roman" w:hAnsi="Times New Roman"/>
                <w:sz w:val="28"/>
                <w:szCs w:val="28"/>
              </w:rPr>
              <w:t>,</w:t>
            </w:r>
            <w:r w:rsidRPr="002D3044">
              <w:rPr>
                <w:rFonts w:ascii="Times New Roman" w:hAnsi="Times New Roman"/>
                <w:sz w:val="28"/>
                <w:szCs w:val="28"/>
              </w:rPr>
              <w:t xml:space="preserve"> Programi i këtij projektakti nuk jep detaje të matjes së: - Indikatorëve të menaxhimit të integruar të mbetjeve; - Perfomancën e bashkive në fushën e parandalimit të </w:t>
            </w:r>
            <w:r w:rsidRPr="002D3044">
              <w:rPr>
                <w:rFonts w:ascii="Times New Roman" w:hAnsi="Times New Roman"/>
                <w:sz w:val="28"/>
                <w:szCs w:val="28"/>
              </w:rPr>
              <w:lastRenderedPageBreak/>
              <w:t xml:space="preserve">mbetjeve; - Incentiva ekonomikë për autoritetet qendrore dhe vendore, veçanërisht për promovimin e parandalimit të mbetjeve dhe përforcimin e skemave të grumbullimit të diferencuar; - Planifikimi investimeve të nivelit qendror dhe vendor në përputhje me nevojat e ngritjes së infrastrukturës së menaxhimit të </w:t>
            </w:r>
            <w:r w:rsidR="002D3044">
              <w:rPr>
                <w:rFonts w:ascii="Times New Roman" w:hAnsi="Times New Roman"/>
                <w:sz w:val="28"/>
                <w:szCs w:val="28"/>
              </w:rPr>
              <w:t>integruar të mbetjeve.</w:t>
            </w:r>
          </w:p>
        </w:tc>
        <w:tc>
          <w:tcPr>
            <w:tcW w:w="1406" w:type="dxa"/>
          </w:tcPr>
          <w:p w14:paraId="056D6B62" w14:textId="5371DB2E" w:rsidR="00BD3697" w:rsidRPr="002D3044" w:rsidRDefault="00BD3697" w:rsidP="002D3044">
            <w:pPr>
              <w:contextualSpacing/>
              <w:jc w:val="both"/>
              <w:rPr>
                <w:rFonts w:ascii="Times New Roman" w:hAnsi="Times New Roman"/>
                <w:sz w:val="28"/>
                <w:szCs w:val="28"/>
              </w:rPr>
            </w:pPr>
            <w:r w:rsidRPr="002D3044">
              <w:rPr>
                <w:rFonts w:ascii="Times New Roman" w:hAnsi="Times New Roman"/>
                <w:noProof/>
                <w:sz w:val="28"/>
                <w:szCs w:val="28"/>
              </w:rPr>
              <w:lastRenderedPageBreak/>
              <w:t>U sqarua në r</w:t>
            </w:r>
            <w:r w:rsidR="006B6F48" w:rsidRPr="002D3044">
              <w:rPr>
                <w:rFonts w:ascii="Times New Roman" w:hAnsi="Times New Roman"/>
                <w:noProof/>
                <w:sz w:val="28"/>
                <w:szCs w:val="28"/>
              </w:rPr>
              <w:t>e</w:t>
            </w:r>
            <w:r w:rsidRPr="002D3044">
              <w:rPr>
                <w:rFonts w:ascii="Times New Roman" w:hAnsi="Times New Roman"/>
                <w:noProof/>
                <w:sz w:val="28"/>
                <w:szCs w:val="28"/>
              </w:rPr>
              <w:t>lacionin shoqërues.</w:t>
            </w:r>
          </w:p>
        </w:tc>
        <w:tc>
          <w:tcPr>
            <w:tcW w:w="1494" w:type="dxa"/>
          </w:tcPr>
          <w:p w14:paraId="51BD46A6" w14:textId="753A9E56" w:rsidR="00BD3697" w:rsidRPr="002D3044" w:rsidRDefault="00BD3697" w:rsidP="002D3044">
            <w:pPr>
              <w:contextualSpacing/>
              <w:jc w:val="both"/>
              <w:rPr>
                <w:rFonts w:ascii="Times New Roman" w:hAnsi="Times New Roman"/>
                <w:sz w:val="28"/>
                <w:szCs w:val="28"/>
              </w:rPr>
            </w:pPr>
            <w:r w:rsidRPr="002D3044">
              <w:rPr>
                <w:rFonts w:ascii="Times New Roman" w:hAnsi="Times New Roman"/>
                <w:noProof/>
                <w:sz w:val="28"/>
                <w:szCs w:val="28"/>
              </w:rPr>
              <w:t>Polikron Horeshka</w:t>
            </w:r>
          </w:p>
        </w:tc>
        <w:tc>
          <w:tcPr>
            <w:tcW w:w="1780" w:type="dxa"/>
          </w:tcPr>
          <w:p w14:paraId="24A46FF2" w14:textId="77777777" w:rsidR="006B6F48" w:rsidRPr="002D3044" w:rsidRDefault="006B6F48" w:rsidP="002D3044">
            <w:pPr>
              <w:contextualSpacing/>
              <w:jc w:val="both"/>
              <w:rPr>
                <w:rFonts w:ascii="Times New Roman" w:hAnsi="Times New Roman"/>
                <w:noProof/>
                <w:sz w:val="28"/>
                <w:szCs w:val="28"/>
                <w:lang w:val="en-US"/>
              </w:rPr>
            </w:pPr>
            <w:r w:rsidRPr="002D3044">
              <w:rPr>
                <w:rFonts w:ascii="Times New Roman" w:hAnsi="Times New Roman"/>
                <w:noProof/>
                <w:sz w:val="28"/>
                <w:szCs w:val="28"/>
                <w:lang w:val="en-US"/>
              </w:rPr>
              <w:t>Refuzuar</w:t>
            </w:r>
          </w:p>
          <w:p w14:paraId="654C230C" w14:textId="3DD161DF" w:rsidR="00BD3697" w:rsidRPr="002D3044" w:rsidRDefault="00BD3697" w:rsidP="002D3044">
            <w:pPr>
              <w:contextualSpacing/>
              <w:jc w:val="both"/>
              <w:rPr>
                <w:rFonts w:ascii="Times New Roman" w:hAnsi="Times New Roman"/>
                <w:sz w:val="28"/>
                <w:szCs w:val="28"/>
              </w:rPr>
            </w:pPr>
          </w:p>
        </w:tc>
        <w:tc>
          <w:tcPr>
            <w:tcW w:w="2520" w:type="dxa"/>
          </w:tcPr>
          <w:p w14:paraId="520801B4" w14:textId="77777777" w:rsidR="00BD3697" w:rsidRPr="002D3044" w:rsidRDefault="00BD3697" w:rsidP="00FB1B86">
            <w:pPr>
              <w:contextualSpacing/>
              <w:jc w:val="both"/>
              <w:rPr>
                <w:rFonts w:ascii="Times New Roman" w:hAnsi="Times New Roman"/>
                <w:sz w:val="28"/>
                <w:szCs w:val="28"/>
              </w:rPr>
            </w:pPr>
            <w:r w:rsidRPr="002D3044">
              <w:rPr>
                <w:rFonts w:ascii="Times New Roman" w:hAnsi="Times New Roman"/>
                <w:sz w:val="28"/>
                <w:szCs w:val="28"/>
              </w:rPr>
              <w:t xml:space="preserve">Dokumenti në përgjithësi flet në mënyrë arrative dhe indikatorët e përcaktuar në projektakt janë të matshëm me realitetin e territorit të Republikës së Shqipërisë. Për sa më sipër, sqarojmë se tabela e Planit të </w:t>
            </w:r>
            <w:r w:rsidRPr="002D3044">
              <w:rPr>
                <w:rFonts w:ascii="Times New Roman" w:hAnsi="Times New Roman"/>
                <w:sz w:val="28"/>
                <w:szCs w:val="28"/>
              </w:rPr>
              <w:lastRenderedPageBreak/>
              <w:t>Veprimit paraqet masat që parashikohen për zbatim gjatë periudhës 2026–2030, institucionet përgjegjëse dhe afatet kohore, duke shërbyer si një instrument për koordinimin e veprimeve. Metodologjitë e detajuara për matjen e indikatorëve, vlerësimi i performancës së bashkive, si dhe përcaktimi i incentivave ekonomike dhe planifikimi i investimeve konkrete zhvillohen në fazën e zbatimit të Programit dhe në kuadër të dokumenteve të tjera planifikuese dhe financiare. Kjo qasje mundëson fleksibilitet dhe përshtatje të masave me zhvillimet institucionale dhe territoriale gjatë periudhës së zbatimit.</w:t>
            </w:r>
          </w:p>
          <w:p w14:paraId="34E96DE9" w14:textId="77777777" w:rsidR="00BD3697" w:rsidRPr="002D3044" w:rsidRDefault="00BD3697" w:rsidP="00FB1B86">
            <w:pPr>
              <w:contextualSpacing/>
              <w:jc w:val="both"/>
              <w:rPr>
                <w:rFonts w:ascii="Times New Roman" w:hAnsi="Times New Roman"/>
                <w:sz w:val="28"/>
                <w:szCs w:val="28"/>
              </w:rPr>
            </w:pPr>
          </w:p>
        </w:tc>
      </w:tr>
    </w:tbl>
    <w:p w14:paraId="29335531" w14:textId="77777777" w:rsidR="00BD3697" w:rsidRPr="002D3044" w:rsidRDefault="00BD3697" w:rsidP="002D3044">
      <w:pPr>
        <w:contextualSpacing/>
        <w:jc w:val="both"/>
        <w:rPr>
          <w:rFonts w:ascii="Times New Roman" w:hAnsi="Times New Roman"/>
          <w:noProof/>
          <w:sz w:val="28"/>
          <w:szCs w:val="28"/>
        </w:rPr>
      </w:pPr>
    </w:p>
    <w:sectPr w:rsidR="00BD3697" w:rsidRPr="002D3044" w:rsidSect="00FB1B86">
      <w:footerReference w:type="default" r:id="rId9"/>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62809" w14:textId="77777777" w:rsidR="000714B8" w:rsidRPr="00CC20C7" w:rsidRDefault="000714B8" w:rsidP="00A92832">
      <w:r w:rsidRPr="00CC20C7">
        <w:separator/>
      </w:r>
    </w:p>
  </w:endnote>
  <w:endnote w:type="continuationSeparator" w:id="0">
    <w:p w14:paraId="56043829" w14:textId="77777777" w:rsidR="000714B8" w:rsidRPr="00CC20C7" w:rsidRDefault="000714B8" w:rsidP="00A92832">
      <w:r w:rsidRPr="00CC20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660243"/>
      <w:docPartObj>
        <w:docPartGallery w:val="Page Numbers (Bottom of Page)"/>
        <w:docPartUnique/>
      </w:docPartObj>
    </w:sdtPr>
    <w:sdtEndPr>
      <w:rPr>
        <w:rFonts w:ascii="Times New Roman" w:hAnsi="Times New Roman"/>
        <w:sz w:val="18"/>
        <w:szCs w:val="18"/>
      </w:rPr>
    </w:sdtEndPr>
    <w:sdtContent>
      <w:sdt>
        <w:sdtPr>
          <w:id w:val="-764384327"/>
          <w:docPartObj>
            <w:docPartGallery w:val="Page Numbers (Top of Page)"/>
            <w:docPartUnique/>
          </w:docPartObj>
        </w:sdtPr>
        <w:sdtEndPr>
          <w:rPr>
            <w:rFonts w:ascii="Times New Roman" w:hAnsi="Times New Roman"/>
            <w:sz w:val="18"/>
            <w:szCs w:val="18"/>
          </w:rPr>
        </w:sdtEndPr>
        <w:sdtContent>
          <w:p w14:paraId="72FDB2B2" w14:textId="075DC92C" w:rsidR="00126FD5" w:rsidRPr="00126FD5" w:rsidRDefault="00126FD5">
            <w:pPr>
              <w:pStyle w:val="Footer"/>
              <w:jc w:val="right"/>
              <w:rPr>
                <w:rFonts w:ascii="Times New Roman" w:hAnsi="Times New Roman"/>
                <w:sz w:val="18"/>
                <w:szCs w:val="18"/>
              </w:rPr>
            </w:pPr>
            <w:r w:rsidRPr="00126FD5">
              <w:rPr>
                <w:rFonts w:ascii="Times New Roman" w:hAnsi="Times New Roman"/>
                <w:b/>
                <w:bCs/>
                <w:sz w:val="18"/>
                <w:szCs w:val="18"/>
              </w:rPr>
              <w:fldChar w:fldCharType="begin"/>
            </w:r>
            <w:r w:rsidRPr="00126FD5">
              <w:rPr>
                <w:rFonts w:ascii="Times New Roman" w:hAnsi="Times New Roman"/>
                <w:b/>
                <w:bCs/>
                <w:sz w:val="18"/>
                <w:szCs w:val="18"/>
              </w:rPr>
              <w:instrText xml:space="preserve"> PAGE </w:instrText>
            </w:r>
            <w:r w:rsidRPr="00126FD5">
              <w:rPr>
                <w:rFonts w:ascii="Times New Roman" w:hAnsi="Times New Roman"/>
                <w:b/>
                <w:bCs/>
                <w:sz w:val="18"/>
                <w:szCs w:val="18"/>
              </w:rPr>
              <w:fldChar w:fldCharType="separate"/>
            </w:r>
            <w:r w:rsidR="00264C3D">
              <w:rPr>
                <w:rFonts w:ascii="Times New Roman" w:hAnsi="Times New Roman"/>
                <w:b/>
                <w:bCs/>
                <w:noProof/>
                <w:sz w:val="18"/>
                <w:szCs w:val="18"/>
              </w:rPr>
              <w:t>9</w:t>
            </w:r>
            <w:r w:rsidRPr="00126FD5">
              <w:rPr>
                <w:rFonts w:ascii="Times New Roman" w:hAnsi="Times New Roman"/>
                <w:b/>
                <w:bCs/>
                <w:sz w:val="18"/>
                <w:szCs w:val="18"/>
              </w:rPr>
              <w:fldChar w:fldCharType="end"/>
            </w:r>
            <w:r w:rsidRPr="00126FD5">
              <w:rPr>
                <w:rFonts w:ascii="Times New Roman" w:hAnsi="Times New Roman"/>
                <w:sz w:val="18"/>
                <w:szCs w:val="18"/>
              </w:rPr>
              <w:t xml:space="preserve"> nga </w:t>
            </w:r>
            <w:r w:rsidRPr="00126FD5">
              <w:rPr>
                <w:rFonts w:ascii="Times New Roman" w:hAnsi="Times New Roman"/>
                <w:b/>
                <w:bCs/>
                <w:sz w:val="18"/>
                <w:szCs w:val="18"/>
              </w:rPr>
              <w:fldChar w:fldCharType="begin"/>
            </w:r>
            <w:r w:rsidRPr="00126FD5">
              <w:rPr>
                <w:rFonts w:ascii="Times New Roman" w:hAnsi="Times New Roman"/>
                <w:b/>
                <w:bCs/>
                <w:sz w:val="18"/>
                <w:szCs w:val="18"/>
              </w:rPr>
              <w:instrText xml:space="preserve"> NUMPAGES  </w:instrText>
            </w:r>
            <w:r w:rsidRPr="00126FD5">
              <w:rPr>
                <w:rFonts w:ascii="Times New Roman" w:hAnsi="Times New Roman"/>
                <w:b/>
                <w:bCs/>
                <w:sz w:val="18"/>
                <w:szCs w:val="18"/>
              </w:rPr>
              <w:fldChar w:fldCharType="separate"/>
            </w:r>
            <w:r w:rsidR="00264C3D">
              <w:rPr>
                <w:rFonts w:ascii="Times New Roman" w:hAnsi="Times New Roman"/>
                <w:b/>
                <w:bCs/>
                <w:noProof/>
                <w:sz w:val="18"/>
                <w:szCs w:val="18"/>
              </w:rPr>
              <w:t>9</w:t>
            </w:r>
            <w:r w:rsidRPr="00126FD5">
              <w:rPr>
                <w:rFonts w:ascii="Times New Roman" w:hAnsi="Times New Roman"/>
                <w:b/>
                <w:bCs/>
                <w:sz w:val="18"/>
                <w:szCs w:val="18"/>
              </w:rPr>
              <w:fldChar w:fldCharType="end"/>
            </w:r>
          </w:p>
        </w:sdtContent>
      </w:sdt>
    </w:sdtContent>
  </w:sdt>
  <w:p w14:paraId="619DD572" w14:textId="77777777" w:rsidR="00126FD5" w:rsidRDefault="00126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E87A5" w14:textId="77777777" w:rsidR="000714B8" w:rsidRPr="00CC20C7" w:rsidRDefault="000714B8" w:rsidP="00A92832">
      <w:r w:rsidRPr="00CC20C7">
        <w:separator/>
      </w:r>
    </w:p>
  </w:footnote>
  <w:footnote w:type="continuationSeparator" w:id="0">
    <w:p w14:paraId="5BF90BF2" w14:textId="77777777" w:rsidR="000714B8" w:rsidRPr="00CC20C7" w:rsidRDefault="000714B8" w:rsidP="00A92832">
      <w:r w:rsidRPr="00CC20C7">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0AE5"/>
    <w:multiLevelType w:val="hybridMultilevel"/>
    <w:tmpl w:val="FDA0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0502"/>
    <w:multiLevelType w:val="hybridMultilevel"/>
    <w:tmpl w:val="9182BD36"/>
    <w:lvl w:ilvl="0" w:tplc="49AE00D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131585"/>
    <w:multiLevelType w:val="hybridMultilevel"/>
    <w:tmpl w:val="F6022EC4"/>
    <w:lvl w:ilvl="0" w:tplc="7E22496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CF0BCD"/>
    <w:multiLevelType w:val="hybridMultilevel"/>
    <w:tmpl w:val="2BE66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C4D"/>
    <w:multiLevelType w:val="hybridMultilevel"/>
    <w:tmpl w:val="F8AC7028"/>
    <w:lvl w:ilvl="0" w:tplc="F7201B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3E1308A"/>
    <w:multiLevelType w:val="hybridMultilevel"/>
    <w:tmpl w:val="7EEE0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C1F5A"/>
    <w:multiLevelType w:val="hybridMultilevel"/>
    <w:tmpl w:val="D318E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47BBF"/>
    <w:multiLevelType w:val="hybridMultilevel"/>
    <w:tmpl w:val="2FD2ED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E4363B"/>
    <w:multiLevelType w:val="hybridMultilevel"/>
    <w:tmpl w:val="39A00B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0E4537"/>
    <w:multiLevelType w:val="hybridMultilevel"/>
    <w:tmpl w:val="E6142B16"/>
    <w:lvl w:ilvl="0" w:tplc="135C0F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83A46"/>
    <w:multiLevelType w:val="hybridMultilevel"/>
    <w:tmpl w:val="5C3A9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177FE"/>
    <w:multiLevelType w:val="hybridMultilevel"/>
    <w:tmpl w:val="7108D016"/>
    <w:lvl w:ilvl="0" w:tplc="A5960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6"/>
  </w:num>
  <w:num w:numId="6">
    <w:abstractNumId w:val="0"/>
  </w:num>
  <w:num w:numId="7">
    <w:abstractNumId w:val="10"/>
  </w:num>
  <w:num w:numId="8">
    <w:abstractNumId w:val="2"/>
  </w:num>
  <w:num w:numId="9">
    <w:abstractNumId w:val="9"/>
  </w:num>
  <w:num w:numId="10">
    <w:abstractNumId w:val="11"/>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32"/>
    <w:rsid w:val="000714B8"/>
    <w:rsid w:val="000846E6"/>
    <w:rsid w:val="00092D0C"/>
    <w:rsid w:val="000C1324"/>
    <w:rsid w:val="000D4D5A"/>
    <w:rsid w:val="000F3264"/>
    <w:rsid w:val="00101CF0"/>
    <w:rsid w:val="00114E00"/>
    <w:rsid w:val="0011545C"/>
    <w:rsid w:val="00116B34"/>
    <w:rsid w:val="0012005E"/>
    <w:rsid w:val="00123137"/>
    <w:rsid w:val="00126FD5"/>
    <w:rsid w:val="001737DA"/>
    <w:rsid w:val="001844F3"/>
    <w:rsid w:val="001864ED"/>
    <w:rsid w:val="001B480C"/>
    <w:rsid w:val="001D027A"/>
    <w:rsid w:val="001E2CDE"/>
    <w:rsid w:val="001E64B5"/>
    <w:rsid w:val="00215A59"/>
    <w:rsid w:val="00215E34"/>
    <w:rsid w:val="00227812"/>
    <w:rsid w:val="00237151"/>
    <w:rsid w:val="00244ECD"/>
    <w:rsid w:val="00250175"/>
    <w:rsid w:val="00252C89"/>
    <w:rsid w:val="00256B7A"/>
    <w:rsid w:val="00264C3D"/>
    <w:rsid w:val="002A4C02"/>
    <w:rsid w:val="002D3044"/>
    <w:rsid w:val="002E1DC6"/>
    <w:rsid w:val="002E7535"/>
    <w:rsid w:val="002F4024"/>
    <w:rsid w:val="002F4ACB"/>
    <w:rsid w:val="002F738E"/>
    <w:rsid w:val="003230B7"/>
    <w:rsid w:val="003353BD"/>
    <w:rsid w:val="00351F3D"/>
    <w:rsid w:val="00353C9A"/>
    <w:rsid w:val="0037631C"/>
    <w:rsid w:val="003919DF"/>
    <w:rsid w:val="003B7E32"/>
    <w:rsid w:val="003D5BF6"/>
    <w:rsid w:val="003F095E"/>
    <w:rsid w:val="00402025"/>
    <w:rsid w:val="00455E53"/>
    <w:rsid w:val="004567D7"/>
    <w:rsid w:val="004742E4"/>
    <w:rsid w:val="0047451D"/>
    <w:rsid w:val="004773B8"/>
    <w:rsid w:val="0048650C"/>
    <w:rsid w:val="004A0E97"/>
    <w:rsid w:val="004A743B"/>
    <w:rsid w:val="004B6E67"/>
    <w:rsid w:val="004D37C2"/>
    <w:rsid w:val="004D6AEC"/>
    <w:rsid w:val="00504AE4"/>
    <w:rsid w:val="00504E76"/>
    <w:rsid w:val="00511808"/>
    <w:rsid w:val="005148C7"/>
    <w:rsid w:val="00556C4F"/>
    <w:rsid w:val="005C3CC1"/>
    <w:rsid w:val="005D51BD"/>
    <w:rsid w:val="005D51D0"/>
    <w:rsid w:val="005E058A"/>
    <w:rsid w:val="00600F3F"/>
    <w:rsid w:val="00625D85"/>
    <w:rsid w:val="0063157E"/>
    <w:rsid w:val="006355A1"/>
    <w:rsid w:val="00660B60"/>
    <w:rsid w:val="006661A0"/>
    <w:rsid w:val="00672AAC"/>
    <w:rsid w:val="00677043"/>
    <w:rsid w:val="00680FB4"/>
    <w:rsid w:val="00696225"/>
    <w:rsid w:val="006A71C1"/>
    <w:rsid w:val="006B6F48"/>
    <w:rsid w:val="006C53D3"/>
    <w:rsid w:val="006D41EE"/>
    <w:rsid w:val="006E367B"/>
    <w:rsid w:val="00706B73"/>
    <w:rsid w:val="00754470"/>
    <w:rsid w:val="007679CE"/>
    <w:rsid w:val="00767FA9"/>
    <w:rsid w:val="007829AD"/>
    <w:rsid w:val="00787F74"/>
    <w:rsid w:val="007B063D"/>
    <w:rsid w:val="008050BC"/>
    <w:rsid w:val="0080765A"/>
    <w:rsid w:val="00820A2F"/>
    <w:rsid w:val="00842FD3"/>
    <w:rsid w:val="00862D77"/>
    <w:rsid w:val="008646D8"/>
    <w:rsid w:val="008D24E7"/>
    <w:rsid w:val="008E079F"/>
    <w:rsid w:val="008F04E4"/>
    <w:rsid w:val="008F44C2"/>
    <w:rsid w:val="00914FB0"/>
    <w:rsid w:val="00924F43"/>
    <w:rsid w:val="00931971"/>
    <w:rsid w:val="00934642"/>
    <w:rsid w:val="00940466"/>
    <w:rsid w:val="009513EB"/>
    <w:rsid w:val="009B1625"/>
    <w:rsid w:val="009B6098"/>
    <w:rsid w:val="009F2007"/>
    <w:rsid w:val="00A054A2"/>
    <w:rsid w:val="00A076ED"/>
    <w:rsid w:val="00A1177C"/>
    <w:rsid w:val="00A32465"/>
    <w:rsid w:val="00A375E3"/>
    <w:rsid w:val="00A84CB6"/>
    <w:rsid w:val="00A92832"/>
    <w:rsid w:val="00A95D47"/>
    <w:rsid w:val="00AD70A5"/>
    <w:rsid w:val="00B06E24"/>
    <w:rsid w:val="00B2768B"/>
    <w:rsid w:val="00B32054"/>
    <w:rsid w:val="00B37A8D"/>
    <w:rsid w:val="00B60F49"/>
    <w:rsid w:val="00BA17E6"/>
    <w:rsid w:val="00BA2482"/>
    <w:rsid w:val="00BB712B"/>
    <w:rsid w:val="00BD3697"/>
    <w:rsid w:val="00BE1FE7"/>
    <w:rsid w:val="00C0057C"/>
    <w:rsid w:val="00C1039D"/>
    <w:rsid w:val="00C12CEB"/>
    <w:rsid w:val="00C150AC"/>
    <w:rsid w:val="00C246F5"/>
    <w:rsid w:val="00C3043F"/>
    <w:rsid w:val="00C404A0"/>
    <w:rsid w:val="00C43F39"/>
    <w:rsid w:val="00C60BCC"/>
    <w:rsid w:val="00C80110"/>
    <w:rsid w:val="00C81BD7"/>
    <w:rsid w:val="00C851EA"/>
    <w:rsid w:val="00C91158"/>
    <w:rsid w:val="00CA58C8"/>
    <w:rsid w:val="00CB15A0"/>
    <w:rsid w:val="00CB30CC"/>
    <w:rsid w:val="00CC20C7"/>
    <w:rsid w:val="00CF2BD5"/>
    <w:rsid w:val="00D14805"/>
    <w:rsid w:val="00D16DCC"/>
    <w:rsid w:val="00D32CDB"/>
    <w:rsid w:val="00D356ED"/>
    <w:rsid w:val="00D45A39"/>
    <w:rsid w:val="00D5078A"/>
    <w:rsid w:val="00D70DEF"/>
    <w:rsid w:val="00D83D09"/>
    <w:rsid w:val="00D84191"/>
    <w:rsid w:val="00DB6E8B"/>
    <w:rsid w:val="00DC75C9"/>
    <w:rsid w:val="00DD6921"/>
    <w:rsid w:val="00DF191A"/>
    <w:rsid w:val="00DF1F53"/>
    <w:rsid w:val="00E01A85"/>
    <w:rsid w:val="00E100CB"/>
    <w:rsid w:val="00E16ED2"/>
    <w:rsid w:val="00E5318A"/>
    <w:rsid w:val="00E6034C"/>
    <w:rsid w:val="00EE1E81"/>
    <w:rsid w:val="00EF437B"/>
    <w:rsid w:val="00F15E9A"/>
    <w:rsid w:val="00F15FB4"/>
    <w:rsid w:val="00F30301"/>
    <w:rsid w:val="00F3045A"/>
    <w:rsid w:val="00F3135F"/>
    <w:rsid w:val="00F372C4"/>
    <w:rsid w:val="00F4735D"/>
    <w:rsid w:val="00F83B02"/>
    <w:rsid w:val="00F83B98"/>
    <w:rsid w:val="00F96756"/>
    <w:rsid w:val="00FA5247"/>
    <w:rsid w:val="00FB1B86"/>
    <w:rsid w:val="00FD4B54"/>
    <w:rsid w:val="00FD731D"/>
    <w:rsid w:val="00FE443A"/>
    <w:rsid w:val="00FF016C"/>
    <w:rsid w:val="00FF1177"/>
    <w:rsid w:val="00FF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7EA9"/>
  <w15:docId w15:val="{0D3638D4-E44F-48B5-9E7C-E85F69FD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832"/>
    <w:pPr>
      <w:spacing w:after="0" w:line="240" w:lineRule="auto"/>
    </w:pPr>
    <w:rPr>
      <w:rFonts w:ascii="Arial" w:eastAsia="Times New Roman" w:hAnsi="Arial" w:cs="Times New Roman"/>
      <w:kern w:val="0"/>
      <w:szCs w:val="20"/>
      <w:lang w:val="sq-A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92832"/>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A92832"/>
    <w:rPr>
      <w:rFonts w:ascii="Calibri" w:eastAsia="Times New Roman" w:hAnsi="Calibri" w:cs="Times New Roman"/>
      <w:kern w:val="0"/>
      <w:szCs w:val="20"/>
      <w:lang w:val="en-GB"/>
      <w14:ligatures w14:val="none"/>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locked/>
    <w:rsid w:val="00A92832"/>
    <w:rPr>
      <w:rFonts w:ascii="Calibri" w:eastAsia="Times New Roman" w:hAnsi="Calibri" w:cs="Times New Roman"/>
      <w:szCs w:val="20"/>
      <w:lang w:val="en-GB"/>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A92832"/>
    <w:pPr>
      <w:tabs>
        <w:tab w:val="left" w:pos="567"/>
      </w:tabs>
      <w:spacing w:after="120"/>
      <w:ind w:left="567" w:hanging="567"/>
    </w:pPr>
    <w:rPr>
      <w:rFonts w:ascii="Calibri" w:hAnsi="Calibri"/>
      <w:kern w:val="2"/>
      <w14:ligatures w14:val="standardContextual"/>
    </w:rPr>
  </w:style>
  <w:style w:type="paragraph" w:styleId="Header">
    <w:name w:val="header"/>
    <w:basedOn w:val="Normal"/>
    <w:link w:val="HeaderChar"/>
    <w:uiPriority w:val="99"/>
    <w:unhideWhenUsed/>
    <w:rsid w:val="00A92832"/>
    <w:pPr>
      <w:tabs>
        <w:tab w:val="center" w:pos="4680"/>
        <w:tab w:val="right" w:pos="9360"/>
      </w:tabs>
    </w:pPr>
  </w:style>
  <w:style w:type="character" w:customStyle="1" w:styleId="HeaderChar">
    <w:name w:val="Header Char"/>
    <w:basedOn w:val="DefaultParagraphFont"/>
    <w:link w:val="Header"/>
    <w:uiPriority w:val="99"/>
    <w:rsid w:val="00A92832"/>
    <w:rPr>
      <w:rFonts w:ascii="Arial" w:eastAsia="Times New Roman" w:hAnsi="Arial" w:cs="Times New Roman"/>
      <w:kern w:val="0"/>
      <w:szCs w:val="20"/>
      <w:lang w:val="en-GB"/>
      <w14:ligatures w14:val="none"/>
    </w:rPr>
  </w:style>
  <w:style w:type="paragraph" w:styleId="Footer">
    <w:name w:val="footer"/>
    <w:basedOn w:val="Normal"/>
    <w:link w:val="FooterChar"/>
    <w:uiPriority w:val="99"/>
    <w:unhideWhenUsed/>
    <w:rsid w:val="00A92832"/>
    <w:pPr>
      <w:tabs>
        <w:tab w:val="center" w:pos="4680"/>
        <w:tab w:val="right" w:pos="9360"/>
      </w:tabs>
    </w:pPr>
  </w:style>
  <w:style w:type="character" w:customStyle="1" w:styleId="FooterChar">
    <w:name w:val="Footer Char"/>
    <w:basedOn w:val="DefaultParagraphFont"/>
    <w:link w:val="Footer"/>
    <w:uiPriority w:val="99"/>
    <w:rsid w:val="00A92832"/>
    <w:rPr>
      <w:rFonts w:ascii="Arial" w:eastAsia="Times New Roman" w:hAnsi="Arial" w:cs="Times New Roman"/>
      <w:kern w:val="0"/>
      <w:szCs w:val="20"/>
      <w:lang w:val="en-GB"/>
      <w14:ligatures w14:val="none"/>
    </w:rPr>
  </w:style>
  <w:style w:type="table" w:styleId="TableGrid">
    <w:name w:val="Table Grid"/>
    <w:basedOn w:val="TableNormal"/>
    <w:uiPriority w:val="39"/>
    <w:rsid w:val="0017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37D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FF1177"/>
    <w:pPr>
      <w:spacing w:after="0" w:line="240" w:lineRule="auto"/>
    </w:pPr>
    <w:rPr>
      <w:rFonts w:ascii="Arial" w:eastAsia="Times New Roman" w:hAnsi="Arial" w:cs="Times New Roman"/>
      <w:kern w:val="0"/>
      <w:szCs w:val="20"/>
      <w:lang w:val="en-GB"/>
      <w14:ligatures w14:val="none"/>
    </w:rPr>
  </w:style>
  <w:style w:type="paragraph" w:customStyle="1" w:styleId="NeniTitull">
    <w:name w:val="Neni_Titull"/>
    <w:next w:val="Normal"/>
    <w:rsid w:val="00767FA9"/>
    <w:pPr>
      <w:keepNext/>
      <w:widowControl w:val="0"/>
      <w:spacing w:after="0" w:line="240" w:lineRule="auto"/>
      <w:jc w:val="center"/>
      <w:outlineLvl w:val="2"/>
    </w:pPr>
    <w:rPr>
      <w:rFonts w:ascii="CG Times" w:eastAsia="Times New Roman" w:hAnsi="CG Times" w:cs="Times New Roman"/>
      <w:b/>
      <w:kern w:val="0"/>
      <w:szCs w:val="20"/>
      <w:lang w:val="en-GB"/>
    </w:rPr>
  </w:style>
  <w:style w:type="paragraph" w:customStyle="1" w:styleId="Paragrafi">
    <w:name w:val="Paragrafi"/>
    <w:rsid w:val="00767FA9"/>
    <w:pPr>
      <w:widowControl w:val="0"/>
      <w:spacing w:after="0" w:line="240" w:lineRule="auto"/>
      <w:ind w:firstLine="720"/>
      <w:jc w:val="both"/>
    </w:pPr>
    <w:rPr>
      <w:rFonts w:ascii="CG Times" w:eastAsia="MS Mincho" w:hAnsi="CG 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98729">
      <w:bodyDiv w:val="1"/>
      <w:marLeft w:val="0"/>
      <w:marRight w:val="0"/>
      <w:marTop w:val="0"/>
      <w:marBottom w:val="0"/>
      <w:divBdr>
        <w:top w:val="none" w:sz="0" w:space="0" w:color="auto"/>
        <w:left w:val="none" w:sz="0" w:space="0" w:color="auto"/>
        <w:bottom w:val="none" w:sz="0" w:space="0" w:color="auto"/>
        <w:right w:val="none" w:sz="0" w:space="0" w:color="auto"/>
      </w:divBdr>
    </w:div>
    <w:div w:id="879828501">
      <w:bodyDiv w:val="1"/>
      <w:marLeft w:val="0"/>
      <w:marRight w:val="0"/>
      <w:marTop w:val="0"/>
      <w:marBottom w:val="0"/>
      <w:divBdr>
        <w:top w:val="none" w:sz="0" w:space="0" w:color="auto"/>
        <w:left w:val="none" w:sz="0" w:space="0" w:color="auto"/>
        <w:bottom w:val="none" w:sz="0" w:space="0" w:color="auto"/>
        <w:right w:val="none" w:sz="0" w:space="0" w:color="auto"/>
      </w:divBdr>
      <w:divsChild>
        <w:div w:id="1592160917">
          <w:marLeft w:val="0"/>
          <w:marRight w:val="0"/>
          <w:marTop w:val="0"/>
          <w:marBottom w:val="0"/>
          <w:divBdr>
            <w:top w:val="none" w:sz="0" w:space="0" w:color="auto"/>
            <w:left w:val="none" w:sz="0" w:space="0" w:color="auto"/>
            <w:bottom w:val="none" w:sz="0" w:space="0" w:color="auto"/>
            <w:right w:val="none" w:sz="0" w:space="0" w:color="auto"/>
          </w:divBdr>
        </w:div>
        <w:div w:id="1926836144">
          <w:marLeft w:val="0"/>
          <w:marRight w:val="0"/>
          <w:marTop w:val="0"/>
          <w:marBottom w:val="0"/>
          <w:divBdr>
            <w:top w:val="none" w:sz="0" w:space="0" w:color="auto"/>
            <w:left w:val="none" w:sz="0" w:space="0" w:color="auto"/>
            <w:bottom w:val="none" w:sz="0" w:space="0" w:color="auto"/>
            <w:right w:val="none" w:sz="0" w:space="0" w:color="auto"/>
          </w:divBdr>
        </w:div>
        <w:div w:id="87848522">
          <w:marLeft w:val="0"/>
          <w:marRight w:val="0"/>
          <w:marTop w:val="0"/>
          <w:marBottom w:val="0"/>
          <w:divBdr>
            <w:top w:val="none" w:sz="0" w:space="0" w:color="auto"/>
            <w:left w:val="none" w:sz="0" w:space="0" w:color="auto"/>
            <w:bottom w:val="none" w:sz="0" w:space="0" w:color="auto"/>
            <w:right w:val="none" w:sz="0" w:space="0" w:color="auto"/>
          </w:divBdr>
        </w:div>
        <w:div w:id="272832765">
          <w:marLeft w:val="0"/>
          <w:marRight w:val="0"/>
          <w:marTop w:val="0"/>
          <w:marBottom w:val="0"/>
          <w:divBdr>
            <w:top w:val="none" w:sz="0" w:space="0" w:color="auto"/>
            <w:left w:val="none" w:sz="0" w:space="0" w:color="auto"/>
            <w:bottom w:val="none" w:sz="0" w:space="0" w:color="auto"/>
            <w:right w:val="none" w:sz="0" w:space="0" w:color="auto"/>
          </w:divBdr>
        </w:div>
      </w:divsChild>
    </w:div>
    <w:div w:id="1014497908">
      <w:bodyDiv w:val="1"/>
      <w:marLeft w:val="0"/>
      <w:marRight w:val="0"/>
      <w:marTop w:val="0"/>
      <w:marBottom w:val="0"/>
      <w:divBdr>
        <w:top w:val="none" w:sz="0" w:space="0" w:color="auto"/>
        <w:left w:val="none" w:sz="0" w:space="0" w:color="auto"/>
        <w:bottom w:val="none" w:sz="0" w:space="0" w:color="auto"/>
        <w:right w:val="none" w:sz="0" w:space="0" w:color="auto"/>
      </w:divBdr>
    </w:div>
    <w:div w:id="1166215106">
      <w:bodyDiv w:val="1"/>
      <w:marLeft w:val="0"/>
      <w:marRight w:val="0"/>
      <w:marTop w:val="0"/>
      <w:marBottom w:val="0"/>
      <w:divBdr>
        <w:top w:val="none" w:sz="0" w:space="0" w:color="auto"/>
        <w:left w:val="none" w:sz="0" w:space="0" w:color="auto"/>
        <w:bottom w:val="none" w:sz="0" w:space="0" w:color="auto"/>
        <w:right w:val="none" w:sz="0" w:space="0" w:color="auto"/>
      </w:divBdr>
    </w:div>
    <w:div w:id="1398631828">
      <w:bodyDiv w:val="1"/>
      <w:marLeft w:val="0"/>
      <w:marRight w:val="0"/>
      <w:marTop w:val="0"/>
      <w:marBottom w:val="0"/>
      <w:divBdr>
        <w:top w:val="none" w:sz="0" w:space="0" w:color="auto"/>
        <w:left w:val="none" w:sz="0" w:space="0" w:color="auto"/>
        <w:bottom w:val="none" w:sz="0" w:space="0" w:color="auto"/>
        <w:right w:val="none" w:sz="0" w:space="0" w:color="auto"/>
      </w:divBdr>
    </w:div>
    <w:div w:id="1871607414">
      <w:bodyDiv w:val="1"/>
      <w:marLeft w:val="0"/>
      <w:marRight w:val="0"/>
      <w:marTop w:val="0"/>
      <w:marBottom w:val="0"/>
      <w:divBdr>
        <w:top w:val="none" w:sz="0" w:space="0" w:color="auto"/>
        <w:left w:val="none" w:sz="0" w:space="0" w:color="auto"/>
        <w:bottom w:val="none" w:sz="0" w:space="0" w:color="auto"/>
        <w:right w:val="none" w:sz="0" w:space="0" w:color="auto"/>
      </w:divBdr>
    </w:div>
    <w:div w:id="1991908839">
      <w:bodyDiv w:val="1"/>
      <w:marLeft w:val="0"/>
      <w:marRight w:val="0"/>
      <w:marTop w:val="0"/>
      <w:marBottom w:val="0"/>
      <w:divBdr>
        <w:top w:val="none" w:sz="0" w:space="0" w:color="auto"/>
        <w:left w:val="none" w:sz="0" w:space="0" w:color="auto"/>
        <w:bottom w:val="none" w:sz="0" w:space="0" w:color="auto"/>
        <w:right w:val="none" w:sz="0" w:space="0" w:color="auto"/>
      </w:divBdr>
      <w:divsChild>
        <w:div w:id="1674920140">
          <w:marLeft w:val="0"/>
          <w:marRight w:val="0"/>
          <w:marTop w:val="0"/>
          <w:marBottom w:val="0"/>
          <w:divBdr>
            <w:top w:val="none" w:sz="0" w:space="0" w:color="auto"/>
            <w:left w:val="none" w:sz="0" w:space="0" w:color="auto"/>
            <w:bottom w:val="none" w:sz="0" w:space="0" w:color="auto"/>
            <w:right w:val="none" w:sz="0" w:space="0" w:color="auto"/>
          </w:divBdr>
        </w:div>
        <w:div w:id="1607468841">
          <w:marLeft w:val="0"/>
          <w:marRight w:val="0"/>
          <w:marTop w:val="0"/>
          <w:marBottom w:val="0"/>
          <w:divBdr>
            <w:top w:val="none" w:sz="0" w:space="0" w:color="auto"/>
            <w:left w:val="none" w:sz="0" w:space="0" w:color="auto"/>
            <w:bottom w:val="none" w:sz="0" w:space="0" w:color="auto"/>
            <w:right w:val="none" w:sz="0" w:space="0" w:color="auto"/>
          </w:divBdr>
        </w:div>
        <w:div w:id="739212215">
          <w:marLeft w:val="0"/>
          <w:marRight w:val="0"/>
          <w:marTop w:val="0"/>
          <w:marBottom w:val="0"/>
          <w:divBdr>
            <w:top w:val="none" w:sz="0" w:space="0" w:color="auto"/>
            <w:left w:val="none" w:sz="0" w:space="0" w:color="auto"/>
            <w:bottom w:val="none" w:sz="0" w:space="0" w:color="auto"/>
            <w:right w:val="none" w:sz="0" w:space="0" w:color="auto"/>
          </w:divBdr>
        </w:div>
        <w:div w:id="1402946978">
          <w:marLeft w:val="0"/>
          <w:marRight w:val="0"/>
          <w:marTop w:val="0"/>
          <w:marBottom w:val="0"/>
          <w:divBdr>
            <w:top w:val="none" w:sz="0" w:space="0" w:color="auto"/>
            <w:left w:val="none" w:sz="0" w:space="0" w:color="auto"/>
            <w:bottom w:val="none" w:sz="0" w:space="0" w:color="auto"/>
            <w:right w:val="none" w:sz="0" w:space="0" w:color="auto"/>
          </w:divBdr>
        </w:div>
      </w:divsChild>
    </w:div>
    <w:div w:id="2069374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80D92-625F-413F-96E0-ED51252BBD2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Trezhnjeva</dc:creator>
  <cp:keywords/>
  <dc:description/>
  <cp:lastModifiedBy>Merita Bundo</cp:lastModifiedBy>
  <cp:revision>2</cp:revision>
  <dcterms:created xsi:type="dcterms:W3CDTF">2026-03-24T09:56:00Z</dcterms:created>
  <dcterms:modified xsi:type="dcterms:W3CDTF">2026-03-24T09:56:00Z</dcterms:modified>
</cp:coreProperties>
</file>