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6DCC" w14:textId="77777777" w:rsidR="00F203F0" w:rsidRPr="008E54BA" w:rsidRDefault="00F203F0" w:rsidP="008E54BA">
      <w:pPr>
        <w:spacing w:after="0" w:line="276" w:lineRule="auto"/>
        <w:jc w:val="center"/>
        <w:rPr>
          <w:rFonts w:asciiTheme="majorBidi" w:hAnsiTheme="majorBidi" w:cstheme="majorBidi"/>
          <w:b/>
          <w:bCs/>
          <w:sz w:val="24"/>
          <w:szCs w:val="24"/>
          <w:lang w:val="sq-AL"/>
        </w:rPr>
      </w:pPr>
      <w:r w:rsidRPr="008E54BA">
        <w:rPr>
          <w:rFonts w:asciiTheme="majorBidi" w:hAnsiTheme="majorBidi" w:cstheme="majorBidi"/>
          <w:b/>
          <w:bCs/>
          <w:sz w:val="24"/>
          <w:szCs w:val="24"/>
          <w:lang w:val="sq-AL"/>
        </w:rPr>
        <w:t>Raport për rezultatet e konsultimeve publike</w:t>
      </w:r>
    </w:p>
    <w:p w14:paraId="37D42984" w14:textId="77777777" w:rsidR="00F203F0" w:rsidRPr="008E54BA" w:rsidRDefault="00F203F0" w:rsidP="008E54BA">
      <w:pPr>
        <w:spacing w:after="0" w:line="276" w:lineRule="auto"/>
        <w:jc w:val="both"/>
        <w:rPr>
          <w:rFonts w:asciiTheme="majorBidi" w:hAnsiTheme="majorBidi" w:cstheme="majorBidi"/>
          <w:b/>
          <w:bCs/>
          <w:sz w:val="24"/>
          <w:szCs w:val="24"/>
          <w:lang w:val="sq-AL"/>
        </w:rPr>
      </w:pPr>
    </w:p>
    <w:p w14:paraId="614970E9" w14:textId="77777777" w:rsidR="00F203F0" w:rsidRPr="008E54BA" w:rsidRDefault="00F203F0" w:rsidP="008E54BA">
      <w:pPr>
        <w:spacing w:after="0" w:line="276" w:lineRule="auto"/>
        <w:jc w:val="both"/>
        <w:rPr>
          <w:rFonts w:asciiTheme="majorBidi" w:hAnsiTheme="majorBidi" w:cstheme="majorBidi"/>
          <w:b/>
          <w:bCs/>
          <w:sz w:val="24"/>
          <w:szCs w:val="24"/>
          <w:lang w:val="sq-AL"/>
        </w:rPr>
      </w:pPr>
      <w:r w:rsidRPr="008E54BA">
        <w:rPr>
          <w:rFonts w:asciiTheme="majorBidi" w:hAnsiTheme="majorBidi" w:cstheme="majorBidi"/>
          <w:b/>
          <w:bCs/>
          <w:sz w:val="24"/>
          <w:szCs w:val="24"/>
          <w:lang w:val="sq-AL"/>
        </w:rPr>
        <w:t>1. Titulli i draftaktit</w:t>
      </w:r>
    </w:p>
    <w:p w14:paraId="597D912E" w14:textId="77777777" w:rsidR="00F203F0" w:rsidRPr="008E54BA" w:rsidRDefault="00F203F0" w:rsidP="008E54BA">
      <w:pPr>
        <w:spacing w:after="0" w:line="276" w:lineRule="auto"/>
        <w:jc w:val="both"/>
        <w:rPr>
          <w:rFonts w:asciiTheme="majorBidi" w:hAnsiTheme="majorBidi" w:cstheme="majorBidi"/>
          <w:sz w:val="24"/>
          <w:szCs w:val="24"/>
          <w:lang w:val="en-US"/>
        </w:rPr>
      </w:pPr>
      <w:r w:rsidRPr="008E54BA">
        <w:rPr>
          <w:rFonts w:asciiTheme="majorBidi" w:hAnsiTheme="majorBidi" w:cstheme="majorBidi"/>
          <w:sz w:val="24"/>
          <w:szCs w:val="24"/>
          <w:lang w:val="en-US"/>
        </w:rPr>
        <w:t xml:space="preserve">Projektligji </w:t>
      </w:r>
      <w:r w:rsidRPr="008E54BA">
        <w:rPr>
          <w:rFonts w:asciiTheme="majorBidi" w:hAnsiTheme="majorBidi" w:cstheme="majorBidi"/>
          <w:color w:val="333333"/>
          <w:sz w:val="24"/>
          <w:szCs w:val="24"/>
          <w:shd w:val="clear" w:color="auto" w:fill="FFFFFF"/>
        </w:rPr>
        <w:t>“Për Tregjet e Kripto-Aseteve”</w:t>
      </w:r>
    </w:p>
    <w:p w14:paraId="41377930" w14:textId="77777777" w:rsidR="00F203F0" w:rsidRPr="008E54BA" w:rsidRDefault="00F203F0" w:rsidP="008E54BA">
      <w:pPr>
        <w:spacing w:after="0" w:line="276" w:lineRule="auto"/>
        <w:jc w:val="both"/>
        <w:rPr>
          <w:rFonts w:asciiTheme="majorBidi" w:hAnsiTheme="majorBidi" w:cstheme="majorBidi"/>
          <w:sz w:val="24"/>
          <w:szCs w:val="24"/>
          <w:lang w:val="sq-AL"/>
        </w:rPr>
      </w:pPr>
    </w:p>
    <w:p w14:paraId="0830FA5C" w14:textId="77777777" w:rsidR="00F203F0" w:rsidRPr="008E54BA" w:rsidRDefault="00F203F0" w:rsidP="008E54BA">
      <w:pPr>
        <w:spacing w:after="0" w:line="276" w:lineRule="auto"/>
        <w:jc w:val="both"/>
        <w:rPr>
          <w:rFonts w:asciiTheme="majorBidi" w:hAnsiTheme="majorBidi" w:cstheme="majorBidi"/>
          <w:b/>
          <w:bCs/>
          <w:sz w:val="24"/>
          <w:szCs w:val="24"/>
          <w:lang w:val="sq-AL"/>
        </w:rPr>
      </w:pPr>
      <w:r w:rsidRPr="008E54BA">
        <w:rPr>
          <w:rFonts w:asciiTheme="majorBidi" w:hAnsiTheme="majorBidi" w:cstheme="majorBidi"/>
          <w:b/>
          <w:bCs/>
          <w:sz w:val="24"/>
          <w:szCs w:val="24"/>
          <w:lang w:val="sq-AL"/>
        </w:rPr>
        <w:t>2. Kohëzgjatja e konsultimeve</w:t>
      </w:r>
    </w:p>
    <w:p w14:paraId="5A015FAE" w14:textId="77777777" w:rsidR="00F203F0" w:rsidRPr="008E54BA" w:rsidRDefault="00F203F0" w:rsidP="008E54BA">
      <w:pPr>
        <w:spacing w:after="0" w:line="276" w:lineRule="auto"/>
        <w:jc w:val="both"/>
        <w:rPr>
          <w:rFonts w:asciiTheme="majorBidi" w:hAnsiTheme="majorBidi" w:cstheme="majorBidi"/>
          <w:i/>
          <w:iCs/>
          <w:sz w:val="24"/>
          <w:szCs w:val="24"/>
          <w:lang w:val="sq-AL"/>
        </w:rPr>
      </w:pPr>
      <w:r w:rsidRPr="008E54BA">
        <w:rPr>
          <w:rFonts w:asciiTheme="majorBidi" w:hAnsiTheme="majorBidi" w:cstheme="majorBidi"/>
          <w:i/>
          <w:iCs/>
          <w:sz w:val="24"/>
          <w:szCs w:val="24"/>
          <w:lang w:val="sq-AL"/>
        </w:rPr>
        <w:t>Specifikoni kohëzgjatjen e përgjithshme të konsultimeve publike sa i përket ditëve të punës,</w:t>
      </w:r>
      <w:r w:rsidR="008E54BA">
        <w:rPr>
          <w:rFonts w:asciiTheme="majorBidi" w:hAnsiTheme="majorBidi" w:cstheme="majorBidi"/>
          <w:i/>
          <w:iCs/>
          <w:sz w:val="24"/>
          <w:szCs w:val="24"/>
          <w:lang w:val="sq-AL"/>
        </w:rPr>
        <w:t xml:space="preserve"> </w:t>
      </w:r>
      <w:r w:rsidRPr="008E54BA">
        <w:rPr>
          <w:rFonts w:asciiTheme="majorBidi" w:hAnsiTheme="majorBidi" w:cstheme="majorBidi"/>
          <w:i/>
          <w:iCs/>
          <w:sz w:val="24"/>
          <w:szCs w:val="24"/>
          <w:lang w:val="sq-AL"/>
        </w:rPr>
        <w:t>përfshirë datën e hapjes dhe mbylljes së konsultimeve publike; nëse kohëzgjatja ishte më e</w:t>
      </w:r>
      <w:r w:rsidR="008E54BA">
        <w:rPr>
          <w:rFonts w:asciiTheme="majorBidi" w:hAnsiTheme="majorBidi" w:cstheme="majorBidi"/>
          <w:i/>
          <w:iCs/>
          <w:sz w:val="24"/>
          <w:szCs w:val="24"/>
          <w:lang w:val="sq-AL"/>
        </w:rPr>
        <w:t xml:space="preserve"> </w:t>
      </w:r>
      <w:r w:rsidRPr="008E54BA">
        <w:rPr>
          <w:rFonts w:asciiTheme="majorBidi" w:hAnsiTheme="majorBidi" w:cstheme="majorBidi"/>
          <w:i/>
          <w:iCs/>
          <w:sz w:val="24"/>
          <w:szCs w:val="24"/>
          <w:lang w:val="sq-AL"/>
        </w:rPr>
        <w:t>shkurtër se 20 ditë pune e paraparë me ligj, jepni arsye për shkurtimin e kohëzgjatjes.</w:t>
      </w:r>
    </w:p>
    <w:p w14:paraId="01C08243" w14:textId="77777777" w:rsidR="00F203F0" w:rsidRPr="008E54BA" w:rsidRDefault="00F203F0" w:rsidP="008E54BA">
      <w:pPr>
        <w:spacing w:after="0" w:line="276" w:lineRule="auto"/>
        <w:jc w:val="both"/>
        <w:rPr>
          <w:rFonts w:asciiTheme="majorBidi" w:hAnsiTheme="majorBidi" w:cstheme="majorBidi"/>
          <w:i/>
          <w:iCs/>
          <w:sz w:val="24"/>
          <w:szCs w:val="24"/>
          <w:lang w:val="sq-AL"/>
        </w:rPr>
      </w:pPr>
    </w:p>
    <w:p w14:paraId="502FA384" w14:textId="268EF1F2" w:rsidR="00F203F0" w:rsidRPr="008E54BA" w:rsidRDefault="00F203F0" w:rsidP="008D3D6F">
      <w:pPr>
        <w:spacing w:after="0" w:line="276" w:lineRule="auto"/>
        <w:jc w:val="both"/>
        <w:rPr>
          <w:rFonts w:asciiTheme="majorBidi" w:hAnsiTheme="majorBidi" w:cstheme="majorBidi"/>
          <w:sz w:val="24"/>
          <w:szCs w:val="24"/>
          <w:lang w:val="sq-AL"/>
        </w:rPr>
      </w:pPr>
      <w:r w:rsidRPr="008E54BA">
        <w:rPr>
          <w:rFonts w:asciiTheme="majorBidi" w:hAnsiTheme="majorBidi" w:cstheme="majorBidi"/>
          <w:sz w:val="24"/>
          <w:szCs w:val="24"/>
          <w:lang w:val="sq-AL"/>
        </w:rPr>
        <w:t xml:space="preserve">Konsultimet në portalin e Regjistrit Elektronik për Njoftimet dhe Konsultimet Publike: </w:t>
      </w:r>
      <w:r w:rsidR="0026330F" w:rsidRPr="008E54BA">
        <w:rPr>
          <w:rFonts w:asciiTheme="majorBidi" w:hAnsiTheme="majorBidi" w:cstheme="majorBidi"/>
          <w:sz w:val="24"/>
          <w:szCs w:val="24"/>
          <w:lang w:val="sq-AL"/>
        </w:rPr>
        <w:t>4</w:t>
      </w:r>
      <w:r w:rsidRPr="008E54BA">
        <w:rPr>
          <w:rFonts w:asciiTheme="majorBidi" w:hAnsiTheme="majorBidi" w:cstheme="majorBidi"/>
          <w:sz w:val="24"/>
          <w:szCs w:val="24"/>
          <w:lang w:val="sq-AL"/>
        </w:rPr>
        <w:t>3 ditë</w:t>
      </w:r>
      <w:r w:rsidR="008D3D6F">
        <w:rPr>
          <w:rFonts w:asciiTheme="majorBidi" w:hAnsiTheme="majorBidi" w:cstheme="majorBidi"/>
          <w:sz w:val="24"/>
          <w:szCs w:val="24"/>
          <w:lang w:val="sq-AL"/>
        </w:rPr>
        <w:t xml:space="preserve"> </w:t>
      </w:r>
      <w:r w:rsidRPr="008E54BA">
        <w:rPr>
          <w:rFonts w:asciiTheme="majorBidi" w:hAnsiTheme="majorBidi" w:cstheme="majorBidi"/>
          <w:sz w:val="24"/>
          <w:szCs w:val="24"/>
          <w:lang w:val="sq-AL"/>
        </w:rPr>
        <w:t>pune,</w:t>
      </w:r>
      <w:r w:rsidR="00913F99">
        <w:rPr>
          <w:rFonts w:asciiTheme="majorBidi" w:hAnsiTheme="majorBidi" w:cstheme="majorBidi"/>
          <w:sz w:val="24"/>
          <w:szCs w:val="24"/>
          <w:lang w:val="sq-AL"/>
        </w:rPr>
        <w:t xml:space="preserve"> nga data</w:t>
      </w:r>
      <w:r w:rsidRPr="008E54BA">
        <w:rPr>
          <w:rFonts w:asciiTheme="majorBidi" w:hAnsiTheme="majorBidi" w:cstheme="majorBidi"/>
          <w:sz w:val="24"/>
          <w:szCs w:val="24"/>
          <w:lang w:val="sq-AL"/>
        </w:rPr>
        <w:t xml:space="preserve"> 27.11.2025 – 30.01.2026, bazuar në ligjin 146/2014 “Për njoftimin dhe konsultimin publik”.</w:t>
      </w:r>
    </w:p>
    <w:p w14:paraId="4EA0CC21" w14:textId="77777777" w:rsidR="008E54BA" w:rsidRPr="00A21DAE" w:rsidRDefault="008E54BA" w:rsidP="008E54BA">
      <w:pPr>
        <w:spacing w:after="0" w:line="276" w:lineRule="auto"/>
        <w:jc w:val="both"/>
        <w:rPr>
          <w:rFonts w:asciiTheme="majorBidi" w:hAnsiTheme="majorBidi" w:cstheme="majorBidi"/>
          <w:sz w:val="10"/>
          <w:szCs w:val="10"/>
          <w:lang w:val="sq-AL"/>
        </w:rPr>
      </w:pPr>
    </w:p>
    <w:p w14:paraId="09C3EB47" w14:textId="77777777" w:rsidR="008E54BA" w:rsidRPr="008E54BA" w:rsidRDefault="008E54BA" w:rsidP="008E54BA">
      <w:pPr>
        <w:spacing w:after="0" w:line="276" w:lineRule="auto"/>
        <w:jc w:val="both"/>
        <w:rPr>
          <w:rFonts w:asciiTheme="majorBidi" w:eastAsia="Times New Roman" w:hAnsiTheme="majorBidi" w:cstheme="majorBidi"/>
          <w:kern w:val="0"/>
          <w:sz w:val="24"/>
          <w:szCs w:val="24"/>
          <w:lang w:val="sq-AL"/>
          <w14:ligatures w14:val="none"/>
        </w:rPr>
      </w:pPr>
      <w:r w:rsidRPr="008E54BA">
        <w:rPr>
          <w:rFonts w:asciiTheme="majorBidi" w:eastAsia="Times New Roman" w:hAnsiTheme="majorBidi" w:cstheme="majorBidi"/>
          <w:kern w:val="0"/>
          <w:sz w:val="24"/>
          <w:szCs w:val="24"/>
          <w:lang w:val="sq-AL"/>
          <w14:ligatures w14:val="none"/>
        </w:rPr>
        <w:t>Duke marrë në konsideratë kompleksitetin teknik të projektligjit, rëndësinë e tij në kuadër të përafrimit me acquis të Bashkimit Evropian dhe nevojën për t'u dhënë palëve të interesuara kohë të mjaftueshme për shqyrtimin e dokumentacionit shoqërues, periudha e konsultimit publik është zgjatur përtej afatit minimal ligjor prej 20 ditësh pune. Kjo ka synuar të garantojë një proces sa më gjithëpërfshirës dhe transparent konsultimi me institucionet publike, ekspertët e fushës, aktorët e tregut financiar, komunitetin e biznesit dhe publikun e interesuar.</w:t>
      </w:r>
    </w:p>
    <w:p w14:paraId="0EA01D4D" w14:textId="77777777" w:rsidR="00F203F0" w:rsidRPr="00A21DAE" w:rsidRDefault="00F203F0" w:rsidP="008E54BA">
      <w:pPr>
        <w:spacing w:after="0" w:line="276" w:lineRule="auto"/>
        <w:jc w:val="both"/>
        <w:rPr>
          <w:rFonts w:asciiTheme="majorBidi" w:hAnsiTheme="majorBidi" w:cstheme="majorBidi"/>
          <w:sz w:val="14"/>
          <w:szCs w:val="14"/>
          <w:lang w:val="sq-AL"/>
        </w:rPr>
      </w:pPr>
    </w:p>
    <w:p w14:paraId="2F90CC12" w14:textId="77777777" w:rsidR="00F203F0" w:rsidRPr="008E54BA" w:rsidRDefault="00F203F0" w:rsidP="008E54BA">
      <w:pPr>
        <w:spacing w:after="0" w:line="276" w:lineRule="auto"/>
        <w:jc w:val="both"/>
        <w:rPr>
          <w:rFonts w:asciiTheme="majorBidi" w:hAnsiTheme="majorBidi" w:cstheme="majorBidi"/>
          <w:b/>
          <w:bCs/>
          <w:sz w:val="24"/>
          <w:szCs w:val="24"/>
          <w:lang w:val="sq-AL"/>
        </w:rPr>
      </w:pPr>
      <w:r w:rsidRPr="008E54BA">
        <w:rPr>
          <w:rFonts w:asciiTheme="majorBidi" w:hAnsiTheme="majorBidi" w:cstheme="majorBidi"/>
          <w:b/>
          <w:bCs/>
          <w:sz w:val="24"/>
          <w:szCs w:val="24"/>
          <w:lang w:val="sq-AL"/>
        </w:rPr>
        <w:t>3. Metoda e konsultimit</w:t>
      </w:r>
    </w:p>
    <w:p w14:paraId="60F191C0" w14:textId="77777777" w:rsidR="00F203F0" w:rsidRPr="008E54BA" w:rsidRDefault="00F203F0" w:rsidP="008E54BA">
      <w:pPr>
        <w:spacing w:after="0" w:line="276" w:lineRule="auto"/>
        <w:jc w:val="both"/>
        <w:rPr>
          <w:rFonts w:asciiTheme="majorBidi" w:hAnsiTheme="majorBidi" w:cstheme="majorBidi"/>
          <w:i/>
          <w:iCs/>
          <w:sz w:val="24"/>
          <w:szCs w:val="24"/>
          <w:lang w:val="sq-AL"/>
        </w:rPr>
      </w:pPr>
      <w:r w:rsidRPr="008E54BA">
        <w:rPr>
          <w:rFonts w:asciiTheme="majorBidi" w:hAnsiTheme="majorBidi" w:cstheme="majorBidi"/>
          <w:i/>
          <w:iCs/>
          <w:sz w:val="24"/>
          <w:szCs w:val="24"/>
          <w:lang w:val="sq-AL"/>
        </w:rPr>
        <w:t>Listoni të gjitha metodat e konsultimit të përdorura, të tilla si konsultimet elektronike (Regjistri</w:t>
      </w:r>
      <w:r w:rsidR="008E54BA">
        <w:rPr>
          <w:rFonts w:asciiTheme="majorBidi" w:hAnsiTheme="majorBidi" w:cstheme="majorBidi"/>
          <w:i/>
          <w:iCs/>
          <w:sz w:val="24"/>
          <w:szCs w:val="24"/>
          <w:lang w:val="sq-AL"/>
        </w:rPr>
        <w:t xml:space="preserve"> </w:t>
      </w:r>
      <w:r w:rsidRPr="008E54BA">
        <w:rPr>
          <w:rFonts w:asciiTheme="majorBidi" w:hAnsiTheme="majorBidi" w:cstheme="majorBidi"/>
          <w:i/>
          <w:iCs/>
          <w:sz w:val="24"/>
          <w:szCs w:val="24"/>
          <w:lang w:val="sq-AL"/>
        </w:rPr>
        <w:t>Elektronik, posta elektronike, faqet e internetit, etj.), Takimet publike, seancat e organeve</w:t>
      </w:r>
      <w:r w:rsidR="008E54BA">
        <w:rPr>
          <w:rFonts w:asciiTheme="majorBidi" w:hAnsiTheme="majorBidi" w:cstheme="majorBidi"/>
          <w:i/>
          <w:iCs/>
          <w:sz w:val="24"/>
          <w:szCs w:val="24"/>
          <w:lang w:val="sq-AL"/>
        </w:rPr>
        <w:t xml:space="preserve"> </w:t>
      </w:r>
      <w:r w:rsidRPr="008E54BA">
        <w:rPr>
          <w:rFonts w:asciiTheme="majorBidi" w:hAnsiTheme="majorBidi" w:cstheme="majorBidi"/>
          <w:i/>
          <w:iCs/>
          <w:sz w:val="24"/>
          <w:szCs w:val="24"/>
          <w:lang w:val="sq-AL"/>
        </w:rPr>
        <w:t>këshilluese…, dhe siguroni informacione për afatin kohor, kohëzgjatjen dhe afatet e tyre.</w:t>
      </w:r>
    </w:p>
    <w:p w14:paraId="2E7149F8" w14:textId="77777777" w:rsidR="00F203F0" w:rsidRPr="008E54BA" w:rsidRDefault="00F203F0" w:rsidP="008E54BA">
      <w:pPr>
        <w:spacing w:after="0" w:line="276" w:lineRule="auto"/>
        <w:jc w:val="both"/>
        <w:rPr>
          <w:rFonts w:asciiTheme="majorBidi" w:hAnsiTheme="majorBidi" w:cstheme="majorBidi"/>
          <w:i/>
          <w:iCs/>
          <w:sz w:val="24"/>
          <w:szCs w:val="24"/>
          <w:lang w:val="sq-AL"/>
        </w:rPr>
      </w:pPr>
      <w:r w:rsidRPr="008E54BA">
        <w:rPr>
          <w:rFonts w:asciiTheme="majorBidi" w:hAnsiTheme="majorBidi" w:cstheme="majorBidi"/>
          <w:i/>
          <w:iCs/>
          <w:sz w:val="24"/>
          <w:szCs w:val="24"/>
          <w:lang w:val="sq-AL"/>
        </w:rPr>
        <w:t>Shpjegoni se si u shpërnda informacioni mbi konsultimet e hapura, si u ftuan palët e interesuara të kontribuojnë.</w:t>
      </w:r>
      <w:r w:rsidR="008E54BA">
        <w:rPr>
          <w:rFonts w:asciiTheme="majorBidi" w:hAnsiTheme="majorBidi" w:cstheme="majorBidi"/>
          <w:i/>
          <w:iCs/>
          <w:sz w:val="24"/>
          <w:szCs w:val="24"/>
          <w:lang w:val="sq-AL"/>
        </w:rPr>
        <w:t xml:space="preserve"> </w:t>
      </w:r>
      <w:r w:rsidRPr="008E54BA">
        <w:rPr>
          <w:rFonts w:asciiTheme="majorBidi" w:hAnsiTheme="majorBidi" w:cstheme="majorBidi"/>
          <w:i/>
          <w:iCs/>
          <w:sz w:val="24"/>
          <w:szCs w:val="24"/>
          <w:lang w:val="sq-AL"/>
        </w:rPr>
        <w:t>Përfshini gjithashtu aktivitete nga konsultimet paraprake nëse janë organizuar të tilla).</w:t>
      </w:r>
    </w:p>
    <w:p w14:paraId="4B2F730E" w14:textId="77777777" w:rsidR="00FC747D" w:rsidRPr="00212CF6" w:rsidRDefault="00FC747D" w:rsidP="00FC747D">
      <w:pPr>
        <w:spacing w:after="0" w:line="276" w:lineRule="auto"/>
        <w:jc w:val="both"/>
        <w:rPr>
          <w:rFonts w:asciiTheme="majorBidi" w:hAnsiTheme="majorBidi" w:cstheme="majorBidi"/>
          <w:sz w:val="12"/>
          <w:szCs w:val="12"/>
          <w:lang w:val="sq-AL"/>
        </w:rPr>
      </w:pPr>
    </w:p>
    <w:p w14:paraId="765DB042" w14:textId="77777777" w:rsidR="00FC747D" w:rsidRPr="000F7CED" w:rsidRDefault="00FC747D" w:rsidP="00FC747D">
      <w:pPr>
        <w:spacing w:after="0" w:line="276" w:lineRule="auto"/>
        <w:jc w:val="both"/>
        <w:rPr>
          <w:rFonts w:asciiTheme="majorBidi" w:hAnsiTheme="majorBidi" w:cstheme="majorBidi"/>
          <w:sz w:val="24"/>
          <w:szCs w:val="24"/>
          <w:lang w:val="sq-AL"/>
        </w:rPr>
      </w:pPr>
      <w:r w:rsidRPr="000F7CED">
        <w:rPr>
          <w:rFonts w:asciiTheme="majorBidi" w:hAnsiTheme="majorBidi" w:cstheme="majorBidi"/>
          <w:sz w:val="24"/>
          <w:szCs w:val="24"/>
          <w:lang w:val="sq-AL"/>
        </w:rPr>
        <w:t>Procesi i konsultimit për projektligjin “Për tregjet e kripto-aseteve” është zhvilluar në disa faza dhe nëpërmjet kanaleve të ndryshme, me qëllim përfshirjen e institucioneve përgjegjëse, subjekteve që ushtrojnë veprimtari në sektorin financiar dhe teknologjik, ekspertëve të fushës dhe publikut të interesuar. Konsultimet paraprake kanë zgjatur rreth dy muaj dhe kanë përfshirë konsultimin elektronik, konsultimin dhe koordinimin ndërinstitucional, si dhe diskutimin e drejtpërdrejtë me grupet e interesit.</w:t>
      </w:r>
    </w:p>
    <w:p w14:paraId="033FBB75" w14:textId="77777777" w:rsidR="00FC747D" w:rsidRPr="00A21DAE" w:rsidRDefault="00FC747D" w:rsidP="00FC747D">
      <w:pPr>
        <w:spacing w:after="0" w:line="276" w:lineRule="auto"/>
        <w:jc w:val="both"/>
        <w:rPr>
          <w:rFonts w:asciiTheme="majorBidi" w:hAnsiTheme="majorBidi" w:cstheme="majorBidi"/>
          <w:sz w:val="10"/>
          <w:szCs w:val="10"/>
          <w:lang w:val="sq-AL"/>
        </w:rPr>
      </w:pPr>
    </w:p>
    <w:p w14:paraId="3F072523"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b/>
          <w:bCs/>
          <w:sz w:val="24"/>
          <w:szCs w:val="24"/>
          <w:lang w:val="en-US"/>
        </w:rPr>
        <w:t>a) Konsultimi në Regjistrin Elektronik për Njoftimet dhe Konsultimet Publike</w:t>
      </w:r>
    </w:p>
    <w:p w14:paraId="10287AF3"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Projektligji, relacioni shpjegues dhe Raporti i Vlerësimit të Ndikimit (RIA) janë publikuar në Regjistrin Elektronik për Njoftimet dhe Konsultimet Publike për periudhën nga data 27.11.2025 deri më 30.01.2026.</w:t>
      </w:r>
    </w:p>
    <w:p w14:paraId="7C016E7A" w14:textId="263BE9A1"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Publikimi i dokumentacionit në regjist</w:t>
      </w:r>
      <w:r w:rsidR="002072FA">
        <w:rPr>
          <w:rFonts w:asciiTheme="majorBidi" w:hAnsiTheme="majorBidi" w:cstheme="majorBidi"/>
          <w:sz w:val="24"/>
          <w:szCs w:val="24"/>
          <w:lang w:val="en-US"/>
        </w:rPr>
        <w:t>ë</w:t>
      </w:r>
      <w:r w:rsidRPr="00FC747D">
        <w:rPr>
          <w:rFonts w:asciiTheme="majorBidi" w:hAnsiTheme="majorBidi" w:cstheme="majorBidi"/>
          <w:sz w:val="24"/>
          <w:szCs w:val="24"/>
          <w:lang w:val="en-US"/>
        </w:rPr>
        <w:t xml:space="preserve">r u mundësoi qytetarëve, ekspertëve të fushës, organizatave të shoqërisë civile, komunitetit të biznesit, subjekteve financiare dhe çdo pale tjetër të interesuar të njiheshin me përmbajtjen e projektligjit dhe të paraqisnin komente, sugjerime ose propozime. </w:t>
      </w:r>
      <w:r w:rsidRPr="00FC747D">
        <w:rPr>
          <w:rFonts w:asciiTheme="majorBidi" w:hAnsiTheme="majorBidi" w:cstheme="majorBidi"/>
          <w:sz w:val="24"/>
          <w:szCs w:val="24"/>
          <w:lang w:val="en-US"/>
        </w:rPr>
        <w:lastRenderedPageBreak/>
        <w:t>Gjatë periudhës së konsultimit, dokumentacioni i publikuar u vizitua 1 631 herë, ndërsa nëpërmjet regjistrit nuk u paraqitën komente.</w:t>
      </w:r>
    </w:p>
    <w:p w14:paraId="5DF832FB" w14:textId="77777777" w:rsidR="00FC747D" w:rsidRDefault="00FC747D" w:rsidP="00FC747D">
      <w:pPr>
        <w:spacing w:after="0" w:line="276" w:lineRule="auto"/>
        <w:jc w:val="both"/>
        <w:rPr>
          <w:rFonts w:asciiTheme="majorBidi" w:hAnsiTheme="majorBidi" w:cstheme="majorBidi"/>
          <w:b/>
          <w:bCs/>
          <w:sz w:val="24"/>
          <w:szCs w:val="24"/>
          <w:lang w:val="en-US"/>
        </w:rPr>
      </w:pPr>
    </w:p>
    <w:p w14:paraId="15C8C058"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b/>
          <w:bCs/>
          <w:sz w:val="24"/>
          <w:szCs w:val="24"/>
          <w:lang w:val="en-US"/>
        </w:rPr>
        <w:t>b) Konsultimi dhe koordinimi ndërinstitucional</w:t>
      </w:r>
    </w:p>
    <w:p w14:paraId="5187BECB"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Konsultimi ndërinstitucional është zhvilluar gjatë procesit të hartimit dhe finalizimit të projektligjit, nëpërmjet përcjelljes së dokumentacionit për shqyrtim, shkëmbimit të komenteve me shkrim dhe diskutimeve teknike ndërmjet institucioneve përgjegjëse.</w:t>
      </w:r>
    </w:p>
    <w:p w14:paraId="5FAF4EE1"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Në këtë proces kanë marrë pjesë:</w:t>
      </w:r>
    </w:p>
    <w:p w14:paraId="63720579" w14:textId="77777777" w:rsidR="00FC747D" w:rsidRPr="00FC747D" w:rsidRDefault="00FC747D" w:rsidP="00FC747D">
      <w:pPr>
        <w:numPr>
          <w:ilvl w:val="0"/>
          <w:numId w:val="7"/>
        </w:num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 xml:space="preserve">Ministria e Financave; </w:t>
      </w:r>
    </w:p>
    <w:p w14:paraId="2848D6D7" w14:textId="77777777" w:rsidR="00FC747D" w:rsidRPr="00FC747D" w:rsidRDefault="00FC747D" w:rsidP="00FC747D">
      <w:pPr>
        <w:numPr>
          <w:ilvl w:val="0"/>
          <w:numId w:val="7"/>
        </w:num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 xml:space="preserve">Ministria e Drejtësisë; </w:t>
      </w:r>
    </w:p>
    <w:p w14:paraId="0D66AE74" w14:textId="77777777" w:rsidR="00FC747D" w:rsidRPr="000F7CED" w:rsidRDefault="00FC747D" w:rsidP="00FC747D">
      <w:pPr>
        <w:numPr>
          <w:ilvl w:val="0"/>
          <w:numId w:val="7"/>
        </w:numPr>
        <w:spacing w:after="0" w:line="276" w:lineRule="auto"/>
        <w:jc w:val="both"/>
        <w:rPr>
          <w:rFonts w:asciiTheme="majorBidi" w:hAnsiTheme="majorBidi" w:cstheme="majorBidi"/>
          <w:sz w:val="24"/>
          <w:szCs w:val="24"/>
          <w:lang w:val="fr-FR"/>
        </w:rPr>
      </w:pPr>
      <w:r w:rsidRPr="000F7CED">
        <w:rPr>
          <w:rFonts w:asciiTheme="majorBidi" w:hAnsiTheme="majorBidi" w:cstheme="majorBidi"/>
          <w:sz w:val="24"/>
          <w:szCs w:val="24"/>
          <w:lang w:val="fr-FR"/>
        </w:rPr>
        <w:t xml:space="preserve">Ministria e Punëve të Brendshme; </w:t>
      </w:r>
    </w:p>
    <w:p w14:paraId="373F6265" w14:textId="77777777" w:rsidR="00FC747D" w:rsidRPr="00FC747D" w:rsidRDefault="00FC747D" w:rsidP="00FC747D">
      <w:pPr>
        <w:numPr>
          <w:ilvl w:val="0"/>
          <w:numId w:val="7"/>
        </w:num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 xml:space="preserve">Ministri i Shtetit dhe Kryenegociatori; </w:t>
      </w:r>
    </w:p>
    <w:p w14:paraId="15AE96C2" w14:textId="77777777" w:rsidR="00FC747D" w:rsidRPr="00FC747D" w:rsidRDefault="00FC747D" w:rsidP="00FC747D">
      <w:pPr>
        <w:numPr>
          <w:ilvl w:val="0"/>
          <w:numId w:val="7"/>
        </w:num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 xml:space="preserve">Banka e Shqipërisë; </w:t>
      </w:r>
    </w:p>
    <w:p w14:paraId="65DA50B0" w14:textId="77777777" w:rsidR="00FC747D" w:rsidRPr="00FC747D" w:rsidRDefault="00FC747D" w:rsidP="00FC747D">
      <w:pPr>
        <w:numPr>
          <w:ilvl w:val="0"/>
          <w:numId w:val="7"/>
        </w:num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 xml:space="preserve">Autoriteti i Mbikëqyrjes Financiare; </w:t>
      </w:r>
    </w:p>
    <w:p w14:paraId="03566355" w14:textId="77777777" w:rsidR="00FC747D" w:rsidRPr="00FC747D" w:rsidRDefault="00FC747D" w:rsidP="00FC747D">
      <w:pPr>
        <w:numPr>
          <w:ilvl w:val="0"/>
          <w:numId w:val="7"/>
        </w:num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 xml:space="preserve">Agjencia e Inteligjencës Financiare; </w:t>
      </w:r>
    </w:p>
    <w:p w14:paraId="242D5CDE" w14:textId="77777777" w:rsidR="00FC747D" w:rsidRPr="00FC747D" w:rsidRDefault="00FC747D" w:rsidP="00FC747D">
      <w:pPr>
        <w:numPr>
          <w:ilvl w:val="0"/>
          <w:numId w:val="7"/>
        </w:num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 xml:space="preserve">Autoriteti Kombëtar për Sigurinë Kibernetike; </w:t>
      </w:r>
    </w:p>
    <w:p w14:paraId="7B5071D5" w14:textId="77777777" w:rsidR="00FC747D" w:rsidRPr="00FC747D" w:rsidRDefault="00FC747D" w:rsidP="00FC747D">
      <w:pPr>
        <w:numPr>
          <w:ilvl w:val="0"/>
          <w:numId w:val="7"/>
        </w:num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 xml:space="preserve">Agjencia Kombëtare e Shoqërisë së Informacionit. </w:t>
      </w:r>
    </w:p>
    <w:p w14:paraId="582BF9A1"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Konsultimet dhe shkëmbimet teknike janë përqendruar në çështjet që lidhen me rregullimin dhe mbikëqyrjen e tregjeve të kripto-aseteve, ndarjen e kompetencave ndërmjet autoriteteve përgjegjëse, parandalimin e pastrimit të parave dhe financimit të terrorizmit, sigurinë kibernetike dhe përafrimin e projektligjit me acquis të Bashkimit Evropian. Komentet e paraqitura nga institucionet janë shqyrtuar gjatë procesit të rishikimit dhe finalizimit të projektligjit.</w:t>
      </w:r>
    </w:p>
    <w:p w14:paraId="2A147C11" w14:textId="77777777" w:rsidR="00FC747D" w:rsidRDefault="00FC747D" w:rsidP="00FC747D">
      <w:pPr>
        <w:spacing w:after="0" w:line="276" w:lineRule="auto"/>
        <w:jc w:val="both"/>
        <w:rPr>
          <w:rFonts w:asciiTheme="majorBidi" w:hAnsiTheme="majorBidi" w:cstheme="majorBidi"/>
          <w:b/>
          <w:bCs/>
          <w:sz w:val="24"/>
          <w:szCs w:val="24"/>
          <w:lang w:val="en-US"/>
        </w:rPr>
      </w:pPr>
    </w:p>
    <w:p w14:paraId="6EE86533"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b/>
          <w:bCs/>
          <w:sz w:val="24"/>
          <w:szCs w:val="24"/>
          <w:lang w:val="en-US"/>
        </w:rPr>
        <w:t>c) Konsultimi nëpërmjet faqes zyrtare të Autoritetit të Mbikëqyrjes Financiare</w:t>
      </w:r>
    </w:p>
    <w:p w14:paraId="647F4B3D"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Më 3.12.2025, projektligji dhe dokumentacioni shoqërues janë publikuar për konsultim edhe në faqen zyrtare të Autoritetit të Mbikëqyrjes Financiare. Publikimi në faqen e Autoritetit shërbeu për të zgjeruar informimin dhe përfshirjen e subjekteve të mbikëqyrura, operatorëve të tregut financiar, profesionistëve dhe palëve të tjera të interesuara drejtpërdrejt në zhvillimet rregullatore në fushën e kripto-aseteve. Palët e interesuara u ftuan të shqyrtonin dokumentacionin dhe të paraqisnin komentet dhe sugjerimet e tyre për projektligjin.</w:t>
      </w:r>
    </w:p>
    <w:p w14:paraId="02764ACA" w14:textId="77777777" w:rsidR="00FC747D" w:rsidRDefault="00FC747D" w:rsidP="00FC747D">
      <w:pPr>
        <w:spacing w:after="0" w:line="276" w:lineRule="auto"/>
        <w:jc w:val="both"/>
        <w:rPr>
          <w:rFonts w:asciiTheme="majorBidi" w:hAnsiTheme="majorBidi" w:cstheme="majorBidi"/>
          <w:b/>
          <w:bCs/>
          <w:sz w:val="24"/>
          <w:szCs w:val="24"/>
          <w:lang w:val="en-US"/>
        </w:rPr>
      </w:pPr>
    </w:p>
    <w:p w14:paraId="0F1FE2E1"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b/>
          <w:bCs/>
          <w:sz w:val="24"/>
          <w:szCs w:val="24"/>
          <w:lang w:val="en-US"/>
        </w:rPr>
        <w:t>d) Tryeza konsultative me grupet e interesit në kuadër të PKIE-së</w:t>
      </w:r>
    </w:p>
    <w:p w14:paraId="554F8DC2" w14:textId="77777777" w:rsidR="00FC747D" w:rsidRPr="00FC747D" w:rsidRDefault="00FC747D" w:rsidP="00FC747D">
      <w:p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Më 23.12.2025 u zhvillua një tryezë konsultative me grupet e interesit për projektligjin “Për tregjet e kripto-aseteve”. Në tryezë morën pjesë përfaqësues të sektorit bankar, institucioneve të parasë elektronike, institucioneve financiare jobanka, sektorit fintech dhe ekosistemit të startup-eve.</w:t>
      </w:r>
    </w:p>
    <w:p w14:paraId="1C745FE4" w14:textId="080B5DAE" w:rsidR="00FC747D" w:rsidRPr="00A21DAE" w:rsidRDefault="00FC747D" w:rsidP="00A21DAE">
      <w:pPr>
        <w:spacing w:after="0" w:line="276" w:lineRule="auto"/>
        <w:jc w:val="both"/>
        <w:rPr>
          <w:rFonts w:asciiTheme="majorBidi" w:hAnsiTheme="majorBidi" w:cstheme="majorBidi"/>
          <w:sz w:val="24"/>
          <w:szCs w:val="24"/>
          <w:lang w:val="en-US"/>
        </w:rPr>
      </w:pPr>
      <w:r w:rsidRPr="00FC747D">
        <w:rPr>
          <w:rFonts w:asciiTheme="majorBidi" w:hAnsiTheme="majorBidi" w:cstheme="majorBidi"/>
          <w:sz w:val="24"/>
          <w:szCs w:val="24"/>
          <w:lang w:val="en-US"/>
        </w:rPr>
        <w:t>Gjatë tryezës u paraqitën qëllimi, objekti dhe risitë kryesore të projektligjit, si dhe u diskutuan çështje që lidhen me ndikimin e kuadrit të ri rregullator mbi subjektet e tregut dhe zhvillimin e veprimtarive në fushën e kripto-aseteve. Pjesëmarrësve iu dha mundësia të parashtronin qëndrimet, shqetësimet dhe sugjerimet e tyre, të cilat u morën në shqyrtim gjatë procesit të rishikimit të projektligjit.</w:t>
      </w:r>
    </w:p>
    <w:p w14:paraId="378F8139" w14:textId="77777777" w:rsidR="00FC747D" w:rsidRDefault="00FC747D" w:rsidP="008E54BA">
      <w:pPr>
        <w:spacing w:after="0" w:line="276" w:lineRule="auto"/>
        <w:jc w:val="both"/>
        <w:rPr>
          <w:rFonts w:asciiTheme="majorBidi" w:hAnsiTheme="majorBidi" w:cstheme="majorBidi"/>
          <w:b/>
          <w:bCs/>
          <w:sz w:val="24"/>
          <w:szCs w:val="24"/>
          <w:lang w:val="sq-AL"/>
        </w:rPr>
      </w:pPr>
    </w:p>
    <w:p w14:paraId="175D47EB" w14:textId="77777777" w:rsidR="00F203F0" w:rsidRPr="008E54BA" w:rsidRDefault="00F203F0" w:rsidP="008E54BA">
      <w:pPr>
        <w:spacing w:after="0" w:line="276" w:lineRule="auto"/>
        <w:jc w:val="both"/>
        <w:rPr>
          <w:rFonts w:asciiTheme="majorBidi" w:hAnsiTheme="majorBidi" w:cstheme="majorBidi"/>
          <w:b/>
          <w:bCs/>
          <w:sz w:val="24"/>
          <w:szCs w:val="24"/>
          <w:lang w:val="sq-AL"/>
        </w:rPr>
      </w:pPr>
      <w:r w:rsidRPr="008E54BA">
        <w:rPr>
          <w:rFonts w:asciiTheme="majorBidi" w:hAnsiTheme="majorBidi" w:cstheme="majorBidi"/>
          <w:b/>
          <w:bCs/>
          <w:sz w:val="24"/>
          <w:szCs w:val="24"/>
          <w:lang w:val="sq-AL"/>
        </w:rPr>
        <w:t>4. Palët e interesit të përfshira</w:t>
      </w:r>
    </w:p>
    <w:p w14:paraId="709CBE89" w14:textId="77777777" w:rsidR="00F203F0" w:rsidRPr="008E54BA" w:rsidRDefault="00F203F0" w:rsidP="008E54BA">
      <w:pPr>
        <w:spacing w:after="0" w:line="276" w:lineRule="auto"/>
        <w:jc w:val="both"/>
        <w:rPr>
          <w:rFonts w:asciiTheme="majorBidi" w:hAnsiTheme="majorBidi" w:cstheme="majorBidi"/>
          <w:i/>
          <w:iCs/>
          <w:sz w:val="24"/>
          <w:szCs w:val="24"/>
          <w:lang w:val="sq-AL"/>
        </w:rPr>
      </w:pPr>
      <w:r w:rsidRPr="008E54BA">
        <w:rPr>
          <w:rFonts w:asciiTheme="majorBidi" w:hAnsiTheme="majorBidi" w:cstheme="majorBidi"/>
          <w:i/>
          <w:iCs/>
          <w:sz w:val="24"/>
          <w:szCs w:val="24"/>
          <w:lang w:val="sq-AL"/>
        </w:rPr>
        <w:lastRenderedPageBreak/>
        <w:t>Listoni të gjithë palët e interesuara, qoftë organizata apo individë, të cilët kanë dhënë</w:t>
      </w:r>
      <w:r w:rsidR="008E54BA">
        <w:rPr>
          <w:rFonts w:asciiTheme="majorBidi" w:hAnsiTheme="majorBidi" w:cstheme="majorBidi"/>
          <w:i/>
          <w:iCs/>
          <w:sz w:val="24"/>
          <w:szCs w:val="24"/>
          <w:lang w:val="sq-AL"/>
        </w:rPr>
        <w:t xml:space="preserve"> </w:t>
      </w:r>
      <w:r w:rsidRPr="008E54BA">
        <w:rPr>
          <w:rFonts w:asciiTheme="majorBidi" w:hAnsiTheme="majorBidi" w:cstheme="majorBidi"/>
          <w:i/>
          <w:iCs/>
          <w:sz w:val="24"/>
          <w:szCs w:val="24"/>
          <w:lang w:val="sq-AL"/>
        </w:rPr>
        <w:t>komente/kontribut në konsultimet publike përmes metodave të ndryshme të konsultimit, gjatë</w:t>
      </w:r>
      <w:r w:rsidR="008E54BA">
        <w:rPr>
          <w:rFonts w:asciiTheme="majorBidi" w:hAnsiTheme="majorBidi" w:cstheme="majorBidi"/>
          <w:i/>
          <w:iCs/>
          <w:sz w:val="24"/>
          <w:szCs w:val="24"/>
          <w:lang w:val="sq-AL"/>
        </w:rPr>
        <w:t xml:space="preserve"> </w:t>
      </w:r>
      <w:r w:rsidRPr="008E54BA">
        <w:rPr>
          <w:rFonts w:asciiTheme="majorBidi" w:hAnsiTheme="majorBidi" w:cstheme="majorBidi"/>
          <w:i/>
          <w:iCs/>
          <w:sz w:val="24"/>
          <w:szCs w:val="24"/>
          <w:lang w:val="sq-AL"/>
        </w:rPr>
        <w:t>gjithë procesit të hartimit.</w:t>
      </w:r>
    </w:p>
    <w:p w14:paraId="48468880" w14:textId="77777777" w:rsidR="008E54BA" w:rsidRDefault="00F203F0" w:rsidP="008E54BA">
      <w:pPr>
        <w:spacing w:after="0" w:line="276" w:lineRule="auto"/>
        <w:jc w:val="both"/>
        <w:rPr>
          <w:rFonts w:asciiTheme="majorBidi" w:hAnsiTheme="majorBidi" w:cstheme="majorBidi"/>
          <w:i/>
          <w:iCs/>
          <w:sz w:val="24"/>
          <w:szCs w:val="24"/>
          <w:lang w:val="sq-AL"/>
        </w:rPr>
      </w:pPr>
      <w:r w:rsidRPr="008E54BA">
        <w:rPr>
          <w:rFonts w:asciiTheme="majorBidi" w:hAnsiTheme="majorBidi" w:cstheme="majorBidi"/>
          <w:i/>
          <w:iCs/>
          <w:sz w:val="24"/>
          <w:szCs w:val="24"/>
          <w:lang w:val="sq-AL"/>
        </w:rPr>
        <w:t>Përmendni gjithashtu numrin dhe strukturën e palëve të interesuara që morën pjesë në takime</w:t>
      </w:r>
      <w:r w:rsidR="008E54BA">
        <w:rPr>
          <w:rFonts w:asciiTheme="majorBidi" w:hAnsiTheme="majorBidi" w:cstheme="majorBidi"/>
          <w:i/>
          <w:iCs/>
          <w:sz w:val="24"/>
          <w:szCs w:val="24"/>
          <w:lang w:val="sq-AL"/>
        </w:rPr>
        <w:t xml:space="preserve"> </w:t>
      </w:r>
      <w:r w:rsidRPr="008E54BA">
        <w:rPr>
          <w:rFonts w:asciiTheme="majorBidi" w:hAnsiTheme="majorBidi" w:cstheme="majorBidi"/>
          <w:i/>
          <w:iCs/>
          <w:sz w:val="24"/>
          <w:szCs w:val="24"/>
          <w:lang w:val="sq-AL"/>
        </w:rPr>
        <w:t>publike ose seanca të organeve këshilluese.</w:t>
      </w:r>
      <w:r w:rsidR="008E54BA">
        <w:rPr>
          <w:rFonts w:asciiTheme="majorBidi" w:hAnsiTheme="majorBidi" w:cstheme="majorBidi"/>
          <w:i/>
          <w:iCs/>
          <w:sz w:val="24"/>
          <w:szCs w:val="24"/>
          <w:lang w:val="sq-AL"/>
        </w:rPr>
        <w:t xml:space="preserve"> </w:t>
      </w:r>
      <w:r w:rsidRPr="008E54BA">
        <w:rPr>
          <w:rFonts w:asciiTheme="majorBidi" w:hAnsiTheme="majorBidi" w:cstheme="majorBidi"/>
          <w:i/>
          <w:iCs/>
          <w:sz w:val="24"/>
          <w:szCs w:val="24"/>
          <w:lang w:val="sq-AL"/>
        </w:rPr>
        <w:t>Specifikoni palët e interesuara që morën pjesë në grupin e punës për hartimin e aktit.</w:t>
      </w:r>
    </w:p>
    <w:p w14:paraId="54EF84B8" w14:textId="77777777" w:rsidR="008E54BA" w:rsidRDefault="008E54BA" w:rsidP="008E54BA">
      <w:pPr>
        <w:spacing w:after="0" w:line="276" w:lineRule="auto"/>
        <w:jc w:val="both"/>
        <w:rPr>
          <w:rFonts w:asciiTheme="majorBidi" w:hAnsiTheme="majorBidi" w:cstheme="majorBidi"/>
          <w:i/>
          <w:iCs/>
          <w:sz w:val="24"/>
          <w:szCs w:val="24"/>
          <w:lang w:val="sq-AL"/>
        </w:rPr>
      </w:pPr>
      <w:r>
        <w:rPr>
          <w:rFonts w:asciiTheme="majorBidi" w:hAnsiTheme="majorBidi" w:cstheme="majorBidi"/>
          <w:i/>
          <w:iCs/>
          <w:sz w:val="24"/>
          <w:szCs w:val="24"/>
          <w:lang w:val="sq-AL"/>
        </w:rPr>
        <w:t xml:space="preserve"> </w:t>
      </w:r>
    </w:p>
    <w:p w14:paraId="03C3681B" w14:textId="77777777" w:rsidR="000A768E" w:rsidRPr="000F7CED" w:rsidRDefault="000A768E" w:rsidP="000A768E">
      <w:pPr>
        <w:spacing w:after="0" w:line="276" w:lineRule="auto"/>
        <w:jc w:val="both"/>
        <w:rPr>
          <w:rFonts w:asciiTheme="majorBidi" w:eastAsia="Times New Roman" w:hAnsiTheme="majorBidi" w:cstheme="majorBidi"/>
          <w:kern w:val="0"/>
          <w:sz w:val="24"/>
          <w:szCs w:val="24"/>
          <w:lang w:val="sq-AL"/>
          <w14:ligatures w14:val="none"/>
        </w:rPr>
      </w:pPr>
      <w:r w:rsidRPr="000F7CED">
        <w:rPr>
          <w:rFonts w:asciiTheme="majorBidi" w:eastAsia="Times New Roman" w:hAnsiTheme="majorBidi" w:cstheme="majorBidi"/>
          <w:kern w:val="0"/>
          <w:sz w:val="24"/>
          <w:szCs w:val="24"/>
          <w:lang w:val="sq-AL"/>
          <w14:ligatures w14:val="none"/>
        </w:rPr>
        <w:t>Në procesin e hartimit dhe konsultimit të projektligjit “Për tregjet e kripto-aseteve” është përfshirë një rreth i gjerë institucionesh publike, autoritetesh rregullatore dhe mbikëqyrëse, organizatash ndërkombëtare, shoqatash të biznesit, subjektesh të tregut financiar, përfaqësuesish të sektorit teknologjik, ekspertësh dhe individësh të interesuar.</w:t>
      </w:r>
    </w:p>
    <w:p w14:paraId="7A7D7E71" w14:textId="77777777" w:rsidR="000A768E" w:rsidRPr="000F7CED" w:rsidRDefault="000A768E" w:rsidP="000A768E">
      <w:pPr>
        <w:spacing w:after="0" w:line="276" w:lineRule="auto"/>
        <w:jc w:val="both"/>
        <w:rPr>
          <w:rFonts w:asciiTheme="majorBidi" w:eastAsia="Times New Roman" w:hAnsiTheme="majorBidi" w:cstheme="majorBidi"/>
          <w:kern w:val="0"/>
          <w:sz w:val="24"/>
          <w:szCs w:val="24"/>
          <w:lang w:val="sq-AL"/>
          <w14:ligatures w14:val="none"/>
        </w:rPr>
      </w:pPr>
    </w:p>
    <w:p w14:paraId="3746DB18" w14:textId="52F0D0B1" w:rsidR="000A768E" w:rsidRPr="000A768E" w:rsidRDefault="000A768E" w:rsidP="00A21DAE">
      <w:pPr>
        <w:spacing w:after="0" w:line="276" w:lineRule="auto"/>
        <w:jc w:val="both"/>
        <w:rPr>
          <w:rFonts w:asciiTheme="majorBidi" w:eastAsia="Times New Roman" w:hAnsiTheme="majorBidi" w:cstheme="majorBidi"/>
          <w:kern w:val="0"/>
          <w:sz w:val="24"/>
          <w:szCs w:val="24"/>
          <w:lang w:val="en-US"/>
          <w14:ligatures w14:val="none"/>
        </w:rPr>
      </w:pPr>
      <w:r w:rsidRPr="000F7CED">
        <w:rPr>
          <w:rFonts w:asciiTheme="majorBidi" w:eastAsia="Times New Roman" w:hAnsiTheme="majorBidi" w:cstheme="majorBidi"/>
          <w:kern w:val="0"/>
          <w:sz w:val="24"/>
          <w:szCs w:val="24"/>
          <w:lang w:val="sq-AL"/>
          <w14:ligatures w14:val="none"/>
        </w:rPr>
        <w:t xml:space="preserve">Procesi është zhvilluar në kuadër të grupit ndërinstitucional të punës, të ngritur me urdhrin nr. 108, datë 31.07.2025, të Kryeministrit, dhe është shoqëruar me konsultime të mëtejshme institucionale, konsultime publike dhe diskutime me grupet e interesit. </w:t>
      </w:r>
      <w:r w:rsidRPr="000A768E">
        <w:rPr>
          <w:rFonts w:asciiTheme="majorBidi" w:eastAsia="Times New Roman" w:hAnsiTheme="majorBidi" w:cstheme="majorBidi"/>
          <w:kern w:val="0"/>
          <w:sz w:val="24"/>
          <w:szCs w:val="24"/>
          <w:lang w:val="en-US"/>
          <w14:ligatures w14:val="none"/>
        </w:rPr>
        <w:t>Në të kanë marrë pjesë ose kanë kontribuar:</w:t>
      </w:r>
    </w:p>
    <w:p w14:paraId="344FF01A"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Ministria e Ekonomisë dhe Inovacionit; </w:t>
      </w:r>
    </w:p>
    <w:p w14:paraId="79BADAC0"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Ministria e Financave; </w:t>
      </w:r>
    </w:p>
    <w:p w14:paraId="1066F8A1"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Ministria e Drejtësisë; </w:t>
      </w:r>
    </w:p>
    <w:p w14:paraId="595CFC26" w14:textId="77777777" w:rsidR="000A768E" w:rsidRPr="000F7CED" w:rsidRDefault="000A768E" w:rsidP="000A768E">
      <w:pPr>
        <w:numPr>
          <w:ilvl w:val="0"/>
          <w:numId w:val="8"/>
        </w:numPr>
        <w:spacing w:after="0" w:line="276" w:lineRule="auto"/>
        <w:jc w:val="both"/>
        <w:rPr>
          <w:rFonts w:asciiTheme="majorBidi" w:eastAsia="Times New Roman" w:hAnsiTheme="majorBidi" w:cstheme="majorBidi"/>
          <w:kern w:val="0"/>
          <w:sz w:val="24"/>
          <w:szCs w:val="24"/>
          <w:lang w:val="fr-FR"/>
          <w14:ligatures w14:val="none"/>
        </w:rPr>
      </w:pPr>
      <w:r w:rsidRPr="000F7CED">
        <w:rPr>
          <w:rFonts w:asciiTheme="majorBidi" w:eastAsia="Times New Roman" w:hAnsiTheme="majorBidi" w:cstheme="majorBidi"/>
          <w:kern w:val="0"/>
          <w:sz w:val="24"/>
          <w:szCs w:val="24"/>
          <w:lang w:val="fr-FR"/>
          <w14:ligatures w14:val="none"/>
        </w:rPr>
        <w:t xml:space="preserve">Ministria e Punëve të Brendshme; </w:t>
      </w:r>
    </w:p>
    <w:p w14:paraId="5F421877"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Ministri i Shtetit dhe Kryenegociatori; </w:t>
      </w:r>
    </w:p>
    <w:p w14:paraId="05B18532"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Autoriteti i Mbikëqyrjes Financiare; </w:t>
      </w:r>
    </w:p>
    <w:p w14:paraId="064F7B3A"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Banka e Shqipërisë; </w:t>
      </w:r>
    </w:p>
    <w:p w14:paraId="32370C0E"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Agjencia e Inteligjencës Financiare; </w:t>
      </w:r>
    </w:p>
    <w:p w14:paraId="04D64078"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Agjencia Kombëtare e Shoqërisë së Informacionit; </w:t>
      </w:r>
    </w:p>
    <w:p w14:paraId="2A73E4BB"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Autoriteti Kombëtar për Sigurinë Kibernetike; </w:t>
      </w:r>
    </w:p>
    <w:p w14:paraId="3B1AA90F"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International Finance Corporation (IFC); </w:t>
      </w:r>
    </w:p>
    <w:p w14:paraId="08D47719"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Shoqata Shqiptare e Bankave dhe bankat e nivelit të dytë; </w:t>
      </w:r>
    </w:p>
    <w:p w14:paraId="59E9BAF8"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institucionet e parasë elektronike dhe shoqatat përfaqësuese të tyre; </w:t>
      </w:r>
    </w:p>
    <w:p w14:paraId="76B6A178"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institucionet financiare jobanka dhe subjektet e mikrofinancës; </w:t>
      </w:r>
    </w:p>
    <w:p w14:paraId="575D6F94"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shoqëritë komisionere dhe pjesëmarrës të tjerë të tregut financiar; </w:t>
      </w:r>
    </w:p>
    <w:p w14:paraId="368E6BB0"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shoqatat dhe përfaqësuesit e sektorit fintech; </w:t>
      </w:r>
    </w:p>
    <w:p w14:paraId="10C6207F"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shoqatat që përfaqësojnë startup-et dhe sipërmarrjen inovative; </w:t>
      </w:r>
    </w:p>
    <w:p w14:paraId="1BD96EA6"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përfaqësues të ekosistemit të startup-eve dhe bizneseve teknologjike; </w:t>
      </w:r>
    </w:p>
    <w:p w14:paraId="7F7686DB"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ekspertë të teknologjisë së regjistrave të shpërndarë, blockchain-it, sigurisë kibernetike dhe financave digjitale; </w:t>
      </w:r>
    </w:p>
    <w:p w14:paraId="01207460"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profesionistë të fushave juridike, financiare, të pajtueshmërisë dhe të parandalimit të pastrimit të parave; </w:t>
      </w:r>
    </w:p>
    <w:p w14:paraId="551D413E" w14:textId="77777777" w:rsidR="000A768E" w:rsidRPr="000A768E" w:rsidRDefault="000A768E" w:rsidP="000A768E">
      <w:pPr>
        <w:numPr>
          <w:ilvl w:val="0"/>
          <w:numId w:val="8"/>
        </w:num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 xml:space="preserve">përfaqësues të komunitetit të biznesit, investitorë dhe individë të interesuar. </w:t>
      </w:r>
    </w:p>
    <w:p w14:paraId="5E5CD478" w14:textId="77777777" w:rsidR="000A768E" w:rsidRDefault="000A768E" w:rsidP="000A768E">
      <w:pPr>
        <w:spacing w:after="0" w:line="276" w:lineRule="auto"/>
        <w:jc w:val="both"/>
        <w:rPr>
          <w:rFonts w:asciiTheme="majorBidi" w:eastAsia="Times New Roman" w:hAnsiTheme="majorBidi" w:cstheme="majorBidi"/>
          <w:kern w:val="0"/>
          <w:sz w:val="24"/>
          <w:szCs w:val="24"/>
          <w:lang w:val="en-US"/>
          <w14:ligatures w14:val="none"/>
        </w:rPr>
      </w:pPr>
    </w:p>
    <w:p w14:paraId="2A4FE8F2" w14:textId="77777777" w:rsidR="000A768E" w:rsidRPr="000A768E" w:rsidRDefault="000A768E" w:rsidP="000A768E">
      <w:p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Procesi</w:t>
      </w:r>
      <w:r>
        <w:rPr>
          <w:rFonts w:asciiTheme="majorBidi" w:eastAsia="Times New Roman" w:hAnsiTheme="majorBidi" w:cstheme="majorBidi"/>
          <w:kern w:val="0"/>
          <w:sz w:val="24"/>
          <w:szCs w:val="24"/>
          <w:lang w:val="en-US"/>
          <w14:ligatures w14:val="none"/>
        </w:rPr>
        <w:t xml:space="preserve"> i hartimit të projektligjit për tregjet e kripto-aseteve</w:t>
      </w:r>
      <w:r w:rsidRPr="000A768E">
        <w:rPr>
          <w:rFonts w:asciiTheme="majorBidi" w:eastAsia="Times New Roman" w:hAnsiTheme="majorBidi" w:cstheme="majorBidi"/>
          <w:kern w:val="0"/>
          <w:sz w:val="24"/>
          <w:szCs w:val="24"/>
          <w:lang w:val="en-US"/>
          <w14:ligatures w14:val="none"/>
        </w:rPr>
        <w:t xml:space="preserve"> është mbështetur gjithashtu nga ekspertë ndërkombëtarë, me mbështetjen e Agjencisë Gjermane për Bashkëpunim Ndërkombëtar </w:t>
      </w:r>
      <w:r w:rsidRPr="000A768E">
        <w:rPr>
          <w:rFonts w:asciiTheme="majorBidi" w:eastAsia="Times New Roman" w:hAnsiTheme="majorBidi" w:cstheme="majorBidi"/>
          <w:kern w:val="0"/>
          <w:sz w:val="24"/>
          <w:szCs w:val="24"/>
          <w:lang w:val="en-US"/>
          <w14:ligatures w14:val="none"/>
        </w:rPr>
        <w:lastRenderedPageBreak/>
        <w:t>(GIZ) Albania, nëpërmjet projektit SANECA II. Kjo asistencë është përqendruar veçanërisht në analizën e kuadrit institucional, ndarjen e kompetencave ndërmjet autoriteteve përgjegjëse dhe identifikimin e instrumenteve të nevojshme për zhvillimin e rregulluar të sektorit.</w:t>
      </w:r>
    </w:p>
    <w:p w14:paraId="56A84E39" w14:textId="77777777" w:rsidR="000A768E" w:rsidRDefault="000A768E" w:rsidP="000A768E">
      <w:pPr>
        <w:spacing w:after="0" w:line="276" w:lineRule="auto"/>
        <w:jc w:val="both"/>
        <w:rPr>
          <w:rFonts w:asciiTheme="majorBidi" w:eastAsia="Times New Roman" w:hAnsiTheme="majorBidi" w:cstheme="majorBidi"/>
          <w:kern w:val="0"/>
          <w:sz w:val="24"/>
          <w:szCs w:val="24"/>
          <w:lang w:val="en-US"/>
          <w14:ligatures w14:val="none"/>
        </w:rPr>
      </w:pPr>
    </w:p>
    <w:p w14:paraId="11CDD766" w14:textId="77777777" w:rsidR="000A768E" w:rsidRPr="000A768E" w:rsidRDefault="000A768E" w:rsidP="000A768E">
      <w:p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Në tryezën konsultative të datës 23.12.2025 morën pjesë përfaqësues të sektorit bankar, institucioneve të parasë elektronike, institucioneve financiare jobanka, shoqatave të biznesit, sektorit fintech, ekosistemit të startup-eve dhe ekspertë të fushës. Pjesëmarrësit kontribuuan në diskutimin e ndikimit praktik të projektligjit, kërkesave për hyrjen dhe ushtrimin e veprimtarisë në treg, ndarjes së kompetencave mbikëqyrëse, kërkesave të pajtueshmërisë dhe mundësive për mbështetjen e inovacionit financiar.</w:t>
      </w:r>
    </w:p>
    <w:p w14:paraId="20CD0CBE" w14:textId="77777777" w:rsidR="000A768E" w:rsidRDefault="000A768E" w:rsidP="000A768E">
      <w:pPr>
        <w:spacing w:after="0" w:line="276" w:lineRule="auto"/>
        <w:jc w:val="both"/>
        <w:rPr>
          <w:rFonts w:asciiTheme="majorBidi" w:eastAsia="Times New Roman" w:hAnsiTheme="majorBidi" w:cstheme="majorBidi"/>
          <w:kern w:val="0"/>
          <w:sz w:val="24"/>
          <w:szCs w:val="24"/>
          <w:lang w:val="en-US"/>
          <w14:ligatures w14:val="none"/>
        </w:rPr>
      </w:pPr>
    </w:p>
    <w:p w14:paraId="756EA0B3" w14:textId="77777777" w:rsidR="000A768E" w:rsidRPr="000A768E" w:rsidRDefault="000A768E" w:rsidP="000A768E">
      <w:pPr>
        <w:spacing w:after="0" w:line="276" w:lineRule="auto"/>
        <w:jc w:val="both"/>
        <w:rPr>
          <w:rFonts w:asciiTheme="majorBidi" w:eastAsia="Times New Roman" w:hAnsiTheme="majorBidi" w:cstheme="majorBidi"/>
          <w:kern w:val="0"/>
          <w:sz w:val="24"/>
          <w:szCs w:val="24"/>
          <w:lang w:val="en-US"/>
          <w14:ligatures w14:val="none"/>
        </w:rPr>
      </w:pPr>
      <w:r w:rsidRPr="000A768E">
        <w:rPr>
          <w:rFonts w:asciiTheme="majorBidi" w:eastAsia="Times New Roman" w:hAnsiTheme="majorBidi" w:cstheme="majorBidi"/>
          <w:kern w:val="0"/>
          <w:sz w:val="24"/>
          <w:szCs w:val="24"/>
          <w:lang w:val="en-US"/>
          <w14:ligatures w14:val="none"/>
        </w:rPr>
        <w:t>Nëpërmjet Regjistrit Elektronik për Njoftimet dhe Konsultimet Publike dhe publikimit në faqen zyrtare të Autoritetit të Mbikëqyrjes Financiare, mundësia për të kontribuuar iu dha edhe qytetarëve, organizatave të shoqërisë civile, komunitetit akademik, ekspertëve të pavarur, subjekteve financiare, bizneseve teknologjike dhe publikut të interesuar.</w:t>
      </w:r>
    </w:p>
    <w:p w14:paraId="3017DE67" w14:textId="77777777" w:rsidR="000A768E" w:rsidRDefault="000A768E" w:rsidP="008E54BA">
      <w:pPr>
        <w:spacing w:after="0" w:line="276" w:lineRule="auto"/>
        <w:jc w:val="both"/>
        <w:rPr>
          <w:rFonts w:asciiTheme="majorBidi" w:hAnsiTheme="majorBidi" w:cstheme="majorBidi"/>
          <w:b/>
          <w:bCs/>
          <w:sz w:val="24"/>
          <w:szCs w:val="24"/>
          <w:lang w:val="sq-AL"/>
        </w:rPr>
      </w:pPr>
    </w:p>
    <w:p w14:paraId="1EBBD423" w14:textId="77777777" w:rsidR="00F203F0" w:rsidRPr="008E54BA" w:rsidRDefault="00737374" w:rsidP="008E54BA">
      <w:pPr>
        <w:spacing w:after="0" w:line="276" w:lineRule="auto"/>
        <w:jc w:val="both"/>
        <w:rPr>
          <w:rFonts w:asciiTheme="majorBidi" w:hAnsiTheme="majorBidi" w:cstheme="majorBidi"/>
          <w:b/>
          <w:bCs/>
          <w:sz w:val="24"/>
          <w:szCs w:val="24"/>
          <w:lang w:val="sq-AL"/>
        </w:rPr>
      </w:pPr>
      <w:r>
        <w:rPr>
          <w:rFonts w:asciiTheme="majorBidi" w:hAnsiTheme="majorBidi" w:cstheme="majorBidi"/>
          <w:b/>
          <w:bCs/>
          <w:sz w:val="24"/>
          <w:szCs w:val="24"/>
          <w:lang w:val="sq-AL"/>
        </w:rPr>
        <w:t>5</w:t>
      </w:r>
      <w:r w:rsidR="00F203F0" w:rsidRPr="008E54BA">
        <w:rPr>
          <w:rFonts w:asciiTheme="majorBidi" w:hAnsiTheme="majorBidi" w:cstheme="majorBidi"/>
          <w:b/>
          <w:bCs/>
          <w:sz w:val="24"/>
          <w:szCs w:val="24"/>
          <w:lang w:val="sq-AL"/>
        </w:rPr>
        <w:t>. Pasqyra e komenteve të pranuara me arsyetimin e komenteve të pranuara/refuzuara</w:t>
      </w:r>
    </w:p>
    <w:p w14:paraId="26C5F777" w14:textId="77777777" w:rsidR="00F203F0" w:rsidRPr="008E54BA" w:rsidRDefault="00F203F0" w:rsidP="008E54BA">
      <w:pPr>
        <w:spacing w:after="0" w:line="276" w:lineRule="auto"/>
        <w:jc w:val="both"/>
        <w:rPr>
          <w:rFonts w:asciiTheme="majorBidi" w:hAnsiTheme="majorBidi" w:cstheme="majorBidi"/>
          <w:i/>
          <w:iCs/>
          <w:sz w:val="24"/>
          <w:szCs w:val="24"/>
          <w:lang w:val="sq-AL"/>
        </w:rPr>
      </w:pPr>
      <w:r w:rsidRPr="008E54BA">
        <w:rPr>
          <w:rFonts w:asciiTheme="majorBidi" w:hAnsiTheme="majorBidi" w:cstheme="majorBidi"/>
          <w:i/>
          <w:iCs/>
          <w:sz w:val="24"/>
          <w:szCs w:val="24"/>
          <w:lang w:val="sq-AL"/>
        </w:rPr>
        <w:t>Gruponi komentet/ propozimit e pranuara sipas çështjes që ato ngritën;</w:t>
      </w:r>
    </w:p>
    <w:p w14:paraId="13B36547" w14:textId="77777777" w:rsidR="00F203F0" w:rsidRPr="008E54BA" w:rsidRDefault="00F203F0" w:rsidP="008E54BA">
      <w:pPr>
        <w:spacing w:after="0" w:line="276" w:lineRule="auto"/>
        <w:jc w:val="both"/>
        <w:rPr>
          <w:rFonts w:asciiTheme="majorBidi" w:hAnsiTheme="majorBidi" w:cstheme="majorBidi"/>
          <w:i/>
          <w:iCs/>
          <w:sz w:val="24"/>
          <w:szCs w:val="24"/>
          <w:lang w:val="sq-AL"/>
        </w:rPr>
      </w:pPr>
      <w:r w:rsidRPr="008E54BA">
        <w:rPr>
          <w:rFonts w:asciiTheme="majorBidi" w:hAnsiTheme="majorBidi" w:cstheme="majorBidi"/>
          <w:i/>
          <w:iCs/>
          <w:sz w:val="24"/>
          <w:szCs w:val="24"/>
          <w:lang w:val="sq-AL"/>
        </w:rPr>
        <w:t>Gruponi komente të ngjashme së bashku dhe renditni palët e interesuara që i ngritën ato;</w:t>
      </w:r>
    </w:p>
    <w:p w14:paraId="64410E7C" w14:textId="77777777" w:rsidR="00F203F0" w:rsidRPr="008E54BA" w:rsidRDefault="00F203F0" w:rsidP="008E54BA">
      <w:pPr>
        <w:spacing w:after="0" w:line="276" w:lineRule="auto"/>
        <w:jc w:val="both"/>
        <w:rPr>
          <w:rFonts w:asciiTheme="majorBidi" w:hAnsiTheme="majorBidi" w:cstheme="majorBidi"/>
          <w:i/>
          <w:iCs/>
          <w:sz w:val="24"/>
          <w:szCs w:val="24"/>
          <w:lang w:val="sq-AL"/>
        </w:rPr>
      </w:pPr>
      <w:r w:rsidRPr="008E54BA">
        <w:rPr>
          <w:rFonts w:asciiTheme="majorBidi" w:hAnsiTheme="majorBidi" w:cstheme="majorBidi"/>
          <w:i/>
          <w:iCs/>
          <w:sz w:val="24"/>
          <w:szCs w:val="24"/>
          <w:lang w:val="sq-AL"/>
        </w:rPr>
        <w:t>Shpjegoni cili ishte vendimi i marrë dhe sqaroni shkurtimisht arsyet për të.</w:t>
      </w:r>
    </w:p>
    <w:p w14:paraId="2ED5A601" w14:textId="77777777" w:rsidR="00F203F0" w:rsidRPr="00A21DAE" w:rsidRDefault="00F203F0" w:rsidP="008E54BA">
      <w:pPr>
        <w:spacing w:after="0" w:line="276" w:lineRule="auto"/>
        <w:jc w:val="both"/>
        <w:rPr>
          <w:rFonts w:asciiTheme="majorBidi" w:hAnsiTheme="majorBidi" w:cstheme="majorBidi"/>
          <w:i/>
          <w:iCs/>
          <w:sz w:val="14"/>
          <w:szCs w:val="14"/>
          <w:lang w:val="sq-AL"/>
        </w:rPr>
      </w:pPr>
    </w:p>
    <w:p w14:paraId="07C7F853" w14:textId="37159B3A" w:rsidR="002072FA" w:rsidRDefault="00F203F0" w:rsidP="00A21DAE">
      <w:pPr>
        <w:spacing w:after="0" w:line="276" w:lineRule="auto"/>
        <w:jc w:val="both"/>
        <w:rPr>
          <w:rFonts w:asciiTheme="majorBidi" w:hAnsiTheme="majorBidi" w:cstheme="majorBidi"/>
          <w:sz w:val="24"/>
          <w:szCs w:val="24"/>
          <w:lang w:val="sq-AL"/>
        </w:rPr>
      </w:pPr>
      <w:r w:rsidRPr="008E54BA">
        <w:rPr>
          <w:rFonts w:asciiTheme="majorBidi" w:hAnsiTheme="majorBidi" w:cstheme="majorBidi"/>
          <w:sz w:val="24"/>
          <w:szCs w:val="24"/>
          <w:lang w:val="sq-AL"/>
        </w:rPr>
        <w:t>Në tabelën e mëposhtme paraqiten komentet e mbledhura në lidhje me këtë projektakt:</w:t>
      </w:r>
    </w:p>
    <w:p w14:paraId="7752A179" w14:textId="77777777" w:rsidR="002072FA" w:rsidRPr="00A21DAE" w:rsidRDefault="002072FA" w:rsidP="008E54BA">
      <w:pPr>
        <w:spacing w:after="0" w:line="276" w:lineRule="auto"/>
        <w:jc w:val="both"/>
        <w:rPr>
          <w:rFonts w:asciiTheme="majorBidi" w:hAnsiTheme="majorBidi" w:cstheme="majorBidi"/>
          <w:sz w:val="20"/>
          <w:szCs w:val="20"/>
          <w:lang w:val="sq-AL"/>
        </w:rPr>
      </w:pPr>
    </w:p>
    <w:tbl>
      <w:tblPr>
        <w:tblStyle w:val="TableGrid"/>
        <w:tblW w:w="9445" w:type="dxa"/>
        <w:tblInd w:w="0" w:type="dxa"/>
        <w:tblLook w:val="04A0" w:firstRow="1" w:lastRow="0" w:firstColumn="1" w:lastColumn="0" w:noHBand="0" w:noVBand="1"/>
      </w:tblPr>
      <w:tblGrid>
        <w:gridCol w:w="2185"/>
        <w:gridCol w:w="2150"/>
        <w:gridCol w:w="1393"/>
        <w:gridCol w:w="1342"/>
        <w:gridCol w:w="2375"/>
      </w:tblGrid>
      <w:tr w:rsidR="002072FA" w:rsidRPr="00BB490F" w14:paraId="7A48E6C0" w14:textId="77777777" w:rsidTr="00DF1FF8">
        <w:trPr>
          <w:trHeight w:val="2420"/>
        </w:trPr>
        <w:tc>
          <w:tcPr>
            <w:tcW w:w="2353" w:type="dxa"/>
            <w:vAlign w:val="center"/>
          </w:tcPr>
          <w:p w14:paraId="5EC439B8" w14:textId="77777777" w:rsidR="002072FA" w:rsidRPr="00160259" w:rsidRDefault="002072FA" w:rsidP="00436143">
            <w:pPr>
              <w:jc w:val="center"/>
              <w:rPr>
                <w:rFonts w:ascii="Times New Roman" w:eastAsia="Times New Roman" w:hAnsi="Times New Roman" w:cs="Times New Roman"/>
                <w:b/>
                <w:sz w:val="24"/>
                <w:szCs w:val="24"/>
                <w:lang w:val="sq-AL"/>
              </w:rPr>
            </w:pPr>
            <w:commentRangeStart w:id="0"/>
            <w:r w:rsidRPr="00160259">
              <w:rPr>
                <w:rFonts w:ascii="Times New Roman" w:eastAsia="Times New Roman" w:hAnsi="Times New Roman" w:cs="Times New Roman"/>
                <w:b/>
                <w:sz w:val="24"/>
                <w:szCs w:val="24"/>
                <w:lang w:val="sq-AL"/>
              </w:rPr>
              <w:t>Çështja e  adresuar</w:t>
            </w:r>
          </w:p>
          <w:p w14:paraId="28E72522" w14:textId="77777777" w:rsidR="002072FA" w:rsidRPr="00160259" w:rsidRDefault="002072FA" w:rsidP="00436143">
            <w:pPr>
              <w:jc w:val="center"/>
              <w:rPr>
                <w:rFonts w:ascii="Times New Roman" w:eastAsia="Times New Roman" w:hAnsi="Times New Roman" w:cs="Times New Roman"/>
                <w:b/>
                <w:sz w:val="24"/>
                <w:szCs w:val="24"/>
                <w:lang w:val="sq-AL"/>
              </w:rPr>
            </w:pPr>
          </w:p>
          <w:p w14:paraId="4688424C" w14:textId="77777777" w:rsidR="002072FA" w:rsidRPr="00160259" w:rsidRDefault="002072FA" w:rsidP="00436143">
            <w:pPr>
              <w:jc w:val="center"/>
              <w:rPr>
                <w:rFonts w:ascii="Times New Roman" w:eastAsia="Times New Roman" w:hAnsi="Times New Roman" w:cs="Times New Roman"/>
                <w:b/>
                <w:i/>
                <w:sz w:val="24"/>
                <w:szCs w:val="24"/>
                <w:lang w:val="sq-AL"/>
              </w:rPr>
            </w:pPr>
            <w:r w:rsidRPr="00160259">
              <w:rPr>
                <w:rFonts w:ascii="Times New Roman" w:eastAsia="Times New Roman" w:hAnsi="Times New Roman" w:cs="Times New Roman"/>
                <w:b/>
                <w:i/>
                <w:sz w:val="24"/>
                <w:szCs w:val="24"/>
                <w:lang w:val="sq-AL"/>
              </w:rPr>
              <w:t>(psh. përkufizimi i ri i…, kushtet për regjistrimin e…, rregullimi i…, etj.)</w:t>
            </w:r>
          </w:p>
        </w:tc>
        <w:tc>
          <w:tcPr>
            <w:tcW w:w="2182" w:type="dxa"/>
            <w:vAlign w:val="center"/>
          </w:tcPr>
          <w:p w14:paraId="7464393E" w14:textId="77777777" w:rsidR="002072FA" w:rsidRPr="00160259" w:rsidRDefault="002072FA" w:rsidP="00436143">
            <w:pPr>
              <w:jc w:val="center"/>
              <w:rPr>
                <w:rFonts w:ascii="Times New Roman" w:eastAsia="Times New Roman" w:hAnsi="Times New Roman" w:cs="Times New Roman"/>
                <w:b/>
                <w:sz w:val="24"/>
                <w:szCs w:val="24"/>
                <w:lang w:val="sq-AL"/>
              </w:rPr>
            </w:pPr>
            <w:r w:rsidRPr="00160259">
              <w:rPr>
                <w:rFonts w:ascii="Times New Roman" w:eastAsia="Times New Roman" w:hAnsi="Times New Roman" w:cs="Times New Roman"/>
                <w:b/>
                <w:sz w:val="24"/>
                <w:szCs w:val="24"/>
                <w:lang w:val="sq-AL"/>
              </w:rPr>
              <w:t>Komenti</w:t>
            </w:r>
          </w:p>
          <w:p w14:paraId="43F50558" w14:textId="77777777" w:rsidR="002072FA" w:rsidRPr="00160259" w:rsidRDefault="002072FA" w:rsidP="00436143">
            <w:pPr>
              <w:jc w:val="center"/>
              <w:rPr>
                <w:rFonts w:ascii="Times New Roman" w:eastAsia="Times New Roman" w:hAnsi="Times New Roman" w:cs="Times New Roman"/>
                <w:b/>
                <w:sz w:val="24"/>
                <w:szCs w:val="24"/>
                <w:lang w:val="sq-AL"/>
              </w:rPr>
            </w:pPr>
          </w:p>
          <w:p w14:paraId="29DAEAB2" w14:textId="77777777" w:rsidR="002072FA" w:rsidRPr="00160259" w:rsidRDefault="002072FA" w:rsidP="00436143">
            <w:pPr>
              <w:jc w:val="center"/>
              <w:rPr>
                <w:rFonts w:ascii="Times New Roman" w:eastAsia="Times New Roman" w:hAnsi="Times New Roman" w:cs="Times New Roman"/>
                <w:b/>
                <w:i/>
                <w:sz w:val="24"/>
                <w:szCs w:val="24"/>
                <w:lang w:val="sq-AL"/>
              </w:rPr>
            </w:pPr>
            <w:r w:rsidRPr="00160259">
              <w:rPr>
                <w:rFonts w:ascii="Times New Roman" w:eastAsia="Times New Roman" w:hAnsi="Times New Roman" w:cs="Times New Roman"/>
                <w:b/>
                <w:i/>
                <w:sz w:val="24"/>
                <w:szCs w:val="24"/>
                <w:lang w:val="sq-AL"/>
              </w:rPr>
              <w:t>(grumbulloni dhe përmblidhni komente identike/të ngjashme nga palët e ndryshme të interesuara së bashku)</w:t>
            </w:r>
          </w:p>
        </w:tc>
        <w:tc>
          <w:tcPr>
            <w:tcW w:w="1411" w:type="dxa"/>
            <w:vAlign w:val="center"/>
          </w:tcPr>
          <w:p w14:paraId="4E6A6D74" w14:textId="77777777" w:rsidR="002072FA" w:rsidRPr="00160259" w:rsidRDefault="002072FA" w:rsidP="00436143">
            <w:pPr>
              <w:jc w:val="center"/>
              <w:rPr>
                <w:rFonts w:ascii="Times New Roman" w:eastAsia="Times New Roman" w:hAnsi="Times New Roman" w:cs="Times New Roman"/>
                <w:b/>
                <w:sz w:val="24"/>
                <w:szCs w:val="24"/>
                <w:lang w:val="sq-AL"/>
              </w:rPr>
            </w:pPr>
            <w:r w:rsidRPr="00160259">
              <w:rPr>
                <w:rFonts w:ascii="Times New Roman" w:eastAsia="Times New Roman" w:hAnsi="Times New Roman" w:cs="Times New Roman"/>
                <w:b/>
                <w:sz w:val="24"/>
                <w:szCs w:val="24"/>
                <w:lang w:val="sq-AL"/>
              </w:rPr>
              <w:t xml:space="preserve">Palët e interesuara </w:t>
            </w:r>
          </w:p>
          <w:p w14:paraId="63F5DD38" w14:textId="77777777" w:rsidR="002072FA" w:rsidRPr="00160259" w:rsidRDefault="002072FA" w:rsidP="00436143">
            <w:pPr>
              <w:jc w:val="center"/>
              <w:rPr>
                <w:rFonts w:ascii="Times New Roman" w:eastAsia="Times New Roman" w:hAnsi="Times New Roman" w:cs="Times New Roman"/>
                <w:b/>
                <w:sz w:val="24"/>
                <w:szCs w:val="24"/>
                <w:lang w:val="sq-AL"/>
              </w:rPr>
            </w:pPr>
          </w:p>
          <w:p w14:paraId="6A34A4A1" w14:textId="77777777" w:rsidR="002072FA" w:rsidRPr="00160259" w:rsidRDefault="002072FA" w:rsidP="00436143">
            <w:pPr>
              <w:jc w:val="center"/>
              <w:rPr>
                <w:rFonts w:ascii="Times New Roman" w:eastAsia="Times New Roman" w:hAnsi="Times New Roman" w:cs="Times New Roman"/>
                <w:b/>
                <w:i/>
                <w:sz w:val="24"/>
                <w:szCs w:val="24"/>
                <w:lang w:val="sq-AL"/>
              </w:rPr>
            </w:pPr>
            <w:r w:rsidRPr="00160259">
              <w:rPr>
                <w:rFonts w:ascii="Times New Roman" w:eastAsia="Times New Roman" w:hAnsi="Times New Roman" w:cs="Times New Roman"/>
                <w:b/>
                <w:i/>
                <w:sz w:val="24"/>
                <w:szCs w:val="24"/>
                <w:lang w:val="sq-AL"/>
              </w:rPr>
              <w:t>(renditni të gjithë ata që adresuan çështjen në mënyrë të ngjashme)</w:t>
            </w:r>
          </w:p>
        </w:tc>
        <w:tc>
          <w:tcPr>
            <w:tcW w:w="1344" w:type="dxa"/>
            <w:vAlign w:val="center"/>
          </w:tcPr>
          <w:p w14:paraId="1209F2CF" w14:textId="6A7CF76E" w:rsidR="002072FA" w:rsidRPr="002072FA" w:rsidRDefault="002072FA" w:rsidP="00DF1FF8">
            <w:pPr>
              <w:jc w:val="center"/>
              <w:rPr>
                <w:rFonts w:ascii="Times New Roman" w:eastAsia="Times New Roman" w:hAnsi="Times New Roman" w:cs="Times New Roman"/>
                <w:b/>
                <w:sz w:val="24"/>
                <w:szCs w:val="24"/>
              </w:rPr>
            </w:pPr>
            <w:r w:rsidRPr="002072FA">
              <w:rPr>
                <w:rFonts w:ascii="Times New Roman" w:eastAsia="Times New Roman" w:hAnsi="Times New Roman" w:cs="Times New Roman"/>
                <w:b/>
                <w:sz w:val="24"/>
                <w:szCs w:val="24"/>
              </w:rPr>
              <w:t xml:space="preserve">Vendimi </w:t>
            </w:r>
          </w:p>
          <w:p w14:paraId="22B4B735" w14:textId="77777777" w:rsidR="002072FA" w:rsidRPr="002072FA" w:rsidRDefault="002072FA" w:rsidP="00436143">
            <w:pPr>
              <w:jc w:val="center"/>
              <w:rPr>
                <w:rFonts w:ascii="Times New Roman" w:eastAsia="Times New Roman" w:hAnsi="Times New Roman" w:cs="Times New Roman"/>
                <w:b/>
                <w:sz w:val="24"/>
                <w:szCs w:val="24"/>
              </w:rPr>
            </w:pPr>
            <w:r w:rsidRPr="002072FA">
              <w:rPr>
                <w:rFonts w:ascii="Times New Roman" w:eastAsia="Times New Roman" w:hAnsi="Times New Roman" w:cs="Times New Roman"/>
                <w:b/>
                <w:i/>
                <w:sz w:val="24"/>
                <w:szCs w:val="24"/>
              </w:rPr>
              <w:t>(I pranuar/I pranuar pjesërisht/I refuzuar)</w:t>
            </w:r>
          </w:p>
        </w:tc>
        <w:tc>
          <w:tcPr>
            <w:tcW w:w="2155" w:type="dxa"/>
            <w:vAlign w:val="center"/>
          </w:tcPr>
          <w:p w14:paraId="09E54097" w14:textId="77777777" w:rsidR="002072FA" w:rsidRPr="002072FA" w:rsidRDefault="002072FA" w:rsidP="00436143">
            <w:pPr>
              <w:jc w:val="center"/>
              <w:rPr>
                <w:rFonts w:ascii="Times New Roman" w:eastAsia="Times New Roman" w:hAnsi="Times New Roman" w:cs="Times New Roman"/>
                <w:b/>
                <w:sz w:val="24"/>
                <w:szCs w:val="24"/>
              </w:rPr>
            </w:pPr>
            <w:r w:rsidRPr="002072FA">
              <w:rPr>
                <w:rFonts w:ascii="Times New Roman" w:eastAsia="Times New Roman" w:hAnsi="Times New Roman" w:cs="Times New Roman"/>
                <w:b/>
                <w:sz w:val="24"/>
                <w:szCs w:val="24"/>
              </w:rPr>
              <w:t>Justifikimi</w:t>
            </w:r>
            <w:commentRangeEnd w:id="0"/>
            <w:r w:rsidR="00DF1FF8" w:rsidRPr="002072FA">
              <w:rPr>
                <w:rStyle w:val="CommentReference"/>
                <w:rFonts w:ascii="Times New Roman" w:eastAsia="Times New Roman" w:hAnsi="Times New Roman" w:cs="Times New Roman"/>
                <w:b/>
                <w:sz w:val="24"/>
                <w:szCs w:val="24"/>
              </w:rPr>
              <w:commentReference w:id="0"/>
            </w:r>
          </w:p>
          <w:p w14:paraId="3AEB91E6" w14:textId="77777777" w:rsidR="002072FA" w:rsidRPr="002072FA" w:rsidRDefault="002072FA" w:rsidP="00436143">
            <w:pPr>
              <w:jc w:val="center"/>
              <w:rPr>
                <w:rFonts w:ascii="Times New Roman" w:eastAsia="Times New Roman" w:hAnsi="Times New Roman" w:cs="Times New Roman"/>
                <w:b/>
                <w:sz w:val="24"/>
                <w:szCs w:val="24"/>
              </w:rPr>
            </w:pPr>
          </w:p>
        </w:tc>
      </w:tr>
      <w:tr w:rsidR="00DF1FF8" w:rsidRPr="00DF1FF8" w14:paraId="6E9CD244" w14:textId="77777777" w:rsidTr="00DF1FF8">
        <w:tc>
          <w:tcPr>
            <w:tcW w:w="0" w:type="auto"/>
            <w:hideMark/>
          </w:tcPr>
          <w:p w14:paraId="0EC2223A"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Neni 3, pika 35; neni 4 - Përkufizimi i AMF-së si autoritet përgjegjës</w:t>
            </w:r>
          </w:p>
        </w:tc>
        <w:tc>
          <w:tcPr>
            <w:tcW w:w="0" w:type="auto"/>
            <w:hideMark/>
          </w:tcPr>
          <w:p w14:paraId="48A7CDD5"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sugjerua përfshirja e një përkufizimi të veçantë për AMF-në në nenin e përkufizimeve.</w:t>
            </w:r>
          </w:p>
        </w:tc>
        <w:tc>
          <w:tcPr>
            <w:tcW w:w="0" w:type="auto"/>
            <w:hideMark/>
          </w:tcPr>
          <w:p w14:paraId="68903826"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7FC6E67D"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refuzuar</w:t>
            </w:r>
          </w:p>
        </w:tc>
        <w:tc>
          <w:tcPr>
            <w:tcW w:w="0" w:type="auto"/>
            <w:hideMark/>
          </w:tcPr>
          <w:p w14:paraId="0C853DB4"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AMF është tashmë e përkufizuar si autoritet përgjegjës në pikën 35 të nenit 3, ndaj nuk vlerësohet e nevojshme një përkufizim shtesë.</w:t>
            </w:r>
          </w:p>
        </w:tc>
      </w:tr>
      <w:tr w:rsidR="00DF1FF8" w:rsidRPr="00DF1FF8" w14:paraId="649BF23F" w14:textId="77777777" w:rsidTr="00DF1FF8">
        <w:tc>
          <w:tcPr>
            <w:tcW w:w="0" w:type="auto"/>
            <w:hideMark/>
          </w:tcPr>
          <w:p w14:paraId="113B7D88"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 xml:space="preserve">Neni 6, pikat 2, 7 dhe 11 - Gjuha dhe kuptueshmëria e </w:t>
            </w:r>
            <w:r w:rsidRPr="00212CF6">
              <w:rPr>
                <w:rFonts w:ascii="Times New Roman" w:eastAsia="Times New Roman" w:hAnsi="Times New Roman" w:cs="Times New Roman"/>
                <w:kern w:val="0"/>
                <w:sz w:val="24"/>
                <w:szCs w:val="24"/>
                <w:lang w:val="en-US"/>
                <w14:ligatures w14:val="none"/>
              </w:rPr>
              <w:lastRenderedPageBreak/>
              <w:t>dokumentit informues</w:t>
            </w:r>
          </w:p>
        </w:tc>
        <w:tc>
          <w:tcPr>
            <w:tcW w:w="0" w:type="auto"/>
            <w:hideMark/>
          </w:tcPr>
          <w:p w14:paraId="324B8394"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lastRenderedPageBreak/>
              <w:t xml:space="preserve">U sugjerua krijimi i një modeli standard të dokumentit informues në shqip, </w:t>
            </w:r>
            <w:r w:rsidRPr="00DF1FF8">
              <w:rPr>
                <w:rFonts w:ascii="Times New Roman" w:eastAsia="Times New Roman" w:hAnsi="Times New Roman" w:cs="Times New Roman"/>
                <w:kern w:val="0"/>
                <w:sz w:val="24"/>
                <w:szCs w:val="24"/>
                <w:lang w:val="en-US"/>
                <w14:ligatures w14:val="none"/>
              </w:rPr>
              <w:lastRenderedPageBreak/>
              <w:t>materialeve audio/video shpjeguese dhe listave verifikuese për projektet që synojnë komunitetet vendase.</w:t>
            </w:r>
          </w:p>
        </w:tc>
        <w:tc>
          <w:tcPr>
            <w:tcW w:w="0" w:type="auto"/>
            <w:hideMark/>
          </w:tcPr>
          <w:p w14:paraId="16038EF3"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lastRenderedPageBreak/>
              <w:t>z. Dorian Kane</w:t>
            </w:r>
          </w:p>
        </w:tc>
        <w:tc>
          <w:tcPr>
            <w:tcW w:w="0" w:type="auto"/>
            <w:hideMark/>
          </w:tcPr>
          <w:p w14:paraId="218FAD03"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refuzuar</w:t>
            </w:r>
          </w:p>
        </w:tc>
        <w:tc>
          <w:tcPr>
            <w:tcW w:w="0" w:type="auto"/>
            <w:hideMark/>
          </w:tcPr>
          <w:p w14:paraId="1FED106D"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 xml:space="preserve">Projektligji garanton që dokumenti informues të jetë i qartë, i kuptueshëm </w:t>
            </w:r>
            <w:r w:rsidRPr="00DF1FF8">
              <w:rPr>
                <w:rFonts w:ascii="Times New Roman" w:eastAsia="Times New Roman" w:hAnsi="Times New Roman" w:cs="Times New Roman"/>
                <w:kern w:val="0"/>
                <w:sz w:val="24"/>
                <w:szCs w:val="24"/>
                <w:lang w:val="en-US"/>
                <w14:ligatures w14:val="none"/>
              </w:rPr>
              <w:lastRenderedPageBreak/>
              <w:t>dhe në gjuhën shqipe. Sugjerimet kanë karakter zbatues dhe mund të trajtohen përmes akteve nënligjore të AMF-së.</w:t>
            </w:r>
          </w:p>
        </w:tc>
      </w:tr>
      <w:tr w:rsidR="00DF1FF8" w:rsidRPr="00DF1FF8" w14:paraId="1585DF00" w14:textId="77777777" w:rsidTr="00DF1FF8">
        <w:tc>
          <w:tcPr>
            <w:tcW w:w="0" w:type="auto"/>
            <w:hideMark/>
          </w:tcPr>
          <w:p w14:paraId="4DA9541F"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lastRenderedPageBreak/>
              <w:t>Nenet 16 dhe 21; neni 93, pika 1, shkronja a, nënndarja iv - Miratimi i dokumentit informues për tokenat e asetit dhe ndarja e kompetencave ndërmjet Bankës së Shqipërisë dhe AMF-së</w:t>
            </w:r>
          </w:p>
        </w:tc>
        <w:tc>
          <w:tcPr>
            <w:tcW w:w="0" w:type="auto"/>
            <w:hideMark/>
          </w:tcPr>
          <w:p w14:paraId="740CFF0D"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kërkua qartësimi i autoritetit kompetent për miratimin e dokumentit informues dhe shmangia e mbivendosjes së kompetencave institucionale.</w:t>
            </w:r>
          </w:p>
        </w:tc>
        <w:tc>
          <w:tcPr>
            <w:tcW w:w="0" w:type="auto"/>
            <w:hideMark/>
          </w:tcPr>
          <w:p w14:paraId="31A1951A"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1EE1D832"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pranuar</w:t>
            </w:r>
          </w:p>
        </w:tc>
        <w:tc>
          <w:tcPr>
            <w:tcW w:w="0" w:type="auto"/>
            <w:hideMark/>
          </w:tcPr>
          <w:p w14:paraId="592FB028"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Teksti i projektligjit është rishikuar për të qartësuar se autorizimi i emetuesit nga Banka e Shqipërisë përfshin edhe miratimin e dokumentit informues, duke shmangur mbivendosjen e kompetencave.</w:t>
            </w:r>
          </w:p>
        </w:tc>
      </w:tr>
      <w:tr w:rsidR="00DF1FF8" w:rsidRPr="00DF1FF8" w14:paraId="55134C19" w14:textId="77777777" w:rsidTr="00DF1FF8">
        <w:tc>
          <w:tcPr>
            <w:tcW w:w="0" w:type="auto"/>
            <w:hideMark/>
          </w:tcPr>
          <w:p w14:paraId="4BC8CF20" w14:textId="77777777" w:rsidR="00DF1FF8" w:rsidRPr="00212CF6" w:rsidRDefault="00DF1FF8" w:rsidP="00DF1FF8">
            <w:pPr>
              <w:spacing w:line="240" w:lineRule="auto"/>
              <w:rPr>
                <w:rFonts w:ascii="Times New Roman" w:eastAsia="Times New Roman" w:hAnsi="Times New Roman" w:cs="Times New Roman"/>
                <w:kern w:val="0"/>
                <w:sz w:val="24"/>
                <w:szCs w:val="24"/>
                <w:lang w:val="fr-FR"/>
                <w14:ligatures w14:val="none"/>
              </w:rPr>
            </w:pPr>
            <w:r w:rsidRPr="00212CF6">
              <w:rPr>
                <w:rFonts w:ascii="Times New Roman" w:eastAsia="Times New Roman" w:hAnsi="Times New Roman" w:cs="Times New Roman"/>
                <w:kern w:val="0"/>
                <w:sz w:val="24"/>
                <w:szCs w:val="24"/>
                <w:lang w:val="fr-FR"/>
                <w14:ligatures w14:val="none"/>
              </w:rPr>
              <w:t>Neni 17 - Procedura e paraqitjes së dokumentit informues nga institucionet e kreditit</w:t>
            </w:r>
          </w:p>
        </w:tc>
        <w:tc>
          <w:tcPr>
            <w:tcW w:w="0" w:type="auto"/>
            <w:hideMark/>
          </w:tcPr>
          <w:p w14:paraId="71BEED71"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rekomandua zëvendësimi i termit “miratim” me “njoftim”, në përputhje me MiCA.</w:t>
            </w:r>
          </w:p>
        </w:tc>
        <w:tc>
          <w:tcPr>
            <w:tcW w:w="0" w:type="auto"/>
            <w:hideMark/>
          </w:tcPr>
          <w:p w14:paraId="44A7FAB1"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7B492ED7"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refuzuar</w:t>
            </w:r>
          </w:p>
        </w:tc>
        <w:tc>
          <w:tcPr>
            <w:tcW w:w="0" w:type="auto"/>
            <w:hideMark/>
          </w:tcPr>
          <w:p w14:paraId="4196E671"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Dispozita pasqyron tekstin e MiCA-s, e cila parashikon si paraqitjen për miratim të dokumentit informues ashtu edhe detyrimin e njoftimit paraprak.</w:t>
            </w:r>
          </w:p>
        </w:tc>
      </w:tr>
      <w:tr w:rsidR="00DF1FF8" w:rsidRPr="00DF1FF8" w14:paraId="4A17AE45" w14:textId="77777777" w:rsidTr="00DF1FF8">
        <w:tc>
          <w:tcPr>
            <w:tcW w:w="0" w:type="auto"/>
            <w:hideMark/>
          </w:tcPr>
          <w:p w14:paraId="605B4D1F"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Nenet 35, 36 dhe 43 - Masat për stabilitetin financiar dhe monitorimin e pragjeve mbikëqyrëse</w:t>
            </w:r>
          </w:p>
        </w:tc>
        <w:tc>
          <w:tcPr>
            <w:tcW w:w="0" w:type="auto"/>
            <w:hideMark/>
          </w:tcPr>
          <w:p w14:paraId="29AA89A3"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rekomandua sigurimi i infrastrukturës dhe kapaciteteve të nevojshme teknike për monitorimin efektiv të pragjeve nga Banka e Shqipërisë.</w:t>
            </w:r>
          </w:p>
        </w:tc>
        <w:tc>
          <w:tcPr>
            <w:tcW w:w="0" w:type="auto"/>
            <w:hideMark/>
          </w:tcPr>
          <w:p w14:paraId="0E6EF0DC"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511AD5B4"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refuzuar</w:t>
            </w:r>
          </w:p>
        </w:tc>
        <w:tc>
          <w:tcPr>
            <w:tcW w:w="0" w:type="auto"/>
            <w:hideMark/>
          </w:tcPr>
          <w:p w14:paraId="0D85338F"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Komenti lidhet me zbatimin praktik dhe forcimin institucional, jo me nevojën për ndryshime në dispozitat e projektligjit.</w:t>
            </w:r>
          </w:p>
        </w:tc>
      </w:tr>
      <w:tr w:rsidR="00DF1FF8" w:rsidRPr="00DF1FF8" w14:paraId="7DEE96EF" w14:textId="77777777" w:rsidTr="00DF1FF8">
        <w:tc>
          <w:tcPr>
            <w:tcW w:w="0" w:type="auto"/>
            <w:hideMark/>
          </w:tcPr>
          <w:p w14:paraId="09856530"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Nenet 60, 62 dhe 63 - Parandalimi i pastrimit të parave dhe financimit të terrorizmit (Travel Rule)</w:t>
            </w:r>
          </w:p>
        </w:tc>
        <w:tc>
          <w:tcPr>
            <w:tcW w:w="0" w:type="auto"/>
            <w:hideMark/>
          </w:tcPr>
          <w:p w14:paraId="5D8786ED"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sugjerua referimi i drejtpërdrejtë ose i kryqëzuar te detyrimet e “Travel Rule” për ofruesit e shërbimeve të kripto-aseteve.</w:t>
            </w:r>
          </w:p>
        </w:tc>
        <w:tc>
          <w:tcPr>
            <w:tcW w:w="0" w:type="auto"/>
            <w:hideMark/>
          </w:tcPr>
          <w:p w14:paraId="33501D8C"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238A4978"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refuzuar</w:t>
            </w:r>
          </w:p>
        </w:tc>
        <w:tc>
          <w:tcPr>
            <w:tcW w:w="0" w:type="auto"/>
            <w:hideMark/>
          </w:tcPr>
          <w:p w14:paraId="0B31509F"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 xml:space="preserve">Këto detyrime trajtohen në legjislacionin specifik për parandalimin e pastrimit të parave dhe financimit të terrorizmit dhe nuk është e nevojshme </w:t>
            </w:r>
            <w:r w:rsidRPr="00DF1FF8">
              <w:rPr>
                <w:rFonts w:ascii="Times New Roman" w:eastAsia="Times New Roman" w:hAnsi="Times New Roman" w:cs="Times New Roman"/>
                <w:kern w:val="0"/>
                <w:sz w:val="24"/>
                <w:szCs w:val="24"/>
                <w:lang w:val="en-US"/>
                <w14:ligatures w14:val="none"/>
              </w:rPr>
              <w:lastRenderedPageBreak/>
              <w:t>të përsëriten në këtë projektligj.</w:t>
            </w:r>
          </w:p>
        </w:tc>
      </w:tr>
      <w:tr w:rsidR="00DF1FF8" w:rsidRPr="00DF1FF8" w14:paraId="22A10B53" w14:textId="77777777" w:rsidTr="00DF1FF8">
        <w:tc>
          <w:tcPr>
            <w:tcW w:w="0" w:type="auto"/>
            <w:hideMark/>
          </w:tcPr>
          <w:p w14:paraId="45215159"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lastRenderedPageBreak/>
              <w:t>Nenet 86-92; neni 94, pika 2, shkronja e - Integriteti i tregut dhe mjetet e mbikëqyrjes</w:t>
            </w:r>
          </w:p>
        </w:tc>
        <w:tc>
          <w:tcPr>
            <w:tcW w:w="0" w:type="auto"/>
            <w:hideMark/>
          </w:tcPr>
          <w:p w14:paraId="2A3AAD5B"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rekomandua që funksionet mbikëqyrëse të AMF-së të ushtrohen në mënyrë të vazhdueshme dhe të automatizuar nëpërmjet akteve nënligjore.</w:t>
            </w:r>
          </w:p>
        </w:tc>
        <w:tc>
          <w:tcPr>
            <w:tcW w:w="0" w:type="auto"/>
            <w:hideMark/>
          </w:tcPr>
          <w:p w14:paraId="281956B9"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6F20C8CD"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pranuar pjesërisht</w:t>
            </w:r>
          </w:p>
        </w:tc>
        <w:tc>
          <w:tcPr>
            <w:tcW w:w="0" w:type="auto"/>
            <w:hideMark/>
          </w:tcPr>
          <w:p w14:paraId="57C45942"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Komenti do të merret në konsideratë gjatë hartimit të akteve nënligjore dhe standardeve teknike të zbatimit.</w:t>
            </w:r>
          </w:p>
        </w:tc>
      </w:tr>
      <w:tr w:rsidR="00DF1FF8" w:rsidRPr="00DF1FF8" w14:paraId="2B519F5D" w14:textId="77777777" w:rsidTr="00DF1FF8">
        <w:tc>
          <w:tcPr>
            <w:tcW w:w="0" w:type="auto"/>
            <w:hideMark/>
          </w:tcPr>
          <w:p w14:paraId="173C3A88"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Neni 93, pika 1, shkronja a, nënndarja iv; neni 16, pika 1, shkronja a - Roli i AMF-së lidhur me dokumentin informues për tokenat e asetit</w:t>
            </w:r>
          </w:p>
        </w:tc>
        <w:tc>
          <w:tcPr>
            <w:tcW w:w="0" w:type="auto"/>
            <w:hideMark/>
          </w:tcPr>
          <w:p w14:paraId="7C9E42E7"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kërkua shfuqizimi ose qartësimi i dispozitës për të shmangur mospërputhje me kompetencat e Bankës së Shqipërisë.</w:t>
            </w:r>
          </w:p>
        </w:tc>
        <w:tc>
          <w:tcPr>
            <w:tcW w:w="0" w:type="auto"/>
            <w:hideMark/>
          </w:tcPr>
          <w:p w14:paraId="5E798D67"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7832A16D"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pranuar</w:t>
            </w:r>
          </w:p>
        </w:tc>
        <w:tc>
          <w:tcPr>
            <w:tcW w:w="0" w:type="auto"/>
            <w:hideMark/>
          </w:tcPr>
          <w:p w14:paraId="4967B9D9"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Dispozitat janë rishikuar për të qartësuar ndarjen e kompetencave dhe shmangur mbivendosjet ndërmjet autoriteteve.</w:t>
            </w:r>
          </w:p>
        </w:tc>
      </w:tr>
      <w:tr w:rsidR="00DF1FF8" w:rsidRPr="00DF1FF8" w14:paraId="7B139C56" w14:textId="77777777" w:rsidTr="00DF1FF8">
        <w:tc>
          <w:tcPr>
            <w:tcW w:w="0" w:type="auto"/>
            <w:hideMark/>
          </w:tcPr>
          <w:p w14:paraId="755B6AFA"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Neni 111, pikat 1, 3 dhe 5 - Regjimi i sanksioneve administrative për abuzimin me tregun</w:t>
            </w:r>
          </w:p>
        </w:tc>
        <w:tc>
          <w:tcPr>
            <w:tcW w:w="0" w:type="auto"/>
            <w:hideMark/>
          </w:tcPr>
          <w:p w14:paraId="4F2401DD"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rekomandua qartësimi i marrëdhënies ndërmjet sanksioneve të përgjithshme dhe niveleve specifike të gjobave për abuzimin me tregun.</w:t>
            </w:r>
          </w:p>
        </w:tc>
        <w:tc>
          <w:tcPr>
            <w:tcW w:w="0" w:type="auto"/>
            <w:hideMark/>
          </w:tcPr>
          <w:p w14:paraId="33685DAB"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45DE2F8E"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refuzuar</w:t>
            </w:r>
          </w:p>
        </w:tc>
        <w:tc>
          <w:tcPr>
            <w:tcW w:w="0" w:type="auto"/>
            <w:hideMark/>
          </w:tcPr>
          <w:p w14:paraId="77D32A88"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Struktura e dispozitës ndjek logjikën e MiCA-s; masat dhe gjobat specifike funksionojnë si elemente plotësuese të të njëjtit regjim sanksionues.</w:t>
            </w:r>
          </w:p>
        </w:tc>
      </w:tr>
      <w:tr w:rsidR="00DF1FF8" w:rsidRPr="00DF1FF8" w14:paraId="6A4950AD" w14:textId="77777777" w:rsidTr="00DF1FF8">
        <w:tc>
          <w:tcPr>
            <w:tcW w:w="0" w:type="auto"/>
            <w:hideMark/>
          </w:tcPr>
          <w:p w14:paraId="3A61960A"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Neni 117 - Kompetencat e Bankës së Shqipërisë për tokenat me rëndësi të lartë</w:t>
            </w:r>
          </w:p>
        </w:tc>
        <w:tc>
          <w:tcPr>
            <w:tcW w:w="0" w:type="auto"/>
            <w:hideMark/>
          </w:tcPr>
          <w:p w14:paraId="4CC5CEC8"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rekomandua sigurimi i kapaciteteve të nevojshme teknike dhe organizative për ushtrimin e funksioneve mbikëqyrëse.</w:t>
            </w:r>
          </w:p>
        </w:tc>
        <w:tc>
          <w:tcPr>
            <w:tcW w:w="0" w:type="auto"/>
            <w:hideMark/>
          </w:tcPr>
          <w:p w14:paraId="5B9A9DA1"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559E148F"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refuzuar</w:t>
            </w:r>
          </w:p>
        </w:tc>
        <w:tc>
          <w:tcPr>
            <w:tcW w:w="0" w:type="auto"/>
            <w:hideMark/>
          </w:tcPr>
          <w:p w14:paraId="2C87A172"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Çështja lidhet me fazën e zbatimit dhe forcimin institucional, jo me nevojën për ndryshime në tekstin e projektligjit.</w:t>
            </w:r>
          </w:p>
        </w:tc>
      </w:tr>
      <w:tr w:rsidR="00DF1FF8" w:rsidRPr="00DF1FF8" w14:paraId="5456AA0D" w14:textId="77777777" w:rsidTr="00DF1FF8">
        <w:tc>
          <w:tcPr>
            <w:tcW w:w="0" w:type="auto"/>
            <w:hideMark/>
          </w:tcPr>
          <w:p w14:paraId="19A8FAE1"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Neni 139 - Sandbox-i rregullator dhe burimet për zbatimin e tij</w:t>
            </w:r>
          </w:p>
        </w:tc>
        <w:tc>
          <w:tcPr>
            <w:tcW w:w="0" w:type="auto"/>
            <w:hideMark/>
          </w:tcPr>
          <w:p w14:paraId="02AD5126"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rekomandua sigurimi i burimeve të nevojshme institucionale, teknike dhe administrative për funksionimin e sandbox-it.</w:t>
            </w:r>
          </w:p>
        </w:tc>
        <w:tc>
          <w:tcPr>
            <w:tcW w:w="0" w:type="auto"/>
            <w:hideMark/>
          </w:tcPr>
          <w:p w14:paraId="4E0ED640"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IFC</w:t>
            </w:r>
          </w:p>
        </w:tc>
        <w:tc>
          <w:tcPr>
            <w:tcW w:w="0" w:type="auto"/>
            <w:hideMark/>
          </w:tcPr>
          <w:p w14:paraId="2A3E3EFA"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pranuar pjesërisht</w:t>
            </w:r>
          </w:p>
        </w:tc>
        <w:tc>
          <w:tcPr>
            <w:tcW w:w="0" w:type="auto"/>
            <w:hideMark/>
          </w:tcPr>
          <w:p w14:paraId="3102D29D"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Autoritetet përgjegjëse do të marrin masat e nevojshme për ngritjen e kapaciteteve përpara zbatimit të këtij mekanizmi.</w:t>
            </w:r>
          </w:p>
        </w:tc>
      </w:tr>
      <w:tr w:rsidR="00DF1FF8" w:rsidRPr="00DF1FF8" w14:paraId="4F9B766C" w14:textId="77777777" w:rsidTr="00DF1FF8">
        <w:tc>
          <w:tcPr>
            <w:tcW w:w="0" w:type="auto"/>
            <w:hideMark/>
          </w:tcPr>
          <w:p w14:paraId="1BC68679"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 xml:space="preserve">Neni 139 - Procedurat, dokumentacioni dhe </w:t>
            </w:r>
            <w:r w:rsidRPr="00212CF6">
              <w:rPr>
                <w:rFonts w:ascii="Times New Roman" w:eastAsia="Times New Roman" w:hAnsi="Times New Roman" w:cs="Times New Roman"/>
                <w:kern w:val="0"/>
                <w:sz w:val="24"/>
                <w:szCs w:val="24"/>
                <w:lang w:val="en-US"/>
                <w14:ligatures w14:val="none"/>
              </w:rPr>
              <w:lastRenderedPageBreak/>
              <w:t>mbështetja teknike në sandbox-in rregullator</w:t>
            </w:r>
          </w:p>
        </w:tc>
        <w:tc>
          <w:tcPr>
            <w:tcW w:w="0" w:type="auto"/>
            <w:hideMark/>
          </w:tcPr>
          <w:p w14:paraId="2A2189F4"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lastRenderedPageBreak/>
              <w:t xml:space="preserve">U sugjerua krijimi i një programi të strukturuar “MiCA </w:t>
            </w:r>
            <w:r w:rsidRPr="00DF1FF8">
              <w:rPr>
                <w:rFonts w:ascii="Times New Roman" w:eastAsia="Times New Roman" w:hAnsi="Times New Roman" w:cs="Times New Roman"/>
                <w:kern w:val="0"/>
                <w:sz w:val="24"/>
                <w:szCs w:val="24"/>
                <w:lang w:val="en-US"/>
                <w14:ligatures w14:val="none"/>
              </w:rPr>
              <w:lastRenderedPageBreak/>
              <w:t>Sandbox Albania”, me procedura të thjeshtuara aplikimi, afate vlerësimi, mentorim dhe mundësi testimi për raste përdorimi vendase.</w:t>
            </w:r>
          </w:p>
        </w:tc>
        <w:tc>
          <w:tcPr>
            <w:tcW w:w="0" w:type="auto"/>
            <w:hideMark/>
          </w:tcPr>
          <w:p w14:paraId="63B61FBE"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lastRenderedPageBreak/>
              <w:t>z. Dorian Kane</w:t>
            </w:r>
          </w:p>
        </w:tc>
        <w:tc>
          <w:tcPr>
            <w:tcW w:w="0" w:type="auto"/>
            <w:hideMark/>
          </w:tcPr>
          <w:p w14:paraId="5CECAE83"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pranuar pjesërisht</w:t>
            </w:r>
          </w:p>
        </w:tc>
        <w:tc>
          <w:tcPr>
            <w:tcW w:w="0" w:type="auto"/>
            <w:hideMark/>
          </w:tcPr>
          <w:p w14:paraId="7EEFC668"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 xml:space="preserve">Rregullat e detajuara për funksionimin e </w:t>
            </w:r>
            <w:r w:rsidRPr="00DF1FF8">
              <w:rPr>
                <w:rFonts w:ascii="Times New Roman" w:eastAsia="Times New Roman" w:hAnsi="Times New Roman" w:cs="Times New Roman"/>
                <w:kern w:val="0"/>
                <w:sz w:val="24"/>
                <w:szCs w:val="24"/>
                <w:lang w:val="en-US"/>
                <w14:ligatures w14:val="none"/>
              </w:rPr>
              <w:lastRenderedPageBreak/>
              <w:t>sandbox-it do të përcaktohen me akte nënligjore në zbatim të nenit 139.</w:t>
            </w:r>
          </w:p>
        </w:tc>
      </w:tr>
      <w:tr w:rsidR="00DF1FF8" w:rsidRPr="00DF1FF8" w14:paraId="3A4C55B6" w14:textId="77777777" w:rsidTr="00DF1FF8">
        <w:tc>
          <w:tcPr>
            <w:tcW w:w="0" w:type="auto"/>
            <w:hideMark/>
          </w:tcPr>
          <w:p w14:paraId="1A1AE3C7"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lastRenderedPageBreak/>
              <w:t>Koment i përgjithshëm mbi fushën e zbatimit - Trajtimi i aktiviteteve mbështetëse që nuk përbëjnë shërbime të rregulluara të kripto-aseteve</w:t>
            </w:r>
          </w:p>
        </w:tc>
        <w:tc>
          <w:tcPr>
            <w:tcW w:w="0" w:type="auto"/>
            <w:hideMark/>
          </w:tcPr>
          <w:p w14:paraId="14A11B44"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propozua krijimi i një kategorie të veçantë “vendor service facilitator” për subjektet që ofrojnë edukim, onboarding, testim ose lokalizim pa ushtruar veprimtari CASP.</w:t>
            </w:r>
          </w:p>
        </w:tc>
        <w:tc>
          <w:tcPr>
            <w:tcW w:w="0" w:type="auto"/>
            <w:hideMark/>
          </w:tcPr>
          <w:p w14:paraId="039FCE9B"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z. Dorian Kane</w:t>
            </w:r>
          </w:p>
        </w:tc>
        <w:tc>
          <w:tcPr>
            <w:tcW w:w="0" w:type="auto"/>
            <w:hideMark/>
          </w:tcPr>
          <w:p w14:paraId="24C5CE0D"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refuzuar</w:t>
            </w:r>
          </w:p>
        </w:tc>
        <w:tc>
          <w:tcPr>
            <w:tcW w:w="0" w:type="auto"/>
            <w:hideMark/>
          </w:tcPr>
          <w:p w14:paraId="537E95F9"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Aktivitetet e përmendura nuk janë objekt i rregullimit të projektligjit dhe krijimi i një kategorie të re do të zgjeronte fushën e tij përtej qëllimit të përcaktuar.</w:t>
            </w:r>
          </w:p>
        </w:tc>
      </w:tr>
      <w:tr w:rsidR="00DF1FF8" w:rsidRPr="00DF1FF8" w14:paraId="4B7DC1E6" w14:textId="77777777" w:rsidTr="00DF1FF8">
        <w:tc>
          <w:tcPr>
            <w:tcW w:w="0" w:type="auto"/>
            <w:hideMark/>
          </w:tcPr>
          <w:p w14:paraId="1D81024F" w14:textId="77777777" w:rsidR="00DF1FF8" w:rsidRPr="00212CF6" w:rsidRDefault="00DF1FF8" w:rsidP="00DF1FF8">
            <w:pPr>
              <w:spacing w:line="240" w:lineRule="auto"/>
              <w:rPr>
                <w:rFonts w:ascii="Times New Roman" w:eastAsia="Times New Roman" w:hAnsi="Times New Roman" w:cs="Times New Roman"/>
                <w:kern w:val="0"/>
                <w:sz w:val="24"/>
                <w:szCs w:val="24"/>
                <w:lang w:val="en-US"/>
                <w14:ligatures w14:val="none"/>
              </w:rPr>
            </w:pPr>
            <w:r w:rsidRPr="00212CF6">
              <w:rPr>
                <w:rFonts w:ascii="Times New Roman" w:eastAsia="Times New Roman" w:hAnsi="Times New Roman" w:cs="Times New Roman"/>
                <w:kern w:val="0"/>
                <w:sz w:val="24"/>
                <w:szCs w:val="24"/>
                <w:lang w:val="en-US"/>
                <w14:ligatures w14:val="none"/>
              </w:rPr>
              <w:t>Koment i përgjithshëm mbi ekspertizën vendase - Regjistri vullnetar i specialistëve MiCA/Web3</w:t>
            </w:r>
          </w:p>
        </w:tc>
        <w:tc>
          <w:tcPr>
            <w:tcW w:w="0" w:type="auto"/>
            <w:hideMark/>
          </w:tcPr>
          <w:p w14:paraId="79424658"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U sugjerua krijimi i një regjistri vullnetar të ekspertëve vendas për mbështetjen e proceseve konsultative, edukative dhe të pajtueshmërisë.</w:t>
            </w:r>
          </w:p>
        </w:tc>
        <w:tc>
          <w:tcPr>
            <w:tcW w:w="0" w:type="auto"/>
            <w:hideMark/>
          </w:tcPr>
          <w:p w14:paraId="7E91A044"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z. Dorian Kane</w:t>
            </w:r>
          </w:p>
        </w:tc>
        <w:tc>
          <w:tcPr>
            <w:tcW w:w="0" w:type="auto"/>
            <w:hideMark/>
          </w:tcPr>
          <w:p w14:paraId="33BE4C1C"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I refuzuar</w:t>
            </w:r>
          </w:p>
        </w:tc>
        <w:tc>
          <w:tcPr>
            <w:tcW w:w="0" w:type="auto"/>
            <w:hideMark/>
          </w:tcPr>
          <w:p w14:paraId="267AAE4F" w14:textId="77777777" w:rsidR="00DF1FF8" w:rsidRPr="00DF1FF8" w:rsidRDefault="00DF1FF8" w:rsidP="00DF1FF8">
            <w:pPr>
              <w:spacing w:line="240" w:lineRule="auto"/>
              <w:rPr>
                <w:rFonts w:ascii="Times New Roman" w:eastAsia="Times New Roman" w:hAnsi="Times New Roman" w:cs="Times New Roman"/>
                <w:kern w:val="0"/>
                <w:sz w:val="24"/>
                <w:szCs w:val="24"/>
                <w:lang w:val="en-US"/>
                <w14:ligatures w14:val="none"/>
              </w:rPr>
            </w:pPr>
            <w:r w:rsidRPr="00DF1FF8">
              <w:rPr>
                <w:rFonts w:ascii="Times New Roman" w:eastAsia="Times New Roman" w:hAnsi="Times New Roman" w:cs="Times New Roman"/>
                <w:kern w:val="0"/>
                <w:sz w:val="24"/>
                <w:szCs w:val="24"/>
                <w:lang w:val="en-US"/>
                <w14:ligatures w14:val="none"/>
              </w:rPr>
              <w:t>Propozimi lidhet me masa organizative dhe administrative që mund të ndërmerren pa qenë e nevojshme të parashikohen në ligj.</w:t>
            </w:r>
          </w:p>
        </w:tc>
      </w:tr>
    </w:tbl>
    <w:p w14:paraId="2AE3F5A6" w14:textId="77777777" w:rsidR="00737374" w:rsidRPr="00DF1FF8" w:rsidRDefault="00737374">
      <w:pPr>
        <w:rPr>
          <w:lang w:val="en-US"/>
        </w:rPr>
      </w:pPr>
    </w:p>
    <w:sectPr w:rsidR="00737374" w:rsidRPr="00DF1FF8" w:rsidSect="00A21DAE">
      <w:pgSz w:w="12240" w:h="15840"/>
      <w:pgMar w:top="1440" w:right="1440" w:bottom="90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ofia Kaloshi" w:date="2026-09-15T12:15:00Z" w:initials="SK">
    <w:p w14:paraId="6ADAE523" w14:textId="77777777" w:rsidR="002072FA" w:rsidRDefault="002072FA" w:rsidP="002072FA">
      <w:pPr>
        <w:pStyle w:val="CommentText"/>
      </w:pPr>
      <w:r>
        <w:rPr>
          <w:rStyle w:val="CommentReference"/>
        </w:rPr>
        <w:annotationRef/>
      </w:r>
      <w:r>
        <w:t>Lutem te perdoret ky format per seksionin e komenteve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DAE52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911576" w16cex:dateUtc="2026-09-15T1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DAE523" w16cid:durableId="0691157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261AA"/>
    <w:multiLevelType w:val="multilevel"/>
    <w:tmpl w:val="16E4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FE5B5C"/>
    <w:multiLevelType w:val="hybridMultilevel"/>
    <w:tmpl w:val="FDC4D722"/>
    <w:lvl w:ilvl="0" w:tplc="08090019">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453411A3"/>
    <w:multiLevelType w:val="hybridMultilevel"/>
    <w:tmpl w:val="B6C8BB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222" w:hanging="360"/>
      </w:pPr>
      <w:rPr>
        <w:rFonts w:ascii="Courier New" w:hAnsi="Courier New" w:cs="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start w:val="1"/>
      <w:numFmt w:val="bullet"/>
      <w:lvlText w:val="o"/>
      <w:lvlJc w:val="left"/>
      <w:pPr>
        <w:ind w:left="3382" w:hanging="360"/>
      </w:pPr>
      <w:rPr>
        <w:rFonts w:ascii="Courier New" w:hAnsi="Courier New" w:cs="Courier New" w:hint="default"/>
      </w:rPr>
    </w:lvl>
    <w:lvl w:ilvl="5" w:tplc="04090005">
      <w:start w:val="1"/>
      <w:numFmt w:val="bullet"/>
      <w:lvlText w:val=""/>
      <w:lvlJc w:val="left"/>
      <w:pPr>
        <w:ind w:left="4102" w:hanging="360"/>
      </w:pPr>
      <w:rPr>
        <w:rFonts w:ascii="Wingdings" w:hAnsi="Wingdings" w:hint="default"/>
      </w:rPr>
    </w:lvl>
    <w:lvl w:ilvl="6" w:tplc="04090001">
      <w:start w:val="1"/>
      <w:numFmt w:val="bullet"/>
      <w:lvlText w:val=""/>
      <w:lvlJc w:val="left"/>
      <w:pPr>
        <w:ind w:left="4822" w:hanging="360"/>
      </w:pPr>
      <w:rPr>
        <w:rFonts w:ascii="Symbol" w:hAnsi="Symbol" w:hint="default"/>
      </w:rPr>
    </w:lvl>
    <w:lvl w:ilvl="7" w:tplc="04090003">
      <w:start w:val="1"/>
      <w:numFmt w:val="bullet"/>
      <w:lvlText w:val="o"/>
      <w:lvlJc w:val="left"/>
      <w:pPr>
        <w:ind w:left="5542" w:hanging="360"/>
      </w:pPr>
      <w:rPr>
        <w:rFonts w:ascii="Courier New" w:hAnsi="Courier New" w:cs="Courier New" w:hint="default"/>
      </w:rPr>
    </w:lvl>
    <w:lvl w:ilvl="8" w:tplc="04090005">
      <w:start w:val="1"/>
      <w:numFmt w:val="bullet"/>
      <w:lvlText w:val=""/>
      <w:lvlJc w:val="left"/>
      <w:pPr>
        <w:ind w:left="6262" w:hanging="360"/>
      </w:pPr>
      <w:rPr>
        <w:rFonts w:ascii="Wingdings" w:hAnsi="Wingdings" w:hint="default"/>
      </w:rPr>
    </w:lvl>
  </w:abstractNum>
  <w:abstractNum w:abstractNumId="3" w15:restartNumberingAfterBreak="0">
    <w:nsid w:val="66576C46"/>
    <w:multiLevelType w:val="multilevel"/>
    <w:tmpl w:val="32E6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972E81"/>
    <w:multiLevelType w:val="multilevel"/>
    <w:tmpl w:val="7FFE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E00951"/>
    <w:multiLevelType w:val="hybridMultilevel"/>
    <w:tmpl w:val="FF3C5AF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7D2D0A8D"/>
    <w:multiLevelType w:val="multilevel"/>
    <w:tmpl w:val="0D10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412AFC"/>
    <w:multiLevelType w:val="multilevel"/>
    <w:tmpl w:val="8416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136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0507231">
    <w:abstractNumId w:val="5"/>
  </w:num>
  <w:num w:numId="3" w16cid:durableId="1812601521">
    <w:abstractNumId w:val="2"/>
  </w:num>
  <w:num w:numId="4" w16cid:durableId="1316032138">
    <w:abstractNumId w:val="7"/>
  </w:num>
  <w:num w:numId="5" w16cid:durableId="971206724">
    <w:abstractNumId w:val="6"/>
  </w:num>
  <w:num w:numId="6" w16cid:durableId="562760931">
    <w:abstractNumId w:val="0"/>
  </w:num>
  <w:num w:numId="7" w16cid:durableId="2071225686">
    <w:abstractNumId w:val="4"/>
  </w:num>
  <w:num w:numId="8" w16cid:durableId="86344537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fia Kaloshi">
    <w15:presenceInfo w15:providerId="AD" w15:userId="S::Sofia.Kaloshi@kryeministria.al::966f30fe-515d-48bb-94b1-811d52b731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F0"/>
    <w:rsid w:val="000A4F81"/>
    <w:rsid w:val="000A768E"/>
    <w:rsid w:val="000F7CED"/>
    <w:rsid w:val="0014304B"/>
    <w:rsid w:val="00160259"/>
    <w:rsid w:val="002072FA"/>
    <w:rsid w:val="00212CF6"/>
    <w:rsid w:val="00251F2C"/>
    <w:rsid w:val="0026330F"/>
    <w:rsid w:val="00297A58"/>
    <w:rsid w:val="00446B01"/>
    <w:rsid w:val="00520510"/>
    <w:rsid w:val="00681453"/>
    <w:rsid w:val="00694305"/>
    <w:rsid w:val="006C7F5D"/>
    <w:rsid w:val="00737374"/>
    <w:rsid w:val="00776559"/>
    <w:rsid w:val="00837A17"/>
    <w:rsid w:val="008D3D6F"/>
    <w:rsid w:val="008E54BA"/>
    <w:rsid w:val="00913F99"/>
    <w:rsid w:val="00A21DAE"/>
    <w:rsid w:val="00D420EB"/>
    <w:rsid w:val="00DF1FF8"/>
    <w:rsid w:val="00EC02E2"/>
    <w:rsid w:val="00F203F0"/>
    <w:rsid w:val="00FC74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C9100"/>
  <w15:chartTrackingRefBased/>
  <w15:docId w15:val="{480EA0A3-CD40-4A4D-9456-65F18CEC7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F0"/>
    <w:pPr>
      <w:spacing w:line="256" w:lineRule="auto"/>
    </w:pPr>
    <w:rPr>
      <w:rFonts w:eastAsia="MS Mincho"/>
      <w:sz w:val="22"/>
      <w:szCs w:val="22"/>
      <w:lang w:val="en-GB"/>
    </w:rPr>
  </w:style>
  <w:style w:type="paragraph" w:styleId="Heading1">
    <w:name w:val="heading 1"/>
    <w:basedOn w:val="Normal"/>
    <w:next w:val="Normal"/>
    <w:link w:val="Heading1Char"/>
    <w:uiPriority w:val="9"/>
    <w:qFormat/>
    <w:rsid w:val="00F20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3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3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3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3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3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3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3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3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3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3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3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3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3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3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3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3F0"/>
    <w:rPr>
      <w:rFonts w:eastAsiaTheme="majorEastAsia" w:cstheme="majorBidi"/>
      <w:color w:val="272727" w:themeColor="text1" w:themeTint="D8"/>
    </w:rPr>
  </w:style>
  <w:style w:type="paragraph" w:styleId="Title">
    <w:name w:val="Title"/>
    <w:basedOn w:val="Normal"/>
    <w:next w:val="Normal"/>
    <w:link w:val="TitleChar"/>
    <w:uiPriority w:val="10"/>
    <w:qFormat/>
    <w:rsid w:val="00F20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3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3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3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3F0"/>
    <w:pPr>
      <w:spacing w:before="160"/>
      <w:jc w:val="center"/>
    </w:pPr>
    <w:rPr>
      <w:i/>
      <w:iCs/>
      <w:color w:val="404040" w:themeColor="text1" w:themeTint="BF"/>
    </w:rPr>
  </w:style>
  <w:style w:type="character" w:customStyle="1" w:styleId="QuoteChar">
    <w:name w:val="Quote Char"/>
    <w:basedOn w:val="DefaultParagraphFont"/>
    <w:link w:val="Quote"/>
    <w:uiPriority w:val="29"/>
    <w:rsid w:val="00F203F0"/>
    <w:rPr>
      <w:i/>
      <w:iCs/>
      <w:color w:val="404040" w:themeColor="text1" w:themeTint="BF"/>
    </w:rPr>
  </w:style>
  <w:style w:type="paragraph" w:styleId="ListParagraph">
    <w:name w:val="List Paragraph"/>
    <w:basedOn w:val="Normal"/>
    <w:uiPriority w:val="34"/>
    <w:qFormat/>
    <w:rsid w:val="00F203F0"/>
    <w:pPr>
      <w:ind w:left="720"/>
      <w:contextualSpacing/>
    </w:pPr>
  </w:style>
  <w:style w:type="character" w:styleId="IntenseEmphasis">
    <w:name w:val="Intense Emphasis"/>
    <w:basedOn w:val="DefaultParagraphFont"/>
    <w:uiPriority w:val="21"/>
    <w:qFormat/>
    <w:rsid w:val="00F203F0"/>
    <w:rPr>
      <w:i/>
      <w:iCs/>
      <w:color w:val="0F4761" w:themeColor="accent1" w:themeShade="BF"/>
    </w:rPr>
  </w:style>
  <w:style w:type="paragraph" w:styleId="IntenseQuote">
    <w:name w:val="Intense Quote"/>
    <w:basedOn w:val="Normal"/>
    <w:next w:val="Normal"/>
    <w:link w:val="IntenseQuoteChar"/>
    <w:uiPriority w:val="30"/>
    <w:qFormat/>
    <w:rsid w:val="00F20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3F0"/>
    <w:rPr>
      <w:i/>
      <w:iCs/>
      <w:color w:val="0F4761" w:themeColor="accent1" w:themeShade="BF"/>
    </w:rPr>
  </w:style>
  <w:style w:type="character" w:styleId="IntenseReference">
    <w:name w:val="Intense Reference"/>
    <w:basedOn w:val="DefaultParagraphFont"/>
    <w:uiPriority w:val="32"/>
    <w:qFormat/>
    <w:rsid w:val="00F203F0"/>
    <w:rPr>
      <w:b/>
      <w:bCs/>
      <w:smallCaps/>
      <w:color w:val="0F4761" w:themeColor="accent1" w:themeShade="BF"/>
      <w:spacing w:val="5"/>
    </w:rPr>
  </w:style>
  <w:style w:type="table" w:styleId="TableGrid">
    <w:name w:val="Table Grid"/>
    <w:basedOn w:val="TableNormal"/>
    <w:uiPriority w:val="59"/>
    <w:rsid w:val="00F203F0"/>
    <w:pPr>
      <w:spacing w:after="0" w:line="240" w:lineRule="auto"/>
    </w:pPr>
    <w:rPr>
      <w:rFonts w:eastAsia="MS Mincho"/>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E54BA"/>
    <w:rPr>
      <w:i/>
      <w:iCs/>
    </w:rPr>
  </w:style>
  <w:style w:type="character" w:styleId="CommentReference">
    <w:name w:val="annotation reference"/>
    <w:basedOn w:val="DefaultParagraphFont"/>
    <w:uiPriority w:val="99"/>
    <w:semiHidden/>
    <w:unhideWhenUsed/>
    <w:rsid w:val="002072FA"/>
    <w:rPr>
      <w:sz w:val="16"/>
      <w:szCs w:val="16"/>
    </w:rPr>
  </w:style>
  <w:style w:type="paragraph" w:styleId="CommentText">
    <w:name w:val="annotation text"/>
    <w:basedOn w:val="Normal"/>
    <w:link w:val="CommentTextChar"/>
    <w:uiPriority w:val="99"/>
    <w:unhideWhenUsed/>
    <w:rsid w:val="002072FA"/>
    <w:pPr>
      <w:spacing w:line="240" w:lineRule="auto"/>
    </w:pPr>
    <w:rPr>
      <w:sz w:val="20"/>
      <w:szCs w:val="20"/>
    </w:rPr>
  </w:style>
  <w:style w:type="character" w:customStyle="1" w:styleId="CommentTextChar">
    <w:name w:val="Comment Text Char"/>
    <w:basedOn w:val="DefaultParagraphFont"/>
    <w:link w:val="CommentText"/>
    <w:uiPriority w:val="99"/>
    <w:rsid w:val="002072FA"/>
    <w:rPr>
      <w:rFonts w:eastAsia="MS Mincho"/>
      <w:sz w:val="20"/>
      <w:szCs w:val="20"/>
      <w:lang w:val="en-GB"/>
    </w:rPr>
  </w:style>
  <w:style w:type="paragraph" w:styleId="CommentSubject">
    <w:name w:val="annotation subject"/>
    <w:basedOn w:val="CommentText"/>
    <w:next w:val="CommentText"/>
    <w:link w:val="CommentSubjectChar"/>
    <w:uiPriority w:val="99"/>
    <w:semiHidden/>
    <w:unhideWhenUsed/>
    <w:rsid w:val="002072FA"/>
    <w:rPr>
      <w:b/>
      <w:bCs/>
    </w:rPr>
  </w:style>
  <w:style w:type="character" w:customStyle="1" w:styleId="CommentSubjectChar">
    <w:name w:val="Comment Subject Char"/>
    <w:basedOn w:val="CommentTextChar"/>
    <w:link w:val="CommentSubject"/>
    <w:uiPriority w:val="99"/>
    <w:semiHidden/>
    <w:rsid w:val="002072FA"/>
    <w:rPr>
      <w:rFonts w:eastAsia="MS Mincho"/>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0D5D4-FF03-4A47-8530-B59CD8CC6CC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85</TotalTime>
  <Pages>7</Pages>
  <Words>2288</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Drejtoria Juridike</dc:creator>
  <cp:keywords/>
  <dc:description/>
  <cp:lastModifiedBy>Drejtoria Juridike</cp:lastModifiedBy>
  <cp:revision>10</cp:revision>
  <dcterms:created xsi:type="dcterms:W3CDTF">2026-09-09T08:17:00Z</dcterms:created>
  <dcterms:modified xsi:type="dcterms:W3CDTF">2026-09-15T12:51:00Z</dcterms:modified>
</cp:coreProperties>
</file>