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7" w:rightFromText="187" w:topFromText="0" w:bottomFromText="0" w:vertAnchor="page" w:horzAnchor="margin" w:tblpX="0" w:tblpY="1758"/>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4645"/>
        <w:tblGridChange w:id="0">
          <w:tblGrid>
            <w:gridCol w:w="5070"/>
            <w:gridCol w:w="464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2">
            <w:pPr>
              <w:spacing w:line="276" w:lineRule="auto"/>
              <w:rPr>
                <w:b w:val="1"/>
                <w:bCs w:val="1"/>
              </w:rPr>
            </w:pPr>
            <w:r w:rsidDel="00000000" w:rsidR="00000000" w:rsidRPr="00000000">
              <w:rPr>
                <w:b w:val="1"/>
                <w:bCs w:val="1"/>
                <w:rtl w:val="0"/>
              </w:rPr>
              <w:t xml:space="preserve">RAPORTI I VLERËSIMIT TË NDIKIMIT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4">
            <w:pPr>
              <w:spacing w:line="276" w:lineRule="auto"/>
              <w:rPr>
                <w:b w:val="1"/>
                <w:bCs w:val="1"/>
              </w:rPr>
            </w:pPr>
            <w:r w:rsidDel="00000000" w:rsidR="00000000" w:rsidRPr="00000000">
              <w:rPr>
                <w:b w:val="1"/>
                <w:bCs w:val="1"/>
                <w:rtl w:val="0"/>
              </w:rPr>
              <w:t xml:space="preserve">EMËRTIMI I PROPOZIMIT TË POLITIKËS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5">
            <w:pPr>
              <w:spacing w:line="276" w:lineRule="auto"/>
              <w:rPr>
                <w:b w:val="1"/>
                <w:bCs w:val="1"/>
              </w:rPr>
            </w:pPr>
            <w:r w:rsidDel="00000000" w:rsidR="00000000" w:rsidRPr="00000000">
              <w:rPr>
                <w:rtl w:val="0"/>
              </w:rPr>
              <w:t xml:space="preserve">Projekt  për ...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6">
            <w:pPr>
              <w:spacing w:line="276" w:lineRule="auto"/>
              <w:rPr>
                <w:b w:val="1"/>
                <w:bCs w:val="1"/>
              </w:rPr>
            </w:pPr>
            <w:r w:rsidDel="00000000" w:rsidR="00000000" w:rsidRPr="00000000">
              <w:rPr>
                <w:b w:val="1"/>
                <w:bCs w:val="1"/>
                <w:rtl w:val="0"/>
              </w:rPr>
              <w:t xml:space="preserve">MINISTRIA UDHËHEQËSE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7">
            <w:pPr>
              <w:spacing w:line="276" w:lineRule="auto"/>
              <w:rPr/>
            </w:pPr>
            <w:r w:rsidDel="00000000" w:rsidR="00000000" w:rsidRPr="00000000">
              <w:rPr>
                <w:rtl w:val="0"/>
              </w:rPr>
              <w:t xml:space="preserve">Ministria e Ekonomisë dhe Inovacionit  </w:t>
            </w:r>
            <w:bookmarkStart w:colFirst="0" w:colLast="0" w:name="bookmark=id.ddf9m4lu75n2" w:id="0"/>
            <w:bookmarkEnd w:id="0"/>
            <w:r w:rsidDel="00000000" w:rsidR="00000000" w:rsidRPr="00000000">
              <w:rPr>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8">
            <w:pPr>
              <w:spacing w:line="276" w:lineRule="auto"/>
              <w:rPr>
                <w:b w:val="1"/>
                <w:bCs w:val="1"/>
              </w:rPr>
            </w:pPr>
            <w:r w:rsidDel="00000000" w:rsidR="00000000" w:rsidRPr="00000000">
              <w:rPr>
                <w:b w:val="1"/>
                <w:bCs w:val="1"/>
                <w:rtl w:val="0"/>
              </w:rPr>
              <w:t xml:space="preserve">FAZA E POLITIKËS/VLERËSIMIT TË NDIKIMIT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9">
            <w:pPr>
              <w:spacing w:line="276" w:lineRule="auto"/>
              <w:rPr/>
            </w:pPr>
            <w:r w:rsidDel="00000000" w:rsidR="00000000" w:rsidRPr="00000000">
              <w:rPr>
                <w:rFonts w:ascii="Times New Roman" w:cs="Times New Roman" w:eastAsia="Times New Roman" w:hAnsi="Times New Roman"/>
                <w:color w:val="000000"/>
                <w:sz w:val="24"/>
                <w:szCs w:val="24"/>
                <w:rtl w:val="0"/>
              </w:rPr>
              <w:t xml:space="preserve">Zhvillim/Konsultim/Finale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A">
            <w:pPr>
              <w:spacing w:line="276" w:lineRule="auto"/>
              <w:rPr>
                <w:b w:val="1"/>
                <w:bCs w:val="1"/>
              </w:rPr>
            </w:pPr>
            <w:r w:rsidDel="00000000" w:rsidR="00000000" w:rsidRPr="00000000">
              <w:rPr>
                <w:b w:val="1"/>
                <w:bCs w:val="1"/>
                <w:rtl w:val="0"/>
              </w:rPr>
              <w:t xml:space="preserve">BURIMI I PROPOZIMIT TË POLITIKËS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B">
            <w:pPr>
              <w:spacing w:line="276" w:lineRule="auto"/>
              <w:jc w:val="both"/>
              <w:rPr/>
            </w:pPr>
            <w:r w:rsidDel="00000000" w:rsidR="00000000" w:rsidRPr="00000000">
              <w:rPr>
                <w:rtl w:val="0"/>
              </w:rPr>
            </w:r>
          </w:p>
        </w:tc>
      </w:tr>
      <w:tr>
        <w:trPr>
          <w:cantSplit w:val="0"/>
          <w:trHeight w:val="557" w:hRule="atLeast"/>
          <w:tblHeader w:val="0"/>
        </w:trPr>
        <w:tc>
          <w:tcPr>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C">
            <w:pPr>
              <w:spacing w:line="276" w:lineRule="auto"/>
              <w:rPr>
                <w:b w:val="1"/>
                <w:bCs w:val="1"/>
              </w:rPr>
            </w:pPr>
            <w:r w:rsidDel="00000000" w:rsidR="00000000" w:rsidRPr="00000000">
              <w:rPr>
                <w:b w:val="1"/>
                <w:bCs w:val="1"/>
                <w:rtl w:val="0"/>
              </w:rPr>
              <w:t xml:space="preserve">DIREKTIVË/RREGULLORE E BE-së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D">
            <w:pPr>
              <w:spacing w:line="276" w:lineRule="auto"/>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   Transpozimi i plotë me Rregulloren e BE 2023/1114/EU “Për Tregjet e Kripto-Aseteve”. </w:t>
            </w:r>
          </w:p>
          <w:p w:rsidR="00000000" w:rsidDel="00000000" w:rsidP="00000000" w:rsidRDefault="00000000" w:rsidRPr="00000000" w14:paraId="0000000E">
            <w:pPr>
              <w:spacing w:line="276" w:lineRule="auto"/>
              <w:rPr>
                <w:b w:val="1"/>
                <w:bCs w:val="1"/>
              </w:rPr>
            </w:pPr>
            <w:r w:rsidDel="00000000" w:rsidR="00000000" w:rsidRPr="00000000">
              <w:rPr>
                <w:rtl w:val="0"/>
              </w:rPr>
              <w:t xml:space="preserve">     </w:t>
            </w:r>
            <w:r w:rsidDel="00000000" w:rsidR="00000000" w:rsidRPr="00000000">
              <w:rPr>
                <w:rFonts w:ascii="Times New Roman" w:cs="Times New Roman" w:eastAsia="Times New Roman" w:hAnsi="Times New Roman"/>
                <w:b w:val="0"/>
                <w:bCs w:val="0"/>
                <w:color w:val="000000"/>
                <w:sz w:val="24"/>
                <w:szCs w:val="24"/>
                <w:rtl w:val="0"/>
              </w:rPr>
              <w:t xml:space="preserve">  </w:t>
            </w:r>
            <w:r w:rsidDel="00000000" w:rsidR="00000000" w:rsidRPr="00000000">
              <w:rPr>
                <w:rtl w:val="0"/>
              </w:rPr>
            </w:r>
          </w:p>
        </w:tc>
      </w:tr>
      <w:tr>
        <w:trPr>
          <w:cantSplit w:val="0"/>
          <w:trHeight w:val="980" w:hRule="atLeast"/>
          <w:tblHeader w:val="0"/>
        </w:trPr>
        <w:tc>
          <w:tcPr>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00F">
            <w:pPr>
              <w:spacing w:line="276" w:lineRule="auto"/>
              <w:rPr>
                <w:b w:val="1"/>
                <w:bCs w:val="1"/>
              </w:rPr>
            </w:pPr>
            <w:r w:rsidDel="00000000" w:rsidR="00000000" w:rsidRPr="00000000">
              <w:rPr>
                <w:b w:val="1"/>
                <w:bCs w:val="1"/>
                <w:rtl w:val="0"/>
              </w:rPr>
              <w:t xml:space="preserve">PUBLIKIMET DHE STRATEGJITË E LIDHURA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0">
            <w:pPr>
              <w:spacing w:line="276" w:lineRule="auto"/>
              <w:jc w:val="both"/>
              <w:rPr/>
            </w:pPr>
            <w:r w:rsidDel="00000000" w:rsidR="00000000" w:rsidRPr="00000000">
              <w:rPr>
                <w:rtl w:val="0"/>
              </w:rPr>
              <w:t xml:space="preserve">Strategjia e Autoritetit të Mbikëqyrjes Financiare 2023–2027, e miratuar më 27 prill 2023, me Vendimin nr. 266 të Këshillit të Ministrave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1">
            <w:pPr>
              <w:spacing w:line="276" w:lineRule="auto"/>
              <w:rPr>
                <w:b w:val="1"/>
                <w:bCs w:val="1"/>
              </w:rPr>
            </w:pPr>
            <w:r w:rsidDel="00000000" w:rsidR="00000000" w:rsidRPr="00000000">
              <w:rPr>
                <w:b w:val="1"/>
                <w:bCs w:val="1"/>
                <w:rtl w:val="0"/>
              </w:rPr>
              <w:t xml:space="preserve">DATA E KONSULTIMIT PUBLIK</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2">
            <w:pPr>
              <w:spacing w:line="276" w:lineRule="auto"/>
              <w:rPr/>
            </w:pPr>
            <w:r w:rsidDel="00000000" w:rsidR="00000000" w:rsidRPr="00000000">
              <w:rPr>
                <w:rtl w:val="0"/>
              </w:rPr>
              <w:t xml:space="preserve">27/11/2025</w:t>
            </w:r>
          </w:p>
        </w:tc>
      </w:tr>
      <w:tr>
        <w:trPr>
          <w:cantSplit w:val="0"/>
          <w:tblHeader w:val="0"/>
        </w:trPr>
        <w:tc>
          <w:tcPr>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3">
            <w:pPr>
              <w:spacing w:line="276" w:lineRule="auto"/>
              <w:rPr>
                <w:b w:val="1"/>
                <w:bCs w:val="1"/>
              </w:rPr>
            </w:pPr>
            <w:r w:rsidDel="00000000" w:rsidR="00000000" w:rsidRPr="00000000">
              <w:rPr>
                <w:b w:val="1"/>
                <w:bCs w:val="1"/>
                <w:rtl w:val="0"/>
              </w:rPr>
              <w:t xml:space="preserve">DATA E VLERËSIMIT TË NDIKIMIT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4">
            <w:pPr>
              <w:spacing w:line="276" w:lineRule="auto"/>
              <w:jc w:val="both"/>
              <w:rPr/>
            </w:pPr>
            <w:r w:rsidDel="00000000" w:rsidR="00000000" w:rsidRPr="00000000">
              <w:rPr>
                <w:rtl w:val="0"/>
              </w:rPr>
              <w:t xml:space="preserve">15/01/2026</w:t>
            </w:r>
          </w:p>
        </w:tc>
      </w:tr>
      <w:tr>
        <w:trPr>
          <w:cantSplit w:val="0"/>
          <w:tblHeader w:val="0"/>
        </w:trPr>
        <w:tc>
          <w:tcPr>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5">
            <w:pPr>
              <w:spacing w:line="276" w:lineRule="auto"/>
              <w:rPr>
                <w:b w:val="1"/>
                <w:bCs w:val="1"/>
              </w:rPr>
            </w:pPr>
            <w:r w:rsidDel="00000000" w:rsidR="00000000" w:rsidRPr="00000000">
              <w:rPr>
                <w:b w:val="1"/>
                <w:bCs w:val="1"/>
                <w:rtl w:val="0"/>
              </w:rPr>
              <w:t xml:space="preserve">A E KA SHQYRTUAR KRYEMINISTRIA VLERËSIMIN E NDIKIMIT? </w:t>
            </w:r>
          </w:p>
          <w:p w:rsidR="00000000" w:rsidDel="00000000" w:rsidP="00000000" w:rsidRDefault="00000000" w:rsidRPr="00000000" w14:paraId="00000016">
            <w:pPr>
              <w:spacing w:line="276" w:lineRule="auto"/>
              <w:rPr>
                <w:b w:val="1"/>
                <w:bCs w:val="1"/>
              </w:rPr>
            </w:pPr>
            <w:r w:rsidDel="00000000" w:rsidR="00000000" w:rsidRPr="00000000">
              <w:rPr>
                <w:b w:val="1"/>
                <w:bCs w:val="1"/>
                <w:rtl w:val="0"/>
              </w:rPr>
              <w:t xml:space="preserve">NËSE PO, JEPNI DATËN E SHQYRTIMIT</w:t>
            </w:r>
          </w:p>
        </w:tc>
        <w:tc>
          <w:tcPr>
            <w:tcBorders>
              <w:top w:color="000000" w:space="0" w:sz="4" w:val="single"/>
              <w:left w:color="000000" w:space="0" w:sz="4" w:val="single"/>
              <w:bottom w:color="000000" w:space="0" w:sz="4" w:val="single"/>
              <w:right w:color="000000" w:space="0" w:sz="4" w:val="single"/>
            </w:tcBorders>
            <w:shd w:fill="d9d9d9" w:val="clear"/>
          </w:tcPr>
          <w:bookmarkStart w:colFirst="0" w:colLast="0" w:name="bookmark=id.z4yqzghea35i" w:id="1"/>
          <w:bookmarkEnd w:id="1"/>
          <w:p w:rsidR="00000000" w:rsidDel="00000000" w:rsidP="00000000" w:rsidRDefault="00000000" w:rsidRPr="00000000" w14:paraId="00000017">
            <w:pPr>
              <w:spacing w:line="276" w:lineRule="auto"/>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018">
            <w:pPr>
              <w:tabs>
                <w:tab w:val="left" w:leader="none" w:pos="795"/>
              </w:tabs>
              <w:spacing w:line="276" w:lineRule="auto"/>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9">
            <w:pPr>
              <w:spacing w:line="276" w:lineRule="auto"/>
              <w:rPr>
                <w:b w:val="1"/>
                <w:bCs w:val="1"/>
              </w:rPr>
            </w:pPr>
            <w:r w:rsidDel="00000000" w:rsidR="00000000" w:rsidRPr="00000000">
              <w:rPr>
                <w:b w:val="1"/>
                <w:bCs w:val="1"/>
                <w:rtl w:val="0"/>
              </w:rPr>
              <w:t xml:space="preserve">NUMRI I VLERËSIMIT TË NDIKIMIT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A">
            <w:pPr>
              <w:spacing w:line="276" w:lineRule="auto"/>
              <w:rPr/>
            </w:pPr>
            <w:r w:rsidDel="00000000" w:rsidR="00000000" w:rsidRPr="00000000">
              <w:rPr>
                <w:rtl w:val="0"/>
              </w:rPr>
              <w:t xml:space="preserve">Viti 2025 ML</w:t>
            </w:r>
            <w:r w:rsidDel="00000000" w:rsidR="00000000" w:rsidRPr="00000000">
              <w:rPr>
                <w:rFonts w:ascii="Times New Roman" w:cs="Times New Roman" w:eastAsia="Times New Roman" w:hAnsi="Times New Roman"/>
                <w:b w:val="0"/>
                <w:bCs w:val="0"/>
                <w:color w:val="000000"/>
                <w:sz w:val="24"/>
                <w:szCs w:val="24"/>
                <w:rtl w:val="0"/>
              </w:rPr>
              <w:t xml:space="preserve">  </w:t>
            </w:r>
            <w:r w:rsidDel="00000000" w:rsidR="00000000" w:rsidRPr="00000000">
              <w:rPr>
                <w:rtl w:val="0"/>
              </w:rPr>
              <w:t xml:space="preserve">–  Nr. VN</w:t>
            </w:r>
            <w:r w:rsidDel="00000000" w:rsidR="00000000" w:rsidRPr="00000000">
              <w:rPr>
                <w:rFonts w:ascii="Times New Roman" w:cs="Times New Roman" w:eastAsia="Times New Roman" w:hAnsi="Times New Roman"/>
                <w:b w:val="0"/>
                <w:bCs w:val="0"/>
                <w:color w:val="000000"/>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B">
            <w:pPr>
              <w:spacing w:line="276" w:lineRule="auto"/>
              <w:rPr>
                <w:b w:val="1"/>
                <w:bCs w:val="1"/>
              </w:rPr>
            </w:pPr>
            <w:r w:rsidDel="00000000" w:rsidR="00000000" w:rsidRPr="00000000">
              <w:rPr>
                <w:b w:val="1"/>
                <w:bCs w:val="1"/>
                <w:rtl w:val="0"/>
              </w:rPr>
              <w:t xml:space="preserve">TE DHËNA KONTAKTI </w:t>
            </w:r>
          </w:p>
          <w:p w:rsidR="00000000" w:rsidDel="00000000" w:rsidP="00000000" w:rsidRDefault="00000000" w:rsidRPr="00000000" w14:paraId="0000001C">
            <w:pPr>
              <w:spacing w:line="276" w:lineRule="auto"/>
              <w:rPr>
                <w:b w:val="1"/>
                <w:bCs w:val="1"/>
              </w:rPr>
            </w:pPr>
            <w:r w:rsidDel="00000000" w:rsidR="00000000" w:rsidRPr="00000000">
              <w:rPr>
                <w:b w:val="1"/>
                <w:bCs w:val="1"/>
                <w:rtl w:val="0"/>
              </w:rPr>
              <w:t xml:space="preserve">(EMRI, E-MAIL, NUMRI I TELEFONIT TË PERSONIT TË KONTAKTIT)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D">
            <w:pPr>
              <w:spacing w:line="276" w:lineRule="auto"/>
              <w:jc w:val="both"/>
              <w:rPr/>
            </w:pPr>
            <w:r w:rsidDel="00000000" w:rsidR="00000000" w:rsidRPr="00000000">
              <w:rPr>
                <w:rtl w:val="0"/>
              </w:rPr>
            </w:r>
          </w:p>
          <w:p w:rsidR="00000000" w:rsidDel="00000000" w:rsidP="00000000" w:rsidRDefault="00000000" w:rsidRPr="00000000" w14:paraId="0000001E">
            <w:pPr>
              <w:spacing w:line="276" w:lineRule="auto"/>
              <w:jc w:val="both"/>
              <w:rPr/>
            </w:pPr>
            <w:r w:rsidDel="00000000" w:rsidR="00000000" w:rsidRPr="00000000">
              <w:rPr>
                <w:rtl w:val="0"/>
              </w:rPr>
              <w:t xml:space="preserve"> marsida.mucanji@ekonomia.gov.al</w:t>
            </w:r>
          </w:p>
        </w:tc>
      </w:tr>
      <w:tr>
        <w:trPr>
          <w:cantSplit w:val="0"/>
          <w:trHeight w:val="16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line="276" w:lineRule="auto"/>
              <w:jc w:val="both"/>
              <w:rPr>
                <w:b w:val="1"/>
                <w:bCs w:val="1"/>
              </w:rPr>
            </w:pPr>
            <w:r w:rsidDel="00000000" w:rsidR="00000000" w:rsidRPr="00000000">
              <w:rPr>
                <w:rtl w:val="0"/>
              </w:rPr>
            </w:r>
          </w:p>
        </w:tc>
      </w:tr>
      <w:tr>
        <w:trPr>
          <w:cantSplit w:val="0"/>
          <w:trHeight w:val="353"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21">
            <w:pPr>
              <w:spacing w:line="276" w:lineRule="auto"/>
              <w:jc w:val="both"/>
              <w:rPr>
                <w:b w:val="1"/>
                <w:bCs w:val="1"/>
              </w:rPr>
            </w:pPr>
            <w:r w:rsidDel="00000000" w:rsidR="00000000" w:rsidRPr="00000000">
              <w:rPr>
                <w:b w:val="1"/>
                <w:bCs w:val="1"/>
                <w:rtl w:val="0"/>
              </w:rPr>
              <w:t xml:space="preserve">PJESA 1: PËRMBLEDHJE EKZEKUTIVE (maksimumi 2 faqe)</w:t>
            </w:r>
          </w:p>
        </w:tc>
      </w:tr>
      <w:tr>
        <w:trPr>
          <w:cantSplit w:val="0"/>
          <w:trHeight w:val="55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line="276" w:lineRule="auto"/>
              <w:jc w:val="both"/>
              <w:rPr>
                <w:b w:val="1"/>
                <w:bCs w:val="1"/>
              </w:rPr>
            </w:pPr>
            <w:r w:rsidDel="00000000" w:rsidR="00000000" w:rsidRPr="00000000">
              <w:rPr>
                <w:b w:val="1"/>
                <w:bCs w:val="1"/>
                <w:rtl w:val="0"/>
              </w:rPr>
              <w:t xml:space="preserve">PËRKUFIZIMI I PROBLEMIT</w:t>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Problemi në shqyrtim lidhet me zhvillimin e shpejtë të tregjeve të kripto-aseteve në kushtet e mungesës së një kuadri të plotë rregullator për shumë veprimtari dhe shërbime, gjë që i lë zotëruesit e kripto-aseteve të potencialisht të ekspozuar ndaj rreziqeve të shumëfishta, përfshirë këtu cënimin e integritetit të tregut dhe përdorimin e tyre në funksion të krimeve financiare. </w:t>
              <w:br w:type="textWrapping"/>
            </w:r>
          </w:p>
          <w:p w:rsidR="00000000" w:rsidDel="00000000" w:rsidP="00000000" w:rsidRDefault="00000000" w:rsidRPr="00000000" w14:paraId="00000026">
            <w:pPr>
              <w:spacing w:line="276" w:lineRule="auto"/>
              <w:rPr/>
            </w:pPr>
            <w:r w:rsidDel="00000000" w:rsidR="00000000" w:rsidRPr="00000000">
              <w:rPr>
                <w:rtl w:val="0"/>
              </w:rPr>
              <w:t xml:space="preserve">Vetitë pseudonimizuese të transaksioneve të lidhura me kripto-asetet vështirësojnë identifikimin e palëve dhe historikun e transaksioneve, çka rrit rreziqet e keqpërdorimit të tyre. Gjithashtu, çmimet e kripto-aseteve janë shumë të paqëndrueshme dhe ndërprerjet operative të platformave mund t’u mohojnë klientëve aksesin në fonde ose në tregtim, duke sjellë humbje të konsiderueshme si rezultat i luhatjeve të tregut. </w:t>
              <w:br w:type="textWrapping"/>
            </w:r>
          </w:p>
          <w:p w:rsidR="00000000" w:rsidDel="00000000" w:rsidP="00000000" w:rsidRDefault="00000000" w:rsidRPr="00000000" w14:paraId="00000027">
            <w:pPr>
              <w:spacing w:line="276" w:lineRule="auto"/>
              <w:rPr/>
            </w:pPr>
            <w:r w:rsidDel="00000000" w:rsidR="00000000" w:rsidRPr="00000000">
              <w:rPr>
                <w:rtl w:val="0"/>
              </w:rPr>
              <w:t xml:space="preserve">Tregjet e kripto-aseteve janë të cënueshme nga mashtrimet financiare dhe sulmet kibernetike, veçanërisht në mungesë të standardeve minimale të sigurisë, transparencës, dhe mekanizmave efektivë të ankimimit. Si rrjedhojë, integriteti këtyre tregjeve mund të cënohet nga praktikat abuzuese me tregun si tregtimi i brendshëm dhe/ose manipulimi i tregut (sinjale të rreme për vëllimin ose çmimin e tregtimit, praktikat “</w:t>
            </w:r>
            <w:r w:rsidDel="00000000" w:rsidR="00000000" w:rsidRPr="00000000">
              <w:rPr>
                <w:i w:val="1"/>
                <w:iCs w:val="1"/>
                <w:rtl w:val="0"/>
              </w:rPr>
              <w:t xml:space="preserve">pump and dump</w:t>
            </w:r>
            <w:r w:rsidDel="00000000" w:rsidR="00000000" w:rsidRPr="00000000">
              <w:rPr>
                <w:rtl w:val="0"/>
              </w:rPr>
              <w:t xml:space="preserve">”, </w:t>
            </w:r>
            <w:r w:rsidDel="00000000" w:rsidR="00000000" w:rsidRPr="00000000">
              <w:rPr>
                <w:i w:val="1"/>
                <w:iCs w:val="1"/>
                <w:rtl w:val="0"/>
              </w:rPr>
              <w:t xml:space="preserve">spoofing</w:t>
            </w:r>
            <w:r w:rsidDel="00000000" w:rsidR="00000000" w:rsidRPr="00000000">
              <w:rPr>
                <w:rtl w:val="0"/>
              </w:rPr>
              <w:t xml:space="preserve">), duke ndikuar në formimin e drejtë të çmimit dhe besimin e publikut. </w:t>
              <w:br w:type="textWrapping"/>
            </w:r>
          </w:p>
          <w:p w:rsidR="00000000" w:rsidDel="00000000" w:rsidP="00000000" w:rsidRDefault="00000000" w:rsidRPr="00000000" w14:paraId="00000028">
            <w:pPr>
              <w:spacing w:line="276" w:lineRule="auto"/>
              <w:rPr/>
            </w:pPr>
            <w:r w:rsidDel="00000000" w:rsidR="00000000" w:rsidRPr="00000000">
              <w:rPr>
                <w:rtl w:val="0"/>
              </w:rPr>
              <w:t xml:space="preserve">Në këtë kuadër, ndërhyrja ligjore është e nevojshme për të vendosur një kuadër gjithëpërfshirës për emetimin dhe shërbimet e lidhura me kripto-asetet, të përafruar me acquis të BE-së, dhe për të garantuar mbrojtje të interesave të investitorëve, integritetin e tregut, sigurinë kibernetike dhe masat kundër pastrimit të parave dhe financimit të terrorizmit.</w:t>
            </w:r>
          </w:p>
          <w:p w:rsidR="00000000" w:rsidDel="00000000" w:rsidP="00000000" w:rsidRDefault="00000000" w:rsidRPr="00000000" w14:paraId="00000029">
            <w:pPr>
              <w:rPr/>
            </w:pPr>
            <w:r w:rsidDel="00000000" w:rsidR="00000000" w:rsidRPr="00000000">
              <w:rPr>
                <w:rtl w:val="0"/>
              </w:rPr>
              <w:t xml:space="preserve"> </w:t>
            </w:r>
          </w:p>
        </w:tc>
      </w:tr>
      <w:tr>
        <w:trPr>
          <w:cantSplit w:val="0"/>
          <w:trHeight w:val="54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76" w:lineRule="auto"/>
              <w:jc w:val="both"/>
              <w:rPr>
                <w:b w:val="1"/>
                <w:bCs w:val="1"/>
                <w:i w:val="1"/>
                <w:iCs w:val="1"/>
              </w:rPr>
            </w:pPr>
            <w:r w:rsidDel="00000000" w:rsidR="00000000" w:rsidRPr="00000000">
              <w:rPr>
                <w:b w:val="1"/>
                <w:bCs w:val="1"/>
                <w:rtl w:val="0"/>
              </w:rPr>
              <w:t xml:space="preserve">OBJEKTIVAT</w:t>
            </w:r>
            <w:r w:rsidDel="00000000" w:rsidR="00000000" w:rsidRPr="00000000">
              <w:rPr>
                <w:rtl w:val="0"/>
              </w:rPr>
            </w:r>
          </w:p>
          <w:p w:rsidR="00000000" w:rsidDel="00000000" w:rsidP="00000000" w:rsidRDefault="00000000" w:rsidRPr="00000000" w14:paraId="0000002C">
            <w:pPr>
              <w:spacing w:line="276" w:lineRule="auto"/>
              <w:jc w:val="both"/>
              <w:rPr/>
            </w:pPr>
            <w:r w:rsidDel="00000000" w:rsidR="00000000" w:rsidRPr="00000000">
              <w:rPr>
                <w:rtl w:val="0"/>
              </w:rPr>
            </w:r>
          </w:p>
          <w:p w:rsidR="00000000" w:rsidDel="00000000" w:rsidP="00000000" w:rsidRDefault="00000000" w:rsidRPr="00000000" w14:paraId="0000002D">
            <w:pPr>
              <w:spacing w:line="276" w:lineRule="auto"/>
              <w:jc w:val="both"/>
              <w:rPr/>
            </w:pPr>
            <w:r w:rsidDel="00000000" w:rsidR="00000000" w:rsidRPr="00000000">
              <w:rPr>
                <w:rtl w:val="0"/>
              </w:rPr>
              <w:t xml:space="preserve">Projektligji ka si qëllim të rregullojë subjektet dhe veprimtaritë që lidhen me emetimin e kripto-aseteve dhe veprimtaritë e ndërmjetësimit të kripto-aseteve të tilla si operimi i një platforme tregtie, këmbimi, kujdestaria, marrja dhe transmetimi i urdhrave, ekzekutimi i urdhrave, hedhja në treg, transferta, këshillimi dhe administrimi i një portofoli kripto-asetesh. </w:t>
            </w:r>
          </w:p>
          <w:p w:rsidR="00000000" w:rsidDel="00000000" w:rsidP="00000000" w:rsidRDefault="00000000" w:rsidRPr="00000000" w14:paraId="0000002E">
            <w:pPr>
              <w:spacing w:line="276" w:lineRule="auto"/>
              <w:jc w:val="both"/>
              <w:rPr/>
            </w:pPr>
            <w:r w:rsidDel="00000000" w:rsidR="00000000" w:rsidRPr="00000000">
              <w:rPr>
                <w:rtl w:val="0"/>
              </w:rPr>
            </w:r>
          </w:p>
          <w:p w:rsidR="00000000" w:rsidDel="00000000" w:rsidP="00000000" w:rsidRDefault="00000000" w:rsidRPr="00000000" w14:paraId="0000002F">
            <w:pPr>
              <w:spacing w:line="276" w:lineRule="auto"/>
              <w:jc w:val="both"/>
              <w:rPr/>
            </w:pPr>
            <w:r w:rsidDel="00000000" w:rsidR="00000000" w:rsidRPr="00000000">
              <w:rPr>
                <w:rtl w:val="0"/>
              </w:rPr>
              <w:t xml:space="preserve">Projektligji synon garantimin e standardeve më të larta të mbrojtjes së investitorëve dhe integritetit të tregut, përmes kërkesave për kapital, rregullave dhe politikave të qeverisjes korporative, menaxhimit të konfliktit të interesit, masave të sigurisë kibernetike dhe operacionale, transparencës së dokumentit informues (</w:t>
            </w:r>
            <w:r w:rsidDel="00000000" w:rsidR="00000000" w:rsidRPr="00000000">
              <w:rPr>
                <w:i w:val="1"/>
                <w:iCs w:val="1"/>
                <w:rtl w:val="0"/>
              </w:rPr>
              <w:t xml:space="preserve">Ëhitepaper</w:t>
            </w:r>
            <w:r w:rsidDel="00000000" w:rsidR="00000000" w:rsidRPr="00000000">
              <w:rPr>
                <w:rtl w:val="0"/>
              </w:rPr>
              <w:t xml:space="preserve">), rregullave të marketingut, si dhe mekanizmave kundër abuzimit me tregun dhe parandalimit të pastrimit të parave.</w:t>
            </w:r>
          </w:p>
          <w:p w:rsidR="00000000" w:rsidDel="00000000" w:rsidP="00000000" w:rsidRDefault="00000000" w:rsidRPr="00000000" w14:paraId="00000030">
            <w:pPr>
              <w:spacing w:line="276" w:lineRule="auto"/>
              <w:jc w:val="both"/>
              <w:rPr/>
            </w:pPr>
            <w:r w:rsidDel="00000000" w:rsidR="00000000" w:rsidRPr="00000000">
              <w:rPr>
                <w:rtl w:val="0"/>
              </w:rPr>
            </w:r>
          </w:p>
          <w:p w:rsidR="00000000" w:rsidDel="00000000" w:rsidP="00000000" w:rsidRDefault="00000000" w:rsidRPr="00000000" w14:paraId="00000031">
            <w:pPr>
              <w:spacing w:line="276" w:lineRule="auto"/>
              <w:jc w:val="both"/>
              <w:rPr/>
            </w:pPr>
            <w:r w:rsidDel="00000000" w:rsidR="00000000" w:rsidRPr="00000000">
              <w:rPr>
                <w:rtl w:val="0"/>
              </w:rPr>
              <w:t xml:space="preserve">Në këtë frymë, ky projektligj synon të transpozojë plotësisht Rregulloren e BE 2023/1114/EU “Për Tregjet e Kripto-Aseteve”, e njohur si MiCA, si dhe të harmonizohet me kornizën ekzistuese për shërbimet e investimit, pagesave dhe parasë elektronike.</w:t>
            </w:r>
          </w:p>
          <w:p w:rsidR="00000000" w:rsidDel="00000000" w:rsidP="00000000" w:rsidRDefault="00000000" w:rsidRPr="00000000" w14:paraId="00000032">
            <w:pPr>
              <w:spacing w:line="276" w:lineRule="auto"/>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line="276" w:lineRule="auto"/>
              <w:jc w:val="both"/>
              <w:rPr>
                <w:b w:val="1"/>
                <w:bCs w:val="1"/>
              </w:rPr>
            </w:pPr>
            <w:r w:rsidDel="00000000" w:rsidR="00000000" w:rsidRPr="00000000">
              <w:rPr>
                <w:b w:val="1"/>
                <w:bCs w:val="1"/>
                <w:rtl w:val="0"/>
              </w:rPr>
              <w:t xml:space="preserve">OPSIONET E POLITIKAVE</w:t>
            </w:r>
          </w:p>
          <w:p w:rsidR="00000000" w:rsidDel="00000000" w:rsidP="00000000" w:rsidRDefault="00000000" w:rsidRPr="00000000" w14:paraId="00000036">
            <w:pPr>
              <w:spacing w:line="276" w:lineRule="auto"/>
              <w:jc w:val="both"/>
              <w:rPr>
                <w:b w:val="1"/>
                <w:bCs w:val="1"/>
              </w:rPr>
            </w:pPr>
            <w:r w:rsidDel="00000000" w:rsidR="00000000" w:rsidRPr="00000000">
              <w:rPr>
                <w:rtl w:val="0"/>
              </w:rPr>
            </w:r>
          </w:p>
          <w:p w:rsidR="00000000" w:rsidDel="00000000" w:rsidP="00000000" w:rsidRDefault="00000000" w:rsidRPr="00000000" w14:paraId="00000037">
            <w:pPr>
              <w:spacing w:line="276" w:lineRule="auto"/>
              <w:jc w:val="both"/>
              <w:rPr/>
            </w:pPr>
            <w:r w:rsidDel="00000000" w:rsidR="00000000" w:rsidRPr="00000000">
              <w:rPr>
                <w:b w:val="1"/>
                <w:bCs w:val="1"/>
                <w:rtl w:val="0"/>
              </w:rPr>
              <w:t xml:space="preserve">Opsioni 0 – Status quo:</w:t>
            </w:r>
            <w:r w:rsidDel="00000000" w:rsidR="00000000" w:rsidRPr="00000000">
              <w:rPr>
                <w:rtl w:val="0"/>
              </w:rPr>
              <w:t xml:space="preserve"> Të vijohet me kuadrin rregullator aktual. Ky opsion nuk sjell kosto financiare të menjëhershme dhe nuk kërkon angazhim shtesë institucional, por do të vijonte të linte të pazgjidhur boshllëkun ligjor për emetimin e tokenave të asetev edhe tokenave të parasë elektronike, si dhe ofrimin e shërbimeve të ndërmjetësimit, duke u ekspozuar ndaj rreziqeve të integritetit të treut, fragmentimit rregullator dhe pasigurisë për investitorët.</w:t>
            </w:r>
          </w:p>
          <w:p w:rsidR="00000000" w:rsidDel="00000000" w:rsidP="00000000" w:rsidRDefault="00000000" w:rsidRPr="00000000" w14:paraId="00000038">
            <w:pPr>
              <w:spacing w:line="276" w:lineRule="auto"/>
              <w:jc w:val="both"/>
              <w:rPr>
                <w:b w:val="1"/>
                <w:bCs w:val="1"/>
              </w:rPr>
            </w:pPr>
            <w:r w:rsidDel="00000000" w:rsidR="00000000" w:rsidRPr="00000000">
              <w:rPr>
                <w:rtl w:val="0"/>
              </w:rPr>
            </w:r>
          </w:p>
          <w:p w:rsidR="00000000" w:rsidDel="00000000" w:rsidP="00000000" w:rsidRDefault="00000000" w:rsidRPr="00000000" w14:paraId="00000039">
            <w:pPr>
              <w:spacing w:line="276" w:lineRule="auto"/>
              <w:jc w:val="both"/>
              <w:rPr/>
            </w:pPr>
            <w:r w:rsidDel="00000000" w:rsidR="00000000" w:rsidRPr="00000000">
              <w:rPr>
                <w:b w:val="1"/>
                <w:bCs w:val="1"/>
                <w:rtl w:val="0"/>
              </w:rPr>
              <w:t xml:space="preserve">Opsioni 1 – Ndryshime ligjore në ligjin 66/2020 “Për tregjet financiare të bazuara në teknologjinë e regjistrave të shpërndarë”:</w:t>
            </w:r>
            <w:r w:rsidDel="00000000" w:rsidR="00000000" w:rsidRPr="00000000">
              <w:rPr>
                <w:rtl w:val="0"/>
              </w:rPr>
              <w:t xml:space="preserve"> Të ndërhyhet në ligjin 66/2020 duke shtuar dispozita për ofruesit e shërbimeve të kripto-aseteve dhe emetuesit e tokenave të parasë elektronike. Përfitimi kryesor është përdorimi i një kuadri ekzistues dhe mundësia e një tranzicioni më të lehtë në afatshkurtër. Megjithatë, ky opsion bie ndesh me teknikën legjislative, pasi do të kërkonte ndryshime në mbi 50% të tekstit të ligjit. Gjithashtu do të rezultonte në një kuadër ligjor të paharmonizuar plotësisht me kuadrin ligjor të BE duke krijuar edhe rreziqe të fragmentimit dhe arbitrazhit rregullator.</w:t>
            </w:r>
          </w:p>
          <w:p w:rsidR="00000000" w:rsidDel="00000000" w:rsidP="00000000" w:rsidRDefault="00000000" w:rsidRPr="00000000" w14:paraId="0000003A">
            <w:pPr>
              <w:spacing w:line="276" w:lineRule="auto"/>
              <w:jc w:val="both"/>
              <w:rPr>
                <w:b w:val="1"/>
                <w:bCs w:val="1"/>
              </w:rPr>
            </w:pPr>
            <w:r w:rsidDel="00000000" w:rsidR="00000000" w:rsidRPr="00000000">
              <w:rPr>
                <w:rtl w:val="0"/>
              </w:rPr>
            </w:r>
          </w:p>
          <w:p w:rsidR="00000000" w:rsidDel="00000000" w:rsidP="00000000" w:rsidRDefault="00000000" w:rsidRPr="00000000" w14:paraId="0000003B">
            <w:pPr>
              <w:spacing w:line="276" w:lineRule="auto"/>
              <w:jc w:val="both"/>
              <w:rPr>
                <w:i w:val="1"/>
                <w:iCs w:val="1"/>
              </w:rPr>
            </w:pPr>
            <w:r w:rsidDel="00000000" w:rsidR="00000000" w:rsidRPr="00000000">
              <w:rPr>
                <w:b w:val="1"/>
                <w:bCs w:val="1"/>
                <w:rtl w:val="0"/>
              </w:rPr>
              <w:t xml:space="preserve">Opsioni 2 (i preferuar) – Përafrim i plotë me acquis të BE :</w:t>
            </w:r>
            <w:r w:rsidDel="00000000" w:rsidR="00000000" w:rsidRPr="00000000">
              <w:rPr>
                <w:rtl w:val="0"/>
              </w:rPr>
              <w:t xml:space="preserve"> Të miratohet një kuadër i posaçëm ligjor i cili transpozon në mënyrë të plotë të Rregulloren (BE) 2023/1114 “ Markets in Crypto-Assets” (MiCA), duke adresuar kështu edhe detyrimet që rrjedhin nga piketat mbyllëse të Grupkapitullit 2 (Tregu i brendshëm) në procesin e negociatave për anëtarësim në BE. Ky opsion garanton përafrim të plotë me acquis të BE-së, shmang fragmentimin rregullator dhe vendos standardet më të larta për mbrojtjen e investitorëve dhe integritetin e tregut, por nga ana tjetër kërkon burime dhe kapacitete më të larta institucionale për zbatim dhe mbikëqyrje.</w:t>
            </w:r>
            <w:r w:rsidDel="00000000" w:rsidR="00000000" w:rsidRPr="00000000">
              <w:rPr>
                <w:rtl w:val="0"/>
              </w:rPr>
            </w:r>
          </w:p>
          <w:p w:rsidR="00000000" w:rsidDel="00000000" w:rsidP="00000000" w:rsidRDefault="00000000" w:rsidRPr="00000000" w14:paraId="0000003C">
            <w:pPr>
              <w:spacing w:line="276" w:lineRule="auto"/>
              <w:jc w:val="both"/>
              <w:rPr>
                <w:i w:val="1"/>
                <w:iCs w:val="1"/>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line="276" w:lineRule="auto"/>
              <w:rPr>
                <w:b w:val="1"/>
                <w:bCs w:val="1"/>
              </w:rPr>
            </w:pPr>
            <w:r w:rsidDel="00000000" w:rsidR="00000000" w:rsidRPr="00000000">
              <w:rPr>
                <w:b w:val="1"/>
                <w:bCs w:val="1"/>
                <w:rtl w:val="0"/>
              </w:rPr>
              <w:t xml:space="preserve">ANALIZA E NDIKIMEVE</w:t>
            </w:r>
          </w:p>
          <w:p w:rsidR="00000000" w:rsidDel="00000000" w:rsidP="00000000" w:rsidRDefault="00000000" w:rsidRPr="00000000" w14:paraId="00000040">
            <w:pPr>
              <w:spacing w:line="276" w:lineRule="auto"/>
              <w:rPr>
                <w:i w:val="1"/>
                <w:iCs w:val="1"/>
              </w:rPr>
            </w:pPr>
            <w:r w:rsidDel="00000000" w:rsidR="00000000" w:rsidRPr="00000000">
              <w:rPr>
                <w:rtl w:val="0"/>
              </w:rPr>
              <w:t xml:space="preserve">Projektligji nuk ka ndikim financiar mbi Buxhetin e Shtetit, pasi zbatimi mbështetet në burimet vetëfinancuese të institucioneve përgjegjëse. Autoriteti i Mbikëqyrjes Financiare dhe Banka e Shqipërisë mbulojnë shpenzimet nga të ardhurat e tyre, pa kërkuar fonde publike. Për këtë arsye, zbatimi sigurohet përmes mekanizmave ekzistues financiarë dhe tarifave rregullatore.</w:t>
            </w:r>
            <w:r w:rsidDel="00000000" w:rsidR="00000000" w:rsidRPr="00000000">
              <w:rPr>
                <w:i w:val="1"/>
                <w:iCs w:val="1"/>
                <w:rtl w:val="0"/>
              </w:rPr>
              <w:t xml:space="preserve">     </w:t>
            </w:r>
          </w:p>
          <w:p w:rsidR="00000000" w:rsidDel="00000000" w:rsidP="00000000" w:rsidRDefault="00000000" w:rsidRPr="00000000" w14:paraId="00000041">
            <w:pPr>
              <w:spacing w:line="276" w:lineRule="auto"/>
              <w:rPr>
                <w:i w:val="1"/>
                <w:iCs w:val="1"/>
              </w:rPr>
            </w:pPr>
            <w:r w:rsidDel="00000000" w:rsidR="00000000" w:rsidRPr="00000000">
              <w:rPr>
                <w:rtl w:val="0"/>
              </w:rPr>
            </w:r>
          </w:p>
          <w:p w:rsidR="00000000" w:rsidDel="00000000" w:rsidP="00000000" w:rsidRDefault="00000000" w:rsidRPr="00000000" w14:paraId="00000042">
            <w:pPr>
              <w:spacing w:line="276" w:lineRule="auto"/>
              <w:rPr>
                <w:i w:val="1"/>
                <w:iCs w:val="1"/>
              </w:rPr>
            </w:pPr>
            <w:r w:rsidDel="00000000" w:rsidR="00000000" w:rsidRPr="00000000">
              <w:rPr>
                <w:rtl w:val="0"/>
              </w:rPr>
              <w:t xml:space="preserve">Subjektet e reja që synojnë të operojnë në tregjet e kripto-aseteve do t’i nështrohen kërkesave të autorizimit si tarifat e aplikimit dhe ato mbikëqyrëse, kapitali minimal rregullator sipas përcaktimeve të aneksit IV të ketij projektligji, kërkesave organizative të qeverisjes korporative, kontrollit të brendshëm, menaxhimit të rrezikut, sigurisë kibernetike, qëndrueshmërisë së sistemeve, si dhe detyrime raportimi. </w:t>
              <w:br w:type="textWrapping"/>
              <w:br w:type="textWrapping"/>
              <w:t xml:space="preserve">Bankat e nivelit të dytë dhe institucionet e parasë elektronike që zgjerojnë shërbimet do të duhet të përshtasin politikat dhe procedurat dhe modelet operacionale për shërbimet e lidhura me kripto-asetet si p.sh. emetimi, kujdestari, transferta, këmbimi, duke reflektuar kërkesat e pajtueshmërisë dhe mbrojtjes së klientit. Shoqëritë komisionere të cilat do të zgjerojnë shërbimet në këto tregje do të kenë kërkesa shtesë për procedura të listimit për tregtim, menaxhimin e konflikteve të interesit dhe transparencën ndaj klientit. </w:t>
              <w:br w:type="textWrapping"/>
              <w:br w:type="textWrapping"/>
              <w:t xml:space="preserve">Për klientët institucionalë dhe klientët joprofesionistë, kuadri i ri pritet të ulë rrezikun e ekspozimit ndaj ofertave mashtruese dhe praktikave abuzive, përmes standardizimit të informacionit para-kontraktual (</w:t>
            </w:r>
            <w:r w:rsidDel="00000000" w:rsidR="00000000" w:rsidRPr="00000000">
              <w:rPr>
                <w:i w:val="1"/>
                <w:iCs w:val="1"/>
                <w:rtl w:val="0"/>
              </w:rPr>
              <w:t xml:space="preserve">dokumenti informues</w:t>
            </w:r>
            <w:r w:rsidDel="00000000" w:rsidR="00000000" w:rsidRPr="00000000">
              <w:rPr>
                <w:rtl w:val="0"/>
              </w:rPr>
              <w:t xml:space="preserve">), rregullave të sjelljes dhe ndalimeve të abuzimit në treg  si tregtimi i brendshëm apo manipulimi i tregut. </w:t>
              <w:br w:type="textWrapping"/>
              <w:br w:type="textWrapping"/>
              <w:t xml:space="preserve">Në të njëjtën kohë, kërkesat e përputhshmërisë si kontrolli dhe verifikimi i klient, dokumentimi i transaksioneve dhe proceseve, filtrimi i veprimtarive promovuese dhe kontrollet në kuader të menaxhimit të riskut mund të rrisin kostot e shërbimit dhe të rezultojnë në vonesa potenciale të pranimit të klientëve, të cilat mund të ndikojnë çmimin ose tarifat finale të produkteve apo shërbimeve të ofruara ndaj klientëve.</w:t>
            </w:r>
            <w:r w:rsidDel="00000000" w:rsidR="00000000" w:rsidRPr="00000000">
              <w:rPr>
                <w:rtl w:val="0"/>
              </w:rPr>
            </w:r>
          </w:p>
          <w:p w:rsidR="00000000" w:rsidDel="00000000" w:rsidP="00000000" w:rsidRDefault="00000000" w:rsidRPr="00000000" w14:paraId="00000043">
            <w:pPr>
              <w:spacing w:line="276" w:lineRule="auto"/>
              <w:rPr>
                <w:i w:val="1"/>
                <w:iCs w:val="1"/>
              </w:rPr>
            </w:pPr>
            <w:r w:rsidDel="00000000" w:rsidR="00000000" w:rsidRPr="00000000">
              <w:rPr>
                <w:i w:val="1"/>
                <w:iCs w:val="1"/>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line="276" w:lineRule="auto"/>
              <w:jc w:val="both"/>
              <w:rPr>
                <w:b w:val="1"/>
                <w:bCs w:val="1"/>
              </w:rPr>
            </w:pPr>
            <w:r w:rsidDel="00000000" w:rsidR="00000000" w:rsidRPr="00000000">
              <w:rPr>
                <w:b w:val="1"/>
                <w:bCs w:val="1"/>
                <w:rtl w:val="0"/>
              </w:rPr>
              <w:t xml:space="preserve">ARSYETIMI I OPSIONIT TË PREFERUAR </w:t>
            </w:r>
          </w:p>
          <w:p w:rsidR="00000000" w:rsidDel="00000000" w:rsidP="00000000" w:rsidRDefault="00000000" w:rsidRPr="00000000" w14:paraId="00000046">
            <w:pPr>
              <w:spacing w:line="276" w:lineRule="auto"/>
              <w:jc w:val="both"/>
              <w:rPr>
                <w:i w:val="1"/>
                <w:iCs w:val="1"/>
              </w:rPr>
            </w:pPr>
            <w:r w:rsidDel="00000000" w:rsidR="00000000" w:rsidRPr="00000000">
              <w:rPr>
                <w:rtl w:val="0"/>
              </w:rPr>
            </w:r>
          </w:p>
          <w:p w:rsidR="00000000" w:rsidDel="00000000" w:rsidP="00000000" w:rsidRDefault="00000000" w:rsidRPr="00000000" w14:paraId="00000047">
            <w:pPr>
              <w:spacing w:line="276" w:lineRule="auto"/>
              <w:jc w:val="both"/>
              <w:rPr/>
            </w:pPr>
            <w:r w:rsidDel="00000000" w:rsidR="00000000" w:rsidRPr="00000000">
              <w:rPr>
                <w:rtl w:val="0"/>
              </w:rPr>
              <w:t xml:space="preserve">Opsioni 2 është përzgjedhur pasi siguron përafrim të plotë me </w:t>
            </w:r>
            <w:r w:rsidDel="00000000" w:rsidR="00000000" w:rsidRPr="00000000">
              <w:rPr>
                <w:i w:val="1"/>
                <w:iCs w:val="1"/>
                <w:rtl w:val="0"/>
              </w:rPr>
              <w:t xml:space="preserve">acquis</w:t>
            </w:r>
            <w:r w:rsidDel="00000000" w:rsidR="00000000" w:rsidRPr="00000000">
              <w:rPr>
                <w:rtl w:val="0"/>
              </w:rPr>
              <w:t xml:space="preserve"> të BE-së në fushën e kripto-aseteve, duke shmangur fragmentimin rregullator dhe duke rritur sigurinë juridike për tregun. Ky opsion vendos standardet më të larta të mbrojtjes së investitorëve, transparencës dhe integritetit të tregut, duke ulur rreziqet e mashtrimeve dhe abuzimit me tregun. Për më tepër, implentimi i opsionit 2 ndihmon institucionet shqiptare të përforcojnë standardet e tyre mbikëqyrëse përpara integrimit në tregjet financiare evropiane.</w:t>
            </w:r>
          </w:p>
          <w:p w:rsidR="00000000" w:rsidDel="00000000" w:rsidP="00000000" w:rsidRDefault="00000000" w:rsidRPr="00000000" w14:paraId="00000048">
            <w:pPr>
              <w:spacing w:line="276" w:lineRule="auto"/>
              <w:jc w:val="both"/>
              <w:rPr/>
            </w:pPr>
            <w:r w:rsidDel="00000000" w:rsidR="00000000" w:rsidRPr="00000000">
              <w:rPr>
                <w:rtl w:val="0"/>
              </w:rPr>
            </w:r>
          </w:p>
          <w:p w:rsidR="00000000" w:rsidDel="00000000" w:rsidP="00000000" w:rsidRDefault="00000000" w:rsidRPr="00000000" w14:paraId="00000049">
            <w:pPr>
              <w:spacing w:line="276" w:lineRule="auto"/>
              <w:jc w:val="both"/>
              <w:rPr/>
            </w:pPr>
            <w:r w:rsidDel="00000000" w:rsidR="00000000" w:rsidRPr="00000000">
              <w:rPr>
                <w:rtl w:val="0"/>
              </w:rPr>
              <w:t xml:space="preserve">Nga ana tjetër, kostot kryesore të këtij opsioni lidhen me ngritjen e kapaciteteve mbikëqyrëse nga ana e autoriteteve përgjegjëse (burime njerëzore, trajnime, sisteme IT, sisteme raportimi etj), si dhe kosto shtesë përputhshmërie për subjektet që dëshirojnë të ushtrojnë veprimtarinë në këto tregje.</w:t>
            </w:r>
          </w:p>
          <w:p w:rsidR="00000000" w:rsidDel="00000000" w:rsidP="00000000" w:rsidRDefault="00000000" w:rsidRPr="00000000" w14:paraId="0000004A">
            <w:pPr>
              <w:spacing w:line="276" w:lineRule="auto"/>
              <w:jc w:val="both"/>
              <w:rPr>
                <w:i w:val="1"/>
                <w:iCs w:val="1"/>
              </w:rPr>
            </w:pPr>
            <w:r w:rsidDel="00000000" w:rsidR="00000000" w:rsidRPr="00000000">
              <w:rPr>
                <w:i w:val="1"/>
                <w:iCs w:val="1"/>
                <w:rtl w:val="0"/>
              </w:rPr>
              <w:t xml:space="preserve">     </w:t>
            </w:r>
          </w:p>
          <w:p w:rsidR="00000000" w:rsidDel="00000000" w:rsidP="00000000" w:rsidRDefault="00000000" w:rsidRPr="00000000" w14:paraId="0000004B">
            <w:pPr>
              <w:spacing w:line="276" w:lineRule="auto"/>
              <w:jc w:val="both"/>
              <w:rPr>
                <w:b w:val="1"/>
                <w:bCs w:val="1"/>
              </w:rPr>
            </w:pPr>
            <w:r w:rsidDel="00000000" w:rsidR="00000000" w:rsidRPr="00000000">
              <w:rPr>
                <w:b w:val="1"/>
                <w:bCs w:val="1"/>
                <w:rtl w:val="0"/>
              </w:rPr>
              <w:t xml:space="preserve">Kostoja e përllogaritur në total e opsionit të preferuar mbi buxhetin e shtetit gjatë periudhës 3-vjeçare menjëherë pas miratimit të ligjit (kostoja në total në lek, çmimet aktuale, në terma nominalë):</w:t>
            </w:r>
          </w:p>
          <w:p w:rsidR="00000000" w:rsidDel="00000000" w:rsidP="00000000" w:rsidRDefault="00000000" w:rsidRPr="00000000" w14:paraId="0000004C">
            <w:pPr>
              <w:spacing w:line="276" w:lineRule="auto"/>
              <w:jc w:val="both"/>
              <w:rPr>
                <w:b w:val="1"/>
                <w:bCs w:val="1"/>
              </w:rPr>
            </w:pPr>
            <w:r w:rsidDel="00000000" w:rsidR="00000000" w:rsidRPr="00000000">
              <w:rPr>
                <w:rtl w:val="0"/>
              </w:rPr>
            </w:r>
          </w:p>
          <w:p w:rsidR="00000000" w:rsidDel="00000000" w:rsidP="00000000" w:rsidRDefault="00000000" w:rsidRPr="00000000" w14:paraId="0000004D">
            <w:pPr>
              <w:spacing w:line="276" w:lineRule="auto"/>
              <w:jc w:val="both"/>
              <w:rPr>
                <w:i w:val="1"/>
                <w:iCs w:val="1"/>
              </w:rPr>
            </w:pPr>
            <w:r w:rsidDel="00000000" w:rsidR="00000000" w:rsidRPr="00000000">
              <w:rPr>
                <w:color w:val="000000"/>
                <w:highlight w:val="white"/>
                <w:rtl w:val="0"/>
              </w:rPr>
              <w:t xml:space="preserve">Opsioni 2 </w:t>
            </w:r>
            <w:r w:rsidDel="00000000" w:rsidR="00000000" w:rsidRPr="00000000">
              <w:rPr>
                <w:rtl w:val="0"/>
              </w:rPr>
              <w:t xml:space="preserve">nuk ka ndikim financiar mbi buxhetin e shtetit, pasi zbatimi mbështetet në burimet vetëfinancuese të autoriteteve përgjegjëse, Autoriteti i Mbikëqyrjes Financiare dhe Banka e Shqipërisë. Për këtë arsye, zbatimi i këtij opsioni sigurohet përmes  mekanizmave vetëfinancues dhe dhe tarifave rregullatore të aplikueshme.</w:t>
            </w:r>
            <w:r w:rsidDel="00000000" w:rsidR="00000000" w:rsidRPr="00000000">
              <w:rPr>
                <w:i w:val="1"/>
                <w:iCs w:val="1"/>
                <w:rtl w:val="0"/>
              </w:rPr>
              <w:t xml:space="preserve">     </w:t>
            </w:r>
          </w:p>
          <w:p w:rsidR="00000000" w:rsidDel="00000000" w:rsidP="00000000" w:rsidRDefault="00000000" w:rsidRPr="00000000" w14:paraId="0000004E">
            <w:pPr>
              <w:spacing w:line="276" w:lineRule="auto"/>
              <w:jc w:val="both"/>
              <w:rPr>
                <w:b w:val="1"/>
                <w:bCs w:val="1"/>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line="276" w:lineRule="auto"/>
              <w:jc w:val="both"/>
              <w:rPr>
                <w:b w:val="1"/>
                <w:bCs w:val="1"/>
              </w:rPr>
            </w:pPr>
            <w:r w:rsidDel="00000000" w:rsidR="00000000" w:rsidRPr="00000000">
              <w:rPr>
                <w:b w:val="1"/>
                <w:bCs w:val="1"/>
                <w:rtl w:val="0"/>
              </w:rPr>
              <w:t xml:space="preserve">KONSULTIMI</w:t>
            </w:r>
          </w:p>
          <w:p w:rsidR="00000000" w:rsidDel="00000000" w:rsidP="00000000" w:rsidRDefault="00000000" w:rsidRPr="00000000" w14:paraId="00000051">
            <w:pPr>
              <w:spacing w:line="276" w:lineRule="auto"/>
              <w:jc w:val="both"/>
              <w:rPr>
                <w:i w:val="1"/>
                <w:iCs w:val="1"/>
              </w:rPr>
            </w:pPr>
            <w:r w:rsidDel="00000000" w:rsidR="00000000" w:rsidRPr="00000000">
              <w:rPr>
                <w:i w:val="1"/>
                <w:iCs w:val="1"/>
                <w:rtl w:val="0"/>
              </w:rPr>
              <w:t xml:space="preserve">Jepni një përmbledhje të çdo konsultimi të kryer (me kë dhe si jeni konsultuar? (jo më shumë se 5 rreshta)</w:t>
            </w:r>
          </w:p>
          <w:p w:rsidR="00000000" w:rsidDel="00000000" w:rsidP="00000000" w:rsidRDefault="00000000" w:rsidRPr="00000000" w14:paraId="00000052">
            <w:pPr>
              <w:spacing w:line="276" w:lineRule="auto"/>
              <w:jc w:val="both"/>
              <w:rPr>
                <w:i w:val="1"/>
                <w:iCs w:val="1"/>
              </w:rPr>
            </w:pPr>
            <w:r w:rsidDel="00000000" w:rsidR="00000000" w:rsidRPr="00000000">
              <w:rPr>
                <w:i w:val="1"/>
                <w:iCs w:val="1"/>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line="276" w:lineRule="auto"/>
              <w:jc w:val="both"/>
              <w:rPr>
                <w:b w:val="1"/>
                <w:bCs w:val="1"/>
              </w:rPr>
            </w:pPr>
            <w:r w:rsidDel="00000000" w:rsidR="00000000" w:rsidRPr="00000000">
              <w:rPr>
                <w:b w:val="1"/>
                <w:bCs w:val="1"/>
                <w:rtl w:val="0"/>
              </w:rPr>
              <w:t xml:space="preserve">ZBATIMI DHE MONITORIMI</w:t>
            </w:r>
          </w:p>
          <w:p w:rsidR="00000000" w:rsidDel="00000000" w:rsidP="00000000" w:rsidRDefault="00000000" w:rsidRPr="00000000" w14:paraId="00000055">
            <w:pPr>
              <w:spacing w:line="276" w:lineRule="auto"/>
              <w:jc w:val="both"/>
              <w:rPr>
                <w:i w:val="1"/>
                <w:iCs w:val="1"/>
              </w:rPr>
            </w:pPr>
            <w:r w:rsidDel="00000000" w:rsidR="00000000" w:rsidRPr="00000000">
              <w:rPr>
                <w:rtl w:val="0"/>
              </w:rPr>
              <w:t xml:space="preserve">Zbatimi i projektligjit do të kryhet nga Autoriteti i Mbikëqyrjes Financiare dhe Banka e Shqipërisë. AMF do të jetë përgjegjëse për mbikëqyrjen e emetuesve të tokenave të cilat nuk janë tokena të aseteve dhe tokena të parasë elektronike si dhe autorizimin dhe mbikëqyrjen e ofruesve të shërbimeve të kripto-aseteve, ndërsa Banka e Shqipërisë do të jetë përgjegjëse për autorizimin dhe mbikëqyrjen e emetuesve të tokenave të asetit dhe tokenave të parasë elektronike. </w:t>
            </w:r>
            <w:r w:rsidDel="00000000" w:rsidR="00000000" w:rsidRPr="00000000">
              <w:rPr>
                <w:rtl w:val="0"/>
              </w:rPr>
            </w:r>
          </w:p>
          <w:p w:rsidR="00000000" w:rsidDel="00000000" w:rsidP="00000000" w:rsidRDefault="00000000" w:rsidRPr="00000000" w14:paraId="00000056">
            <w:pPr>
              <w:spacing w:line="276" w:lineRule="auto"/>
              <w:jc w:val="both"/>
              <w:rPr>
                <w:i w:val="1"/>
                <w:iCs w:val="1"/>
              </w:rPr>
            </w:pPr>
            <w:r w:rsidDel="00000000" w:rsidR="00000000" w:rsidRPr="00000000">
              <w:rPr>
                <w:i w:val="1"/>
                <w:iCs w:val="1"/>
                <w:rtl w:val="0"/>
              </w:rPr>
              <w:t xml:space="preserve">     </w:t>
            </w:r>
          </w:p>
        </w:tc>
      </w:tr>
    </w:tbl>
    <w:p w:rsidR="00000000" w:rsidDel="00000000" w:rsidP="00000000" w:rsidRDefault="00000000" w:rsidRPr="00000000" w14:paraId="00000058">
      <w:pPr>
        <w:pStyle w:val="Heading1"/>
        <w:tabs>
          <w:tab w:val="right" w:leader="none" w:pos="10206"/>
        </w:tabs>
        <w:spacing w:line="276" w:lineRule="auto"/>
        <w:rPr>
          <w:rFonts w:ascii="Times New Roman" w:cs="Times New Roman" w:eastAsia="Times New Roman" w:hAnsi="Times New Roman"/>
          <w:sz w:val="24"/>
          <w:szCs w:val="24"/>
        </w:rPr>
      </w:pPr>
      <w:bookmarkStart w:colFirst="0" w:colLast="0" w:name="_heading=h.aeiykfyb2win" w:id="2"/>
      <w:bookmarkEnd w:id="2"/>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tbl>
      <w:tblPr>
        <w:tblStyle w:val="Table2"/>
        <w:tblW w:w="92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4">
            <w:pPr>
              <w:jc w:val="both"/>
              <w:rPr>
                <w:b w:val="1"/>
                <w:bCs w:val="1"/>
              </w:rPr>
            </w:pPr>
            <w:r w:rsidDel="00000000" w:rsidR="00000000" w:rsidRPr="00000000">
              <w:rPr>
                <w:b w:val="1"/>
                <w:bCs w:val="1"/>
                <w:rtl w:val="0"/>
              </w:rPr>
              <w:t xml:space="preserve">PJESA 2: BAZA KRYESORE E ANALIZËS DHE E PROVAVE </w:t>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Historik</w:t>
      </w:r>
    </w:p>
    <w:p w:rsidR="00000000" w:rsidDel="00000000" w:rsidP="00000000" w:rsidRDefault="00000000" w:rsidRPr="00000000" w14:paraId="00000077">
      <w:pPr>
        <w:spacing w:line="276" w:lineRule="auto"/>
        <w:rPr>
          <w:i w:val="1"/>
          <w:iCs w:val="1"/>
        </w:rPr>
      </w:pPr>
      <w:r w:rsidDel="00000000" w:rsidR="00000000" w:rsidRPr="00000000">
        <w:rPr>
          <w:i w:val="1"/>
          <w:iCs w:val="1"/>
          <w:rtl w:val="0"/>
        </w:rPr>
        <w:t xml:space="preserve">Jepni kontekstin e politikës.</w:t>
      </w:r>
    </w:p>
    <w:p w:rsidR="00000000" w:rsidDel="00000000" w:rsidP="00000000" w:rsidRDefault="00000000" w:rsidRPr="00000000" w14:paraId="00000078">
      <w:pPr>
        <w:spacing w:before="240" w:lineRule="auto"/>
        <w:rPr/>
      </w:pPr>
      <w:r w:rsidDel="00000000" w:rsidR="00000000" w:rsidRPr="00000000">
        <w:rPr>
          <w:rtl w:val="0"/>
        </w:rPr>
        <w:t xml:space="preserve">Teknologjia ka qenë gjithmonë një katalizator i ndryshimit të sistemeve monetare dhe të pagesave në të gjithë botën. Evolucioni i udhëhequr nga Fintech në sistemet e pagesave ka bërë që koncepti i monedhës t'i nënshtrohet një transformimi të paprecedentë. Megjithëse valutat ekzistonin në forma virtuale edhe më parë (si paratë e celularit dhe paratë elektronike), lançimi i “Bitcoin” në 2009 shënoi një ndryshim rrënjësor në konceptimin e 'monedhës virtuale' duke futur një formë kriptografike të parave elektronike, të operuara në një protokoll dy-palësh (peer-to-peer) të bazuar në teknologjinë blockchain. Pavarësisht ekzistencës së teknologjisë së regjistrave të shpërndarë që nga viti 1991, ishte Bitcoin që për herë të parë konceptoi me sukses teknologjinë e ndërtimit të një rrjeti transaksionesh dy-palësh dhe krijimin e një forme të veçantë të monedhave të koduara kriptografikisht, që sot njihen si kripto-asete.</w:t>
        <w:br w:type="textWrapping"/>
        <w:br w:type="textWrapping"/>
        <w:t xml:space="preserve">Teknologjia ‘</w:t>
      </w:r>
      <w:r w:rsidDel="00000000" w:rsidR="00000000" w:rsidRPr="00000000">
        <w:rPr>
          <w:i w:val="1"/>
          <w:iCs w:val="1"/>
          <w:rtl w:val="0"/>
        </w:rPr>
        <w:t xml:space="preserve">blockchain</w:t>
      </w:r>
      <w:r w:rsidDel="00000000" w:rsidR="00000000" w:rsidRPr="00000000">
        <w:rPr>
          <w:rtl w:val="0"/>
        </w:rPr>
        <w:t xml:space="preserve">’ është një databazë publike e përbashkët dhe transparente, e mirëmbajtur nga një rrjet i gjerë përdoruesish, në të cilën regjistrohen transaksione, duke mundësuar kështu shkëmbimin e vlerave ose aseteve pa nevojën e konfirmimit nga një entitet qendror siç mund të jenë bankat ose autoritetet publike. Këto transaksione grumbullohen, verifikohen dhe lidhen së bashku kronologjikisht për të formuar një “zinxhir blloqesh” i cili është i aksesueshëm nga të gjithë dhe nuk mund të ndryshohet ose të kontrollohet nga asnjë entitet i vetëm. Blockchain është infrastruktura bazë e cila bën të mundur emetimin, shpërndarjen dhe regjistrimin e transaksioneve midis mjeteve virtuale.</w:t>
        <w:br w:type="textWrapping"/>
        <w:br w:type="textWrapping"/>
        <w:t xml:space="preserve">Në thelb, kjo teknologji është një regjistër i shpërndarë i cili mund të inspektohet nga të gjithë por nuk mund të kontrollohet nga askush, duke mundësuar kështu transaksione ekonomike të besueshme që autentifikohen nga bashkëpunimi masiv i përdoruesve të tij.</w:t>
      </w:r>
    </w:p>
    <w:p w:rsidR="00000000" w:rsidDel="00000000" w:rsidP="00000000" w:rsidRDefault="00000000" w:rsidRPr="00000000" w14:paraId="00000079">
      <w:pPr>
        <w:spacing w:before="240" w:lineRule="auto"/>
        <w:rPr/>
      </w:pPr>
      <w:r w:rsidDel="00000000" w:rsidR="00000000" w:rsidRPr="00000000">
        <w:rPr>
          <w:rtl w:val="0"/>
        </w:rPr>
        <w:t xml:space="preserve"> </w:t>
      </w:r>
      <w:r w:rsidDel="00000000" w:rsidR="00000000" w:rsidRPr="00000000">
        <w:rPr/>
        <w:drawing>
          <wp:inline distB="0" distT="0" distL="0" distR="0">
            <wp:extent cx="2943225" cy="2390775"/>
            <wp:effectExtent b="0" l="0" r="0" t="0"/>
            <wp:docPr id="211862527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943225" cy="2390775"/>
                    </a:xfrm>
                    <a:prstGeom prst="rect"/>
                    <a:ln/>
                  </pic:spPr>
                </pic:pic>
              </a:graphicData>
            </a:graphic>
          </wp:inline>
        </w:drawing>
      </w:r>
      <w:r w:rsidDel="00000000" w:rsidR="00000000" w:rsidRPr="00000000">
        <w:rPr/>
        <w:drawing>
          <wp:inline distB="0" distT="0" distL="0" distR="0">
            <wp:extent cx="3438525" cy="3133725"/>
            <wp:effectExtent b="0" l="0" r="0" t="0"/>
            <wp:docPr id="211862527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438525" cy="3133725"/>
                    </a:xfrm>
                    <a:prstGeom prst="rect"/>
                    <a:ln/>
                  </pic:spPr>
                </pic:pic>
              </a:graphicData>
            </a:graphic>
          </wp:inline>
        </w:drawing>
      </w:r>
      <w:r w:rsidDel="00000000" w:rsidR="00000000" w:rsidRPr="00000000">
        <w:rPr>
          <w:rtl w:val="0"/>
        </w:rPr>
        <w:br w:type="textWrapping"/>
        <w:br w:type="textWrapping"/>
        <w:br w:type="textWrapping"/>
        <w:t xml:space="preserve">Kripto-asetet janë një prej produkteve kryesore të mbështetura në teknologjinë </w:t>
      </w:r>
      <w:r w:rsidDel="00000000" w:rsidR="00000000" w:rsidRPr="00000000">
        <w:rPr>
          <w:i w:val="1"/>
          <w:iCs w:val="1"/>
          <w:rtl w:val="0"/>
        </w:rPr>
        <w:t xml:space="preserve">blockchain</w:t>
      </w:r>
      <w:r w:rsidDel="00000000" w:rsidR="00000000" w:rsidRPr="00000000">
        <w:rPr>
          <w:rtl w:val="0"/>
        </w:rPr>
        <w:t xml:space="preserve"> (teknologjia e regjistrave të shpërndarë). Ato janë përfaqësime digjitale të një vlere ose të drejte të cilat mbartin potencialin për të sjellë përfitime të konsiderueshme për pjesëmarrësit e tregjeve financiare, përfshirë këtu investitorët jo-profesionistë të këtyre tregjeve. Duke thjeshtuar proceset e grumbullimit të kapitalit dhe rritjes së konkurencës në këtë sektor, kripto-asetet mund të mundësojnë mënyra më gjithëpërfshirëse financimi për ndërmarrjet e vogla dhe të mesme (NVM). Në rastet kur ato përdoren si mjet pagese, përdorimi kripto-aseteve mund  të rezultojë në pagesa më të lira, më të shpejta dhe më efiçente, veçanërisht për sa i përket pagesave ndërkufitare, si rezultat i uljes së numrit të ndërmjetësve të përfshirë në transaksion.  </w:t>
      </w:r>
    </w:p>
    <w:p w:rsidR="00000000" w:rsidDel="00000000" w:rsidP="00000000" w:rsidRDefault="00000000" w:rsidRPr="00000000" w14:paraId="0000007A">
      <w:pPr>
        <w:spacing w:before="240" w:lineRule="auto"/>
        <w:rPr/>
      </w:pPr>
      <w:r w:rsidDel="00000000" w:rsidR="00000000" w:rsidRPr="00000000">
        <w:rPr>
          <w:rtl w:val="0"/>
        </w:rPr>
        <w:t xml:space="preserve">Nga ana tjetër, ekosistemi dinamik i kripto-aseteve paraqet sfida dhe risqe unike për investitorët. Këto rreziqe, të cilat variojnë që nga paqartësitë rregullatore, kompleksitetet operacionale, siguria kibernetike, mosadresimi i konflikteve të interesit etj., ekspozojnë cënueshmëri dhe problematika specifike të cilat ndikojnë në besueshmërinë dhe stabilitetin e këtyre tregjeve dhe mund të rezultojnë në humbje të konsiderueshme për investitorët.</w:t>
        <w:br w:type="textWrapping"/>
        <w:br w:type="textWrapping"/>
        <w:t xml:space="preserve">Kësisoj, në platformat e tregtimit më popullore të financave të centralizuara (CeFi), disa nga problematikat më madhore janë mungesa e plotë ose moszbatimi i kontrolleve të brendshme të funksionimit dhe parandalimit të pastrimit të parave, keqmenaxhimi i konfliktit të interesave në rastet e integrimit të veprimtarive të ndryshme brenda platformës (tregtim, kujdestari, shlyerje, krijim tregu, shërbime investimi etj), si dhe mungesa e burimeve të duhura njerëzore dhe financiare për ushtrimin e veprimtarive të synuara. </w:t>
        <w:br w:type="textWrapping"/>
        <w:br w:type="textWrapping"/>
        <w:t xml:space="preserve">Të gjitha këto krijojnë një rrezik moral të konsiderueshëm për operatorët e këtyre shërbimeve, e cila në shumë raste ka rezultuar në abuzim me fondet e klientëve, deri në falimentimin e platformave, duke sjellë humbje të mëdha parash për investitorët dhe duke cënuar besueshmërine e këtyre tregjeve.</w:t>
      </w:r>
    </w:p>
    <w:p w:rsidR="00000000" w:rsidDel="00000000" w:rsidP="00000000" w:rsidRDefault="00000000" w:rsidRPr="00000000" w14:paraId="0000007B">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Problemi në shqyrtim</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bookmarkStart w:colFirst="0" w:colLast="0" w:name="_heading=h.9v4bvdpvdhpw" w:id="3"/>
      <w:bookmarkEnd w:id="3"/>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Përshkruani natyrën e problemit.</w:t>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Identifikoni shkaqet e problemit.</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Përshkruani shtrirjen e problemit.</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Identifikoni grupet e prekura nga ky problem - qeveria / biznesi / shoqëria civile / qytetarët.</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Vlerësoni nëse problemi mund të trajtohet ose jo përmes një ndryshimi të politikave.</w:t>
      </w:r>
    </w:p>
    <w:p w:rsidR="00000000" w:rsidDel="00000000" w:rsidP="00000000" w:rsidRDefault="00000000" w:rsidRPr="00000000" w14:paraId="00000081">
      <w:pPr>
        <w:spacing w:before="240" w:lineRule="auto"/>
        <w:rPr/>
      </w:pPr>
      <w:r w:rsidDel="00000000" w:rsidR="00000000" w:rsidRPr="00000000">
        <w:rPr>
          <w:rtl w:val="0"/>
        </w:rPr>
        <w:t xml:space="preserve">Natyra e hapur e zhvillimit të ekosistemit të kripto-aseteve, së bashku me mjetet dhe metodat më të fundit të marketingut digjital, e ka lehtësuar krijimin e skemave fiktive të mashtrimit të cilave mashtruesit arrijnë të zhvasin investitorët.</w:t>
      </w:r>
      <w:r w:rsidDel="00000000" w:rsidR="00000000" w:rsidRPr="00000000">
        <w:rPr>
          <w:rFonts w:ascii="Roboto" w:cs="Roboto" w:eastAsia="Roboto" w:hAnsi="Roboto"/>
          <w:color w:val="222222"/>
          <w:sz w:val="21"/>
          <w:szCs w:val="21"/>
          <w:highlight w:val="white"/>
          <w:rtl w:val="0"/>
        </w:rPr>
        <w:t xml:space="preserve"> </w:t>
      </w:r>
      <w:r w:rsidDel="00000000" w:rsidR="00000000" w:rsidRPr="00000000">
        <w:rPr>
          <w:rtl w:val="0"/>
        </w:rPr>
        <w:t xml:space="preserve">Investitorët e vegjël, jo-profesionistë, zakonisht tërhiqen në projektet e kripto-aseteve përmes influencuesve të rrjeteve sociale, komuniteteve në internet dhe formave të tjera të veprimtarive promovuese. Keqinformimi dhe reklamimi i papërshtatshëm duke përdorur këto kanale promovuese paraqesin rreziqe për të gjithë investitorët të cilët përdorin si platformat e centralizuara të tregtimit, ashtu edhe protokollet e financave të decentralizuara. Platformat e centralizuara të tregtimit shpesh lehtësojnë blerjen dhe shitjen e mjeteve virtuale dhe ofrojnë shërbime më të gjera sesa bursat tradicionale të instrumentave financiarë. Shumë nga platformat më të njohura të mjeteve virtuale operohen nga entitete qendrore, gjë e cila në praktikë mohon qëllimin e decentralizimit dhe çndërmjetësimit që formoi bazën e inovacionit në këtë hapësirë, duke rifutur konceptin e centralizimit dhe besimit në një entitet qendror.</w:t>
        <w:br w:type="textWrapping"/>
        <w:br w:type="textWrapping"/>
        <w:t xml:space="preserve">Platformat e tregtimit të kripto-aseteve ndryshojnë nga ato të instrumentave financiarë në tre mënyra kryesore:</w:t>
        <w:br w:type="textWrapping"/>
        <w:br w:type="textWrapping"/>
        <w:t xml:space="preserve">• Zakonisht lejojnë akses të drejtpërdrejtë për investitorët jo-profesionistë;</w:t>
        <w:br w:type="textWrapping"/>
        <w:t xml:space="preserve">• Krahas përputhjes së urdhrave të blerjes dhe shitjes, në disa raste, mund të tregtojnë për llogari të tyre dhe të veprojnë si krijues tregu;</w:t>
        <w:br w:type="textWrapping"/>
        <w:t xml:space="preserve">• Mund të ofrojnë shërbime të kujdestarisë (nëpërmjet portofolëve digjitalë të tyre) për të ofruar shlyerje dhe shlyerje më të shpejtë në platformë.</w:t>
        <w:br w:type="textWrapping"/>
        <w:br w:type="textWrapping"/>
        <w:t xml:space="preserve">Duhet theksuar se transaksionet brenda platformave të centralizuara nuk përdorin asnjë nga veçoritë e sigurisë së teknologjisë blockchain, por në vend të kësaj i ekspozojnë përdoruesit ndaj rrezikut të ofruesit të shërbimit(</w:t>
      </w:r>
      <w:r w:rsidDel="00000000" w:rsidR="00000000" w:rsidRPr="00000000">
        <w:rPr>
          <w:i w:val="1"/>
          <w:iCs w:val="1"/>
          <w:rtl w:val="0"/>
        </w:rPr>
        <w:t xml:space="preserve">counterparty risk</w:t>
      </w:r>
      <w:r w:rsidDel="00000000" w:rsidR="00000000" w:rsidRPr="00000000">
        <w:rPr>
          <w:rtl w:val="0"/>
        </w:rPr>
        <w:t xml:space="preserve">), të cilat janë subjekt i një pike të vetme dështimi, sulmeve kibernetike dhe humbjes së fondeve. Disa platforma tregtimi të mjeteve virtuale ngjajnë me platformat e tregtimit të instrumentave financiarë, ndërsa shumë të tjera mund të aksesohen drejtpërdrejt nga klientët dhe për këtë arsye ngjajnë më shumë me një platformë të operuar nga një shoqëri komisionere. Kjo do të thotë se përveç shqetësimeve që sjell tregtimi tradicional i instrumentave financiarë (marrëveshjet dhe politikat e çështjeve operative, rregullat e tregtisë, manipulimi, transparenca etj.) autoriteteve mund të duhet të mendojnë edhe për rreziqe specifike që rrjedhin nga natyra e vetë platformave të centralizuara, si dhe nga fakti që këto subjekte krijojnë tregun e tyre brenda platformës dhe ofrojnë shërbimet e kujdestarisë së mjeteve virtuale.</w:t>
        <w:br w:type="textWrapping"/>
        <w:br w:type="textWrapping"/>
        <w:t xml:space="preserve">Disa subjekte që operojnë platforma të centralizuara mund të emetojnë mjetet e tyre virtuale, si psh. Tokenat e aseteve ose tokenat e parasë elektronike (</w:t>
      </w:r>
      <w:r w:rsidDel="00000000" w:rsidR="00000000" w:rsidRPr="00000000">
        <w:rPr>
          <w:i w:val="1"/>
          <w:iCs w:val="1"/>
          <w:rtl w:val="0"/>
        </w:rPr>
        <w:t xml:space="preserve">stablecoins</w:t>
      </w:r>
      <w:r w:rsidDel="00000000" w:rsidR="00000000" w:rsidRPr="00000000">
        <w:rPr>
          <w:rtl w:val="0"/>
        </w:rPr>
        <w:t xml:space="preserve">), të cilat mund të shkaktojnë konflikte interesi. Ndonëse ofruesit e këtyre shërbimeve kanë treguar shenja përmirësimi dhe qëndrueshmërie në lidhje me operacionet dhe sigurinë kibernetike, disa nga emrat e mëdhenj kanë pësuar humbje nga manaxhimi i jo efektiv i risqeve. Veçoritë unike të përshkruara më sipër (krijimi tregut dhe ofrimi i kujdesarisë) mund ti vendosin këto platforma në shënjestër të krimit kibernetik. Disa nga incidentet më të mëdha të humbjes së mjeteve virtuale në këto platforma përfshinin qindra milionë dollarë amerikanë, duke falimentuar subjektet që operonin platformat dhe duke shkaktuar humbje masive drejt përdoruesve. Edhe në rastet kur kompensimet u paguan plotësisht, të dëmshpërblyerit nuk ishin në gjendje të përdornin mjetet virtuale që ishin vjedhur për periudha të gjata kohore. Gjatë dy rënieve të mëdha në tregun e aseteve të kriptove (gjatë vitit 2018 dhe 2022), shumë përdorues nuk mund të aksesonin llogaritë për të shitur pozicionet e tyre për shkak të dështimeve operacionale në sistemet e platfomave ose masave të marra për të bllokuar disa transaksione të caktuara.</w:t>
        <w:br w:type="textWrapping"/>
        <w:br w:type="textWrapping"/>
        <w:t xml:space="preserve">Kriza e vitit 2022 në tregjet e kripto-aseteve dëshmoi se kur funksione të ndryshme kryhen nga i njëjti subjekt dhe në mungesë të një mbikëqyrje efektive, dështimi operacional ose falimenti i një subjekti mund të rezultojë me shpejtësi në një efekt domino për të gjithë ekosistemin. Në Dhjetor të vitit 2023, platforma FTX, platforma e tregtimit e dytë më e madhe në botë për nga vëllimi i transaksioneve falimentoi kryesisht për shkak të konfliktit të hapur të interesit pasi i njëjti subjekt kontrollonte drejtpërdrejt ose tërthorazi përmes lidhjeve platformën e tregtimit të kripto-aseteve, kujdestarinë e kripto-aseteve subjektet që vepronin si krijues tregu dhe/ose firma investimi me fonde të veta(</w:t>
      </w:r>
      <w:r w:rsidDel="00000000" w:rsidR="00000000" w:rsidRPr="00000000">
        <w:rPr>
          <w:i w:val="1"/>
          <w:iCs w:val="1"/>
          <w:rtl w:val="0"/>
        </w:rPr>
        <w:t xml:space="preserve">proprietary trading)</w:t>
      </w:r>
      <w:r w:rsidDel="00000000" w:rsidR="00000000" w:rsidRPr="00000000">
        <w:rPr>
          <w:rtl w:val="0"/>
        </w:rPr>
        <w:t xml:space="preserve">, duke krijuar kështu kushte ku fondet e klientëve të cilat supozohet të jenë të ndara nga fondet e subjektit, të përziheshin ose të përdoreshin për qëllime të investimit me risk të lartë nga subjekti dhe/ose mbulimit të humbjeve të platformës. Ky kombinim (platformë tregtimi + akses në fonde klientësh + tregtim për llogari të vet + investime)  krijon një mjedis incentivues për të ndërmarrë risqe të jashtëligjshme, për të fshehur humbjet dhe për të ruajtur një iluzion likuiditeti tek përodruesit. Kështu, në momentin kur besimi tek subjekti u thye, rezultoi menjëhere në kërkesa masive për tërheqje fondesh (</w:t>
      </w:r>
      <w:r w:rsidDel="00000000" w:rsidR="00000000" w:rsidRPr="00000000">
        <w:rPr>
          <w:i w:val="1"/>
          <w:iCs w:val="1"/>
          <w:rtl w:val="0"/>
        </w:rPr>
        <w:t xml:space="preserve">bank run</w:t>
      </w:r>
      <w:r w:rsidDel="00000000" w:rsidR="00000000" w:rsidRPr="00000000">
        <w:rPr>
          <w:rtl w:val="0"/>
        </w:rPr>
        <w:t xml:space="preserve">) nga ana e klientëve duke shkaktuar kolapsin financiar të FTC, pasi një platformë që nuk i ka mbajtur asetet e klientëve të veçuara dhe në gjendje likuide e ka të pamundur të përballojë një fluks tërheqjesh masive. </w:t>
        <w:br w:type="textWrapping"/>
        <w:br w:type="textWrapping"/>
        <w:t xml:space="preserve">Gjithashtu, Celsius, i cili operonte si një bankë-hije (</w:t>
      </w:r>
      <w:r w:rsidDel="00000000" w:rsidR="00000000" w:rsidRPr="00000000">
        <w:rPr>
          <w:i w:val="1"/>
          <w:iCs w:val="1"/>
          <w:rtl w:val="0"/>
        </w:rPr>
        <w:t xml:space="preserve">shadoë bank</w:t>
      </w:r>
      <w:r w:rsidDel="00000000" w:rsidR="00000000" w:rsidRPr="00000000">
        <w:rPr>
          <w:rtl w:val="0"/>
        </w:rPr>
        <w:t xml:space="preserve">) e kripto-aseteve duke grumbulluar depozita në kripto-asete nga klientët përmes premtimeve për norma kthimi tejet të larta, të cilat më pas investoheshin në veprimtari me risk të lartë si huadhënie tëk palët e treta, pozicione të ekspozuara ndaj luhatshmërisë së tregut dhe investime jo-likuide, rezultoi në faliment menjëherë sapo nisi luhatshmëria e çmimeve gjatë vitit 2022. Në thelb, problemi ishte mospërputhja e maturiteteve dhe likuiditetit ku klientët kërkonin tërheqjen e investimeve teksa asetet ishin të ‘kyçura’ në investime te rrezikshme dhe jo-likuide. Kështu, kur tregu ra dhe vlerat e kripto-aseteve ku ishin investuar fondet e klientëve u tkurrën, Celsius nuk mundi të përmbushte kërkesat e klientëve dhe pezulloi tërheqjet. Edhe këtu, rreziku u përkeqësua nga incentivat e një modeli ku fitimet individualizohen ndërsa humbjet operacionale në kohë krize eksternalizohen tek klientët. </w:t>
        <w:br w:type="textWrapping"/>
        <w:br w:type="textWrapping"/>
        <w:t xml:space="preserve">Ndërlidhja e lartë e tregjeve të kripto-aseteve ku pjesa dërrmuese e ndërmjetësve ose emetuesve kanë një ekspozim të lartë ndërmjet tyre për shkak të hezitimit të atëhershëm të përfshirjes së sistemit tradicional financiar, e ktheu falimentin e këtyre 2 subjekteve të mëdha në një efekt-domino për të gjithë ekosistemin. Kjo erdhi si rezultati i subjekteve të cilat kishin dhënë hua njëra-tjetrës, kishin ekspozime ndaj të njëjtave kolaterale, mbanin pozicione të ndërsjella në kripto-asete dhe mbështeteshin në të njëjtat burime likuiditeti. Figura e bashkëngjitur e ilustron këtë logjikë “domino” ku një nyje qendrore si FTX lidhet me shumë aktorë (fonde, huadhënës, platforma,  krijues tregu, investitorë jo-profesionistë), kështu që dështimi i saj nuk është ngjarje e izoluar; ai shkakton humbje të menjëhershme te kundërpalët, thirrje për kolateral, shitje të detyruara (fire sales) dhe mungesë likuiditeti – duke sjellë falimentime të tjera ose ngrirje të tërheqjeve, si në rastin e Celsius. Në praktikë, ky është efekti klasik i “contagion”: kur mungon ndarja e roleve, transparenca dhe kërkesat e kujdestarisë/menaxhimit të rrezikut, lidhjet brenda rrjetit bëhen kanale të shpejta për përhapjen e krizës. </w:t>
        <w:br w:type="textWrapping"/>
      </w:r>
      <w:r w:rsidDel="00000000" w:rsidR="00000000" w:rsidRPr="00000000">
        <w:rPr/>
        <w:drawing>
          <wp:inline distB="0" distT="0" distL="0" distR="0">
            <wp:extent cx="6299129" cy="4724501"/>
            <wp:effectExtent b="0" l="0" r="0" t="0"/>
            <wp:docPr descr="A diagram of a network&#10;&#10;AI-generated content may be incorrect." id="2118625273" name="image2.jpg"/>
            <a:graphic>
              <a:graphicData uri="http://schemas.openxmlformats.org/drawingml/2006/picture">
                <pic:pic>
                  <pic:nvPicPr>
                    <pic:cNvPr descr="A diagram of a network&#10;&#10;AI-generated content may be incorrect." id="0" name="image2.jpg"/>
                    <pic:cNvPicPr preferRelativeResize="0"/>
                  </pic:nvPicPr>
                  <pic:blipFill>
                    <a:blip r:embed="rId9"/>
                    <a:srcRect b="0" l="0" r="0" t="0"/>
                    <a:stretch>
                      <a:fillRect/>
                    </a:stretch>
                  </pic:blipFill>
                  <pic:spPr>
                    <a:xfrm>
                      <a:off x="0" y="0"/>
                      <a:ext cx="6299129" cy="4724501"/>
                    </a:xfrm>
                    <a:prstGeom prst="rect"/>
                    <a:ln/>
                  </pic:spPr>
                </pic:pic>
              </a:graphicData>
            </a:graphic>
          </wp:inline>
        </w:drawing>
      </w:r>
      <w:r w:rsidDel="00000000" w:rsidR="00000000" w:rsidRPr="00000000">
        <w:rPr>
          <w:rtl w:val="0"/>
        </w:rPr>
        <w:br w:type="textWrapping"/>
      </w:r>
      <w:r w:rsidDel="00000000" w:rsidR="00000000" w:rsidRPr="00000000">
        <w:rPr>
          <w:b w:val="1"/>
          <w:bCs w:val="1"/>
          <w:rtl w:val="0"/>
        </w:rPr>
        <w:t xml:space="preserve">Figura 2. Imazh ilustrues i pasojave të falimentit te FTX, Celsius the tokenit Terra</w:t>
      </w:r>
      <w:r w:rsidDel="00000000" w:rsidR="00000000" w:rsidRPr="00000000">
        <w:rPr>
          <w:rtl w:val="0"/>
        </w:rPr>
        <w:t xml:space="preserve">.</w:t>
        <w:br w:type="textWrapping"/>
        <w:br w:type="textWrapping"/>
        <w:t xml:space="preserve">Tregu i kripto-asetevve është ende relativisht i ri dhe i ekspozuar ndjeshëm ndaj rreziqeve të abuzimit të tregut. Disa nga ndërmjetësit e këtyre tregjeve, si platformat e tregtimit dhe kujdestarët e portofoleve, janë relativisht të pa sofistikuar nga pikëpamja rregullatore dhe mund t'u mungojnë sistemet dhe kontrollet që ekzistojnë në institucionet e rregulluara. Kjo mund të sjellë rreziqe për integritetin e tregut nëpërmjet asimetrive të informacionit, pasi funksioni i zbulimit të çmimit të tregut është relativisht i dobët, dhe për këtë arsye shtohet rreziku i manipulimit të tregut. Sipas shumë raporteve dhe analizave, platformat e centralizuara lejojnë aktorët të kryejnë tregti fiktive (ëash trading), gjë që rrit vëllimet e tregtimit dhe rrit çmimet duke u bërë gjthashtu rrezik për lehtësimin e skemave të manipulimit të çmimit (pump &amp; dump) </w:t>
        <w:br w:type="textWrapping"/>
        <w:br w:type="textWrapping"/>
        <w:t xml:space="preserve">Nisur nga problematikat e listuara më sipër, në vitin 2019 dhe 2020 institucionet shqiptare hartuan ndryshime ligjore në legjislacionin e parandalimit të pastrimit të parave si dhe miratuan një ligj të dedikuar me qëllim rregullimin e ekosistemit të kripto-aseteve në Shqipëri. Kësisoj, kuadri aktual ligjor për kripto-asetet në Republikën e Shqipërisë përbëhet nga ligji  66/2020 “</w:t>
      </w:r>
      <w:r w:rsidDel="00000000" w:rsidR="00000000" w:rsidRPr="00000000">
        <w:rPr>
          <w:i w:val="1"/>
          <w:iCs w:val="1"/>
          <w:rtl w:val="0"/>
        </w:rPr>
        <w:t xml:space="preserve">Për tregjet financiare të bazuar në teknologjinë e regjistrave të shpërndarë</w:t>
      </w:r>
      <w:r w:rsidDel="00000000" w:rsidR="00000000" w:rsidRPr="00000000">
        <w:rPr>
          <w:rtl w:val="0"/>
        </w:rPr>
        <w:t xml:space="preserve">”, i cili ka hyrë në fuqi më 1 Shtator 2020 dhe ligji nr.9917, datë 19.5.2008 “</w:t>
      </w:r>
      <w:r w:rsidDel="00000000" w:rsidR="00000000" w:rsidRPr="00000000">
        <w:rPr>
          <w:i w:val="1"/>
          <w:iCs w:val="1"/>
          <w:rtl w:val="0"/>
        </w:rPr>
        <w:t xml:space="preserve">Për parandalimin e pastrimit të parave dhe financimit të terrorizmit</w:t>
      </w:r>
      <w:r w:rsidDel="00000000" w:rsidR="00000000" w:rsidRPr="00000000">
        <w:rPr>
          <w:rtl w:val="0"/>
        </w:rPr>
        <w:t xml:space="preserve">”(i ndryshuar). </w:t>
        <w:br w:type="textWrapping"/>
        <w:br w:type="textWrapping"/>
        <w:t xml:space="preserve">Ligji 66/2020 rregullon kushtet për licencimin, monitorimin, mbikëqyrjen e subjekteve që ushtrojnë aktivitetin e shpërndarjes, tregtimit e ruajtjes së tokenëve digjitalë dhe/ose monedhave virtuale, të agjentit të tokenëve digjitalë, ofruesit të shërbimeve inovative dhe sipërmarrjes së automatizuar të investimeve kolektive.  Më konkretisht, neni 4 i këtij ligji parashikon licencat e mëposhtme: </w:t>
        <w:br w:type="textWrapping"/>
      </w:r>
      <w:r w:rsidDel="00000000" w:rsidR="00000000" w:rsidRPr="00000000">
        <w:rPr>
          <w:b w:val="1"/>
          <w:bCs w:val="1"/>
          <w:rtl w:val="0"/>
        </w:rPr>
        <w:t xml:space="preserve">a) licenca e agjentit TD</w:t>
      </w:r>
      <w:r w:rsidDel="00000000" w:rsidR="00000000" w:rsidRPr="00000000">
        <w:rPr>
          <w:rtl w:val="0"/>
        </w:rPr>
        <w:t xml:space="preserve">, e cila lëshohet nga AMF-ja për një person juridik, pas plotësimit të kushteve të përgjithshme dhe të kritereve të veçanta, të parashikuara në nenet 9 e 29, të këtij ligji; </w:t>
        <w:br w:type="textWrapping"/>
      </w:r>
      <w:r w:rsidDel="00000000" w:rsidR="00000000" w:rsidRPr="00000000">
        <w:rPr>
          <w:b w:val="1"/>
          <w:bCs w:val="1"/>
          <w:color w:val="212121"/>
          <w:rtl w:val="0"/>
        </w:rPr>
        <w:t xml:space="preserve">b) licenca e bursës DLT</w:t>
      </w:r>
      <w:r w:rsidDel="00000000" w:rsidR="00000000" w:rsidRPr="00000000">
        <w:rPr>
          <w:color w:val="212121"/>
          <w:u w:val="single"/>
          <w:rtl w:val="0"/>
        </w:rPr>
        <w:t xml:space="preserve">, e cila lëshohet nga AMF-ja dhe AKSHI </w:t>
      </w:r>
      <w:r w:rsidDel="00000000" w:rsidR="00000000" w:rsidRPr="00000000">
        <w:rPr>
          <w:color w:val="212121"/>
          <w:rtl w:val="0"/>
        </w:rPr>
        <w:t xml:space="preserve">për një person juridik, pas plotësimit të kushteve të përgjithshme dhe të kritereve të veçanta të parashikuara në nenet 9 e 51, të këtij ligji ku janë përcaktuar 3 kategori të kësaj licence, si më poshtë:  </w:t>
      </w:r>
      <w:r w:rsidDel="00000000" w:rsidR="00000000" w:rsidRPr="00000000">
        <w:rPr>
          <w:b w:val="1"/>
          <w:bCs w:val="1"/>
          <w:color w:val="212121"/>
          <w:rtl w:val="0"/>
        </w:rPr>
        <w:br w:type="textWrapping"/>
        <w:t xml:space="preserve">  i. kategoria “A”</w:t>
      </w:r>
      <w:r w:rsidDel="00000000" w:rsidR="00000000" w:rsidRPr="00000000">
        <w:rPr>
          <w:color w:val="212121"/>
          <w:rtl w:val="0"/>
        </w:rPr>
        <w:t xml:space="preserve"> përfshin licencat e bursës së centralizuar DLT dhe licenca si bursë e decentralizuar DLT, ku mund të tregtohen vetëm “tokenë digjitalë shërbimesh dhe/ose token digjitalë të pagesave” dhe/ose “tokenë digjitalë të aseteve”; </w:t>
        <w:br w:type="textWrapping"/>
      </w:r>
      <w:r w:rsidDel="00000000" w:rsidR="00000000" w:rsidRPr="00000000">
        <w:rPr>
          <w:b w:val="1"/>
          <w:bCs w:val="1"/>
          <w:color w:val="212121"/>
          <w:rtl w:val="0"/>
        </w:rPr>
        <w:t xml:space="preserve">  ii. kategoria “B”</w:t>
      </w:r>
      <w:r w:rsidDel="00000000" w:rsidR="00000000" w:rsidRPr="00000000">
        <w:rPr>
          <w:color w:val="212121"/>
          <w:rtl w:val="0"/>
        </w:rPr>
        <w:t xml:space="preserve"> përfshin licencat e bursës së centralizuar DLT ose dhe licenca si bursë e decentralizuar DLT, ku, krahas aktiviteteve të listuara në kategorinë “A”, mund të tregtohet paraja FIAT dhe/ose monedhat virtuale kundrejt tokenëve digjitalë të shërbimeve, pagesave dhe aseteve e anasjelltas; </w:t>
        <w:br w:type="textWrapping"/>
      </w:r>
      <w:r w:rsidDel="00000000" w:rsidR="00000000" w:rsidRPr="00000000">
        <w:rPr>
          <w:b w:val="1"/>
          <w:bCs w:val="1"/>
          <w:color w:val="212121"/>
          <w:rtl w:val="0"/>
        </w:rPr>
        <w:t xml:space="preserve">  iii. kategoria “C”</w:t>
      </w:r>
      <w:r w:rsidDel="00000000" w:rsidR="00000000" w:rsidRPr="00000000">
        <w:rPr>
          <w:color w:val="212121"/>
          <w:rtl w:val="0"/>
        </w:rPr>
        <w:t xml:space="preserve"> përfshin licencat si bursë e centralizuar DLT dhe licencat e bursat e decentralizuara DLT, ku, krahas aktiviteteve të listuara në licencën e kategorisë “B”, mund të tregtohen edhe tokenë digjitalë të titujve; </w:t>
        <w:br w:type="textWrapping"/>
      </w:r>
      <w:r w:rsidDel="00000000" w:rsidR="00000000" w:rsidRPr="00000000">
        <w:rPr>
          <w:b w:val="1"/>
          <w:bCs w:val="1"/>
          <w:color w:val="212121"/>
          <w:rtl w:val="0"/>
        </w:rPr>
        <w:t xml:space="preserve">c) licenca e Ofruesit të Shërbimeve Inovative</w:t>
      </w:r>
      <w:r w:rsidDel="00000000" w:rsidR="00000000" w:rsidRPr="00000000">
        <w:rPr>
          <w:color w:val="212121"/>
          <w:rtl w:val="0"/>
        </w:rPr>
        <w:t xml:space="preserve">, </w:t>
      </w:r>
      <w:r w:rsidDel="00000000" w:rsidR="00000000" w:rsidRPr="00000000">
        <w:rPr>
          <w:color w:val="212121"/>
          <w:u w:val="single"/>
          <w:rtl w:val="0"/>
        </w:rPr>
        <w:t xml:space="preserve">e cila lëshohet nga AKSHI</w:t>
      </w:r>
      <w:r w:rsidDel="00000000" w:rsidR="00000000" w:rsidRPr="00000000">
        <w:rPr>
          <w:color w:val="212121"/>
          <w:rtl w:val="0"/>
        </w:rPr>
        <w:t xml:space="preserve"> (pa përfshirjen e një agjenti TD) për një person juridik pas plotësimit të kushteve të përgjithshme dhe të kritereve të veçanta, të parashikuara në nenet 9 e 63, të këtij ligji; </w:t>
        <w:br w:type="textWrapping"/>
      </w:r>
      <w:r w:rsidDel="00000000" w:rsidR="00000000" w:rsidRPr="00000000">
        <w:rPr>
          <w:b w:val="1"/>
          <w:bCs w:val="1"/>
          <w:color w:val="212121"/>
          <w:rtl w:val="0"/>
        </w:rPr>
        <w:t xml:space="preserve">ç) licenca e Kujdestarit të Portofolit të Palëve të Treta</w:t>
      </w:r>
      <w:r w:rsidDel="00000000" w:rsidR="00000000" w:rsidRPr="00000000">
        <w:rPr>
          <w:color w:val="212121"/>
          <w:rtl w:val="0"/>
        </w:rPr>
        <w:t xml:space="preserve">, </w:t>
      </w:r>
      <w:r w:rsidDel="00000000" w:rsidR="00000000" w:rsidRPr="00000000">
        <w:rPr>
          <w:color w:val="212121"/>
          <w:u w:val="single"/>
          <w:rtl w:val="0"/>
        </w:rPr>
        <w:t xml:space="preserve">e lëshuar nga AMF-ja dhe AKSHI</w:t>
      </w:r>
      <w:r w:rsidDel="00000000" w:rsidR="00000000" w:rsidRPr="00000000">
        <w:rPr>
          <w:color w:val="212121"/>
          <w:rtl w:val="0"/>
        </w:rPr>
        <w:t xml:space="preserve"> për një person juridik, pas plotësimit të kushteve të përgjithshme dhe kritereve të veçanta të parashikuara në nenet 9 e 77, të këtij ligji; </w:t>
        <w:br w:type="textWrapping"/>
      </w:r>
      <w:r w:rsidDel="00000000" w:rsidR="00000000" w:rsidRPr="00000000">
        <w:rPr>
          <w:b w:val="1"/>
          <w:bCs w:val="1"/>
          <w:color w:val="212121"/>
          <w:rtl w:val="0"/>
        </w:rPr>
        <w:t xml:space="preserve">d) licenca e Sipërmarrjes së Automatizuar të Investimeve Kolektive DT</w:t>
      </w:r>
      <w:r w:rsidDel="00000000" w:rsidR="00000000" w:rsidRPr="00000000">
        <w:rPr>
          <w:color w:val="212121"/>
          <w:rtl w:val="0"/>
        </w:rPr>
        <w:t xml:space="preserve">, </w:t>
      </w:r>
      <w:r w:rsidDel="00000000" w:rsidR="00000000" w:rsidRPr="00000000">
        <w:rPr>
          <w:color w:val="212121"/>
          <w:u w:val="single"/>
          <w:rtl w:val="0"/>
        </w:rPr>
        <w:t xml:space="preserve">e lëshuar nga AKSHI</w:t>
      </w:r>
      <w:r w:rsidDel="00000000" w:rsidR="00000000" w:rsidRPr="00000000">
        <w:rPr>
          <w:color w:val="212121"/>
          <w:rtl w:val="0"/>
        </w:rPr>
        <w:t xml:space="preserve"> për një sipërmarrje të investimeve kolektive, pas plotësimit të kushteve të përgjithshme dhe kritereve të veçanta, të parashikuara në nenet 9 e 82, të këtij ligji.  </w:t>
        <w:br w:type="textWrapping"/>
        <w:br w:type="textWrapping"/>
        <w:t xml:space="preserve">Krahas licencave të sipërpërmendura, kreu IV i ligjit parashikon gjithashtu procedura për autorizimin e ofertave fillestare të tokenit digjital (ICO) dhe ofertat e tokenit të titujve (STO).  </w:t>
      </w:r>
      <w:r w:rsidDel="00000000" w:rsidR="00000000" w:rsidRPr="00000000">
        <w:rPr>
          <w:rtl w:val="0"/>
        </w:rPr>
        <w:t xml:space="preserve">Ligji përcakton kompetencat e  </w:t>
      </w:r>
      <w:r w:rsidDel="00000000" w:rsidR="00000000" w:rsidRPr="00000000">
        <w:rPr>
          <w:i w:val="1"/>
          <w:iCs w:val="1"/>
          <w:rtl w:val="0"/>
        </w:rPr>
        <w:t xml:space="preserve">Autoritetit të Mbikëqyrjes Financiare</w:t>
      </w:r>
      <w:r w:rsidDel="00000000" w:rsidR="00000000" w:rsidRPr="00000000">
        <w:rPr>
          <w:rtl w:val="0"/>
        </w:rPr>
        <w:t xml:space="preserve"> si institucioni që vlerëson të gjitha aspektet rregullatore dhe përputhshmërinë me kërkesat ligjore, si dhe kompetencat e </w:t>
      </w:r>
      <w:r w:rsidDel="00000000" w:rsidR="00000000" w:rsidRPr="00000000">
        <w:rPr>
          <w:i w:val="1"/>
          <w:iCs w:val="1"/>
          <w:rtl w:val="0"/>
        </w:rPr>
        <w:t xml:space="preserve">Agjencisë Kombëtare të Shoqërisë së Informacionit</w:t>
      </w:r>
      <w:r w:rsidDel="00000000" w:rsidR="00000000" w:rsidRPr="00000000">
        <w:rPr>
          <w:rtl w:val="0"/>
        </w:rPr>
        <w:t xml:space="preserve"> (AKSHI), e cila vlerëson të gjitha aspektet dhe kërkesat teknologjike të paraqitura nga subjekti që kërkon të marrë licencë. </w:t>
        <w:br w:type="textWrapping"/>
        <w:br w:type="textWrapping"/>
      </w:r>
      <w:r w:rsidDel="00000000" w:rsidR="00000000" w:rsidRPr="00000000">
        <w:rPr/>
        <w:drawing>
          <wp:inline distB="0" distT="0" distL="0" distR="0">
            <wp:extent cx="5939792" cy="3343275"/>
            <wp:effectExtent b="0" l="0" r="0" t="0"/>
            <wp:docPr descr="A screenshot of a computer&#10;&#10;AI-generated content may be incorrect." id="2118625275" name="image3.png"/>
            <a:graphic>
              <a:graphicData uri="http://schemas.openxmlformats.org/drawingml/2006/picture">
                <pic:pic>
                  <pic:nvPicPr>
                    <pic:cNvPr descr="A screenshot of a computer&#10;&#10;AI-generated content may be incorrect." id="0" name="image3.png"/>
                    <pic:cNvPicPr preferRelativeResize="0"/>
                  </pic:nvPicPr>
                  <pic:blipFill>
                    <a:blip r:embed="rId10"/>
                    <a:srcRect b="0" l="0" r="0" t="0"/>
                    <a:stretch>
                      <a:fillRect/>
                    </a:stretch>
                  </pic:blipFill>
                  <pic:spPr>
                    <a:xfrm>
                      <a:off x="0" y="0"/>
                      <a:ext cx="5939792" cy="3343275"/>
                    </a:xfrm>
                    <a:prstGeom prst="rect"/>
                    <a:ln/>
                  </pic:spPr>
                </pic:pic>
              </a:graphicData>
            </a:graphic>
          </wp:inline>
        </w:drawing>
      </w:r>
      <w:r w:rsidDel="00000000" w:rsidR="00000000" w:rsidRPr="00000000">
        <w:rPr>
          <w:rtl w:val="0"/>
        </w:rPr>
        <w:t xml:space="preserve">        </w:t>
      </w:r>
      <w:r w:rsidDel="00000000" w:rsidR="00000000" w:rsidRPr="00000000">
        <w:rPr>
          <w:sz w:val="18"/>
          <w:szCs w:val="18"/>
          <w:rtl w:val="0"/>
        </w:rPr>
        <w:t xml:space="preserve">Figura 1: Paraqitje skematike e komponentëve të ligjit 66/2020</w:t>
      </w:r>
      <w:r w:rsidDel="00000000" w:rsidR="00000000" w:rsidRPr="00000000">
        <w:rPr>
          <w:rtl w:val="0"/>
        </w:rPr>
        <w:br w:type="textWrapping"/>
        <w:br w:type="textWrapping"/>
        <w:t xml:space="preserve">Nga ana tjetër, ndryshimet e vitit 2019 të ligjit 9917 datë </w:t>
      </w:r>
      <w:r w:rsidDel="00000000" w:rsidR="00000000" w:rsidRPr="00000000">
        <w:rPr>
          <w:highlight w:val="yellow"/>
          <w:rtl w:val="0"/>
        </w:rPr>
        <w:t xml:space="preserve">____ “</w:t>
      </w:r>
      <w:r w:rsidDel="00000000" w:rsidR="00000000" w:rsidRPr="00000000">
        <w:rPr>
          <w:rtl w:val="0"/>
        </w:rPr>
        <w:t xml:space="preserve">Për parandalimin e pastrimit të parave dhe financimin e terrorizmit” I nënshtrojnë ofruesit e shërbimeve të kripto-aseteve/mjeteve virtuale  ndaj të njejtave detyrime si subjektet e tjera financiare, duke përfshire procedurat e njohjes së klientit, vigjilencën e duhur, vigjilencën e zgjeruar, marrjen e të dhënave të trasnfertave të kripto-aseteve, raportimin e transaksioneve të dyshimta etj.   </w:t>
        <w:br w:type="textWrapping"/>
        <w:br w:type="textWrapping"/>
        <w:t xml:space="preserve">Ndonëse aktet nënligjore që mundësojnë plotësimin e kuadrit rregullator janë miratuar në vitin 2022, aktualisht pranë AMF dhe AKSHI nuk ka mbërritur asnjë kërkesë për licencim në kuadër të ligjit 66/2020, dhe rrjedhimisht nuk ka ende asnjë subjekt të licencuar që ushtron veprimtarinë e tij në tregjet financiare të bazuara në teknologjinë e regjistrave të shpërndarë. Përgjatë viteve 2021-2025, në postën elektronike të Autoritetit kanë mbërritur rreth 45 kërkesa nga subjekte private të interesuara në këtë fushë. Më poshtë gjeni një grafik  i cili ofron një panoramë të përgjithshme të kërkesave të subjekteve: </w:t>
        <w:br w:type="textWrapping"/>
        <w:br w:type="textWrapping"/>
      </w:r>
      <w:r w:rsidDel="00000000" w:rsidR="00000000" w:rsidRPr="00000000">
        <w:rPr/>
        <w:drawing>
          <wp:inline distB="0" distT="0" distL="0" distR="0">
            <wp:extent cx="6496050" cy="2514600"/>
            <wp:docPr id="2118625271" name=""/>
            <a:graphic>
              <a:graphicData uri="http://schemas.openxmlformats.org/drawingml/2006/chart">
                <c:chart r:id="rId11"/>
              </a:graphicData>
            </a:graphic>
          </wp:inline>
        </w:drawing>
      </w:r>
      <w:r w:rsidDel="00000000" w:rsidR="00000000" w:rsidRPr="00000000">
        <w:rPr>
          <w:rtl w:val="0"/>
        </w:rPr>
        <w:br w:type="textWrapping"/>
        <w:br w:type="textWrapping"/>
        <w:t xml:space="preserve">Sikundër  vihet re, kërkesat e informacionit për ushtrimin e veprimtarisë si Bursë DLT mbartin interesin me të lartë nga ana e subjekteve, me 15 kërkesa të lidhura me këtë veprimtari. Vlen për tu sqaruar se kjo kolonë përfshin interesin e shprehur të subjekteve për të ushtruar veprimtarinë e këmbimit të tokenave digjital dhe monedhave virtuale, dhe jo detyrimisht operimin e një infrastrukture tregu si Bursa DLT. Një interesim i lartë mund të vihet re edhe për veprimtarinë e nxjerrjes së kripto-aseteve (mining), veprimtari e cila nuk rregullohet si shërbim financiar.  </w:t>
        <w:br w:type="textWrapping"/>
        <w:br w:type="textWrapping"/>
        <w:t xml:space="preserve">Nga ana tjetër, një nga elementet kryesore të ligjit në fuqi është </w:t>
      </w:r>
      <w:r w:rsidDel="00000000" w:rsidR="00000000" w:rsidRPr="00000000">
        <w:rPr>
          <w:i w:val="1"/>
          <w:iCs w:val="1"/>
          <w:rtl w:val="0"/>
        </w:rPr>
        <w:t xml:space="preserve">“</w:t>
      </w:r>
      <w:r w:rsidDel="00000000" w:rsidR="00000000" w:rsidRPr="00000000">
        <w:rPr>
          <w:rtl w:val="0"/>
        </w:rPr>
        <w:t xml:space="preserve">Agjent i Tokenit Digjital</w:t>
      </w:r>
      <w:r w:rsidDel="00000000" w:rsidR="00000000" w:rsidRPr="00000000">
        <w:rPr>
          <w:i w:val="1"/>
          <w:iCs w:val="1"/>
          <w:rtl w:val="0"/>
        </w:rPr>
        <w:t xml:space="preserve">”</w:t>
      </w:r>
      <w:r w:rsidDel="00000000" w:rsidR="00000000" w:rsidRPr="00000000">
        <w:rPr>
          <w:rtl w:val="0"/>
        </w:rPr>
        <w:t xml:space="preserve"> (TD). Agjenti TD shërben si një hallkë ndërlidhëse midis autoriteteve përgjegjëse dhe subjekteve që operojnë në këto tregje pasi cdo aplikim per licencë në kuadër  të këtij ligji duhet të shqyrtohet paraprakisht nga Agjenti TD,  i cili pasi konstaton përmbushjen e kushteve të përcaktuara në ligj, e dorëzon atë pranë autoritetit përgjegjës në emër dhe për llogari të subjektit kërkues. Ligji 66/2020 i jep agjentit të tokenit digjital një rol të rëndësishëm edhe në sigurimin e përputhshmërisë në vazhdimësi të subjekteve që ushtrojnë veprimtarinë në tregjet financiare të regjistrave të shpërndarë. Neni 31 i ligjit 66/2020 e ngarkon agjentin e tokenit digjital me detyrimin për të garantuar aftësinë dhe përshtatshmërinë e subjekteve për të cilët vepron në emër dhe për llogari, si dhe për të raportuar pranë Autoriteteve Përgjegjëse çdo shkelje apo mospërputhshmëri të këtyre subjekteve me kuadrin ligjor në fuqi. Megjithatë, deri më sot, pranë Autoritetit nuk ka mbërritur asnjë kërkesë për licencim për ushtrimin e veprimtarisë si agjent TD. Në këtë kuadër, mungesa e interesit për ushtrimin e veprimtarisë si agjent i tokenit digjital ka krijuar një ngërç për ushtrimin dhe licencimin e veprimtarive të tjera të parashikuara në ligj, pasi çdo kërkesë për licencim duhet të dorëzohet përmes një agjenti TD të licencuar.</w:t>
        <w:br w:type="textWrapping"/>
        <w:br w:type="textWrapping"/>
        <w:t xml:space="preserve">Për më tepër, veprimtari ose shërbime të tjera si emetimi i tokenave që synojnë të mbajnë një vlerë të qëndrueshme (stablecoins),  marrja dhe transmetimi i urdhrave për kripto-asetet, ekzekutimi urdhrave për kripto-asetet, këshillimi dhe administrimi i portofolit të kripto-aseteve etj nuk mbulohen nga kuadri ligjor në fuqi. Mungesa e legjislacionit për këto lloj shërbimesh mund të rezultojë në rreziqe thelbësore për integritetin e tregut duke përfshirë abuzimin e tregut si dhe përfshirjes në krimin financiar. </w:t>
        <w:br w:type="textWrapping"/>
        <w:br w:type="textWrapping"/>
        <w:t xml:space="preserve">Mangësitë e mësipërme kanë rezultuar në një ngërç ligjor dhe pamundësi efektive të subjekteve që dëshirojnë të ushtrojnë veprimtarinë në këto tregje për tu licencuar për veprimtaritë përkatëse, dhe në disa raste është konstatuar ushtrimi i këtyre veprimtarive pa licencë ose autorizim. Gjatë viteve 2021 - 2025 Autoriteti i Mbikëqyrjes Financiare, në vijim të bashkëpunimit me organet ligjzbatuese për mbrojtjen e interesave të investitorëve dhe sigurimin e integritetit të tregut, ka referuar mbi 10 subjekte në Policinë e Shtetit për ushtrimin e veprimtarive të rregulluara nga ligji 66/2020 “Për tregjet financiare të bazuara në teknologjinë e regjistrave të shpërndarë” pa disponuar licencat ose autorizimet përkatëse. Në vijim të këtyre referimeve, në muajin Nëntor 2024, Policia e Shtetit dhe Prokuroria përfundoi një operacion disamujor duke hetuar 32 subjekte dhe duke rezultuar në ndjekjen penale të 18 prej tyre, përfshirë këtu gjashtë subjekte të licencuara si zyra këmbimi valutor.  </w:t>
        <w:br w:type="textWrapping"/>
        <w:br w:type="textWrapping"/>
        <w:t xml:space="preserve">Gjithashtu, ndonëse tregjet e kripto-aseteve aktualisht janë të vogla në madhësi dhe nuk paraqesin një kërcënim për stabilitetin financiar, ekziston mundësia që disa lloje të kripto aseteve që kanë për qëllim të stabilizojnë çmimin në duke e fiksuar vleren e kripto asetit ne raport me një aseti specifik ose të një shporte të aseteve,  në të ardhmen të adoptohen gjerësisht nga klientët jo-profesionistë dhe një zhvillim i tillë mund të rriste sfidat për sa u përket stabilitetit financiar, operimit të sistemeve të pagesave, zbatimit të politikave monetare dhe sovranitetit monetar.  </w:t>
        <w:br w:type="textWrapping"/>
        <w:br w:type="textWrapping"/>
        <w:t xml:space="preserve">   </w:t>
      </w:r>
      <w:r w:rsidDel="00000000" w:rsidR="00000000" w:rsidRPr="00000000">
        <w:rPr>
          <w:color w:val="808080"/>
          <w:rtl w:val="0"/>
        </w:rPr>
        <w:t xml:space="preserve">Shkruani teksin këtu</w:t>
      </w:r>
      <w:r w:rsidDel="00000000" w:rsidR="00000000" w:rsidRPr="00000000">
        <w:rPr>
          <w:rtl w:val="0"/>
        </w:rPr>
        <w:t xml:space="preserve">.</w:t>
      </w:r>
    </w:p>
    <w:p w:rsidR="00000000" w:rsidDel="00000000" w:rsidP="00000000" w:rsidRDefault="00000000" w:rsidRPr="00000000" w14:paraId="00000082">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Arsyeja e ndërhyrjes </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pse qeveria e sheh të nevojshme të ndërhyjë.</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se çfarë shpreson të trajtojë qeveria nëpërmjet kësaj ndërhyrjeje.</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se si i mbështet kjo ndërhyrje objektivat e nivelit të lartë të qeverisë.</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Rendisni punën ekzistuese që është realizuar tashmë.</w:t>
      </w:r>
    </w:p>
    <w:p w:rsidR="00000000" w:rsidDel="00000000" w:rsidP="00000000" w:rsidRDefault="00000000" w:rsidRPr="00000000" w14:paraId="00000087">
      <w:pPr>
        <w:spacing w:before="240" w:lineRule="auto"/>
        <w:ind w:left="360" w:firstLine="0"/>
        <w:rPr>
          <w:color w:val="808080"/>
        </w:rPr>
      </w:pPr>
      <w:bookmarkStart w:colFirst="0" w:colLast="0" w:name="_heading=h.mj26hjf8x4b9" w:id="4"/>
      <w:bookmarkEnd w:id="4"/>
      <w:r w:rsidDel="00000000" w:rsidR="00000000" w:rsidRPr="00000000">
        <w:rPr>
          <w:rtl w:val="0"/>
        </w:rPr>
        <w:t xml:space="preserve">Në Maj të vitit 2023, Bashkimi Evropian miratoi rregulloren 2023/1114 “Për Tregjet e Kripto-Aseteve”, ndryshe e njohur si MiCA. Rregullorja e re vendos rregulla të njësuara në tregun e BE-së për kripto-asetet të cilat nuk konsiderohen instrumenta financiarë, duke parashtruar dispozita në lidhje me mbrojtjen e investitorëve, mbrojtjen e integritetit të tregut dhe parandalimin e sjelljeve abuzuese. </w:t>
        <w:br w:type="textWrapping"/>
        <w:br w:type="textWrapping"/>
        <w:t xml:space="preserve">Në thelb, kuadri rregullator për kripto-asetet eshtë i përafërt me atë të MIFID II dhe EMD2 dhe i nënshtron ofruesit e të shërbimeve të lidhura me kripto-asetet me të njëjtat kërkesa rregullatore sikurse ofruesit e shërbimeve të lidhura me  instrumenta financiarë dhe para elektronike. </w:t>
        <w:br w:type="textWrapping"/>
        <w:br w:type="textWrapping"/>
        <w:t xml:space="preserve">Subjektet dhe veprimtaritë e rregulluara nga kjo rregullore janë emetimi i kripto-aseteve dhe tokenave të parasë elektronike si dhe veprimtaritë e ndërmjetësimit të kripto-aseteve të tilla si operimi i një platforme tregtie, këmbimi, kujdestaria, marrja dhe transmetimi urdhrave, ekzekutimi urdhrave, hedhja ne treg, transferta, dhe administrimi i një portofoli kripto-asetesh. Kërkesat rregullatore ndaj këtyre subjekteve përfshirjnë mbajtjen e një kapitali minimal, kërkesa mbi qeverisjen korporative, konfliktin e interesit, sigurinë kibernetike dhe operacionale, masa për mbrojtjen e konsumatorit dhe parandalimin e abuzimit me tregun, si dhe zbatimin e politikave për parandalimin e pastrimit të parave. </w:t>
        <w:br w:type="textWrapping"/>
        <w:br w:type="textWrapping"/>
      </w:r>
      <w:r w:rsidDel="00000000" w:rsidR="00000000" w:rsidRPr="00000000">
        <w:rPr/>
        <w:drawing>
          <wp:inline distB="0" distT="0" distL="0" distR="0">
            <wp:extent cx="6115836" cy="3439970"/>
            <wp:effectExtent b="0" l="0" r="0" t="0"/>
            <wp:docPr id="211862527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115836" cy="3439970"/>
                    </a:xfrm>
                    <a:prstGeom prst="rect"/>
                    <a:ln/>
                  </pic:spPr>
                </pic:pic>
              </a:graphicData>
            </a:graphic>
          </wp:inline>
        </w:drawing>
      </w:r>
      <w:r w:rsidDel="00000000" w:rsidR="00000000" w:rsidRPr="00000000">
        <w:rPr>
          <w:rtl w:val="0"/>
        </w:rPr>
        <w:br w:type="textWrapping"/>
      </w:r>
      <w:r w:rsidDel="00000000" w:rsidR="00000000" w:rsidRPr="00000000">
        <w:rPr>
          <w:sz w:val="18"/>
          <w:szCs w:val="18"/>
          <w:rtl w:val="0"/>
        </w:rPr>
        <w:t xml:space="preserve">Figura 3: Paraqitje skematike e subjekteve të rregulluara nga Rregullorja (BE) 2023/1114 “Markets in Crypto-Assets”</w:t>
      </w:r>
      <w:r w:rsidDel="00000000" w:rsidR="00000000" w:rsidRPr="00000000">
        <w:rPr>
          <w:rtl w:val="0"/>
        </w:rPr>
        <w:br w:type="textWrapping"/>
        <w:br w:type="textWrapping"/>
        <w:t xml:space="preserve">Në muajin prill 2025, Shqipëria hapi zyrtarisht Grupkapitullin 2 “Tregu i Brendshëm”, një nga grupimet tematikë të kapitujve negociues në procesin e anëtarësimit në Bashkimin Evropian. Ky grupkapitull përfshin një sërë kapitujsh që lidhen me funksionimin e tregut të brendshëm të BE-së, ndër të cilët edhe Kapitulli 9 – “Shërbimet Financiare”, ku Autoriteti i Mbikëqyrjes Financiare është institucioni lider dhe drejtues i negociatave. Ndër piketat mbyllëse (</w:t>
      </w:r>
      <w:r w:rsidDel="00000000" w:rsidR="00000000" w:rsidRPr="00000000">
        <w:rPr>
          <w:i w:val="1"/>
          <w:iCs w:val="1"/>
          <w:rtl w:val="0"/>
        </w:rPr>
        <w:t xml:space="preserve">closing benchmark</w:t>
      </w:r>
      <w:r w:rsidDel="00000000" w:rsidR="00000000" w:rsidRPr="00000000">
        <w:rPr>
          <w:rtl w:val="0"/>
        </w:rPr>
        <w:t xml:space="preserve">s) të këtij grupkapitulli parashikohet edhe përafrimi me kuadrin rregullator evropian në fushën e financave digjitale, duke përfshirë rregullim të ligjit të kripto-aseteve. Kjo i jep një rëndësi të shtuar procesit të transpozimit të Rregullores (BE) 2023/1114 “Për Tregjet e Kripto-Aseteve” në legjislacionin shqiptar, si një parakusht për përmbushjen e detyrimeve në kuadër të procesit të anëtarësimit. </w:t>
        <w:br w:type="textWrapping"/>
        <w:br w:type="textWrapping"/>
        <w:t xml:space="preserve">Nisur nga sa më sipër, ndryshimet thelbësore midis ligjit në fuqi 66/2020 “Për tregjet financiare të bazuara në teknologjinë e regjistrave të shpërndarë” dhe projektligjit “Për tregjet e kripto-aseteve”  mund të përmblidhen si më poshtë:</w:t>
        <w:br w:type="textWrapping"/>
      </w:r>
      <w:r w:rsidDel="00000000" w:rsidR="00000000" w:rsidRPr="00000000">
        <w:rPr>
          <w:b w:val="1"/>
          <w:bCs w:val="1"/>
          <w:rtl w:val="0"/>
        </w:rPr>
        <w:br w:type="textWrapping"/>
        <w:t xml:space="preserve">Mungesa e subjekteve ndërmjetëse midis operatorëve të tregut dhe autoriteteve përgjegjëse</w:t>
      </w:r>
      <w:r w:rsidDel="00000000" w:rsidR="00000000" w:rsidRPr="00000000">
        <w:rPr>
          <w:rtl w:val="0"/>
        </w:rPr>
        <w:t xml:space="preserve"> - Ndryshe nga ligji nr. 66/2020, ku çdo aplikim për licencë tek autoritetet përgjegjëse duhet të vijë përmes një agjenti TD dhe/ose ofruesi shërbimesh inovative të licencuar, të cilët kontrollojnë paraprakisht përputhshmërinë dhe përshtatshmërinë e subjekteve të cilët dëshirojnë të operojnë në këto tregje, projektligji mundëson që çdo subjekt i interesuar të aplikojë në mënyrë te drejtpërdrejtë pranë autoriteteve përgjegjëse.  </w:t>
        <w:br w:type="textWrapping"/>
        <w:br w:type="textWrapping"/>
      </w:r>
      <w:r w:rsidDel="00000000" w:rsidR="00000000" w:rsidRPr="00000000">
        <w:rPr>
          <w:b w:val="1"/>
          <w:bCs w:val="1"/>
          <w:rtl w:val="0"/>
        </w:rPr>
        <w:t xml:space="preserve">Zgjerim i perimetrit rregullator</w:t>
      </w:r>
      <w:r w:rsidDel="00000000" w:rsidR="00000000" w:rsidRPr="00000000">
        <w:rPr>
          <w:rtl w:val="0"/>
        </w:rPr>
        <w:t xml:space="preserve"> – Ndërsa ligji nr. 66/2020 fokusohet tek operatorët e tregut si Bursa DLT, Kujdestari i Portofolit dhe Emetuesit, projektligji zgjeron perimetrin rregullator duke përfshirë edhe veprimtaritë e ndërmjetësimit të kripto-aseteve si operimi i një platforme tregtie, këmbimi, kujdestaria, marrja dhe transmetimi i urdhrave, ekzekutimi urdhrave, hedhja në treg dhe transfertat e kripto-aseteve.   </w:t>
        <w:br w:type="textWrapping"/>
        <w:br w:type="textWrapping"/>
      </w:r>
      <w:r w:rsidDel="00000000" w:rsidR="00000000" w:rsidRPr="00000000">
        <w:rPr>
          <w:b w:val="1"/>
          <w:bCs w:val="1"/>
          <w:rtl w:val="0"/>
        </w:rPr>
        <w:t xml:space="preserve">Rregullim i veçantë i tokenave të parasë elektronike dhe tokenave të aseteve</w:t>
      </w:r>
      <w:r w:rsidDel="00000000" w:rsidR="00000000" w:rsidRPr="00000000">
        <w:rPr>
          <w:rtl w:val="0"/>
        </w:rPr>
        <w:t xml:space="preserve"> – Projektligji përcakton procedura për autorizimin e emetuesit e tokenave, të cilat përfshijnë: ART (Asset Reference Token)/tokena të aseteve, një token digjital i cili pasqyron vlerën e një aseti/shporte asetesh; EMT (Electronic Money Token)/token i parasë elektronike, ndryshe “stablecoin”, i cili përfaqëson një token digjital që pasqyron vlerën e një valute, të tillë si USD, EUR, ALL etj. Rregullat për autorizimin e këtyre tokenave janë të ngjashme me ato të direktivës 2009/110/EC (EMD2) për paranë elektronike dhe përfshijnë kërkesa për ndarjen e fondeve të klientëve, mbajtjen e rezervës se aseteve dhe cilësinë e këtyre aseteve, mundësitë e shlyerjes etj. Gjithashtu, ky projektligj përmban kërkesa të veçanta për tokena të parasë elektronike dhe ART/tokena të aseteve të një rëndësie sistemike, duke i ngarkuar ofruesit e shërbimeve më një sërë kërkesash më të rrepta në lidhje me mbajtjen e kapitalit rregullator dhe cilësisë së aseteve. Nga ana tjetër,  ligji 66/2020 nuk ka dispozita të veçanta për emetimin e tokenave të parasë elektronike ose tokenave të aseteve, dhe e trajton emetimin e tyre në mënyrë të njëjtë me tokenat e tjerë.    </w:t>
        <w:br w:type="textWrapping"/>
        <w:br w:type="textWrapping"/>
      </w:r>
      <w:r w:rsidDel="00000000" w:rsidR="00000000" w:rsidRPr="00000000">
        <w:rPr>
          <w:b w:val="1"/>
          <w:bCs w:val="1"/>
          <w:rtl w:val="0"/>
        </w:rPr>
        <w:t xml:space="preserve">Përfshirja e autoriteteve mbikëqyrëse bankare në cilësinë e autoritetit përgjegjës</w:t>
      </w:r>
      <w:r w:rsidDel="00000000" w:rsidR="00000000" w:rsidRPr="00000000">
        <w:rPr>
          <w:rtl w:val="0"/>
        </w:rPr>
        <w:t xml:space="preserve"> – Duke qenë se një pjesë e rëndësishme e projektligjit fokusohet në autorizimin e emetuesve të tokenave të parasë elektronike dhe tokenave të aseteve, ky projektligj vendos një theks të veçantë tek roli i autoriteteve mbikëqyrëse bankare në rregullimin e ekosistemit të kripto-aseteve, duke i dhënë asaj një rol thelbësor në procesin e autorizimit dhe mbikëqyrjes në vijimësi.    </w:t>
        <w:br w:type="textWrapping"/>
        <w:br w:type="textWrapping"/>
      </w:r>
      <w:r w:rsidDel="00000000" w:rsidR="00000000" w:rsidRPr="00000000">
        <w:rPr>
          <w:b w:val="1"/>
          <w:bCs w:val="1"/>
          <w:rtl w:val="0"/>
        </w:rPr>
        <w:t xml:space="preserve">Mospërfshirje e autoriteteve të teknologjisë së informacionit</w:t>
      </w:r>
      <w:r w:rsidDel="00000000" w:rsidR="00000000" w:rsidRPr="00000000">
        <w:rPr>
          <w:rtl w:val="0"/>
        </w:rPr>
        <w:t xml:space="preserve"> – Ndryshe nga ligji nr. 66/2020, projektligji “Për tregjet e kripto-aseteve” nuk përfshin asnjë autoritet të teknologjisë së informacionit në cilësinë e autoritetit përgjegjës për zbatimin e tij. Kërkesat specifike në lidhje me qëndrueshmërinë operacionale të subjekteve financiare parashtrohen në Rregulloren (BE) “Digital Operational Resilience Act”dhe referohen për zbatim edhe në këtë rregullore.  </w:t>
        <w:br w:type="textWrapping"/>
        <w:br w:type="textWrapping"/>
      </w:r>
      <w:r w:rsidDel="00000000" w:rsidR="00000000" w:rsidRPr="00000000">
        <w:rPr>
          <w:b w:val="1"/>
          <w:bCs w:val="1"/>
          <w:rtl w:val="0"/>
        </w:rPr>
        <w:t xml:space="preserve">Mungesa e rregullimit të ekosistemit të financës së decentralizuar</w:t>
      </w:r>
      <w:r w:rsidDel="00000000" w:rsidR="00000000" w:rsidRPr="00000000">
        <w:rPr>
          <w:rtl w:val="0"/>
        </w:rPr>
        <w:t xml:space="preserve"> – Ndryshe nga ligji nr. 66/2020, i cili përfshin rregullime për Bursat DLT të decentralizuara dhe kontratat “</w:t>
      </w:r>
      <w:r w:rsidDel="00000000" w:rsidR="00000000" w:rsidRPr="00000000">
        <w:rPr>
          <w:i w:val="1"/>
          <w:iCs w:val="1"/>
          <w:rtl w:val="0"/>
        </w:rPr>
        <w:t xml:space="preserve">smart</w:t>
      </w:r>
      <w:r w:rsidDel="00000000" w:rsidR="00000000" w:rsidRPr="00000000">
        <w:rPr>
          <w:rtl w:val="0"/>
        </w:rPr>
        <w:t xml:space="preserve">”, projektligji ka në fokus vetëm shërbimet e kripto-aseteve të cilat kanë një entitet qendror të identifikueshëm, duke i ngarkuar këtij të fundit zbatimin e të gjitha kërkesave rregullatore. Bashkimi Evropian është shprehur se rregullimi i ekosistemit De-Fi (decentralizimi financiar) do të vijë në një moment të dytë.</w:t>
        <w:br w:type="textWrapping"/>
        <w:br w:type="textWrapping"/>
        <w:t xml:space="preserve">Në kuadër të sa më sipër, ky projektligj synon të transpozojë plotësisht Rregulloren e BE 2023/1114/EU “Për Tregjet e Kripto-Aseteve”, e njohur si MiCA, si dhe të harmonizohet me kornizën ekzistuese për shërbimet e investimit, pagesave dhe parasë elektronike, duke garantuar në këtë mënyrë siguri juridike, koherencë rregullatore, standarde të larta të mbrojtjes së investitorëve, si dhe forcimin e kredibilitetit të vendit në raport me proceset e vlerësimit ndërkombëtar. Projektligji adreson të gjitha boshllëqet ligjore të identifikuara më sipër duke përcaktuar në mënyrë të qartë:</w:t>
        <w:br w:type="textWrapping"/>
        <w:t xml:space="preserve">- Kërkesat për transparencë dhe publikimin e  informacionit për publikun në lidhje me emetimin, ofertën ndaj publikut dhe pranimin e kripto-aseteve për tregtim në një platforme tregtimi kripto-asetesh;   </w:t>
        <w:br w:type="textWrapping"/>
        <w:t xml:space="preserve">- Kërkesat dhe rregullat për autorizim dhe mbikëqyrjen në vazhdimësi të ofruesve të shërbimeve të lidhura me kripto-asetet, emetuesve të tokenave të aseteve the tokenave të parasë elektronike, duke përfshirë këtu kërkesat operacionale, organizative dhe ato të qeverisjes së brendshme;  </w:t>
        <w:br w:type="textWrapping"/>
        <w:t xml:space="preserve">- Kërkesat për mbrojtjen e investitorëve gjatë emetimit, ofertës ndaj publikut dhe pranimit për tregtim të kripto-aseteve;  </w:t>
        <w:br w:type="textWrapping"/>
        <w:t xml:space="preserve">- Kërkesat për mbrojtjen e klientëve të ofruesve të shërbimeve të lidhura me kripto-asetet;  </w:t>
        <w:br w:type="textWrapping"/>
        <w:t xml:space="preserve">- Masat për parandalimin e tregtimit të brendshëm, përhapjen e informacionit të brendshëm dhe parandalimin e manipulimit të tregut të kripto-aseteve, me qëllim sigurimin e integritetit të tregjeve të kripto-aseteve.  </w:t>
        <w:br w:type="textWrapping"/>
        <w:t xml:space="preserve">- Ndarjen e kompetencave midis autoriteteve përgjegjëse për zbatimin e këtij projektligji </w:t>
        <w:br w:type="textWrapping"/>
        <w:br w:type="textWrapping"/>
        <w:t xml:space="preserve">Projektligji synon përputhshmëri të plotë me Rregulloren e Bashkimit Evropian 2023/1114 “Markets in Crypto-Assets”, duke pasqyruar fushën e zbatimit, përkufizimet, regjimin e dokumentit informues, rregullat për ofertat publike, rregullimin e ofruesve të shërbimeve të kripto-aseteve, dispozitat për abuzimin në treg, kornizën për tokenat e asetit dhe tokenat e parasë elektronike dhe trajtimin e atyre të klasifikuar si të rëndësishme. Projektligji inkorporon kompetencat mbikëqyrëse, masat parandaluese dhe sanksionet administrative të parashikuara nga rregullorja MiCA dhe parashikon dispozita të paaplikueshme derisa të realizohet anëtarësimi, për të ruajtur harmoninë materiale dhe procedurale me acquis-in pa krijuar boshllëqe zbatimi në juridiksionin vendas. </w:t>
        <w:br w:type="textWrapping"/>
      </w:r>
      <w:r w:rsidDel="00000000" w:rsidR="00000000" w:rsidRPr="00000000">
        <w:rPr>
          <w:color w:val="808080"/>
          <w:rtl w:val="0"/>
        </w:rPr>
        <w:t xml:space="preserve">Shkruani teksin këtu.</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8">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Objektivi i politikës</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Vendosni objektiva që korrespondojnë me problemin dhe shkaqet e tij.</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Sigurohuni që objektivat e vendosur të korrespondojnë me ato të dhëna në përmbledhjen ekzekutive, por më të detajuara. </w:t>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Sigurohuni që objektivat janë specifikë, të matshëm, të arritshëm, realë dhe në kohë.</w:t>
      </w:r>
      <w:r w:rsidDel="00000000" w:rsidR="00000000" w:rsidRPr="00000000">
        <w:rPr>
          <w:rtl w:val="0"/>
        </w:rPr>
      </w:r>
    </w:p>
    <w:p w:rsidR="00000000" w:rsidDel="00000000" w:rsidP="00000000" w:rsidRDefault="00000000" w:rsidRPr="00000000" w14:paraId="0000008C">
      <w:pPr>
        <w:spacing w:before="240" w:lineRule="auto"/>
        <w:rPr>
          <w:color w:val="808080"/>
        </w:rPr>
      </w:pPr>
      <w:r w:rsidDel="00000000" w:rsidR="00000000" w:rsidRPr="00000000">
        <w:rPr>
          <w:rtl w:val="0"/>
        </w:rPr>
        <w:t xml:space="preserve">Qëllimi i projektligjit “Për Tregjet e Kripto-Aseteve”</w:t>
      </w:r>
      <w:r w:rsidDel="00000000" w:rsidR="00000000" w:rsidRPr="00000000">
        <w:rPr>
          <w:b w:val="1"/>
          <w:bCs w:val="1"/>
          <w:rtl w:val="0"/>
        </w:rPr>
        <w:t xml:space="preserve"> </w:t>
      </w:r>
      <w:r w:rsidDel="00000000" w:rsidR="00000000" w:rsidRPr="00000000">
        <w:rPr>
          <w:rtl w:val="0"/>
        </w:rPr>
        <w:t xml:space="preserve">është vendosja e një kuadri gjithëpërfshirës ligjor për ushtrimin e veprimtarive të emetimit të kripto-aseteve dhe ofrimin e shërbimeve të lidhura me to, si dhe përafrimi i plotë me </w:t>
      </w:r>
      <w:r w:rsidDel="00000000" w:rsidR="00000000" w:rsidRPr="00000000">
        <w:rPr>
          <w:i w:val="1"/>
          <w:iCs w:val="1"/>
          <w:rtl w:val="0"/>
        </w:rPr>
        <w:t xml:space="preserve">acquis</w:t>
      </w:r>
      <w:r w:rsidDel="00000000" w:rsidR="00000000" w:rsidRPr="00000000">
        <w:rPr>
          <w:rtl w:val="0"/>
        </w:rPr>
        <w:t xml:space="preserve"> e Bashkimit Evropian në fushën e financave digjitale, duke përmbushur kështu detyrimet e Shqipërisë në procesin e anëtarësimit në Bashkimin Evropian.  Objektivi strategjik i autoriteteve shqiptare është që me anëtarësimin në Bashkimin Evropian, legjislacioni vendas të përputhet plotësisht me acquis-in e BE-së, duke përfshirë dispozitat e plota të Rregullores MiCA. </w:t>
        <w:br w:type="textWrapping"/>
        <w:br w:type="textWrapping"/>
        <w:t xml:space="preserve">Më konkretisht, projektligji “Për tregjet e kripto-aseteve” ka si qëllim të rregullojë subjektet dhe veprimtaritë që lidhen me emetimin e kripto-aseteve dhe tokenave të parasë elektronike si dhe veprimtaritë e ndërmjetësimit të kripto-aseteve të tilla si operimi i një platforme tregtie, këmbimi, kujdestaria, marrja dhe transmetimi i urdhrave, ekzekutimi i urdhrave, hedhja në treg, transferta, këshillimi dhe administrimi i një portofoli kripto-asetesh.   Kërkesat rregullatore ndaj këtyre subjekteve përfshijnë mbajtjen e një kapitali minimal rregullator, kërkesa mbi qeverisjen e korporatave, konfliktin e interesit, sigurinë kibernetike dhe operacionale, masa për mbrojtjen e konsumatorit dhe parandalimin e abuzimit me tregun, si dhe zbatimin e politikave për parandalimin e pastrimit të parave. </w:t>
        <w:br w:type="textWrapping"/>
        <w:br w:type="textWrapping"/>
        <w:t xml:space="preserve">Kuadri rregullator për kripto-asetet është i përafërt me atë të Direktivës 2014/65/EU “Markets in Financial Instruments” (MIFID II) dhe Direktivës 2009/110/EC</w:t>
      </w:r>
      <w:r w:rsidDel="00000000" w:rsidR="00000000" w:rsidRPr="00000000">
        <w:rPr>
          <w:b w:val="1"/>
          <w:bCs w:val="1"/>
          <w:color w:val="333333"/>
          <w:highlight w:val="white"/>
          <w:rtl w:val="0"/>
        </w:rPr>
        <w:t xml:space="preserve"> </w:t>
      </w:r>
      <w:r w:rsidDel="00000000" w:rsidR="00000000" w:rsidRPr="00000000">
        <w:rPr>
          <w:color w:val="333333"/>
          <w:highlight w:val="white"/>
          <w:rtl w:val="0"/>
        </w:rPr>
        <w:t xml:space="preserve">“O</w:t>
      </w:r>
      <w:r w:rsidDel="00000000" w:rsidR="00000000" w:rsidRPr="00000000">
        <w:rPr>
          <w:rtl w:val="0"/>
        </w:rPr>
        <w:t xml:space="preserve">n the taking up, pursuit and prudential supervision of the business of electronic money institutions” (EMD2), dhe u parashtron emetuesve dhe ofruesve të shërbimeve të lidhura me kripto-asetet të njëjtat kërkesa rregullatore sikurse emetuesve ose ofruesve të shërbimeve të lidhura me instrumente financiarë dhe para elektronike.  </w:t>
        <w:br w:type="textWrapping"/>
        <w:br w:type="textWrapping"/>
        <w:t xml:space="preserve">Në të njëjtën kohë, projektligji synon garantimin e standardeve më të larta të mbrojtjes së investitorëve dhe integritetit të tregut, përmes kërkesave prudenciale, rregullave dhe politikave të qeverisjes korporative, menaxhimit të konfliktit të interesit, masave të sigurisë kibernetike dhe operacionale, transparencës së dokumentit informues (</w:t>
      </w:r>
      <w:r w:rsidDel="00000000" w:rsidR="00000000" w:rsidRPr="00000000">
        <w:rPr>
          <w:i w:val="1"/>
          <w:iCs w:val="1"/>
          <w:rtl w:val="0"/>
        </w:rPr>
        <w:t xml:space="preserve">ëhitepaper</w:t>
      </w:r>
      <w:r w:rsidDel="00000000" w:rsidR="00000000" w:rsidRPr="00000000">
        <w:rPr>
          <w:rtl w:val="0"/>
        </w:rPr>
        <w:t xml:space="preserve">), rregullave të marketingut, si dhe mekanizmave kundër abuzimit me tregun dhe në përputhje me politikat e parandalimit të pastrimit të parave. </w:t>
        <w:br w:type="textWrapping"/>
        <w:br w:type="textWrapping"/>
        <w:t xml:space="preserve">Kuadri i propozuar përqafon teknologjitë e reja dhe krijon një mjedis mundësues për bizneset inovative shqiptare, duke u ofruar atyre rregulla të qarta, të qëndrueshme dhe të barabarta me ato të BE-së, me qëllim që ofruesit vendas të operojnë pa pengesa në tregun e përbashkët evropian, duke synuar nxitjen e konkurrueshmërisë, tërheqjen e investimeve cilësore dhe lehtësimin e integrimit gradual të ekosistemit vendas të kripto-aseteve në zinxhirët evropianë të vlerës, duke mbajtur ekuilibrin midis mbrojtjes së konsumatorit dhe nxitjes së inovacionit. </w:t>
      </w:r>
      <w:r w:rsidDel="00000000" w:rsidR="00000000" w:rsidRPr="00000000">
        <w:rPr>
          <w:color w:val="808080"/>
          <w:rtl w:val="0"/>
        </w:rPr>
        <w:t xml:space="preserve">Shkruani teksin këtu.</w:t>
      </w:r>
    </w:p>
    <w:p w:rsidR="00000000" w:rsidDel="00000000" w:rsidP="00000000" w:rsidRDefault="00000000" w:rsidRPr="00000000" w14:paraId="0000008D">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Përshkrimi i opsioneve të shqyrtuara</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Përshkruani opsionin e status quo-së. </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Identifikoni dhe përshkruani të gjitha opsionet e politikave që keni marrë parasysh.</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se si janë identifikuar opsionet e politikës.  </w:t>
      </w:r>
    </w:p>
    <w:p w:rsidR="00000000" w:rsidDel="00000000" w:rsidP="00000000" w:rsidRDefault="00000000" w:rsidRPr="00000000" w14:paraId="00000091">
      <w:pPr>
        <w:spacing w:before="240" w:lineRule="auto"/>
        <w:rPr>
          <w:color w:val="808080"/>
        </w:rPr>
      </w:pPr>
      <w:r w:rsidDel="00000000" w:rsidR="00000000" w:rsidRPr="00000000">
        <w:rPr>
          <w:rtl w:val="0"/>
        </w:rPr>
        <w:br w:type="textWrapping"/>
        <w:br w:type="textWrapping"/>
        <w:t xml:space="preserve">Nisur nga sa më sipër, grupi ndër-institucional i punës për hartimin e këtij projektligji ka marrë në konsideratë 3 opsione të cilat janë përmbledhur më poshtë. Opsionet u identifikuan duke ndjekur strukturën e VN  dhe duke u bazuar në: (i) analizën e kuadrit ligjor aktual në Republikën e Shqipërisë (ligji 66/2020 “Për tregjet financiare të bazuara në teknologjinë e regjistrave të shpërndarë” dhe ligji 9917 “Për parandalimin e pastrimit të parave dhe financimit të terrorizmit), (ii) identifikimin e veprimtarive/shërbimeve që nuk mbulohen specifikisht sot, si dhe (iii) objektivin e projektligjit për përafrim të plotë me MiCA dhe detyrimet e integrimit në BE, të pasqyruara në relacionin shoqërues.: </w:t>
        <w:br w:type="textWrapping"/>
      </w:r>
      <w:r w:rsidDel="00000000" w:rsidR="00000000" w:rsidRPr="00000000">
        <w:rPr>
          <w:b w:val="1"/>
          <w:bCs w:val="1"/>
          <w:rtl w:val="0"/>
        </w:rPr>
        <w:br w:type="textWrapping"/>
        <w:t xml:space="preserve">Opsioni 0 – Status quo (kuadri aktual):</w:t>
      </w:r>
      <w:r w:rsidDel="00000000" w:rsidR="00000000" w:rsidRPr="00000000">
        <w:rPr>
          <w:rtl w:val="0"/>
        </w:rPr>
        <w:t xml:space="preserve"> Në këtë opsion nuk ndërmerret ndërhyrje e re rregullatore dhe vijon të mbështetemi te kuadri ligjor në fuqi. Aktualisht kuadri ligjor për emetimin dhe ofrimin e shërbimeve të lidhura me monedhat virtuale/token digjital në Republikën e Shqipërisë përbëhet nga ligji nr. 66/2020 “Për tregjet financiare të bazuara në teknologjinë e regjistrave të shpërndarë” dhe ligji nr. 9917 “Për parandalimin e pastrimit të parave dhe financimit të terrorizmit”. Kuadri aktual rregullon licencimin/mbikëqyrjen e subjekteve për disa veprimtari (p.sh. shpërndarja, tregtimi dhe ruajtja e tokenëve digjitalë/monedhave virtuale), por nuk mbulon në mënyrë specifike një sërë veprimtarish/shërbimesh të tjera (p.sh. emetimi i stablecoins, marrja dhe transmetimi i urdhrave, ekzekutimi i urdhrave, këshillimi, administrimi i portofolit etj.). Gjithashtu, proceset ndërkombëtare të vlerësimit si MONEYVAL e kanë vlerësuar kuadrin ligjor aktual si pjesërisht të përputhur me standardet ndërkombëtare të parandalimit të pastrimit të parave dhe financimit të terrozimit në këtë sektor. </w:t>
      </w:r>
      <w:r w:rsidDel="00000000" w:rsidR="00000000" w:rsidRPr="00000000">
        <w:rPr>
          <w:b w:val="1"/>
          <w:bCs w:val="1"/>
          <w:rtl w:val="0"/>
        </w:rPr>
        <w:br w:type="textWrapping"/>
        <w:br w:type="textWrapping"/>
        <w:t xml:space="preserve">Opsioni 1 – Shtesa dhe ndryshime të ligjit 66/2020 “Për tregjet financiare të bazuara në teknologjinë e regjistrave të shpërndarë”:</w:t>
      </w:r>
      <w:r w:rsidDel="00000000" w:rsidR="00000000" w:rsidRPr="00000000">
        <w:rPr>
          <w:rtl w:val="0"/>
        </w:rPr>
        <w:t xml:space="preserve"> Në vend të një ligji të ri, parashikohet ndërhyrje përmes ndryshimeve dhe shtesave në ligjin nr. 66/2020, me qëllim përfshirjen e dispozitave të posaçme për: (i) ofruesit e shërbimeve të kripto-aseteve dhe (ii) emetuesit e tokenave të parasë elektronike, si dhe rregulla të lidhura me licencimin/autorizimin, kërkesat organizative dhe mbikëqyrjen, të përshtatura brenda arkitekturës ekzistuese të ligjit 66/2020. Ky opsion nënkupton rishikim të gjerë të ligjit aktual për të adresuar veprimtaritë që sot nuk mbulohen në mënyrë specifike.  </w:t>
      </w:r>
      <w:r w:rsidDel="00000000" w:rsidR="00000000" w:rsidRPr="00000000">
        <w:rPr>
          <w:b w:val="1"/>
          <w:bCs w:val="1"/>
          <w:rtl w:val="0"/>
        </w:rPr>
        <w:br w:type="textWrapping"/>
        <w:br w:type="textWrapping"/>
        <w:t xml:space="preserve">Opsioni 2 – Ligj i ri i përafruar plotësisht me </w:t>
      </w:r>
      <w:r w:rsidDel="00000000" w:rsidR="00000000" w:rsidRPr="00000000">
        <w:rPr>
          <w:b w:val="1"/>
          <w:bCs w:val="1"/>
          <w:i w:val="1"/>
          <w:iCs w:val="1"/>
          <w:rtl w:val="0"/>
        </w:rPr>
        <w:t xml:space="preserve">acquis</w:t>
      </w:r>
      <w:r w:rsidDel="00000000" w:rsidR="00000000" w:rsidRPr="00000000">
        <w:rPr>
          <w:b w:val="1"/>
          <w:bCs w:val="1"/>
          <w:rtl w:val="0"/>
        </w:rPr>
        <w:t xml:space="preserve"> të BE (MiCA):</w:t>
      </w:r>
      <w:r w:rsidDel="00000000" w:rsidR="00000000" w:rsidRPr="00000000">
        <w:rPr>
          <w:rtl w:val="0"/>
        </w:rPr>
        <w:t xml:space="preserve"> Ky opsion parashikon miratimin e një kuadri të posaçëm ligjor “Për tregjet e kripto-aseteve”, i cili synon të transpozojë plotësisht Rregulloren (BE) 2023/1114 “Markets in Crypto-Assets” (MiCA) dhe të harmonizohet me kornizën ekzistuese për shërbimet e investimit, pagesave dhe parasë elektronike. Ky opsion lidhet edhe me detyrimet që rrjedhin nga piketat mbyllëse të Grupkapitullit 2 “Tregu i Brendshëm” (përfshirë kapitullin “Shërbimet Financiare”) në procesin e negociatave për anëtarësim në BE</w:t>
      </w:r>
      <w:r w:rsidDel="00000000" w:rsidR="00000000" w:rsidRPr="00000000">
        <w:rPr>
          <w:color w:val="808080"/>
          <w:rtl w:val="0"/>
        </w:rPr>
        <w:t xml:space="preserve">.</w:t>
      </w:r>
    </w:p>
    <w:p w:rsidR="00000000" w:rsidDel="00000000" w:rsidP="00000000" w:rsidRDefault="00000000" w:rsidRPr="00000000" w14:paraId="00000092">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Vlerësimi i opsioneve/analizimi i ndikimeve     </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bookmarkStart w:colFirst="0" w:colLast="0" w:name="_heading=h.vdn8dbuhmyss" w:id="5"/>
      <w:bookmarkEnd w:id="5"/>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Identifikoni grupet e prekura.</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40" w:right="0" w:hanging="18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Identifikoni llojet e ndikimeve për secilin grup të prekur, bëni dallimin midis ndikimeve të drejtpërdrejta dhe jo të drejtpërdrejta.</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 ndikimet e drejtpërdrejta:</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Përshkruani nga ana cilësore ndikimet e drejtpërdrejta mbi grupet e prekura.</w:t>
      </w:r>
    </w:p>
    <w:p w:rsidR="00000000" w:rsidDel="00000000" w:rsidP="00000000" w:rsidRDefault="00000000" w:rsidRPr="00000000" w14:paraId="0000009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Analizoni nga ana sasiore ndikimet më të rëndësishme të drejtpërdrejta.</w:t>
      </w:r>
    </w:p>
    <w:p w:rsidR="00000000" w:rsidDel="00000000" w:rsidP="00000000" w:rsidRDefault="00000000" w:rsidRPr="00000000" w14:paraId="0000009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Përcaktoni vlerën monetare të ndikimeve më të rëndësishme të drejtpërdrejta aty ku është e mundur (përdor tabelën në Aneksin 2/a të këtij dokumenti).</w:t>
      </w:r>
    </w:p>
    <w:p w:rsidR="00000000" w:rsidDel="00000000" w:rsidP="00000000" w:rsidRDefault="00000000" w:rsidRPr="00000000" w14:paraId="0000009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Analizoni ndikimin mbi ndërmarrjet e vogla dhe të mesme (nëse ka).</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 ndikimet jo të drejtpërdrejta:</w:t>
      </w:r>
    </w:p>
    <w:p w:rsidR="00000000" w:rsidDel="00000000" w:rsidP="00000000" w:rsidRDefault="00000000" w:rsidRPr="00000000" w14:paraId="0000009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Përshkruani nga ana cilësore ndikimet jo të drejtpërdrejta mbi grupet e prekura.</w:t>
      </w:r>
    </w:p>
    <w:p w:rsidR="00000000" w:rsidDel="00000000" w:rsidP="00000000" w:rsidRDefault="00000000" w:rsidRPr="00000000" w14:paraId="0000009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Analizoni ndikimin mbi konkurrencën.  </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Diskutoni kufizimin e analizës:</w:t>
      </w:r>
    </w:p>
    <w:p w:rsidR="00000000" w:rsidDel="00000000" w:rsidP="00000000" w:rsidRDefault="00000000" w:rsidRPr="00000000" w14:paraId="0000009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bookmarkStart w:colFirst="0" w:colLast="0" w:name="_heading=h.my6nme62rwa5" w:id="6"/>
      <w:bookmarkEnd w:id="6"/>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Jepni supozimet në të cilat janë bazuar parashikimet dhe risqet, të cilave ato u nënshtrohen.</w:t>
      </w:r>
    </w:p>
    <w:p w:rsidR="00000000" w:rsidDel="00000000" w:rsidP="00000000" w:rsidRDefault="00000000" w:rsidRPr="00000000" w14:paraId="000000A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12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Tregoni se çfarë mund të pengojë realizimin e përfitimeve, të rrisë kostot ose të sjellë pasoja të papritura.</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Përmblidhni vlerësimin e opsioneve:</w:t>
      </w:r>
    </w:p>
    <w:p w:rsidR="00000000" w:rsidDel="00000000" w:rsidP="00000000" w:rsidRDefault="00000000" w:rsidRPr="00000000" w14:paraId="000000A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Paraqisni një pasqyrë përmbledhëse të të gjitha ndikimeve të opsioneve të analizuara.</w:t>
      </w:r>
    </w:p>
    <w:p w:rsidR="00000000" w:rsidDel="00000000" w:rsidP="00000000" w:rsidRDefault="00000000" w:rsidRPr="00000000" w14:paraId="000000A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se si ndikimet e të gjitha opsioneve të analizuara krahasohen me njëra-tjetrën.</w:t>
      </w:r>
    </w:p>
    <w:p w:rsidR="00000000" w:rsidDel="00000000" w:rsidP="00000000" w:rsidRDefault="00000000" w:rsidRPr="00000000" w14:paraId="000000A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4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Paraqisni përllogaritjet më të mira të përgjithshme neto të ndikimit me vlerë monetare të përcaktuar për çdo opsion (përdor tabelën në Aneksin 2/b të këtij dokumenti).</w:t>
      </w:r>
    </w:p>
    <w:p w:rsidR="00000000" w:rsidDel="00000000" w:rsidP="00000000" w:rsidRDefault="00000000" w:rsidRPr="00000000" w14:paraId="000000A5">
      <w:pPr>
        <w:spacing w:before="240" w:lineRule="auto"/>
        <w:rPr>
          <w:b w:val="1"/>
          <w:bCs w:val="1"/>
          <w:color w:val="808080"/>
          <w:u w:val="single"/>
        </w:rPr>
      </w:pPr>
      <w:bookmarkStart w:colFirst="0" w:colLast="0" w:name="_heading=h.d51yba4zcc5n" w:id="7"/>
      <w:bookmarkEnd w:id="7"/>
      <w:r w:rsidDel="00000000" w:rsidR="00000000" w:rsidRPr="00000000">
        <w:rPr>
          <w:rtl w:val="0"/>
        </w:rPr>
        <w:t xml:space="preserve">Ky seksion analizon si ndryshon situata për palët e prekura nën secilin opsion politikash për tregjet e kripto-aseteve, me fokus te mbrojtja e investitorëve, integriteti i tregut dhe forcimi i standardeve të PPP/FT. Vlerësimi bëhet duke marrë </w:t>
      </w:r>
      <w:r w:rsidDel="00000000" w:rsidR="00000000" w:rsidRPr="00000000">
        <w:rPr>
          <w:b w:val="1"/>
          <w:bCs w:val="1"/>
          <w:rtl w:val="0"/>
        </w:rPr>
        <w:t xml:space="preserve">status quo-në</w:t>
      </w:r>
      <w:r w:rsidDel="00000000" w:rsidR="00000000" w:rsidRPr="00000000">
        <w:rPr>
          <w:rtl w:val="0"/>
        </w:rPr>
        <w:t xml:space="preserve"> si pikë reference dhe duke përshkruar për çdo opsion: (i) cilat grupe preken (investitorë, ofrues shërbimesh, emetues, institucione financiare, autoritete), (ii) çfarë ndikimesh të drejtpërdrejta sjell (detyrime autorizimi/licencimi, transparencë, sjellje tregu, kërkesa organizative/raportuese, kosto pajtueshmërie dhe burime mbikëqyrjeje), si dhe (iii) çfarë ndikimesh jo të drejtpërdrejta mund të krijohen (besimi në treg, formalizimi, konkurrenca dhe rreziku i arbitrazhit rregullator). </w:t>
        <w:br w:type="textWrapping"/>
        <w:br w:type="textWrapping"/>
        <w:t xml:space="preserve">Aty ku është e mundur, ndikimet e drejtpërdrejta kuantifikohen dhe u jepet vlerë monetare (p.sh. kosto administrative, kosto pajtueshmërie, burime njerëzore/IT për mbikëqyrje). Monetarizimi i “përfitimeve” trajtohet kryesisht si </w:t>
      </w:r>
      <w:r w:rsidDel="00000000" w:rsidR="00000000" w:rsidRPr="00000000">
        <w:rPr>
          <w:b w:val="1"/>
          <w:bCs w:val="1"/>
          <w:rtl w:val="0"/>
        </w:rPr>
        <w:t xml:space="preserve">humbje të shmangura</w:t>
      </w:r>
      <w:r w:rsidDel="00000000" w:rsidR="00000000" w:rsidRPr="00000000">
        <w:rPr>
          <w:rtl w:val="0"/>
        </w:rPr>
        <w:t xml:space="preserve"> (mashtrime, abuzim tregu, incidente operative/PPP-FT), duke qenë se ky është rregullim financiar dhe nuk vlerësohet me logjikën e NPV/VAN. Në vijim, kjo qasje zbatohet opsion pas opsioni, duke filluar me Opsionin 0 (status quo).</w:t>
        <w:br w:type="textWrapping"/>
        <w:br w:type="textWrapping"/>
      </w:r>
      <w:r w:rsidDel="00000000" w:rsidR="00000000" w:rsidRPr="00000000">
        <w:rPr>
          <w:b w:val="1"/>
          <w:bCs w:val="1"/>
          <w:rtl w:val="0"/>
        </w:rPr>
        <w:br w:type="textWrapping"/>
        <w:t xml:space="preserve">Opsioni 0 (status quo)</w:t>
      </w:r>
      <w:r w:rsidDel="00000000" w:rsidR="00000000" w:rsidRPr="00000000">
        <w:rPr>
          <w:rtl w:val="0"/>
        </w:rPr>
        <w:br w:type="textWrapping"/>
      </w:r>
      <w:r w:rsidDel="00000000" w:rsidR="00000000" w:rsidRPr="00000000">
        <w:rPr>
          <w:b w:val="1"/>
          <w:bCs w:val="1"/>
          <w:rtl w:val="0"/>
        </w:rPr>
        <w:br w:type="textWrapping"/>
      </w:r>
      <w:r w:rsidDel="00000000" w:rsidR="00000000" w:rsidRPr="00000000">
        <w:rPr>
          <w:rtl w:val="0"/>
        </w:rPr>
        <w:t xml:space="preserve">Opsioni 0  nuk kërkon miratimin e një kuadri të ri për tregjet e kripto-aseteve dhe vijon me zbatimin e kuadrit në fuqi të përbërë nga ligji nr. 66/2020 “Për tregjet financiare të bazuara në teknologjinë e regjistrave të shpërndarë” dhe ligji nr. 9917 “Për parandalimin e pastrimit të parave dhe financimit të terrorizmit”. Ligji 66/2020 përcakton detyrime dhe standarde të caktuara për  proceset e licencimit ,mbikëqyrjes, transparencës dhe sjelljes në treg, por ky regjim mbetet i kufizuar dhe nuk shtrihet mbi të gjithë spektrin e shërbimeve që hasen sot në tregjet e kripto-aseteve.  </w:t>
        <w:br w:type="textWrapping"/>
        <w:br w:type="textWrapping"/>
        <w:t xml:space="preserve">Në këtë skenar, grupet kryesore të prekura janë: (i) investitorët/klientët, veçanërisht klientët joprofesionistë; (ii) subjektet që ofrojnë ose synojnë të ofrojnë shërbime të lidhura me kripto-asetet; (iii) emetuesit e kripto-aseteve; (iv) institucionet financiare që ndërveprojnë me këto subjekte; dhe (v) autoritetet përgjegjëse (AMF dhe AKSHI) si dhe funksionet e PPP/FT. </w:t>
        <w:br w:type="textWrapping"/>
        <w:br w:type="textWrapping"/>
        <w:t xml:space="preserve">Ndikimet për këto grupe mund të ndahen në ndikime të drejtpërdrejta dhe jo të drejtpërdrejta. Ndikimi i drejtpërdrejtë mbi investitorët/klientët lidhet me faktin që mbrojtjet rregullatore dhe detyrimet ekzistuese vlejnë vetëm për veprimtaritë që mbulohen nga ligji aktual, ndërsa për një sërë shërbimesh të tjera mungon rregullimi specifik. Veprimtari të tilla si emetimi i tokenave që synojnë të mbajnë vlerë të qëndrueshme (stablecoins), marrja dhe transmetimi i urdhrave për kripto-asetet, ekzekutimi i urdhrave për kripto-asetet, këshillimi dhe administrimi i portofolit të kripto-aseteve nuk mbulohen nga kuadri ligjor në fuqi; mungesa e këtij rregullimi mund të krijojë rreziqe thelbësore për integritetin e tregut (përfshirë abuzimin e tregut) dhe rreziqe që lidhen me krimin financiar.  </w:t>
        <w:br w:type="textWrapping"/>
        <w:br w:type="textWrapping"/>
        <w:t xml:space="preserve">Ndikimi i drejtpërdrejtë mbi subjektet/ofruesit dhe emetuesit është pasiguria rregullatore për shërbimet e pambuluara si dhe vështirësia për të ndërtuar modele biznesi me rregulla të qarta e të parashikueshme për autorizimin, organizimin, sjelljen në treg dhe raportimin. Në praktikë, status quo shoqërohet edhe me një element shumë konkret: ndonëse aktet nënligjore janë miratuar në vitin 2022, pranë AMF nuk ka mbërritur asnjë kërkesë për licencim sipas ligjit nr. 66/2020 dhe rrjedhimisht nuk ka ende asnjë subjekt të licencuar që ushtron veprimtari në këto tregje. Ky tregues është ndikimi sasior më i qartë i status quo-së: formalizimi përmes kanalit të licencimit nuk është materializuar.  </w:t>
        <w:br w:type="textWrapping"/>
        <w:br w:type="textWrapping"/>
        <w:t xml:space="preserve">Për autoritetet dhe PPP/FT, ndikimi i drejtpërdrejtë lidhet me faktin që sfida e menaxhimit të rreziqeve në sektor mbetet e theksuar. MONEYVAL, në raportin e 2021, propozon rishkallëzimin e Rekomandimit 15 të FATF (për “virtual assets” dhe “virtual asset service providers”) si “Partially Compliant”, dhe vëren se analiza e riskut për aktivitetet me asete virtuale/ofruesit nuk përmban informacion të mjaftueshëm të detajuar mbi kërcënimet dhe cenueshmëritë; gjithashtu thekson se baza e analizës së kërcënimeve për pastrimin e parave është mbështetur vetëm në 16 raportime të transaksioneve të dyshuara (2015–2019), ndërkohë që asnjë ofrues nuk ishte i regjistruar. Këto gjetje e bëjnë të qartë se nën status quo mbetet nevoja për qartësim dhe përforcim të qasjes së mbikëqyrjes dhe zbatimit në këtë fushë.  </w:t>
        <w:br w:type="textWrapping"/>
        <w:br w:type="textWrapping"/>
        <w:t xml:space="preserve">Sa i përket vlerësimit monetar të ndikimeve të drejtpërdrejta në opsionin 0, kostoja shtesë rregullatore e imponuar nga politika është praktikisht zero, sepse nuk krijohen detyrime të reja ligjore (nuk vendosen kërkesa të reja për autorizim, raportim, kapital, sisteme IT apo auditim). Nga ana tjetër, humbjet e mundshme të investitorëve (si pasojë e mashtrimeve/abuzimit të tregut apo incidenteve) nuk mund të monetarizohen në mënyrë të besueshme mbi bazën e dokumenteve të dhëna, sepse mungojnë të dhëna të strukturuara të detyrueshme mbi ankesa, dëme, volum aktiviteti dhe incidente — kjo trajtohet si kufizim analize. </w:t>
        <w:br w:type="textWrapping"/>
        <w:br w:type="textWrapping"/>
        <w:t xml:space="preserve">Për ndërmarrjet e vogla dhe të mesme, status quo prodhon një efekt të dyfishtë: në afat të shkurtër nuk shton barrë përputhshmerie (pra nuk krijon kosto të reja), por njëkohësisht mbart pasigurinë rregullatore për shërbime të reja jashtë fushës së ligjit aktual, duke e bërë më të vështirë planifikimin, investimin dhe ndërtimin e marrëdhënieve të qëndrueshme me partnerë financiarë. </w:t>
        <w:br w:type="textWrapping"/>
        <w:br w:type="textWrapping"/>
        <w:t xml:space="preserve">Ndikimet jo të drejtpërdrejta të opsionit 0 lidhen kryesisht me besimin në treg dhe mënyrën si formohet konkurrenca. Kur vetëm një pjesë e veprimtarive mbulohet shprehimisht nga kuadri ligjor, krijohet terren që një pjesë e veprimtarisë të zhvendoset drejt fushave të pambuluara ligjërisht, duke ulur transparencën dhe duke rritur rrezikun reputacional për sektorin në tërësi. Në aspektin e konkurrencës, status quo mund të prodhojë kushte jo plotësisht të barabarta: operatorët që veprojnë në fushë të pambuluar nuk përballen me të njëjtat kërkesa të qarta si operatorët që do të synonin formalizim dhe standarde më të larta, çka rrit rrezikun e arbitrazhit rregullator. </w:t>
        <w:br w:type="textWrapping"/>
        <w:br w:type="textWrapping"/>
        <w:t xml:space="preserve">Kufizimet e analizës për opsionin 0 janë të rëndësishme dhe duhen deklaruar qartë pasi parashikimet mbështeten në supozimin se kuadri aktual mbetet i pandryshuar dhe se niveli i formalizimit përmes licencimit vijon të jetë i ulët (0 kërkesa dhe 0 licenca). Gjithashtu, një faktor që mund të pengojë realizimin e përfitimeve ose të sjellë pasoja të papritura është zhvillimi i veprimtarisë përmes platformave/juridiksioneve jashtë fushës së mbikëqyrjes vendase, si dhe mungesa e raportimeve të standardizuara që do të mundësonin matje të saktë të riskut dhe ndërhyrje të synuar. </w:t>
        <w:br w:type="textWrapping"/>
        <w:br w:type="textWrapping"/>
        <w:t xml:space="preserve">Në përmbledhje, Opsioni 0 shërben si bazë krahasimi pasi ai ka koston më të ulët të menjëhershme (nuk shton kosto të reja rregullatore), por mban të pandryshuara boshllëqet e mbulimit për shërbime kyçe dhe nuk adreson plotësisht gjetjet e MONEYVAL për Rekomandimin 15. Kjo e bën të domosdoshëm krahasimin me Opsionin 1 dhe Opsionin 2, të cilët do të vlerësohen mbi të njëjtat grupe të prekura, duke identifikuar çfarë shtohet në mbrojtje/mbikëqyrje dhe çfarë kostoje pajtueshmërie/kapacitetesh kërkohet. </w:t>
        <w:br w:type="textWrapping"/>
        <w:br w:type="textWrapping"/>
      </w:r>
      <w:r w:rsidDel="00000000" w:rsidR="00000000" w:rsidRPr="00000000">
        <w:rPr>
          <w:color w:val="808080"/>
          <w:rtl w:val="0"/>
        </w:rPr>
        <w:t xml:space="preserve">  </w:t>
      </w:r>
      <w:r w:rsidDel="00000000" w:rsidR="00000000" w:rsidRPr="00000000">
        <w:rPr>
          <w:b w:val="1"/>
          <w:bCs w:val="1"/>
          <w:u w:val="single"/>
          <w:rtl w:val="0"/>
        </w:rPr>
        <w:t xml:space="preserve">Opsioni 0 – Tabelë e analizës së ndikimeve</w:t>
      </w:r>
      <w:r w:rsidDel="00000000" w:rsidR="00000000" w:rsidRPr="00000000">
        <w:rPr>
          <w:rtl w:val="0"/>
        </w:rPr>
      </w:r>
    </w:p>
    <w:tbl>
      <w:tblPr>
        <w:tblStyle w:val="Table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829"/>
        <w:gridCol w:w="4588"/>
        <w:gridCol w:w="1510"/>
        <w:tblGridChange w:id="0">
          <w:tblGrid>
            <w:gridCol w:w="2268"/>
            <w:gridCol w:w="1829"/>
            <w:gridCol w:w="4588"/>
            <w:gridCol w:w="1510"/>
          </w:tblGrid>
        </w:tblGridChange>
      </w:tblGrid>
      <w:tr>
        <w:trPr>
          <w:cantSplit w:val="0"/>
          <w:tblHeader w:val="0"/>
        </w:trPr>
        <w:tc>
          <w:tcPr/>
          <w:p w:rsidR="00000000" w:rsidDel="00000000" w:rsidP="00000000" w:rsidRDefault="00000000" w:rsidRPr="00000000" w14:paraId="000000A6">
            <w:pPr>
              <w:spacing w:line="276" w:lineRule="auto"/>
              <w:rPr/>
            </w:pPr>
            <w:r w:rsidDel="00000000" w:rsidR="00000000" w:rsidRPr="00000000">
              <w:rPr>
                <w:b w:val="1"/>
                <w:bCs w:val="1"/>
                <w:rtl w:val="0"/>
              </w:rPr>
              <w:t xml:space="preserve">Grupi i prekur</w:t>
            </w:r>
            <w:r w:rsidDel="00000000" w:rsidR="00000000" w:rsidRPr="00000000">
              <w:rPr>
                <w:rtl w:val="0"/>
              </w:rPr>
            </w:r>
          </w:p>
        </w:tc>
        <w:tc>
          <w:tcPr/>
          <w:p w:rsidR="00000000" w:rsidDel="00000000" w:rsidP="00000000" w:rsidRDefault="00000000" w:rsidRPr="00000000" w14:paraId="000000A7">
            <w:pPr>
              <w:spacing w:line="276" w:lineRule="auto"/>
              <w:rPr/>
            </w:pPr>
            <w:r w:rsidDel="00000000" w:rsidR="00000000" w:rsidRPr="00000000">
              <w:rPr>
                <w:b w:val="1"/>
                <w:bCs w:val="1"/>
                <w:rtl w:val="0"/>
              </w:rPr>
              <w:t xml:space="preserve">Ndikim (drejtpërdrejtë/ tërthortë)</w:t>
            </w:r>
            <w:r w:rsidDel="00000000" w:rsidR="00000000" w:rsidRPr="00000000">
              <w:rPr>
                <w:rtl w:val="0"/>
              </w:rPr>
            </w:r>
          </w:p>
        </w:tc>
        <w:tc>
          <w:tcPr/>
          <w:p w:rsidR="00000000" w:rsidDel="00000000" w:rsidP="00000000" w:rsidRDefault="00000000" w:rsidRPr="00000000" w14:paraId="000000A8">
            <w:pPr>
              <w:spacing w:line="276" w:lineRule="auto"/>
              <w:rPr/>
            </w:pPr>
            <w:r w:rsidDel="00000000" w:rsidR="00000000" w:rsidRPr="00000000">
              <w:rPr>
                <w:b w:val="1"/>
                <w:bCs w:val="1"/>
                <w:rtl w:val="0"/>
              </w:rPr>
              <w:t xml:space="preserve">Cilësor</w:t>
            </w:r>
            <w:r w:rsidDel="00000000" w:rsidR="00000000" w:rsidRPr="00000000">
              <w:rPr>
                <w:rtl w:val="0"/>
              </w:rPr>
            </w:r>
          </w:p>
        </w:tc>
        <w:tc>
          <w:tcPr/>
          <w:p w:rsidR="00000000" w:rsidDel="00000000" w:rsidP="00000000" w:rsidRDefault="00000000" w:rsidRPr="00000000" w14:paraId="000000A9">
            <w:pPr>
              <w:spacing w:line="276" w:lineRule="auto"/>
              <w:rPr/>
            </w:pPr>
            <w:r w:rsidDel="00000000" w:rsidR="00000000" w:rsidRPr="00000000">
              <w:rPr>
                <w:b w:val="1"/>
                <w:bCs w:val="1"/>
                <w:rtl w:val="0"/>
              </w:rPr>
              <w:t xml:space="preserve">Sasior (në rastet kur është e aplikueshme</w:t>
            </w:r>
            <w:r w:rsidDel="00000000" w:rsidR="00000000" w:rsidRPr="00000000">
              <w:rPr>
                <w:rtl w:val="0"/>
              </w:rPr>
            </w:r>
          </w:p>
        </w:tc>
      </w:tr>
      <w:tr>
        <w:trPr>
          <w:cantSplit w:val="0"/>
          <w:tblHeader w:val="0"/>
        </w:trPr>
        <w:tc>
          <w:tcPr/>
          <w:p w:rsidR="00000000" w:rsidDel="00000000" w:rsidP="00000000" w:rsidRDefault="00000000" w:rsidRPr="00000000" w14:paraId="000000AA">
            <w:pPr>
              <w:spacing w:line="276" w:lineRule="auto"/>
              <w:rPr/>
            </w:pPr>
            <w:r w:rsidDel="00000000" w:rsidR="00000000" w:rsidRPr="00000000">
              <w:rPr>
                <w:rtl w:val="0"/>
              </w:rPr>
              <w:t xml:space="preserve">Investitorët </w:t>
            </w:r>
          </w:p>
        </w:tc>
        <w:tc>
          <w:tcPr/>
          <w:p w:rsidR="00000000" w:rsidDel="00000000" w:rsidP="00000000" w:rsidRDefault="00000000" w:rsidRPr="00000000" w14:paraId="000000AB">
            <w:pPr>
              <w:spacing w:line="276" w:lineRule="auto"/>
              <w:rPr/>
            </w:pPr>
            <w:r w:rsidDel="00000000" w:rsidR="00000000" w:rsidRPr="00000000">
              <w:rPr>
                <w:rtl w:val="0"/>
              </w:rPr>
              <w:t xml:space="preserve">Drejtpërdrejtë</w:t>
            </w:r>
          </w:p>
        </w:tc>
        <w:tc>
          <w:tcPr/>
          <w:p w:rsidR="00000000" w:rsidDel="00000000" w:rsidP="00000000" w:rsidRDefault="00000000" w:rsidRPr="00000000" w14:paraId="000000AC">
            <w:pPr>
              <w:spacing w:line="276" w:lineRule="auto"/>
              <w:rPr/>
            </w:pPr>
            <w:r w:rsidDel="00000000" w:rsidR="00000000" w:rsidRPr="00000000">
              <w:rPr>
                <w:rtl w:val="0"/>
              </w:rPr>
              <w:t xml:space="preserve">Mbrojtja/transparenca dhe standardet ekzistuese vlejnë vetëm brenda fushës së mbuluar nga kuadri aktual; për shërbime të tjera (p.sh. stablecoins, marrje/transmetim urdhrash, ekzekutim urdhrash, këshillim, administrim portofoli) mungon rregullimi specifik, duke rritur ekspozimin ndaj rreziqeve për integritetin e tregut (përfshirë abuzimin e tregut) dhe krimin financiar.</w:t>
            </w:r>
          </w:p>
        </w:tc>
        <w:tc>
          <w:tcPr/>
          <w:p w:rsidR="00000000" w:rsidDel="00000000" w:rsidP="00000000" w:rsidRDefault="00000000" w:rsidRPr="00000000" w14:paraId="000000AD">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AE">
            <w:pPr>
              <w:spacing w:line="276" w:lineRule="auto"/>
              <w:rPr/>
            </w:pPr>
            <w:r w:rsidDel="00000000" w:rsidR="00000000" w:rsidRPr="00000000">
              <w:rPr>
                <w:rtl w:val="0"/>
              </w:rPr>
              <w:t xml:space="preserve">Investitorët</w:t>
            </w:r>
          </w:p>
        </w:tc>
        <w:tc>
          <w:tcPr/>
          <w:p w:rsidR="00000000" w:rsidDel="00000000" w:rsidP="00000000" w:rsidRDefault="00000000" w:rsidRPr="00000000" w14:paraId="000000AF">
            <w:pPr>
              <w:spacing w:line="276" w:lineRule="auto"/>
              <w:rPr/>
            </w:pPr>
            <w:r w:rsidDel="00000000" w:rsidR="00000000" w:rsidRPr="00000000">
              <w:rPr>
                <w:rtl w:val="0"/>
              </w:rPr>
              <w:t xml:space="preserve">Tërthortë</w:t>
            </w:r>
          </w:p>
        </w:tc>
        <w:tc>
          <w:tcPr/>
          <w:p w:rsidR="00000000" w:rsidDel="00000000" w:rsidP="00000000" w:rsidRDefault="00000000" w:rsidRPr="00000000" w14:paraId="000000B0">
            <w:pPr>
              <w:spacing w:line="276" w:lineRule="auto"/>
              <w:rPr/>
            </w:pPr>
            <w:r w:rsidDel="00000000" w:rsidR="00000000" w:rsidRPr="00000000">
              <w:rPr>
                <w:rtl w:val="0"/>
              </w:rPr>
              <w:t xml:space="preserve">Besimi në treg cenohet kur pjesë të veprimtarisë mbeten jashtë rregullave të qarta (rrit paqartësinë për “çfarë mbikëqyret” dhe “çfarë jo”).</w:t>
            </w:r>
          </w:p>
        </w:tc>
        <w:tc>
          <w:tcPr/>
          <w:p w:rsidR="00000000" w:rsidDel="00000000" w:rsidP="00000000" w:rsidRDefault="00000000" w:rsidRPr="00000000" w14:paraId="000000B1">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B2">
            <w:pPr>
              <w:spacing w:line="276" w:lineRule="auto"/>
              <w:rPr/>
            </w:pPr>
            <w:r w:rsidDel="00000000" w:rsidR="00000000" w:rsidRPr="00000000">
              <w:rPr>
                <w:rtl w:val="0"/>
              </w:rPr>
              <w:t xml:space="preserve">Ofruesit e shërbimeve</w:t>
            </w:r>
          </w:p>
        </w:tc>
        <w:tc>
          <w:tcPr/>
          <w:p w:rsidR="00000000" w:rsidDel="00000000" w:rsidP="00000000" w:rsidRDefault="00000000" w:rsidRPr="00000000" w14:paraId="000000B3">
            <w:pPr>
              <w:spacing w:line="276" w:lineRule="auto"/>
              <w:rPr/>
            </w:pPr>
            <w:r w:rsidDel="00000000" w:rsidR="00000000" w:rsidRPr="00000000">
              <w:rPr>
                <w:rtl w:val="0"/>
              </w:rPr>
              <w:t xml:space="preserve">Drejtpërdrejtë</w:t>
            </w:r>
          </w:p>
        </w:tc>
        <w:tc>
          <w:tcPr/>
          <w:p w:rsidR="00000000" w:rsidDel="00000000" w:rsidP="00000000" w:rsidRDefault="00000000" w:rsidRPr="00000000" w14:paraId="000000B4">
            <w:pPr>
              <w:spacing w:line="276" w:lineRule="auto"/>
              <w:rPr/>
            </w:pPr>
            <w:r w:rsidDel="00000000" w:rsidR="00000000" w:rsidRPr="00000000">
              <w:rPr>
                <w:rtl w:val="0"/>
              </w:rPr>
              <w:t xml:space="preserve">Kuadri aktual rregullon licencimin/mbikëqyrjen për disa veprimtari (shpërndarje, tregtim, ruajtje, etj.), por jo për gjithë spektrin e shërbimeve të mësipërme; kjo krijon trajtim të pjesshëm dhe hapësira jo të rregulluara.</w:t>
            </w:r>
          </w:p>
        </w:tc>
        <w:tc>
          <w:tcPr/>
          <w:p w:rsidR="00000000" w:rsidDel="00000000" w:rsidP="00000000" w:rsidRDefault="00000000" w:rsidRPr="00000000" w14:paraId="000000B5">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B6">
            <w:pPr>
              <w:spacing w:line="276" w:lineRule="auto"/>
              <w:rPr/>
            </w:pPr>
            <w:r w:rsidDel="00000000" w:rsidR="00000000" w:rsidRPr="00000000">
              <w:rPr>
                <w:rtl w:val="0"/>
              </w:rPr>
              <w:t xml:space="preserve">Ofruesit e shërbimeve</w:t>
            </w:r>
          </w:p>
        </w:tc>
        <w:tc>
          <w:tcPr/>
          <w:p w:rsidR="00000000" w:rsidDel="00000000" w:rsidP="00000000" w:rsidRDefault="00000000" w:rsidRPr="00000000" w14:paraId="000000B7">
            <w:pPr>
              <w:spacing w:line="276" w:lineRule="auto"/>
              <w:rPr/>
            </w:pPr>
            <w:r w:rsidDel="00000000" w:rsidR="00000000" w:rsidRPr="00000000">
              <w:rPr>
                <w:rtl w:val="0"/>
              </w:rPr>
              <w:t xml:space="preserve">Tërthortë</w:t>
            </w:r>
          </w:p>
        </w:tc>
        <w:tc>
          <w:tcPr/>
          <w:p w:rsidR="00000000" w:rsidDel="00000000" w:rsidP="00000000" w:rsidRDefault="00000000" w:rsidRPr="00000000" w14:paraId="000000B8">
            <w:pPr>
              <w:spacing w:line="276" w:lineRule="auto"/>
              <w:rPr/>
            </w:pPr>
            <w:r w:rsidDel="00000000" w:rsidR="00000000" w:rsidRPr="00000000">
              <w:rPr>
                <w:rtl w:val="0"/>
              </w:rPr>
              <w:t xml:space="preserve">Rrezik i shtrembërimit të konkurrencës: operatorët që ushtrojnë shërbime jashtë fushës së mbuluar kanë më pak detyrime të qarta, duke krijuar terren për arbitrazh rregullator.</w:t>
            </w:r>
          </w:p>
        </w:tc>
        <w:tc>
          <w:tcPr/>
          <w:p w:rsidR="00000000" w:rsidDel="00000000" w:rsidP="00000000" w:rsidRDefault="00000000" w:rsidRPr="00000000" w14:paraId="000000B9">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BA">
            <w:pPr>
              <w:spacing w:line="276" w:lineRule="auto"/>
              <w:rPr/>
            </w:pPr>
            <w:r w:rsidDel="00000000" w:rsidR="00000000" w:rsidRPr="00000000">
              <w:rPr>
                <w:rtl w:val="0"/>
              </w:rPr>
              <w:t xml:space="preserve">Emetuesit</w:t>
            </w:r>
          </w:p>
        </w:tc>
        <w:tc>
          <w:tcPr/>
          <w:p w:rsidR="00000000" w:rsidDel="00000000" w:rsidP="00000000" w:rsidRDefault="00000000" w:rsidRPr="00000000" w14:paraId="000000BB">
            <w:pPr>
              <w:spacing w:line="276" w:lineRule="auto"/>
              <w:rPr/>
            </w:pPr>
            <w:r w:rsidDel="00000000" w:rsidR="00000000" w:rsidRPr="00000000">
              <w:rPr>
                <w:rtl w:val="0"/>
              </w:rPr>
              <w:t xml:space="preserve">Drejtpërdrejtë</w:t>
            </w:r>
          </w:p>
        </w:tc>
        <w:tc>
          <w:tcPr/>
          <w:p w:rsidR="00000000" w:rsidDel="00000000" w:rsidP="00000000" w:rsidRDefault="00000000" w:rsidRPr="00000000" w14:paraId="000000BC">
            <w:pPr>
              <w:spacing w:line="276" w:lineRule="auto"/>
              <w:rPr/>
            </w:pPr>
            <w:r w:rsidDel="00000000" w:rsidR="00000000" w:rsidRPr="00000000">
              <w:rPr>
                <w:rtl w:val="0"/>
              </w:rPr>
              <w:t xml:space="preserve">Për emetimin e stablecoins dhe kategori të tjera/shërbime të lidhura, relacioni evidenton mungesë mbulimi specifik në kuadrin në fuqi; rrjedhimisht mungojnë kërkesat e posaçme që zakonisht shoqërojnë këto produkte.</w:t>
            </w:r>
          </w:p>
        </w:tc>
        <w:tc>
          <w:tcPr/>
          <w:p w:rsidR="00000000" w:rsidDel="00000000" w:rsidP="00000000" w:rsidRDefault="00000000" w:rsidRPr="00000000" w14:paraId="000000BD">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BE">
            <w:pPr>
              <w:spacing w:line="276" w:lineRule="auto"/>
              <w:rPr/>
            </w:pPr>
            <w:r w:rsidDel="00000000" w:rsidR="00000000" w:rsidRPr="00000000">
              <w:rPr>
                <w:rtl w:val="0"/>
              </w:rPr>
              <w:t xml:space="preserve">Autoritetet Mbikëqyrëse</w:t>
            </w:r>
          </w:p>
        </w:tc>
        <w:tc>
          <w:tcPr/>
          <w:p w:rsidR="00000000" w:rsidDel="00000000" w:rsidP="00000000" w:rsidRDefault="00000000" w:rsidRPr="00000000" w14:paraId="000000BF">
            <w:pPr>
              <w:spacing w:line="276" w:lineRule="auto"/>
              <w:rPr/>
            </w:pPr>
            <w:r w:rsidDel="00000000" w:rsidR="00000000" w:rsidRPr="00000000">
              <w:rPr>
                <w:rtl w:val="0"/>
              </w:rPr>
              <w:t xml:space="preserve">Drejtpërdrejtë</w:t>
            </w:r>
          </w:p>
        </w:tc>
        <w:tc>
          <w:tcPr/>
          <w:p w:rsidR="00000000" w:rsidDel="00000000" w:rsidP="00000000" w:rsidRDefault="00000000" w:rsidRPr="00000000" w14:paraId="000000C0">
            <w:pPr>
              <w:spacing w:line="276" w:lineRule="auto"/>
              <w:rPr/>
            </w:pPr>
            <w:r w:rsidDel="00000000" w:rsidR="00000000" w:rsidRPr="00000000">
              <w:rPr>
                <w:rtl w:val="0"/>
              </w:rPr>
              <w:t xml:space="preserve">Edhe pse aktet nënligjore janë miratuar, praktikisht nuk ka pasur kërkesa për licencim dhe nuk ka subjekte të licencuara sipas ligjit nr. 66/2020, çka kufizon mbikëqyrjen reale nëpërmjet këtij kanali.</w:t>
            </w:r>
          </w:p>
        </w:tc>
        <w:tc>
          <w:tcPr/>
          <w:p w:rsidR="00000000" w:rsidDel="00000000" w:rsidP="00000000" w:rsidRDefault="00000000" w:rsidRPr="00000000" w14:paraId="000000C1">
            <w:pPr>
              <w:spacing w:line="276" w:lineRule="auto"/>
              <w:rPr/>
            </w:pPr>
            <w:r w:rsidDel="00000000" w:rsidR="00000000" w:rsidRPr="00000000">
              <w:rPr>
                <w:rtl w:val="0"/>
              </w:rPr>
              <w:t xml:space="preserve">0 kërkesa, 0 subjekte të licencuara</w:t>
            </w:r>
          </w:p>
        </w:tc>
      </w:tr>
      <w:tr>
        <w:trPr>
          <w:cantSplit w:val="0"/>
          <w:tblHeader w:val="0"/>
        </w:trPr>
        <w:tc>
          <w:tcPr/>
          <w:p w:rsidR="00000000" w:rsidDel="00000000" w:rsidP="00000000" w:rsidRDefault="00000000" w:rsidRPr="00000000" w14:paraId="000000C2">
            <w:pPr>
              <w:spacing w:line="276" w:lineRule="auto"/>
              <w:rPr/>
            </w:pPr>
            <w:r w:rsidDel="00000000" w:rsidR="00000000" w:rsidRPr="00000000">
              <w:rPr>
                <w:rtl w:val="0"/>
              </w:rPr>
              <w:t xml:space="preserve">Autoritetet Mbikëqyrëse</w:t>
            </w:r>
          </w:p>
        </w:tc>
        <w:tc>
          <w:tcPr/>
          <w:p w:rsidR="00000000" w:rsidDel="00000000" w:rsidP="00000000" w:rsidRDefault="00000000" w:rsidRPr="00000000" w14:paraId="000000C3">
            <w:pPr>
              <w:spacing w:line="276" w:lineRule="auto"/>
              <w:rPr/>
            </w:pPr>
            <w:r w:rsidDel="00000000" w:rsidR="00000000" w:rsidRPr="00000000">
              <w:rPr>
                <w:rtl w:val="0"/>
              </w:rPr>
              <w:t xml:space="preserve">Drejtpërdrejtë</w:t>
            </w:r>
          </w:p>
        </w:tc>
        <w:tc>
          <w:tcPr/>
          <w:p w:rsidR="00000000" w:rsidDel="00000000" w:rsidP="00000000" w:rsidRDefault="00000000" w:rsidRPr="00000000" w14:paraId="000000C4">
            <w:pPr>
              <w:spacing w:line="276" w:lineRule="auto"/>
              <w:rPr/>
            </w:pPr>
            <w:r w:rsidDel="00000000" w:rsidR="00000000" w:rsidRPr="00000000">
              <w:rPr>
                <w:rtl w:val="0"/>
              </w:rPr>
              <w:t xml:space="preserve">Vlerësimi i MONEYVAL e konsideron </w:t>
            </w:r>
            <w:r w:rsidDel="00000000" w:rsidR="00000000" w:rsidRPr="00000000">
              <w:rPr>
                <w:b w:val="1"/>
                <w:bCs w:val="1"/>
                <w:rtl w:val="0"/>
              </w:rPr>
              <w:t xml:space="preserve">Rekomandimin 15 të FATF</w:t>
            </w:r>
            <w:r w:rsidDel="00000000" w:rsidR="00000000" w:rsidRPr="00000000">
              <w:rPr>
                <w:rtl w:val="0"/>
              </w:rPr>
              <w:t xml:space="preserve"> si </w:t>
            </w:r>
            <w:r w:rsidDel="00000000" w:rsidR="00000000" w:rsidRPr="00000000">
              <w:rPr>
                <w:b w:val="1"/>
                <w:bCs w:val="1"/>
                <w:rtl w:val="0"/>
              </w:rPr>
              <w:t xml:space="preserve">pjesërisht të përputhur (PC)</w:t>
            </w:r>
            <w:r w:rsidDel="00000000" w:rsidR="00000000" w:rsidRPr="00000000">
              <w:rPr>
                <w:rtl w:val="0"/>
              </w:rPr>
              <w:t xml:space="preserve">, duke theksuar se analiza e rrezikut për VA/VASP nuk është gjithëpërfshirëse, nuk është e qartë shtrirja e licencimit për të gjithë VASP dhe nuk është e qartë ndarja e përgjegjësive mbikëqyrëse.</w:t>
            </w:r>
          </w:p>
        </w:tc>
        <w:tc>
          <w:tcPr/>
          <w:p w:rsidR="00000000" w:rsidDel="00000000" w:rsidP="00000000" w:rsidRDefault="00000000" w:rsidRPr="00000000" w14:paraId="000000C5">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C6">
            <w:pPr>
              <w:spacing w:line="276" w:lineRule="auto"/>
              <w:rPr/>
            </w:pPr>
            <w:r w:rsidDel="00000000" w:rsidR="00000000" w:rsidRPr="00000000">
              <w:rPr>
                <w:rtl w:val="0"/>
              </w:rPr>
              <w:t xml:space="preserve">Tregjet e kripto-aseteve</w:t>
            </w:r>
          </w:p>
        </w:tc>
        <w:tc>
          <w:tcPr/>
          <w:p w:rsidR="00000000" w:rsidDel="00000000" w:rsidP="00000000" w:rsidRDefault="00000000" w:rsidRPr="00000000" w14:paraId="000000C7">
            <w:pPr>
              <w:spacing w:line="276" w:lineRule="auto"/>
              <w:rPr/>
            </w:pPr>
            <w:r w:rsidDel="00000000" w:rsidR="00000000" w:rsidRPr="00000000">
              <w:rPr>
                <w:rtl w:val="0"/>
              </w:rPr>
              <w:t xml:space="preserve">Tërthortë</w:t>
            </w:r>
          </w:p>
        </w:tc>
        <w:tc>
          <w:tcPr/>
          <w:p w:rsidR="00000000" w:rsidDel="00000000" w:rsidP="00000000" w:rsidRDefault="00000000" w:rsidRPr="00000000" w14:paraId="000000C8">
            <w:pPr>
              <w:spacing w:line="276" w:lineRule="auto"/>
              <w:rPr/>
            </w:pPr>
            <w:r w:rsidDel="00000000" w:rsidR="00000000" w:rsidRPr="00000000">
              <w:rPr>
                <w:rtl w:val="0"/>
              </w:rPr>
              <w:t xml:space="preserve">Formalizimi dhe zhvillimi i një tregu të mbikëqyrur vonohet (mungesë e një kornize që të mbulojë të gjitha shërbimet kryesore dhe të kanalizojë operatorët drejt autorizimit).</w:t>
            </w:r>
          </w:p>
        </w:tc>
        <w:tc>
          <w:tcPr/>
          <w:p w:rsidR="00000000" w:rsidDel="00000000" w:rsidP="00000000" w:rsidRDefault="00000000" w:rsidRPr="00000000" w14:paraId="000000C9">
            <w:pPr>
              <w:spacing w:line="276" w:lineRule="auto"/>
              <w:rPr/>
            </w:pPr>
            <w:r w:rsidDel="00000000" w:rsidR="00000000" w:rsidRPr="00000000">
              <w:rPr>
                <w:rtl w:val="0"/>
              </w:rPr>
            </w:r>
          </w:p>
        </w:tc>
      </w:tr>
    </w:tbl>
    <w:p w:rsidR="00000000" w:rsidDel="00000000" w:rsidP="00000000" w:rsidRDefault="00000000" w:rsidRPr="00000000" w14:paraId="000000CA">
      <w:pPr>
        <w:spacing w:before="240" w:lineRule="auto"/>
        <w:rPr>
          <w:b w:val="1"/>
          <w:bCs w:val="1"/>
        </w:rPr>
      </w:pPr>
      <w:r w:rsidDel="00000000" w:rsidR="00000000" w:rsidRPr="00000000">
        <w:rPr>
          <w:b w:val="1"/>
          <w:bCs w:val="1"/>
          <w:rtl w:val="0"/>
        </w:rPr>
        <w:t xml:space="preserve">Opsioni 1 – Shtesa dhe ndryshime në ligjin 66/2020 “Për tregjet financiare të bazuara në teknologjinë e regjistrave të shpërndarë</w:t>
      </w:r>
    </w:p>
    <w:p w:rsidR="00000000" w:rsidDel="00000000" w:rsidP="00000000" w:rsidRDefault="00000000" w:rsidRPr="00000000" w14:paraId="000000CB">
      <w:pPr>
        <w:spacing w:before="240" w:lineRule="auto"/>
        <w:rPr/>
      </w:pPr>
      <w:r w:rsidDel="00000000" w:rsidR="00000000" w:rsidRPr="00000000">
        <w:rPr>
          <w:rtl w:val="0"/>
        </w:rPr>
        <w:t xml:space="preserve">Opsioni 1 parashikon që ndërhyrja të realizohet përmes shtesave dhe ndryshimeve në ligjin nr. 66/2020 “Për tregjet financiare të bazuara në teknologjinë e regjistrave të shpërndarë”, në vend që të miratohet një kuadër i posaçëm i ri. Logjika e këtij opsioni është të shfrytëzohet një ligj ekzistues dhe, në afat të shkurtër, të krijohet një tranzicion më i lehtë duke futur brenda tij rregulla të reja për ofruesit e shërbimeve të kripto-aseteve dhe për emetuesit e tokenit të parasë elektronike, si edhe kërkesa të tjera të domosdoshme që lidhen me autorizimin/licencimin, organizimin, sjelljen në treg dhe mbikëqyrjen. Pra, në vend që tregjet e kripto-aseteve të marrin një regjim të veçantë “nga e para”, ky opsion synon t’i “shtojë” shërbime dhe veprimtari të tjera të lidhura me kripto-asetet brenda strukturës së ligjit 66/2020.</w:t>
      </w:r>
    </w:p>
    <w:p w:rsidR="00000000" w:rsidDel="00000000" w:rsidP="00000000" w:rsidRDefault="00000000" w:rsidRPr="00000000" w14:paraId="000000CC">
      <w:pPr>
        <w:spacing w:before="240" w:lineRule="auto"/>
        <w:rPr/>
      </w:pPr>
      <w:r w:rsidDel="00000000" w:rsidR="00000000" w:rsidRPr="00000000">
        <w:rPr>
          <w:rtl w:val="0"/>
        </w:rPr>
        <w:t xml:space="preserve">Ky opsion ndikon në mënyrë të drejtpërdrejtë disa grupe. Së pari, opsioni 1 ndikon subjektet që synojnë të operojnë në këto tregje: platforma tregtimi, subjekte që synojnë këmbimin e kripto-aseteve kundrejt fondeve, shërbimet e kujdestarisë së kripto-aseteve, shërbime transfertash, si edhe operatorë që do të ndërmjetësojnë urdhra ose do të ofrojnë shërbime të tjera të lidhura me kripto-asetet. Së dyti preken emetuesit që do të kërkojnë të emetojnë tokeni i parasë elektronike dhe, në përgjithësi, subjekte që do të strukturojnë oferta në treg. Së treti preken bankat e nivelit të dytë dhe institucionet e parasë elektronike, nëse zgjerohen drejt shërbimeve të kripto-aseteve (emetim, kujdestari, transferta, këmbim). Së katërti preken shoqëritë komisionere që do të hyjnë ose të zgjerojnë shërbime në këtë fushë, sepse do t’u kërkohen procedura dhe rregulla shtesë të sjelljes dhe transparencës. Së pesti preken vetë klientët, si klientët institucionalë ashtu edhe klientët joprofesionistë, sepse niveli i mbrojtjes varet drejtpërdrejt nga rregullat që i vendosen ofruesit dhe produktit. Në fund, preken autoritetet përgjegjëse, sepse ky opsion do t’u kërkonte të mbikëqyrin kategori të reja aktivitetesh dhe rreziqesh brenda një ligji që nuk është konceptuar fillimisht për këtë regjim.</w:t>
      </w:r>
    </w:p>
    <w:p w:rsidR="00000000" w:rsidDel="00000000" w:rsidP="00000000" w:rsidRDefault="00000000" w:rsidRPr="00000000" w14:paraId="000000CD">
      <w:pPr>
        <w:spacing w:before="240" w:lineRule="auto"/>
        <w:rPr/>
      </w:pPr>
      <w:r w:rsidDel="00000000" w:rsidR="00000000" w:rsidRPr="00000000">
        <w:rPr>
          <w:rtl w:val="0"/>
        </w:rPr>
        <w:t xml:space="preserve">Ndikimet e drejtpërdrejta të këtij opsioni shfaqen, para së gjithash, si kosto dhe detyrime përputhshmërie për subjektet që synojnë të hyjnë në këto tregje. Subjektet e reja që synojnë të operojnë në tregjet e kripto-aseteve do t’i nënshtrohen kërkesave të autorizimit, përfshirë tarifat e aplikimit dhe tarifat mbikëqyrëse, kërkesave për kapital minimal rregullator, kërkesave organizative për qeverisje korporative, kontroll të brendshëm dhe menaxhim rreziku, si edhe kërkesave për siguri kibernetike, qëndrueshmëri të sistemeve dhe detyrime raportimi. Pra, në terma praktikë, ky opsion e kthen një pjesë të aktivitetit në aktivitet të kushtëzuar nga rregulla formale, duke rritur barrën e hyrjes dhe të operimit, por duke rritur edhe kontrollueshmërinë e tregut.</w:t>
      </w:r>
    </w:p>
    <w:p w:rsidR="00000000" w:rsidDel="00000000" w:rsidP="00000000" w:rsidRDefault="00000000" w:rsidRPr="00000000" w14:paraId="000000CE">
      <w:pPr>
        <w:spacing w:before="240" w:lineRule="auto"/>
        <w:rPr/>
      </w:pPr>
      <w:r w:rsidDel="00000000" w:rsidR="00000000" w:rsidRPr="00000000">
        <w:rPr>
          <w:rtl w:val="0"/>
        </w:rPr>
        <w:t xml:space="preserve">Për bankat e nivelit të dytë dhe institucionet e parasë elektronike, ndikimi i drejtpërdrejtë do të ishte përshtatja e politikave dhe procedurave dhe rishikimi i modelit operativ për shërbimet e lidhura me kripto-asetet (p.sh. emetimi, kujdestaria, transfertat, këmbimi), në mënyrë që të reflektohen kërkesat e pajtueshmërisë dhe mbrojtjes së klientit. Për shoqëritë komisionere që zgjerohen në këto shërbime, ndikimi i drejtpërdrejtë do të materializohej sidomos te procedurat e listimit për tregtim, te menaxhimi i konflikteve të interesit dhe te transparenca ndaj klientit. Në këtë kuptim, opsioni 1 do të sillte rritje të qartë të detyrimeve formale për bizneset që hyjnë ose zgjerojnë shërbime në treg.</w:t>
      </w:r>
    </w:p>
    <w:p w:rsidR="00000000" w:rsidDel="00000000" w:rsidP="00000000" w:rsidRDefault="00000000" w:rsidRPr="00000000" w14:paraId="000000CF">
      <w:pPr>
        <w:spacing w:before="240" w:lineRule="auto"/>
        <w:rPr/>
      </w:pPr>
      <w:r w:rsidDel="00000000" w:rsidR="00000000" w:rsidRPr="00000000">
        <w:rPr>
          <w:rtl w:val="0"/>
        </w:rPr>
        <w:t xml:space="preserve">Në të njëjtën kohë, opsioni 1 parashikon edhe një efekt të drejtpërdrejtë anësor: kërkesat e pajtueshmërisë (kontrolli dhe verifikimi i klientit, dokumentimi i transaksioneve dhe proceseve, filtrimi i veprimtarive promovuese dhe kontrollet e menaxhimit të riskut) mund të rrisin kostot e shërbimit dhe të sjellin vonesa në pranimin e klientëve. Këto kosto dhe vonesa kanë gjasa të reflektohen në tarifat finale ose në çmimin e produkteve/shërbimeve që u ofrohen klientëve.</w:t>
      </w:r>
    </w:p>
    <w:p w:rsidR="00000000" w:rsidDel="00000000" w:rsidP="00000000" w:rsidRDefault="00000000" w:rsidRPr="00000000" w14:paraId="000000D0">
      <w:pPr>
        <w:spacing w:before="240" w:lineRule="auto"/>
        <w:rPr/>
      </w:pPr>
      <w:r w:rsidDel="00000000" w:rsidR="00000000" w:rsidRPr="00000000">
        <w:rPr>
          <w:rtl w:val="0"/>
        </w:rPr>
        <w:t xml:space="preserve">Nga pikëpamja sasiore, opsioni 1 ka një element të rëndësishëm praktik: edhe pse ligji 66/2020 ekziston, deri tani nuk është krijuar një treg i licencuar aktiv, që do të thotë se nuk ka një bazë të mirë historike për të nxjerrë me saktësi numrin e operatorëve që do të licencohen, ritmin e licencimeve apo koston mesatare të pajtueshmërisë. Megjithatë, elementi sasior më i qartë lidhet me vetë dizajnin e opsionit: për të futur brenda ligjit 66/2020 gjithë këtë regjim të ri, ndryshimet në tekst do të ishin aq të gjera sa do të preknin mbi 50% të ligji</w:t>
      </w:r>
      <w:r w:rsidDel="00000000" w:rsidR="00000000" w:rsidRPr="00000000">
        <w:rPr>
          <w:b w:val="1"/>
          <w:bCs w:val="1"/>
          <w:rtl w:val="0"/>
        </w:rPr>
        <w:t xml:space="preserve">t</w:t>
      </w:r>
      <w:r w:rsidDel="00000000" w:rsidR="00000000" w:rsidRPr="00000000">
        <w:rPr>
          <w:rtl w:val="0"/>
        </w:rPr>
        <w:t xml:space="preserve">. Në përputhje me teknikën legjislative, në rastet kur ndryshimet bëhen kaq të shumta, kërkohet një akt i ri, pasi  rrezikohet qartësia, koherenca dhe zbatueshmëria e një ligji.</w:t>
      </w:r>
    </w:p>
    <w:p w:rsidR="00000000" w:rsidDel="00000000" w:rsidP="00000000" w:rsidRDefault="00000000" w:rsidRPr="00000000" w14:paraId="000000D1">
      <w:pPr>
        <w:spacing w:before="240" w:lineRule="auto"/>
        <w:rPr/>
      </w:pPr>
      <w:r w:rsidDel="00000000" w:rsidR="00000000" w:rsidRPr="00000000">
        <w:rPr>
          <w:rtl w:val="0"/>
        </w:rPr>
        <w:t xml:space="preserve">Arsyeja kryesore pse opsioni 1 është i papërshtatshëm lidhet me faktin se edhe nëse do të realizohej një amendim kaq i gjerë brenda ligjit 66/2020, ky kuadër prapë nuk do të garantonte përputhshmëri të plotë me acquis të BE në fushën e kripto-aseteve. Praktikisht do të krijohej një regjim i ndërmjetëm, i cili do të duhej të rishikohej sërish në një kohë të shkurtër për të arritur përafrimin e plotë. Ky cikël i cili do të rezultonte në ndryshime të njëpasnjëshme të kuadrit ligjor për kripto-asetet shton pasigurinë për tregun, rrit koston e përputhshmërisë dhe e rrit rrezikun e fragmentimit. Fragmentimi shfaqet si mospërputhje dhe boshllëqe ndërmjet rregullave të shtuara dhe logjikës ekzistuese të ligjit, ndërsa arbitrazhi rregullator shfaqet kur operatorët gjejnë hapësira ku një aktivitet ose një produkt trajtohet më lehtë, më paqartë ose më pak i mbikëqyrur se të tjerët.</w:t>
      </w:r>
    </w:p>
    <w:p w:rsidR="00000000" w:rsidDel="00000000" w:rsidP="00000000" w:rsidRDefault="00000000" w:rsidRPr="00000000" w14:paraId="000000D2">
      <w:pPr>
        <w:spacing w:before="240" w:lineRule="auto"/>
        <w:rPr/>
      </w:pPr>
      <w:r w:rsidDel="00000000" w:rsidR="00000000" w:rsidRPr="00000000">
        <w:rPr>
          <w:rtl w:val="0"/>
        </w:rPr>
        <w:t xml:space="preserve">Për ndërmarrjet e vogla dhe të mesme, opsioni 1 është veçanërisht i ndjeshëm, sepse kostoja e pajtueshmërisë është kryesisht kosto fikse (përputhshmëri, audit, sisteme, siguri operacionale, procedura/politika, raportime). Kështu, edhe nëse ky opsion  synon “tranzicion më të lehtë”, në praktikë mund të krijojë barriera hyrjeje për operatorë të vegjël, ose t’i shtyjë drejt informalitetit, sidomos nëse kuadri del i ndërlikuar dhe me paqartësi për shkak të amendimit tërësor të ligjit 66/2020.</w:t>
      </w:r>
    </w:p>
    <w:p w:rsidR="00000000" w:rsidDel="00000000" w:rsidP="00000000" w:rsidRDefault="00000000" w:rsidRPr="00000000" w14:paraId="000000D3">
      <w:pPr>
        <w:spacing w:before="240" w:lineRule="auto"/>
        <w:rPr/>
      </w:pPr>
      <w:r w:rsidDel="00000000" w:rsidR="00000000" w:rsidRPr="00000000">
        <w:rPr>
          <w:rtl w:val="0"/>
        </w:rPr>
        <w:t xml:space="preserve">Ndikimet jo të drejtpërdrejta lidhen me besimin e tregut dhe konkurrencën. Nëse ndryshimet janë të shumta dhe ligji rezulton i “arnuar”, tregu mund ta perceptojë si regjim të paqëndrueshëm, duke ulur besimin dhe frenuar formalizimin e këtyre tregjeve. Në aspektin e konkurrencës, ky opsion rrezikon të prodhojë dy tregje paralele ku një pjesë operatorësh që përpiqen të jenë të formalizuar dhe përballojnë kosto të larta pajtueshmërie, dhe një pjesë operatorësh që operojnë në zona gri për shkak të paqartësive të kuadrit ligjor, duke krijuar konkurrencë të padrejtë dhe rritur mundësinë e arbitrazhit rregullator.</w:t>
      </w:r>
    </w:p>
    <w:p w:rsidR="00000000" w:rsidDel="00000000" w:rsidP="00000000" w:rsidRDefault="00000000" w:rsidRPr="00000000" w14:paraId="000000D4">
      <w:pPr>
        <w:spacing w:before="240" w:lineRule="auto"/>
        <w:rPr/>
      </w:pPr>
      <w:r w:rsidDel="00000000" w:rsidR="00000000" w:rsidRPr="00000000">
        <w:rPr>
          <w:rtl w:val="0"/>
        </w:rPr>
        <w:t xml:space="preserve">Kufizimi kryesor i analizës për opsionin 1 është se nuk ka të dhëna të mjaftueshme faktike për të monetarizuar me shifra të sakta sa operatorë do të aplikojnë dhe cilat do të jenë kostot mesatare të pajtueshmërisë; prandaj vlerësimi monetar në këtë fazë mund të jepet vetëm si kategori kostosh (tarifa autorizimi/mbikëqyrjeje, kapital minimal, staf pajtueshmërie, sisteme IT, auditime, raportim), jo si shuma të sakta. Një risk tjetër është që për shkak të volumit të ndryshimeve dhe nevojës për akte nënligjore e udhëzime, zbatimi të zgjatet dhe të prodhojë pasoja të papritura (vonesa, interpretim jo i njëjtë, rregulla të paqarta).</w:t>
      </w:r>
    </w:p>
    <w:p w:rsidR="00000000" w:rsidDel="00000000" w:rsidP="00000000" w:rsidRDefault="00000000" w:rsidRPr="00000000" w14:paraId="000000D5">
      <w:pPr>
        <w:spacing w:before="240" w:lineRule="auto"/>
        <w:rPr/>
      </w:pPr>
      <w:r w:rsidDel="00000000" w:rsidR="00000000" w:rsidRPr="00000000">
        <w:rPr>
          <w:rtl w:val="0"/>
        </w:rPr>
        <w:t xml:space="preserve">Në përmbledhje, opsioni 1 ofron përdorimin e një ligji ekzistues dhe tranzicion më të shpejtë, por që në praktikë bie për dy arsye vendimtare: (1) kërkon ndryshime thelbësore në ligjin 66/2020 (mbi 50% e tekstit) sa teknikisht nevojitet një ligj i ri; dhe (2) ndryshimet e propozuara nuk do të rezultojnë në përputhshmëri të plotë me acquis, ndaj do të kërkonte ndryshime tjera në një kohë afatshkurtër, duke rritur fragmentimin e tregjeve dhe rrezikun e arbitrazhit rregullator. </w:t>
      </w:r>
    </w:p>
    <w:p w:rsidR="00000000" w:rsidDel="00000000" w:rsidP="00000000" w:rsidRDefault="00000000" w:rsidRPr="00000000" w14:paraId="000000D6">
      <w:pPr>
        <w:spacing w:before="240" w:lineRule="auto"/>
        <w:rPr>
          <w:color w:val="808080"/>
        </w:rPr>
      </w:pPr>
      <w:r w:rsidDel="00000000" w:rsidR="00000000" w:rsidRPr="00000000">
        <w:rPr>
          <w:color w:val="808080"/>
          <w:rtl w:val="0"/>
        </w:rPr>
        <w:br w:type="textWrapping"/>
        <w:t xml:space="preserve">Opsioni 1. Tabelë e analizës së ndikimeve</w:t>
      </w:r>
    </w:p>
    <w:tbl>
      <w:tblPr>
        <w:tblStyle w:val="Table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7"/>
        <w:gridCol w:w="1426"/>
        <w:gridCol w:w="3104"/>
        <w:gridCol w:w="2198"/>
        <w:tblGridChange w:id="0">
          <w:tblGrid>
            <w:gridCol w:w="3467"/>
            <w:gridCol w:w="1426"/>
            <w:gridCol w:w="3104"/>
            <w:gridCol w:w="2198"/>
          </w:tblGrid>
        </w:tblGridChange>
      </w:tblGrid>
      <w:tr>
        <w:trPr>
          <w:cantSplit w:val="0"/>
          <w:tblHeader w:val="1"/>
        </w:trPr>
        <w:tc>
          <w:tcPr>
            <w:vAlign w:val="center"/>
          </w:tcPr>
          <w:p w:rsidR="00000000" w:rsidDel="00000000" w:rsidP="00000000" w:rsidRDefault="00000000" w:rsidRPr="00000000" w14:paraId="000000D7">
            <w:pPr>
              <w:spacing w:before="240" w:lineRule="auto"/>
              <w:rPr>
                <w:b w:val="1"/>
                <w:bCs w:val="1"/>
              </w:rPr>
            </w:pPr>
            <w:r w:rsidDel="00000000" w:rsidR="00000000" w:rsidRPr="00000000">
              <w:rPr>
                <w:b w:val="1"/>
                <w:bCs w:val="1"/>
                <w:rtl w:val="0"/>
              </w:rPr>
              <w:t xml:space="preserve">Grupi i prekur</w:t>
            </w:r>
          </w:p>
        </w:tc>
        <w:tc>
          <w:tcPr>
            <w:vAlign w:val="center"/>
          </w:tcPr>
          <w:p w:rsidR="00000000" w:rsidDel="00000000" w:rsidP="00000000" w:rsidRDefault="00000000" w:rsidRPr="00000000" w14:paraId="000000D8">
            <w:pPr>
              <w:spacing w:before="240" w:lineRule="auto"/>
              <w:rPr>
                <w:b w:val="1"/>
                <w:bCs w:val="1"/>
              </w:rPr>
            </w:pPr>
            <w:r w:rsidDel="00000000" w:rsidR="00000000" w:rsidRPr="00000000">
              <w:rPr>
                <w:b w:val="1"/>
                <w:bCs w:val="1"/>
                <w:rtl w:val="0"/>
              </w:rPr>
              <w:t xml:space="preserve">Ndikimi</w:t>
            </w:r>
          </w:p>
        </w:tc>
        <w:tc>
          <w:tcPr>
            <w:vAlign w:val="center"/>
          </w:tcPr>
          <w:p w:rsidR="00000000" w:rsidDel="00000000" w:rsidP="00000000" w:rsidRDefault="00000000" w:rsidRPr="00000000" w14:paraId="000000D9">
            <w:pPr>
              <w:spacing w:before="240" w:lineRule="auto"/>
              <w:rPr>
                <w:b w:val="1"/>
                <w:bCs w:val="1"/>
              </w:rPr>
            </w:pPr>
            <w:r w:rsidDel="00000000" w:rsidR="00000000" w:rsidRPr="00000000">
              <w:rPr>
                <w:b w:val="1"/>
                <w:bCs w:val="1"/>
                <w:rtl w:val="0"/>
              </w:rPr>
              <w:t xml:space="preserve">Cilësore</w:t>
            </w:r>
          </w:p>
        </w:tc>
        <w:tc>
          <w:tcPr>
            <w:vAlign w:val="center"/>
          </w:tcPr>
          <w:p w:rsidR="00000000" w:rsidDel="00000000" w:rsidP="00000000" w:rsidRDefault="00000000" w:rsidRPr="00000000" w14:paraId="000000DA">
            <w:pPr>
              <w:spacing w:before="240" w:lineRule="auto"/>
              <w:rPr>
                <w:b w:val="1"/>
                <w:bCs w:val="1"/>
              </w:rPr>
            </w:pPr>
            <w:r w:rsidDel="00000000" w:rsidR="00000000" w:rsidRPr="00000000">
              <w:rPr>
                <w:b w:val="1"/>
                <w:bCs w:val="1"/>
                <w:rtl w:val="0"/>
              </w:rPr>
              <w:t xml:space="preserve">Sasiore (nëse ka)</w:t>
            </w:r>
          </w:p>
        </w:tc>
      </w:tr>
      <w:tr>
        <w:trPr>
          <w:cantSplit w:val="0"/>
          <w:tblHeader w:val="0"/>
        </w:trPr>
        <w:tc>
          <w:tcPr>
            <w:vAlign w:val="center"/>
          </w:tcPr>
          <w:p w:rsidR="00000000" w:rsidDel="00000000" w:rsidP="00000000" w:rsidRDefault="00000000" w:rsidRPr="00000000" w14:paraId="000000DB">
            <w:pPr>
              <w:spacing w:before="240" w:lineRule="auto"/>
              <w:rPr/>
            </w:pPr>
            <w:r w:rsidDel="00000000" w:rsidR="00000000" w:rsidRPr="00000000">
              <w:rPr>
                <w:rtl w:val="0"/>
              </w:rPr>
              <w:t xml:space="preserve">Ofruesit e shërbimeve të kripto-aseteve (subjekte të reja/potenciale)</w:t>
            </w:r>
          </w:p>
        </w:tc>
        <w:tc>
          <w:tcPr>
            <w:vAlign w:val="center"/>
          </w:tcPr>
          <w:p w:rsidR="00000000" w:rsidDel="00000000" w:rsidP="00000000" w:rsidRDefault="00000000" w:rsidRPr="00000000" w14:paraId="000000DC">
            <w:pPr>
              <w:spacing w:before="240" w:lineRule="auto"/>
              <w:rPr/>
            </w:pPr>
            <w:r w:rsidDel="00000000" w:rsidR="00000000" w:rsidRPr="00000000">
              <w:rPr>
                <w:rtl w:val="0"/>
              </w:rPr>
              <w:t xml:space="preserve">Drejtpërdrejtë</w:t>
            </w:r>
          </w:p>
        </w:tc>
        <w:tc>
          <w:tcPr>
            <w:vAlign w:val="center"/>
          </w:tcPr>
          <w:p w:rsidR="00000000" w:rsidDel="00000000" w:rsidP="00000000" w:rsidRDefault="00000000" w:rsidRPr="00000000" w14:paraId="000000DD">
            <w:pPr>
              <w:spacing w:before="240" w:lineRule="auto"/>
              <w:rPr/>
            </w:pPr>
            <w:r w:rsidDel="00000000" w:rsidR="00000000" w:rsidRPr="00000000">
              <w:rPr>
                <w:rtl w:val="0"/>
              </w:rPr>
              <w:t xml:space="preserve">Futje e detyrimeve të reja për autorizim/licencim; kërkesa organizative (qeverisje korporative, kontroll i brendshëm, menaxhim rreziku), siguri kibernetike dhe qëndrueshmëri sistemesh; detyrime raportimi; rritje e kostove të pajtueshmërisë dhe formalizim i aktivitetit.</w:t>
            </w:r>
          </w:p>
        </w:tc>
        <w:tc>
          <w:tcPr>
            <w:vAlign w:val="center"/>
          </w:tcPr>
          <w:p w:rsidR="00000000" w:rsidDel="00000000" w:rsidP="00000000" w:rsidRDefault="00000000" w:rsidRPr="00000000" w14:paraId="000000DE">
            <w:pPr>
              <w:spacing w:before="240" w:lineRule="auto"/>
              <w:rPr/>
            </w:pPr>
            <w:r w:rsidDel="00000000" w:rsidR="00000000" w:rsidRPr="00000000">
              <w:rPr>
                <w:rtl w:val="0"/>
              </w:rPr>
              <w:t xml:space="preserve">Nuk ka të dhëna të konsoliduara për numrin e subjekteve; baza historike e licencimeve sipas 66/2020 është 0.</w:t>
            </w:r>
          </w:p>
        </w:tc>
      </w:tr>
      <w:tr>
        <w:trPr>
          <w:cantSplit w:val="0"/>
          <w:tblHeader w:val="0"/>
        </w:trPr>
        <w:tc>
          <w:tcPr>
            <w:vAlign w:val="center"/>
          </w:tcPr>
          <w:p w:rsidR="00000000" w:rsidDel="00000000" w:rsidP="00000000" w:rsidRDefault="00000000" w:rsidRPr="00000000" w14:paraId="000000DF">
            <w:pPr>
              <w:spacing w:before="240" w:lineRule="auto"/>
              <w:rPr/>
            </w:pPr>
            <w:r w:rsidDel="00000000" w:rsidR="00000000" w:rsidRPr="00000000">
              <w:rPr>
                <w:rtl w:val="0"/>
              </w:rPr>
              <w:t xml:space="preserve">Emetuesit e tokenave të parasë elektronike</w:t>
            </w:r>
          </w:p>
        </w:tc>
        <w:tc>
          <w:tcPr>
            <w:vAlign w:val="center"/>
          </w:tcPr>
          <w:p w:rsidR="00000000" w:rsidDel="00000000" w:rsidP="00000000" w:rsidRDefault="00000000" w:rsidRPr="00000000" w14:paraId="000000E0">
            <w:pPr>
              <w:spacing w:before="240" w:lineRule="auto"/>
              <w:rPr/>
            </w:pPr>
            <w:r w:rsidDel="00000000" w:rsidR="00000000" w:rsidRPr="00000000">
              <w:rPr>
                <w:rtl w:val="0"/>
              </w:rPr>
              <w:t xml:space="preserve">Drejtpërdrejta</w:t>
            </w:r>
          </w:p>
        </w:tc>
        <w:tc>
          <w:tcPr>
            <w:vAlign w:val="center"/>
          </w:tcPr>
          <w:p w:rsidR="00000000" w:rsidDel="00000000" w:rsidP="00000000" w:rsidRDefault="00000000" w:rsidRPr="00000000" w14:paraId="000000E1">
            <w:pPr>
              <w:spacing w:before="240" w:lineRule="auto"/>
              <w:rPr/>
            </w:pPr>
            <w:r w:rsidDel="00000000" w:rsidR="00000000" w:rsidRPr="00000000">
              <w:rPr>
                <w:rtl w:val="0"/>
              </w:rPr>
              <w:t xml:space="preserve">Vendosje e kërkesave të reja për autorizim, organizim, pajtueshmëri dhe raportim; rritje e barrës së dokumentimit dhe kërkesave prudenciale sipas rregullave që do shtohen.</w:t>
            </w:r>
          </w:p>
        </w:tc>
        <w:tc>
          <w:tcPr>
            <w:vAlign w:val="center"/>
          </w:tcPr>
          <w:p w:rsidR="00000000" w:rsidDel="00000000" w:rsidP="00000000" w:rsidRDefault="00000000" w:rsidRPr="00000000" w14:paraId="000000E2">
            <w:pPr>
              <w:spacing w:before="240" w:lineRule="auto"/>
              <w:rPr/>
            </w:pPr>
            <w:r w:rsidDel="00000000" w:rsidR="00000000" w:rsidRPr="00000000">
              <w:rPr>
                <w:rtl w:val="0"/>
              </w:rPr>
              <w:t xml:space="preserve">Pa të dhëna për numrin e emetuesve potencialë; kërkesat do të përcaktohen në aktet shoqëruese/anekse.</w:t>
            </w:r>
          </w:p>
        </w:tc>
      </w:tr>
      <w:tr>
        <w:trPr>
          <w:cantSplit w:val="0"/>
          <w:tblHeader w:val="0"/>
        </w:trPr>
        <w:tc>
          <w:tcPr>
            <w:vAlign w:val="center"/>
          </w:tcPr>
          <w:p w:rsidR="00000000" w:rsidDel="00000000" w:rsidP="00000000" w:rsidRDefault="00000000" w:rsidRPr="00000000" w14:paraId="000000E3">
            <w:pPr>
              <w:spacing w:before="240" w:lineRule="auto"/>
              <w:rPr/>
            </w:pPr>
            <w:r w:rsidDel="00000000" w:rsidR="00000000" w:rsidRPr="00000000">
              <w:rPr>
                <w:rtl w:val="0"/>
              </w:rPr>
              <w:t xml:space="preserve">Bankat e nivelit të dytë dhe institucionet e parasë elektronike (që zgjerohen në shërbime kripto)</w:t>
            </w:r>
          </w:p>
        </w:tc>
        <w:tc>
          <w:tcPr>
            <w:vAlign w:val="center"/>
          </w:tcPr>
          <w:p w:rsidR="00000000" w:rsidDel="00000000" w:rsidP="00000000" w:rsidRDefault="00000000" w:rsidRPr="00000000" w14:paraId="000000E4">
            <w:pPr>
              <w:spacing w:before="240" w:lineRule="auto"/>
              <w:rPr/>
            </w:pPr>
            <w:r w:rsidDel="00000000" w:rsidR="00000000" w:rsidRPr="00000000">
              <w:rPr>
                <w:rtl w:val="0"/>
              </w:rPr>
              <w:t xml:space="preserve">Drejtpërdrejta</w:t>
            </w:r>
          </w:p>
        </w:tc>
        <w:tc>
          <w:tcPr>
            <w:vAlign w:val="center"/>
          </w:tcPr>
          <w:p w:rsidR="00000000" w:rsidDel="00000000" w:rsidP="00000000" w:rsidRDefault="00000000" w:rsidRPr="00000000" w14:paraId="000000E5">
            <w:pPr>
              <w:spacing w:before="240" w:lineRule="auto"/>
              <w:rPr/>
            </w:pPr>
            <w:r w:rsidDel="00000000" w:rsidR="00000000" w:rsidRPr="00000000">
              <w:rPr>
                <w:rtl w:val="0"/>
              </w:rPr>
              <w:t xml:space="preserve">Përshtatje e politikave/procedurave dhe modeleve operacionale për shërbime si emetimi, kujdestaria, transferta, këmbimi; rritje e kontrolleve të pajtueshmërisë dhe mbrojtjes së klientit.</w:t>
            </w:r>
          </w:p>
        </w:tc>
        <w:tc>
          <w:tcPr>
            <w:vAlign w:val="center"/>
          </w:tcPr>
          <w:p w:rsidR="00000000" w:rsidDel="00000000" w:rsidP="00000000" w:rsidRDefault="00000000" w:rsidRPr="00000000" w14:paraId="000000E6">
            <w:pPr>
              <w:spacing w:before="240" w:lineRule="auto"/>
              <w:rPr/>
            </w:pPr>
            <w:r w:rsidDel="00000000" w:rsidR="00000000" w:rsidRPr="00000000">
              <w:rPr>
                <w:rtl w:val="0"/>
              </w:rPr>
              <w:t xml:space="preserve">Nuk ka të dhëna sa institucione do të zgjerohen; ndikimi monetar varet nga shkalla e zgjerimit dhe investimet në procese/IT.</w:t>
            </w:r>
          </w:p>
        </w:tc>
      </w:tr>
      <w:tr>
        <w:trPr>
          <w:cantSplit w:val="0"/>
          <w:tblHeader w:val="0"/>
        </w:trPr>
        <w:tc>
          <w:tcPr>
            <w:vAlign w:val="center"/>
          </w:tcPr>
          <w:p w:rsidR="00000000" w:rsidDel="00000000" w:rsidP="00000000" w:rsidRDefault="00000000" w:rsidRPr="00000000" w14:paraId="000000E7">
            <w:pPr>
              <w:spacing w:before="240" w:lineRule="auto"/>
              <w:rPr/>
            </w:pPr>
            <w:r w:rsidDel="00000000" w:rsidR="00000000" w:rsidRPr="00000000">
              <w:rPr>
                <w:rtl w:val="0"/>
              </w:rPr>
              <w:t xml:space="preserve">Shoqëritë komisionere (që zgjerohen në shërbime kripto)</w:t>
            </w:r>
          </w:p>
        </w:tc>
        <w:tc>
          <w:tcPr>
            <w:vAlign w:val="center"/>
          </w:tcPr>
          <w:p w:rsidR="00000000" w:rsidDel="00000000" w:rsidP="00000000" w:rsidRDefault="00000000" w:rsidRPr="00000000" w14:paraId="000000E8">
            <w:pPr>
              <w:spacing w:before="240" w:lineRule="auto"/>
              <w:rPr/>
            </w:pPr>
            <w:r w:rsidDel="00000000" w:rsidR="00000000" w:rsidRPr="00000000">
              <w:rPr>
                <w:rtl w:val="0"/>
              </w:rPr>
              <w:t xml:space="preserve">Drejtpërdrejta</w:t>
            </w:r>
          </w:p>
        </w:tc>
        <w:tc>
          <w:tcPr>
            <w:vAlign w:val="center"/>
          </w:tcPr>
          <w:p w:rsidR="00000000" w:rsidDel="00000000" w:rsidP="00000000" w:rsidRDefault="00000000" w:rsidRPr="00000000" w14:paraId="000000E9">
            <w:pPr>
              <w:spacing w:before="240" w:lineRule="auto"/>
              <w:rPr/>
            </w:pPr>
            <w:r w:rsidDel="00000000" w:rsidR="00000000" w:rsidRPr="00000000">
              <w:rPr>
                <w:rtl w:val="0"/>
              </w:rPr>
              <w:t xml:space="preserve">Kërkesa shtesë për procedura të listimit për tregtim, menaxhimin e konflikteve të interesit dhe transparencën ndaj klientit; rritje e kërkesave të brendshme të kontrollit.</w:t>
            </w:r>
          </w:p>
        </w:tc>
        <w:tc>
          <w:tcPr>
            <w:vAlign w:val="center"/>
          </w:tcPr>
          <w:p w:rsidR="00000000" w:rsidDel="00000000" w:rsidP="00000000" w:rsidRDefault="00000000" w:rsidRPr="00000000" w14:paraId="000000EA">
            <w:pPr>
              <w:spacing w:before="240" w:lineRule="auto"/>
              <w:rPr/>
            </w:pPr>
            <w:r w:rsidDel="00000000" w:rsidR="00000000" w:rsidRPr="00000000">
              <w:rPr>
                <w:rtl w:val="0"/>
              </w:rPr>
              <w:t xml:space="preserve">Nuk ka të dhëna sa shoqëri do të hyjnë; ndikimi monetar varet nga implementimi i procedurave dhe kapacitetet compliance.</w:t>
            </w:r>
          </w:p>
        </w:tc>
      </w:tr>
      <w:tr>
        <w:trPr>
          <w:cantSplit w:val="0"/>
          <w:tblHeader w:val="0"/>
        </w:trPr>
        <w:tc>
          <w:tcPr>
            <w:vAlign w:val="center"/>
          </w:tcPr>
          <w:p w:rsidR="00000000" w:rsidDel="00000000" w:rsidP="00000000" w:rsidRDefault="00000000" w:rsidRPr="00000000" w14:paraId="000000EB">
            <w:pPr>
              <w:spacing w:before="240" w:lineRule="auto"/>
              <w:rPr/>
            </w:pPr>
            <w:r w:rsidDel="00000000" w:rsidR="00000000" w:rsidRPr="00000000">
              <w:rPr>
                <w:rtl w:val="0"/>
              </w:rPr>
              <w:t xml:space="preserve">Klientët joprofesionistë dhe klientët institucionalë</w:t>
            </w:r>
          </w:p>
        </w:tc>
        <w:tc>
          <w:tcPr>
            <w:vAlign w:val="center"/>
          </w:tcPr>
          <w:p w:rsidR="00000000" w:rsidDel="00000000" w:rsidP="00000000" w:rsidRDefault="00000000" w:rsidRPr="00000000" w14:paraId="000000EC">
            <w:pPr>
              <w:spacing w:before="240" w:lineRule="auto"/>
              <w:rPr/>
            </w:pPr>
            <w:r w:rsidDel="00000000" w:rsidR="00000000" w:rsidRPr="00000000">
              <w:rPr>
                <w:rtl w:val="0"/>
              </w:rPr>
              <w:t xml:space="preserve">Drejtpërdrejta</w:t>
            </w:r>
          </w:p>
        </w:tc>
        <w:tc>
          <w:tcPr>
            <w:vAlign w:val="center"/>
          </w:tcPr>
          <w:p w:rsidR="00000000" w:rsidDel="00000000" w:rsidP="00000000" w:rsidRDefault="00000000" w:rsidRPr="00000000" w14:paraId="000000ED">
            <w:pPr>
              <w:spacing w:before="240" w:lineRule="auto"/>
              <w:rPr/>
            </w:pPr>
            <w:r w:rsidDel="00000000" w:rsidR="00000000" w:rsidRPr="00000000">
              <w:rPr>
                <w:rtl w:val="0"/>
              </w:rPr>
              <w:t xml:space="preserve">Ulje e ekspozimit ndaj ofertave mashtruese dhe praktikave abuzive përmes standardizimit të informacionit parakontraktual, rregullave të sjelljes dhe ndalimeve të abuzimit në treg (tregtim i brendshëm/manipulim). Nga ana tjetër, kontrollet e pajtueshmërisë (KYC, dokumentim, filtra risku) mund të sjellin vonesa dhe rritje të tarifave/çmimeve.</w:t>
            </w:r>
          </w:p>
        </w:tc>
        <w:tc>
          <w:tcPr>
            <w:vAlign w:val="center"/>
          </w:tcPr>
          <w:p w:rsidR="00000000" w:rsidDel="00000000" w:rsidP="00000000" w:rsidRDefault="00000000" w:rsidRPr="00000000" w14:paraId="000000EE">
            <w:pPr>
              <w:spacing w:before="240" w:lineRule="auto"/>
              <w:rPr/>
            </w:pPr>
            <w:r w:rsidDel="00000000" w:rsidR="00000000" w:rsidRPr="00000000">
              <w:rPr>
                <w:rtl w:val="0"/>
              </w:rPr>
              <w:t xml:space="preserve">Nuk ka të dhëna për humbjet e shmangura ose për ndryshimin e çmimeve; efekti do varet nga struktura e tarifave të operatorëve.</w:t>
            </w:r>
          </w:p>
        </w:tc>
      </w:tr>
      <w:tr>
        <w:trPr>
          <w:cantSplit w:val="0"/>
          <w:tblHeader w:val="0"/>
        </w:trPr>
        <w:tc>
          <w:tcPr>
            <w:vAlign w:val="center"/>
          </w:tcPr>
          <w:p w:rsidR="00000000" w:rsidDel="00000000" w:rsidP="00000000" w:rsidRDefault="00000000" w:rsidRPr="00000000" w14:paraId="000000EF">
            <w:pPr>
              <w:spacing w:before="240" w:lineRule="auto"/>
              <w:rPr/>
            </w:pPr>
            <w:r w:rsidDel="00000000" w:rsidR="00000000" w:rsidRPr="00000000">
              <w:rPr>
                <w:rtl w:val="0"/>
              </w:rPr>
              <w:t xml:space="preserve">Autoritetet përgjegjëse (AMF, Banka e Shqipërisë)</w:t>
            </w:r>
          </w:p>
        </w:tc>
        <w:tc>
          <w:tcPr>
            <w:vAlign w:val="center"/>
          </w:tcPr>
          <w:p w:rsidR="00000000" w:rsidDel="00000000" w:rsidP="00000000" w:rsidRDefault="00000000" w:rsidRPr="00000000" w14:paraId="000000F0">
            <w:pPr>
              <w:spacing w:before="240" w:lineRule="auto"/>
              <w:rPr/>
            </w:pPr>
            <w:r w:rsidDel="00000000" w:rsidR="00000000" w:rsidRPr="00000000">
              <w:rPr>
                <w:rtl w:val="0"/>
              </w:rPr>
              <w:t xml:space="preserve">Drejtpërdrejta</w:t>
            </w:r>
          </w:p>
        </w:tc>
        <w:tc>
          <w:tcPr>
            <w:vAlign w:val="center"/>
          </w:tcPr>
          <w:p w:rsidR="00000000" w:rsidDel="00000000" w:rsidP="00000000" w:rsidRDefault="00000000" w:rsidRPr="00000000" w14:paraId="000000F1">
            <w:pPr>
              <w:spacing w:before="240" w:lineRule="auto"/>
              <w:rPr/>
            </w:pPr>
            <w:r w:rsidDel="00000000" w:rsidR="00000000" w:rsidRPr="00000000">
              <w:rPr>
                <w:rtl w:val="0"/>
              </w:rPr>
              <w:t xml:space="preserve">Nevojë për përshtatje të mbikëqyrjes për kategori të reja shërbimesh/risqesh; rritje e ngarkesës rregullatore dhe nevojë për akte nënligjore/udhëzime. Zbatim pa ndikim në buxhetin e shtetit (mbështetur në burime vetëfinancuese/tarifa).</w:t>
            </w:r>
          </w:p>
        </w:tc>
        <w:tc>
          <w:tcPr>
            <w:vAlign w:val="center"/>
          </w:tcPr>
          <w:p w:rsidR="00000000" w:rsidDel="00000000" w:rsidP="00000000" w:rsidRDefault="00000000" w:rsidRPr="00000000" w14:paraId="000000F2">
            <w:pPr>
              <w:spacing w:before="240" w:lineRule="auto"/>
              <w:rPr/>
            </w:pPr>
            <w:r w:rsidDel="00000000" w:rsidR="00000000" w:rsidRPr="00000000">
              <w:rPr>
                <w:rtl w:val="0"/>
              </w:rPr>
              <w:t xml:space="preserve">Nuk ka shifra për burime njerëzore/IT; baza e licencimeve sipas 66/2020 është 0 (nisje nga “zero” në praktikë).</w:t>
            </w:r>
          </w:p>
        </w:tc>
      </w:tr>
      <w:tr>
        <w:trPr>
          <w:cantSplit w:val="0"/>
          <w:tblHeader w:val="0"/>
        </w:trPr>
        <w:tc>
          <w:tcPr>
            <w:vAlign w:val="center"/>
          </w:tcPr>
          <w:p w:rsidR="00000000" w:rsidDel="00000000" w:rsidP="00000000" w:rsidRDefault="00000000" w:rsidRPr="00000000" w14:paraId="000000F3">
            <w:pPr>
              <w:spacing w:before="240" w:lineRule="auto"/>
              <w:rPr/>
            </w:pPr>
            <w:r w:rsidDel="00000000" w:rsidR="00000000" w:rsidRPr="00000000">
              <w:rPr>
                <w:rtl w:val="0"/>
              </w:rPr>
              <w:t xml:space="preserve">Funksionet PPP/FT (mbikëqyrje/monitorim/raportim)</w:t>
            </w:r>
          </w:p>
        </w:tc>
        <w:tc>
          <w:tcPr>
            <w:vAlign w:val="center"/>
          </w:tcPr>
          <w:p w:rsidR="00000000" w:rsidDel="00000000" w:rsidP="00000000" w:rsidRDefault="00000000" w:rsidRPr="00000000" w14:paraId="000000F4">
            <w:pPr>
              <w:spacing w:before="240" w:lineRule="auto"/>
              <w:rPr/>
            </w:pPr>
            <w:r w:rsidDel="00000000" w:rsidR="00000000" w:rsidRPr="00000000">
              <w:rPr>
                <w:rtl w:val="0"/>
              </w:rPr>
              <w:t xml:space="preserve">Drejtpërdrejta</w:t>
            </w:r>
          </w:p>
        </w:tc>
        <w:tc>
          <w:tcPr>
            <w:vAlign w:val="center"/>
          </w:tcPr>
          <w:p w:rsidR="00000000" w:rsidDel="00000000" w:rsidP="00000000" w:rsidRDefault="00000000" w:rsidRPr="00000000" w14:paraId="000000F5">
            <w:pPr>
              <w:spacing w:before="240" w:lineRule="auto"/>
              <w:rPr/>
            </w:pPr>
            <w:r w:rsidDel="00000000" w:rsidR="00000000" w:rsidRPr="00000000">
              <w:rPr>
                <w:rtl w:val="0"/>
              </w:rPr>
              <w:t xml:space="preserve">Forcim i kontrolleve të pajtueshmërisë (verifikim klienti, dokumentim transaksionesh, filtrime); potencialisht përmirësim i përputhshmërisë me standardet e FATF, por i kufizuar nga dizajni “amendues” i ligjit.</w:t>
            </w:r>
          </w:p>
        </w:tc>
        <w:tc>
          <w:tcPr>
            <w:vAlign w:val="center"/>
          </w:tcPr>
          <w:p w:rsidR="00000000" w:rsidDel="00000000" w:rsidP="00000000" w:rsidRDefault="00000000" w:rsidRPr="00000000" w14:paraId="000000F6">
            <w:pPr>
              <w:spacing w:before="240" w:lineRule="auto"/>
              <w:rPr/>
            </w:pPr>
            <w:r w:rsidDel="00000000" w:rsidR="00000000" w:rsidRPr="00000000">
              <w:rPr>
                <w:rtl w:val="0"/>
              </w:rPr>
              <w:t xml:space="preserve">Pa të dhëna sasiore për reduktim risku; kërkon kohë dhe kapacitete zbatimi.</w:t>
            </w:r>
          </w:p>
        </w:tc>
      </w:tr>
      <w:tr>
        <w:trPr>
          <w:cantSplit w:val="0"/>
          <w:tblHeader w:val="0"/>
        </w:trPr>
        <w:tc>
          <w:tcPr>
            <w:vAlign w:val="center"/>
          </w:tcPr>
          <w:p w:rsidR="00000000" w:rsidDel="00000000" w:rsidP="00000000" w:rsidRDefault="00000000" w:rsidRPr="00000000" w14:paraId="000000F7">
            <w:pPr>
              <w:spacing w:before="240" w:lineRule="auto"/>
              <w:rPr/>
            </w:pPr>
            <w:r w:rsidDel="00000000" w:rsidR="00000000" w:rsidRPr="00000000">
              <w:rPr>
                <w:rtl w:val="0"/>
              </w:rPr>
              <w:t xml:space="preserve">Ndërmarrjet e vogla dhe të mesme / start-up (në rolin e operatorëve)</w:t>
            </w:r>
          </w:p>
        </w:tc>
        <w:tc>
          <w:tcPr>
            <w:vAlign w:val="center"/>
          </w:tcPr>
          <w:p w:rsidR="00000000" w:rsidDel="00000000" w:rsidP="00000000" w:rsidRDefault="00000000" w:rsidRPr="00000000" w14:paraId="000000F8">
            <w:pPr>
              <w:spacing w:before="240" w:lineRule="auto"/>
              <w:rPr/>
            </w:pPr>
            <w:r w:rsidDel="00000000" w:rsidR="00000000" w:rsidRPr="00000000">
              <w:rPr>
                <w:rtl w:val="0"/>
              </w:rPr>
              <w:t xml:space="preserve">Tërthorta</w:t>
            </w:r>
          </w:p>
        </w:tc>
        <w:tc>
          <w:tcPr>
            <w:vAlign w:val="center"/>
          </w:tcPr>
          <w:p w:rsidR="00000000" w:rsidDel="00000000" w:rsidP="00000000" w:rsidRDefault="00000000" w:rsidRPr="00000000" w14:paraId="000000F9">
            <w:pPr>
              <w:spacing w:before="240" w:lineRule="auto"/>
              <w:rPr/>
            </w:pPr>
            <w:r w:rsidDel="00000000" w:rsidR="00000000" w:rsidRPr="00000000">
              <w:rPr>
                <w:rtl w:val="0"/>
              </w:rPr>
              <w:t xml:space="preserve">Kosto fikse e pajtueshmërisë e ndjehet më fort; mund të dekurajojë hyrjen ose të frenojë rritjen; pasiguria nga kuadri “me shtesa” mund të rrisë kostot ligjore dhe operative.</w:t>
            </w:r>
          </w:p>
        </w:tc>
        <w:tc>
          <w:tcPr>
            <w:vAlign w:val="center"/>
          </w:tcPr>
          <w:p w:rsidR="00000000" w:rsidDel="00000000" w:rsidP="00000000" w:rsidRDefault="00000000" w:rsidRPr="00000000" w14:paraId="000000FA">
            <w:pPr>
              <w:spacing w:before="240" w:lineRule="auto"/>
              <w:rPr/>
            </w:pPr>
            <w:r w:rsidDel="00000000" w:rsidR="00000000" w:rsidRPr="00000000">
              <w:rPr>
                <w:rtl w:val="0"/>
              </w:rPr>
              <w:t xml:space="preserve">Nuk ka të dhëna për numër NVM-sh aktive; ndikimi monetar varet nga modeli i biznesit dhe kërkesat e implementimit.</w:t>
            </w:r>
          </w:p>
        </w:tc>
      </w:tr>
      <w:tr>
        <w:trPr>
          <w:cantSplit w:val="0"/>
          <w:tblHeader w:val="0"/>
        </w:trPr>
        <w:tc>
          <w:tcPr>
            <w:vAlign w:val="center"/>
          </w:tcPr>
          <w:p w:rsidR="00000000" w:rsidDel="00000000" w:rsidP="00000000" w:rsidRDefault="00000000" w:rsidRPr="00000000" w14:paraId="000000FB">
            <w:pPr>
              <w:spacing w:before="240" w:lineRule="auto"/>
              <w:rPr/>
            </w:pPr>
            <w:r w:rsidDel="00000000" w:rsidR="00000000" w:rsidRPr="00000000">
              <w:rPr>
                <w:rtl w:val="0"/>
              </w:rPr>
              <w:t xml:space="preserve">Tregu në tërësi (integriteti, formalizimi)</w:t>
            </w:r>
          </w:p>
        </w:tc>
        <w:tc>
          <w:tcPr>
            <w:vAlign w:val="center"/>
          </w:tcPr>
          <w:p w:rsidR="00000000" w:rsidDel="00000000" w:rsidP="00000000" w:rsidRDefault="00000000" w:rsidRPr="00000000" w14:paraId="000000FC">
            <w:pPr>
              <w:spacing w:before="240" w:lineRule="auto"/>
              <w:rPr/>
            </w:pPr>
            <w:r w:rsidDel="00000000" w:rsidR="00000000" w:rsidRPr="00000000">
              <w:rPr>
                <w:rtl w:val="0"/>
              </w:rPr>
              <w:t xml:space="preserve">Tërthorta</w:t>
            </w:r>
          </w:p>
        </w:tc>
        <w:tc>
          <w:tcPr>
            <w:vAlign w:val="center"/>
          </w:tcPr>
          <w:p w:rsidR="00000000" w:rsidDel="00000000" w:rsidP="00000000" w:rsidRDefault="00000000" w:rsidRPr="00000000" w14:paraId="000000FD">
            <w:pPr>
              <w:spacing w:before="240" w:lineRule="auto"/>
              <w:rPr/>
            </w:pPr>
            <w:r w:rsidDel="00000000" w:rsidR="00000000" w:rsidRPr="00000000">
              <w:rPr>
                <w:rtl w:val="0"/>
              </w:rPr>
              <w:t xml:space="preserve">Sinjal formalizimi dhe rritje e standardeve për disa shërbime; por rrezik i fragmentimit/arbitrazhit rregullator sepse (i) kërkohen ndryshime masive në ligjin 66/2020 (mbi 50% e tekstit) dhe (ii) prapë nuk garantohet përputhshmëri e plotë me acquis, ndaj do kërkoheshin ndryshime të tjera shpejt.</w:t>
            </w:r>
          </w:p>
        </w:tc>
        <w:tc>
          <w:tcPr>
            <w:vAlign w:val="center"/>
          </w:tcPr>
          <w:p w:rsidR="00000000" w:rsidDel="00000000" w:rsidP="00000000" w:rsidRDefault="00000000" w:rsidRPr="00000000" w14:paraId="000000FE">
            <w:pPr>
              <w:spacing w:before="240" w:lineRule="auto"/>
              <w:rPr/>
            </w:pPr>
            <w:r w:rsidDel="00000000" w:rsidR="00000000" w:rsidRPr="00000000">
              <w:rPr>
                <w:rtl w:val="0"/>
              </w:rPr>
              <w:t xml:space="preserve">Sasiore jo e matshme në këtë fazë; indikator praktik: formalizimi nën 66/2020 ka qenë 0 licenca deri tani.</w:t>
            </w:r>
          </w:p>
        </w:tc>
      </w:tr>
    </w:tbl>
    <w:p w:rsidR="00000000" w:rsidDel="00000000" w:rsidP="00000000" w:rsidRDefault="00000000" w:rsidRPr="00000000" w14:paraId="000000FF">
      <w:pPr>
        <w:spacing w:before="240" w:lineRule="auto"/>
        <w:rPr>
          <w:color w:val="808080"/>
        </w:rPr>
      </w:pPr>
      <w:r w:rsidDel="00000000" w:rsidR="00000000" w:rsidRPr="00000000">
        <w:rPr>
          <w:rtl w:val="0"/>
        </w:rPr>
      </w:r>
    </w:p>
    <w:p w:rsidR="00000000" w:rsidDel="00000000" w:rsidP="00000000" w:rsidRDefault="00000000" w:rsidRPr="00000000" w14:paraId="00000100">
      <w:pPr>
        <w:spacing w:before="240" w:lineRule="auto"/>
        <w:rPr>
          <w:b w:val="1"/>
          <w:bCs w:val="1"/>
        </w:rPr>
      </w:pPr>
      <w:r w:rsidDel="00000000" w:rsidR="00000000" w:rsidRPr="00000000">
        <w:rPr>
          <w:b w:val="1"/>
          <w:bCs w:val="1"/>
          <w:rtl w:val="0"/>
        </w:rPr>
        <w:t xml:space="preserve">Opsioni 2 – Miratimi i një ligji të ri “Për tregjet e kripto-aseteve”</w:t>
      </w:r>
    </w:p>
    <w:p w:rsidR="00000000" w:rsidDel="00000000" w:rsidP="00000000" w:rsidRDefault="00000000" w:rsidRPr="00000000" w14:paraId="00000101">
      <w:pPr>
        <w:spacing w:before="240" w:lineRule="auto"/>
        <w:jc w:val="both"/>
        <w:rPr/>
      </w:pPr>
      <w:r w:rsidDel="00000000" w:rsidR="00000000" w:rsidRPr="00000000">
        <w:rPr>
          <w:rtl w:val="0"/>
        </w:rPr>
        <w:t xml:space="preserve">Opsioni 2 parashikon miratimin e një ligji të ri që transpozon plotësisht Rregulloren (BE) 2023/1114 “ Markets in Crypto-Assets”. Kjo rregullore është një nga aktet rregulluese më gjithëpërfshirëse të kripto-aseteve në rang global dhe synon të trajtojë çdo aspekt të këtij ekosistemi, që nuk mbulohet nga kuadri ekzistues ligjor evropian.  Si rrjedhojë, projektligji i hartuar me synim përafrimin me këtë rregullore do të ketë si qëllim të rregullojë subjektet dhe veprimtaritë që lidhen me emetimin e kripto-aseteve dhe tokenave të parasë elektronike si dhe veprimtaritë e ndërmjetësimit të kripto-aseteve të tilla si operimi i një platforme tregtimi, këmbimi, kujdestaria, marrja dhe transmetimi i urdhrave, ekzekutimi i urdhrave, hedhja në treg, transferta, këshillimi dhe administrimi i një portofoli kripto-asetesh. </w:t>
      </w:r>
    </w:p>
    <w:p w:rsidR="00000000" w:rsidDel="00000000" w:rsidP="00000000" w:rsidRDefault="00000000" w:rsidRPr="00000000" w14:paraId="00000102">
      <w:pPr>
        <w:spacing w:before="240" w:lineRule="auto"/>
        <w:jc w:val="both"/>
        <w:rPr>
          <w:b w:val="1"/>
          <w:bCs w:val="1"/>
        </w:rPr>
      </w:pPr>
      <w:r w:rsidDel="00000000" w:rsidR="00000000" w:rsidRPr="00000000">
        <w:rPr>
          <w:rtl w:val="0"/>
        </w:rPr>
        <w:t xml:space="preserve">Kërkesat rregullatore ndaj këtyre subjekteve përfshijnë mbajtjen e një kapitali minimal, kërkesa mbi qeverisjen e korporatave, konfliktin e interesit, sigurinë kibernetike dhe operacionale, masa për mbrojtjen e konsumatorit dhe parandalimin e abuzimit me tregun, si dhe zbatimin e politikave për parandalimin e pastrimit të parave. Kuadri rregullator për kripto-asetet është i përafërt me atë të Direktivës 2014/65/EU “Markets in Financial Instruments” (MIFID II) dhe Direktivës 2009/110/EC “On the taking up, pursuit and prudential supervision of the business of electronic money institutions” (EMD2), dhe u parashtron emetuesve dhe ofruesve të shërbimeve të lidhura me kripto-asetet të njëjtat kërkesa rregullatore sikurse emetuesve ose ofruesve të shërbimeve të lidhura me instrumente financiarë dhe para elektronike</w:t>
      </w:r>
      <w:r w:rsidDel="00000000" w:rsidR="00000000" w:rsidRPr="00000000">
        <w:rPr>
          <w:b w:val="1"/>
          <w:bCs w:val="1"/>
          <w:rtl w:val="0"/>
        </w:rPr>
        <w:t xml:space="preserve">.</w:t>
      </w:r>
    </w:p>
    <w:p w:rsidR="00000000" w:rsidDel="00000000" w:rsidP="00000000" w:rsidRDefault="00000000" w:rsidRPr="00000000" w14:paraId="00000103">
      <w:pPr>
        <w:spacing w:before="240" w:lineRule="auto"/>
        <w:jc w:val="both"/>
        <w:rPr/>
      </w:pPr>
      <w:r w:rsidDel="00000000" w:rsidR="00000000" w:rsidRPr="00000000">
        <w:rPr>
          <w:rtl w:val="0"/>
        </w:rPr>
        <w:t xml:space="preserve">Në këtë opsion, grupet e prekura janë të njëjtat në thelb si te opsionet e tjera, por ndikimi bëhet më i qartë dhe më i strukturuar. Preken drejtpërdrejt subjektet e reja që synojnë të hyjnë në tregjet e kripto-aseteve, sepse ligji i ri u vendos një regjim të detyrueshëm autorizimi dhe standardesh operacionale. Preken bankat e nivelit të dytë dhe institucionet e parasë elektronike që vendosin të zgjerojnë shërbimet drejt kripto-aseteve, sepse do të duhet të përshtasin politikat dhe modelet operacionale për shërbime si emetimi, kujdestaria, transferta dhe këmbimi. Preken edhe shoqëritë komisionere që zgjerojnë aktivitetin në këto tregje, sepse do të kenë kërkesa shtesë për procedura listimi për tregtim, menaxhim konfliktesh interesi dhe transparencë ndaj klientit. Preken drejtpërdrejt klientët institucionalë dhe klientët joprofesionistë, sepse ligji i ri synon të rrisë standardet e mbrojtjes së tyre dhe të ulë ekspozimin ndaj mashtrimeve dhe praktikave abuzive. Preken autoritetet përgjegjëse (AMF dhe Banka e Shqipërisë), sepse ligji i ri rrit rolin e tyre mbikëqyrës dhe kërkon kapacitete më të larta institucionale për zbatim e kontroll.</w:t>
      </w:r>
    </w:p>
    <w:p w:rsidR="00000000" w:rsidDel="00000000" w:rsidP="00000000" w:rsidRDefault="00000000" w:rsidRPr="00000000" w14:paraId="00000104">
      <w:pPr>
        <w:spacing w:before="240" w:lineRule="auto"/>
        <w:jc w:val="both"/>
        <w:rPr/>
      </w:pPr>
      <w:r w:rsidDel="00000000" w:rsidR="00000000" w:rsidRPr="00000000">
        <w:rPr>
          <w:rtl w:val="0"/>
        </w:rPr>
        <w:t xml:space="preserve">Ndikimet e drejtpërdrejta për subjektet që hyjnë në treg (operatorë të rinj) lidhen me kërkesat e autorizimit dhe pajtueshmërisë. Subjektet e reja do t’i nënshtrohen tarifave të aplikimit dhe tarifave mbikëqyrëse, kërkesave për kapital minimal rregullator  kërkesave të qeverisjes korporative, kontrollit të brendshëm, menaxhimit të rrezikut, sigurisë kibernetike, qëndrueshmërisë së sistemeve, si dhe detyrimeve të raportimit. Këto janë kosto të drejtpërdrejta të pajtueshmërisë dhe hyrjes në treg, që nga njëra anë rrisin standardin e sigurisë dhe kontrollueshmërisë së operatorëve, dhe nga ana tjetër rrisin barrën e operimit krahasuar me një treg të parregulluar.</w:t>
      </w:r>
    </w:p>
    <w:p w:rsidR="00000000" w:rsidDel="00000000" w:rsidP="00000000" w:rsidRDefault="00000000" w:rsidRPr="00000000" w14:paraId="00000105">
      <w:pPr>
        <w:spacing w:before="240" w:lineRule="auto"/>
        <w:jc w:val="both"/>
        <w:rPr/>
      </w:pPr>
      <w:r w:rsidDel="00000000" w:rsidR="00000000" w:rsidRPr="00000000">
        <w:rPr>
          <w:rtl w:val="0"/>
        </w:rPr>
        <w:t xml:space="preserve">Në analizën e kostove për Opsionin 2, një komponent i rëndësishëm është kapitali minimal rregullator që duhet të mbajë ofruesi i shërbimeve të kripto-aseteve sipas MiCA-s. MiCA e strukturon këtë kërkesë në tre klasa, duke e lidhur nivelin e kapitalit me profilin e rrezikut të shërbimit: Klasa 1 kërkon EUR 50,000 për shërbime si ekzekutimi i urdhërave të kripto-aseteve për llogari të klientëve, listimi i kripto-aseteve, shërbimet e transfertave të kripto-aseteve për llogari të klientëve, marrja dhe transmetimi i urdhërave të lidhura me kripto-asetet për llogari të klientëve, këshillimi në lidhje me kripto-asetet dhe/ose administrimi i portofolit të kripto-aseteve; Klasa 2 kërkon EUR 125,000 kur përfshihet edhe kujdestaria dhe administrimi i kripto-aseteve për llogari të palëve të treta dhe/ose këmbimi i kripto-aseteve kundrejt fondeve dhe/ose këmbimi i kripto-aseteve kundrejt kripto-aseteve; ndërsa Klasa 3 kërkon EUR 150,000 kur ofrohet edhe operimi i një platforme tregtimi për kripto-asetet. Kjo qasje e diferencuar ul kostot e hyrjes për shërbimet me rrezik më të ulët dhe rrit proporcionalitetin, duke orientuar barrën prudenciale aty ku rreziku operacional dhe i kujdestarisë është më i lartë.</w:t>
      </w:r>
    </w:p>
    <w:p w:rsidR="00000000" w:rsidDel="00000000" w:rsidP="00000000" w:rsidRDefault="00000000" w:rsidRPr="00000000" w14:paraId="00000106">
      <w:pPr>
        <w:spacing w:before="240" w:lineRule="auto"/>
        <w:jc w:val="both"/>
        <w:rPr/>
      </w:pPr>
      <w:r w:rsidDel="00000000" w:rsidR="00000000" w:rsidRPr="00000000">
        <w:rPr>
          <w:rtl w:val="0"/>
        </w:rPr>
      </w:r>
    </w:p>
    <w:tbl>
      <w:tblPr>
        <w:tblStyle w:val="Table5"/>
        <w:tblW w:w="9885.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899"/>
        <w:gridCol w:w="5736"/>
        <w:gridCol w:w="2250"/>
        <w:tblGridChange w:id="0">
          <w:tblGrid>
            <w:gridCol w:w="1899"/>
            <w:gridCol w:w="5736"/>
            <w:gridCol w:w="2250"/>
          </w:tblGrid>
        </w:tblGridChange>
      </w:tblGrid>
      <w:tr>
        <w:trPr>
          <w:cantSplit w:val="0"/>
          <w:trHeight w:val="300" w:hRule="atLeast"/>
          <w:tblHeader w:val="0"/>
        </w:trPr>
        <w:tc>
          <w:tcPr>
            <w:vAlign w:val="center"/>
          </w:tcPr>
          <w:p w:rsidR="00000000" w:rsidDel="00000000" w:rsidP="00000000" w:rsidRDefault="00000000" w:rsidRPr="00000000" w14:paraId="00000107">
            <w:pPr>
              <w:jc w:val="center"/>
              <w:rPr>
                <w:b w:val="1"/>
                <w:bCs w:val="1"/>
                <w:color w:val="000000"/>
              </w:rPr>
            </w:pPr>
            <w:r w:rsidDel="00000000" w:rsidR="00000000" w:rsidRPr="00000000">
              <w:rPr>
                <w:b w:val="1"/>
                <w:bCs w:val="1"/>
                <w:color w:val="000000"/>
                <w:rtl w:val="0"/>
              </w:rPr>
              <w:t xml:space="preserve">Ofruesit e shërbimeve të kripto-aseteve</w:t>
            </w:r>
          </w:p>
        </w:tc>
        <w:tc>
          <w:tcPr>
            <w:vAlign w:val="center"/>
          </w:tcPr>
          <w:p w:rsidR="00000000" w:rsidDel="00000000" w:rsidP="00000000" w:rsidRDefault="00000000" w:rsidRPr="00000000" w14:paraId="00000108">
            <w:pPr>
              <w:jc w:val="center"/>
              <w:rPr>
                <w:b w:val="1"/>
                <w:bCs w:val="1"/>
                <w:color w:val="000000"/>
              </w:rPr>
            </w:pPr>
            <w:r w:rsidDel="00000000" w:rsidR="00000000" w:rsidRPr="00000000">
              <w:rPr>
                <w:b w:val="1"/>
                <w:bCs w:val="1"/>
                <w:color w:val="000000"/>
                <w:rtl w:val="0"/>
              </w:rPr>
              <w:t xml:space="preserve">Lloji i shërbimeve të kripto-aseteve</w:t>
            </w:r>
          </w:p>
        </w:tc>
        <w:tc>
          <w:tcPr>
            <w:vAlign w:val="center"/>
          </w:tcPr>
          <w:p w:rsidR="00000000" w:rsidDel="00000000" w:rsidP="00000000" w:rsidRDefault="00000000" w:rsidRPr="00000000" w14:paraId="00000109">
            <w:pPr>
              <w:jc w:val="center"/>
              <w:rPr>
                <w:b w:val="1"/>
                <w:bCs w:val="1"/>
                <w:color w:val="000000"/>
              </w:rPr>
            </w:pPr>
            <w:r w:rsidDel="00000000" w:rsidR="00000000" w:rsidRPr="00000000">
              <w:rPr>
                <w:b w:val="1"/>
                <w:bCs w:val="1"/>
                <w:color w:val="000000"/>
                <w:rtl w:val="0"/>
              </w:rPr>
              <w:t xml:space="preserve">Kërkesat minimale kapitale sipas Nenit 67(1), pika (a)</w:t>
            </w:r>
          </w:p>
        </w:tc>
      </w:tr>
      <w:tr>
        <w:trPr>
          <w:cantSplit w:val="0"/>
          <w:trHeight w:val="300" w:hRule="atLeast"/>
          <w:tblHeader w:val="0"/>
        </w:trPr>
        <w:tc>
          <w:tcPr>
            <w:vMerge w:val="restart"/>
            <w:vAlign w:val="center"/>
          </w:tcPr>
          <w:p w:rsidR="00000000" w:rsidDel="00000000" w:rsidP="00000000" w:rsidRDefault="00000000" w:rsidRPr="00000000" w14:paraId="0000010A">
            <w:pPr>
              <w:rPr>
                <w:b w:val="1"/>
                <w:bCs w:val="1"/>
                <w:color w:val="000000"/>
              </w:rPr>
            </w:pPr>
            <w:r w:rsidDel="00000000" w:rsidR="00000000" w:rsidRPr="00000000">
              <w:rPr>
                <w:b w:val="1"/>
                <w:bCs w:val="1"/>
                <w:color w:val="000000"/>
                <w:rtl w:val="0"/>
              </w:rPr>
              <w:t xml:space="preserve">Klasa 1</w:t>
            </w:r>
          </w:p>
        </w:tc>
        <w:tc>
          <w:tcPr>
            <w:vAlign w:val="center"/>
          </w:tcPr>
          <w:p w:rsidR="00000000" w:rsidDel="00000000" w:rsidP="00000000" w:rsidRDefault="00000000" w:rsidRPr="00000000" w14:paraId="0000010B">
            <w:pPr>
              <w:rPr>
                <w:b w:val="1"/>
                <w:bCs w:val="1"/>
                <w:color w:val="000000"/>
              </w:rPr>
            </w:pPr>
            <w:r w:rsidDel="00000000" w:rsidR="00000000" w:rsidRPr="00000000">
              <w:rPr>
                <w:b w:val="1"/>
                <w:bCs w:val="1"/>
                <w:color w:val="000000"/>
                <w:rtl w:val="0"/>
              </w:rPr>
              <w:t xml:space="preserve">Ofrues i shërbimeve të kripto-aseteve i autorizuar për shërbimet e mëposhtme të kripto-aseteve:</w:t>
            </w:r>
          </w:p>
        </w:tc>
        <w:tc>
          <w:tcPr>
            <w:vMerge w:val="restart"/>
            <w:vAlign w:val="center"/>
          </w:tcPr>
          <w:p w:rsidR="00000000" w:rsidDel="00000000" w:rsidP="00000000" w:rsidRDefault="00000000" w:rsidRPr="00000000" w14:paraId="0000010C">
            <w:pPr>
              <w:rPr>
                <w:color w:val="000000"/>
              </w:rPr>
            </w:pPr>
            <w:r w:rsidDel="00000000" w:rsidR="00000000" w:rsidRPr="00000000">
              <w:rPr>
                <w:color w:val="000000"/>
                <w:rtl w:val="0"/>
              </w:rPr>
              <w:t xml:space="preserve">EUR 50 000</w:t>
            </w:r>
          </w:p>
        </w:tc>
      </w:tr>
      <w:tr>
        <w:trPr>
          <w:cantSplit w:val="0"/>
          <w:trHeight w:val="300" w:hRule="atLeast"/>
          <w:tblHeader w:val="0"/>
        </w:trPr>
        <w:tc>
          <w:tcPr>
            <w:vMerge w:val="continue"/>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0E">
            <w:pPr>
              <w:rPr>
                <w:color w:val="000000"/>
              </w:rPr>
            </w:pPr>
            <w:r w:rsidDel="00000000" w:rsidR="00000000" w:rsidRPr="00000000">
              <w:rPr>
                <w:color w:val="000000"/>
                <w:rtl w:val="0"/>
              </w:rPr>
              <w:t xml:space="preserve">— ekzekutimi i urdhërave në emër të klientëve;</w:t>
            </w:r>
          </w:p>
        </w:tc>
        <w:tc>
          <w:tcPr>
            <w:vMerge w:val="continue"/>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11">
            <w:pPr>
              <w:rPr>
                <w:color w:val="000000"/>
              </w:rPr>
            </w:pPr>
            <w:r w:rsidDel="00000000" w:rsidR="00000000" w:rsidRPr="00000000">
              <w:rPr>
                <w:color w:val="000000"/>
                <w:rtl w:val="0"/>
              </w:rPr>
              <w:t xml:space="preserve">— listimi i kripto-aseteve;</w:t>
            </w:r>
          </w:p>
        </w:tc>
        <w:tc>
          <w:tcPr>
            <w:vMerge w:val="continue"/>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14">
            <w:pPr>
              <w:rPr>
                <w:color w:val="000000"/>
              </w:rPr>
            </w:pPr>
            <w:r w:rsidDel="00000000" w:rsidR="00000000" w:rsidRPr="00000000">
              <w:rPr>
                <w:color w:val="000000"/>
                <w:rtl w:val="0"/>
              </w:rPr>
              <w:t xml:space="preserve">— ofrimi i shërbimeve të transferimit të kripto-aseteve për llogari të klientëve;</w:t>
            </w:r>
          </w:p>
        </w:tc>
        <w:tc>
          <w:tcPr>
            <w:vMerge w:val="continue"/>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17">
            <w:pPr>
              <w:rPr>
                <w:color w:val="000000"/>
              </w:rPr>
            </w:pPr>
            <w:r w:rsidDel="00000000" w:rsidR="00000000" w:rsidRPr="00000000">
              <w:rPr>
                <w:color w:val="000000"/>
                <w:rtl w:val="0"/>
              </w:rPr>
              <w:t xml:space="preserve">— marrja dhe transmetimi i urdhërave për kripto-asete për llogari të klientëve;</w:t>
            </w:r>
          </w:p>
        </w:tc>
        <w:tc>
          <w:tcPr>
            <w:vMerge w:val="continue"/>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1A">
            <w:pPr>
              <w:rPr>
                <w:color w:val="000000"/>
              </w:rPr>
            </w:pPr>
            <w:r w:rsidDel="00000000" w:rsidR="00000000" w:rsidRPr="00000000">
              <w:rPr>
                <w:color w:val="000000"/>
                <w:rtl w:val="0"/>
              </w:rPr>
              <w:t xml:space="preserve">— këshillimi në lidhje me kripto-asetet; dhe/ose</w:t>
            </w:r>
          </w:p>
        </w:tc>
        <w:tc>
          <w:tcPr>
            <w:vMerge w:val="continue"/>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1D">
            <w:pPr>
              <w:rPr>
                <w:color w:val="000000"/>
              </w:rPr>
            </w:pPr>
            <w:r w:rsidDel="00000000" w:rsidR="00000000" w:rsidRPr="00000000">
              <w:rPr>
                <w:color w:val="000000"/>
                <w:rtl w:val="0"/>
              </w:rPr>
              <w:t xml:space="preserve">— administrimi i portofolit të kripto-aseteve.</w:t>
            </w:r>
          </w:p>
        </w:tc>
        <w:tc>
          <w:tcPr>
            <w:vMerge w:val="continue"/>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restart"/>
            <w:vAlign w:val="center"/>
          </w:tcPr>
          <w:p w:rsidR="00000000" w:rsidDel="00000000" w:rsidP="00000000" w:rsidRDefault="00000000" w:rsidRPr="00000000" w14:paraId="0000011F">
            <w:pPr>
              <w:rPr>
                <w:b w:val="1"/>
                <w:bCs w:val="1"/>
                <w:color w:val="000000"/>
              </w:rPr>
            </w:pPr>
            <w:r w:rsidDel="00000000" w:rsidR="00000000" w:rsidRPr="00000000">
              <w:rPr>
                <w:b w:val="1"/>
                <w:bCs w:val="1"/>
                <w:color w:val="000000"/>
                <w:rtl w:val="0"/>
              </w:rPr>
              <w:t xml:space="preserve">Klasa 2</w:t>
            </w:r>
          </w:p>
        </w:tc>
        <w:tc>
          <w:tcPr>
            <w:vAlign w:val="center"/>
          </w:tcPr>
          <w:p w:rsidR="00000000" w:rsidDel="00000000" w:rsidP="00000000" w:rsidRDefault="00000000" w:rsidRPr="00000000" w14:paraId="00000120">
            <w:pPr>
              <w:rPr>
                <w:b w:val="1"/>
                <w:bCs w:val="1"/>
                <w:color w:val="000000"/>
              </w:rPr>
            </w:pPr>
            <w:r w:rsidDel="00000000" w:rsidR="00000000" w:rsidRPr="00000000">
              <w:rPr>
                <w:b w:val="1"/>
                <w:bCs w:val="1"/>
                <w:color w:val="000000"/>
                <w:rtl w:val="0"/>
              </w:rPr>
              <w:t xml:space="preserve">Ofrues i shërbimeve të kripto-aseteve i autorizuar për çdo shërbim të kripto-aseteve nën klasën 1 dhe:</w:t>
            </w:r>
          </w:p>
        </w:tc>
        <w:tc>
          <w:tcPr>
            <w:vMerge w:val="restart"/>
            <w:vAlign w:val="center"/>
          </w:tcPr>
          <w:p w:rsidR="00000000" w:rsidDel="00000000" w:rsidP="00000000" w:rsidRDefault="00000000" w:rsidRPr="00000000" w14:paraId="00000121">
            <w:pPr>
              <w:rPr>
                <w:color w:val="000000"/>
              </w:rPr>
            </w:pPr>
            <w:r w:rsidDel="00000000" w:rsidR="00000000" w:rsidRPr="00000000">
              <w:rPr>
                <w:color w:val="000000"/>
                <w:rtl w:val="0"/>
              </w:rPr>
              <w:t xml:space="preserve">EUR 125 000</w:t>
            </w:r>
          </w:p>
        </w:tc>
      </w:tr>
      <w:tr>
        <w:trPr>
          <w:cantSplit w:val="0"/>
          <w:trHeight w:val="300" w:hRule="atLeast"/>
          <w:tblHeader w:val="0"/>
        </w:trPr>
        <w:tc>
          <w:tcPr>
            <w:vMerge w:val="continue"/>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23">
            <w:pPr>
              <w:rPr>
                <w:color w:val="000000"/>
              </w:rPr>
            </w:pPr>
            <w:r w:rsidDel="00000000" w:rsidR="00000000" w:rsidRPr="00000000">
              <w:rPr>
                <w:color w:val="000000"/>
                <w:rtl w:val="0"/>
              </w:rPr>
              <w:t xml:space="preserve">— ofrimi i kujdestarisë dhe administrimi i kripto-aseteve për llogari të klientëve;</w:t>
            </w:r>
          </w:p>
        </w:tc>
        <w:tc>
          <w:tcPr>
            <w:vMerge w:val="continue"/>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26">
            <w:pPr>
              <w:rPr>
                <w:color w:val="000000"/>
              </w:rPr>
            </w:pPr>
            <w:r w:rsidDel="00000000" w:rsidR="00000000" w:rsidRPr="00000000">
              <w:rPr>
                <w:color w:val="000000"/>
                <w:rtl w:val="0"/>
              </w:rPr>
              <w:t xml:space="preserve">— këmbimi i kripto-aseteve kundrejt fondeve; dhe/ose</w:t>
            </w:r>
          </w:p>
        </w:tc>
        <w:tc>
          <w:tcPr>
            <w:vMerge w:val="continue"/>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continue"/>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29">
            <w:pPr>
              <w:rPr>
                <w:color w:val="000000"/>
              </w:rPr>
            </w:pPr>
            <w:r w:rsidDel="00000000" w:rsidR="00000000" w:rsidRPr="00000000">
              <w:rPr>
                <w:color w:val="000000"/>
                <w:rtl w:val="0"/>
              </w:rPr>
              <w:t xml:space="preserve">— këmbimi i kripto-aseteve kundrejt kripto-aseteve të tjera.</w:t>
            </w:r>
          </w:p>
        </w:tc>
        <w:tc>
          <w:tcPr>
            <w:vMerge w:val="continue"/>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00" w:hRule="atLeast"/>
          <w:tblHeader w:val="0"/>
        </w:trPr>
        <w:tc>
          <w:tcPr>
            <w:vMerge w:val="restart"/>
            <w:vAlign w:val="center"/>
          </w:tcPr>
          <w:p w:rsidR="00000000" w:rsidDel="00000000" w:rsidP="00000000" w:rsidRDefault="00000000" w:rsidRPr="00000000" w14:paraId="0000012B">
            <w:pPr>
              <w:rPr>
                <w:b w:val="1"/>
                <w:bCs w:val="1"/>
                <w:color w:val="000000"/>
              </w:rPr>
            </w:pPr>
            <w:r w:rsidDel="00000000" w:rsidR="00000000" w:rsidRPr="00000000">
              <w:rPr>
                <w:b w:val="1"/>
                <w:bCs w:val="1"/>
                <w:color w:val="000000"/>
                <w:rtl w:val="0"/>
              </w:rPr>
              <w:t xml:space="preserve">Klasa 3</w:t>
            </w:r>
          </w:p>
        </w:tc>
        <w:tc>
          <w:tcPr>
            <w:vAlign w:val="center"/>
          </w:tcPr>
          <w:p w:rsidR="00000000" w:rsidDel="00000000" w:rsidP="00000000" w:rsidRDefault="00000000" w:rsidRPr="00000000" w14:paraId="0000012C">
            <w:pPr>
              <w:rPr>
                <w:b w:val="1"/>
                <w:bCs w:val="1"/>
                <w:color w:val="000000"/>
              </w:rPr>
            </w:pPr>
            <w:r w:rsidDel="00000000" w:rsidR="00000000" w:rsidRPr="00000000">
              <w:rPr>
                <w:b w:val="1"/>
                <w:bCs w:val="1"/>
                <w:color w:val="000000"/>
                <w:rtl w:val="0"/>
              </w:rPr>
              <w:t xml:space="preserve">Ofrues i shërbimeve të kripto-aseteve i autorizuar për çdo shërbim të kripto-aseteve nën klasën 2 dhe:</w:t>
            </w:r>
          </w:p>
        </w:tc>
        <w:tc>
          <w:tcPr>
            <w:vMerge w:val="restart"/>
            <w:vAlign w:val="center"/>
          </w:tcPr>
          <w:p w:rsidR="00000000" w:rsidDel="00000000" w:rsidP="00000000" w:rsidRDefault="00000000" w:rsidRPr="00000000" w14:paraId="0000012D">
            <w:pPr>
              <w:rPr>
                <w:color w:val="000000"/>
              </w:rPr>
            </w:pPr>
            <w:r w:rsidDel="00000000" w:rsidR="00000000" w:rsidRPr="00000000">
              <w:rPr>
                <w:color w:val="000000"/>
                <w:rtl w:val="0"/>
              </w:rPr>
              <w:t xml:space="preserve">EUR 150 000</w:t>
            </w:r>
          </w:p>
        </w:tc>
      </w:tr>
      <w:tr>
        <w:trPr>
          <w:cantSplit w:val="0"/>
          <w:trHeight w:val="300" w:hRule="atLeast"/>
          <w:tblHeader w:val="0"/>
        </w:trPr>
        <w:tc>
          <w:tcPr>
            <w:vMerge w:val="continue"/>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2F">
            <w:pPr>
              <w:rPr>
                <w:color w:val="000000"/>
              </w:rPr>
            </w:pPr>
            <w:r w:rsidDel="00000000" w:rsidR="00000000" w:rsidRPr="00000000">
              <w:rPr>
                <w:color w:val="000000"/>
                <w:rtl w:val="0"/>
              </w:rPr>
              <w:t xml:space="preserve">— operimi i një platforme tregtimi për kripto-asetet.</w:t>
            </w:r>
          </w:p>
        </w:tc>
        <w:tc>
          <w:tcPr>
            <w:vMerge w:val="continue"/>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bl>
    <w:p w:rsidR="00000000" w:rsidDel="00000000" w:rsidP="00000000" w:rsidRDefault="00000000" w:rsidRPr="00000000" w14:paraId="00000131">
      <w:pPr>
        <w:spacing w:before="240" w:lineRule="auto"/>
        <w:jc w:val="both"/>
        <w:rPr/>
      </w:pPr>
      <w:r w:rsidDel="00000000" w:rsidR="00000000" w:rsidRPr="00000000">
        <w:rPr>
          <w:rtl w:val="0"/>
        </w:rPr>
      </w:r>
    </w:p>
    <w:p w:rsidR="00000000" w:rsidDel="00000000" w:rsidP="00000000" w:rsidRDefault="00000000" w:rsidRPr="00000000" w14:paraId="00000132">
      <w:pPr>
        <w:spacing w:before="240" w:lineRule="auto"/>
        <w:jc w:val="both"/>
        <w:rPr/>
      </w:pPr>
      <w:r w:rsidDel="00000000" w:rsidR="00000000" w:rsidRPr="00000000">
        <w:rPr>
          <w:rtl w:val="0"/>
        </w:rPr>
        <w:t xml:space="preserve">Në krahasim me kuadrin aktual, këto kërkesa kapitale janë më të ulëta dhe potencialisht më nxitëse për formalizim, pasi legjislacioni aktual parashikon pragje kapitali rregullator dukshëm më të larta si psh 18 milion ALL për ofruesit e kuletave të kujdestarisë për llogari të palëve të treta, 18 milion ALL për Agjentët e Tokenëve Digjitalë, 18 milion ALL për Ofruesit e Shërbimeve Inovative dhe 18 milion ALL deri në 90 milion ALL për Bursat DLT. Kjo do të thotë se, nën Opsionin 2, kostoja e hyrjes në treg do të jetë më e përshtatur me llojin e shërbimit dhe më pak penguese për aktorë të rinj, veçanërisht për NVM-të, ndërkohë që synon të ruajë një bazë minimale sigurie financiare për të përballuar rreziqet operative, të pajtueshmërisë dhe të mbrojtjes së klientit.</w:t>
      </w:r>
    </w:p>
    <w:p w:rsidR="00000000" w:rsidDel="00000000" w:rsidP="00000000" w:rsidRDefault="00000000" w:rsidRPr="00000000" w14:paraId="00000133">
      <w:pPr>
        <w:spacing w:before="240" w:lineRule="auto"/>
        <w:jc w:val="both"/>
        <w:rPr/>
      </w:pPr>
      <w:r w:rsidDel="00000000" w:rsidR="00000000" w:rsidRPr="00000000">
        <w:rPr>
          <w:rtl w:val="0"/>
        </w:rPr>
        <w:t xml:space="preserve">Ndikimet e drejtpërdrejta për bankat dhe institucionet e parasë elektronike që zgjerojnë shërbimet lidhen kryesisht me përshtatjen e proceseve pasi nevojitet rishikimi i politikave dhe procedurave, modeleve operacionale dhe kontrolleve, duke reflektuar kërkesat e përputhshmërisë dhe mbrojtjes së klientit për shërbime si emetimi, kujdestaria, transfertat dhe këmbimi. Për shoqëritë komisionere, ndikimi i drejtpërdrejtë do të fokusohet te procedurat e listimit për tregtim, sigurimi i ekzekutimit më të mirë në tregjet e kripto-aseteve, menaxhimi i konflikteve të interesit dhe transparenca ndaj klientit, pra një rritje e standardeve të sjelljes dhe e disiplinës së brendshme operacionale.</w:t>
      </w:r>
    </w:p>
    <w:p w:rsidR="00000000" w:rsidDel="00000000" w:rsidP="00000000" w:rsidRDefault="00000000" w:rsidRPr="00000000" w14:paraId="00000134">
      <w:pPr>
        <w:spacing w:before="240" w:lineRule="auto"/>
        <w:jc w:val="both"/>
        <w:rPr/>
      </w:pPr>
      <w:r w:rsidDel="00000000" w:rsidR="00000000" w:rsidRPr="00000000">
        <w:rPr>
          <w:rtl w:val="0"/>
        </w:rPr>
        <w:t xml:space="preserve">Për klientët, ligji i ri pritet të ketë ndikim të drejtpërdrejtë pozitiv në uljen e ekspozimit ndaj ofertave mashtruese dhe praktikave abuzive, sepse parashikon standardizim të informacionit parakontraktual, rregulla sjelljeje, si dhe ndalime dhe masa kundër abuzimit në treg (p.sh. tregtimi i brendshëm dhe manipulimi i tregut). Pra, në vend që mbrojtja të jetë e pjesshme ose e shpërndarë, ligji i ri synon të vendosë standarde të harmonizuara dhe të parashikueshme që rrisin sigurinë juridike dhe mbrojtjen e klientit.</w:t>
      </w:r>
    </w:p>
    <w:p w:rsidR="00000000" w:rsidDel="00000000" w:rsidP="00000000" w:rsidRDefault="00000000" w:rsidRPr="00000000" w14:paraId="00000135">
      <w:pPr>
        <w:spacing w:before="240" w:lineRule="auto"/>
        <w:jc w:val="both"/>
        <w:rPr/>
      </w:pPr>
      <w:r w:rsidDel="00000000" w:rsidR="00000000" w:rsidRPr="00000000">
        <w:rPr>
          <w:rtl w:val="0"/>
        </w:rPr>
        <w:t xml:space="preserve">Nga ana tjetër, ligji i ri sjell edhe një efekt të drejtpërdrejtë anësor pasi kërkesat e përputhshmërisë si verifikimi i klientit, dokumentimi i transaksioneve dhe proceseve, filtrimi i veprimtarive promovuese, kontrolle të menaxhimit të riskut etj,  mund të rrisin kostot e shërbimit dhe të sjellin vonesa në pranimin e klientëve dhe kjo mund të ndikojë në çmimet ose tarifat finale të produkteve dhe/ose shërbimeve të ofruara.</w:t>
      </w:r>
    </w:p>
    <w:p w:rsidR="00000000" w:rsidDel="00000000" w:rsidP="00000000" w:rsidRDefault="00000000" w:rsidRPr="00000000" w14:paraId="00000136">
      <w:pPr>
        <w:spacing w:before="240" w:lineRule="auto"/>
        <w:jc w:val="both"/>
        <w:rPr/>
      </w:pPr>
      <w:r w:rsidDel="00000000" w:rsidR="00000000" w:rsidRPr="00000000">
        <w:rPr>
          <w:rtl w:val="0"/>
        </w:rPr>
        <w:t xml:space="preserve">Për autoritetet përgjegjëse, opsioni 2 kërkon kapacitete më të larta mbikëqyrjeje, por nga pikëpamja financiare, zbatimi nuk parashikohet të ketë ndikim mbi buxhetin e shtetit, sepse AMF dhe Banka e Shqipërisë i mbulojnë shpenzimet nga të ardhurat e tyre dhe nga mekanizmat ekzistues financiarë, përfshirë tarifat rregullatore. Pra kostoja publike në kuptimin buxhetor nuk rritet, por nga ana tjetër rritet kërkesa për organizim, staf, procese dhe instrumente mbikëqyrjeje brenda institucioneve.</w:t>
      </w:r>
    </w:p>
    <w:p w:rsidR="00000000" w:rsidDel="00000000" w:rsidP="00000000" w:rsidRDefault="00000000" w:rsidRPr="00000000" w14:paraId="00000137">
      <w:pPr>
        <w:spacing w:before="240" w:lineRule="auto"/>
        <w:jc w:val="both"/>
        <w:rPr/>
      </w:pPr>
      <w:r w:rsidDel="00000000" w:rsidR="00000000" w:rsidRPr="00000000">
        <w:rPr>
          <w:rtl w:val="0"/>
        </w:rPr>
        <w:t xml:space="preserve">Ndikimet jo të drejtpërdrejta të opsionit 2 lidhen kryesisht me besimin në treg dhe konkurrencën. Një regjim i plotë dhe i harmonizuar rrit parashikueshmërinë dhe pritet të rrisë besimin e klientëve dhe të institucioneve financiare ndaj operatorëve që punojnë nën autorizim dhe mbikëqyrje. Nga pikëpamja e konkurrencës, një ligj i ri i harmonizuar ul hapësirat e “zonave gri” dhe redukton arbitrazhin rregullator, sepse rregullat janë të qarta për të gjithë operatorët dhe shërbimet kryesore. Megjithatë, rregullat dhe kostot fikse të pajtueshmërisë mund të bëhen barrierë hyrjeje për operatorë shumë të vegjël, ndaj ndikimi mbi ndërmarrjet e vogla dhe të mesme duhet parë si “dy-anësh” ku nga njëra anë rrit standardet dhe besimin, por nga ana tjetër rrit edhe barrën fikse të përputhshmërisë.</w:t>
      </w:r>
    </w:p>
    <w:p w:rsidR="00000000" w:rsidDel="00000000" w:rsidP="00000000" w:rsidRDefault="00000000" w:rsidRPr="00000000" w14:paraId="00000138">
      <w:pPr>
        <w:spacing w:before="240" w:lineRule="auto"/>
        <w:jc w:val="both"/>
        <w:rPr>
          <w:b w:val="1"/>
          <w:bCs w:val="1"/>
        </w:rPr>
      </w:pPr>
      <w:r w:rsidDel="00000000" w:rsidR="00000000" w:rsidRPr="00000000">
        <w:rPr>
          <w:rtl w:val="0"/>
        </w:rPr>
        <w:t xml:space="preserve">Kufizimi kryesor i analizës së këtij opsioni është se monetarizimi i përfitimeve (si “humbje të shmangura” nga mashtrime/abuzim tregu) është i vështirë pa të dhëna të strukturuara mbi incidentet dhe dëmet; prandaj ndikimet monetare në këtë fazë shprehen kryesisht në terma të kostove të pajtueshmërisë dhe burimeve institucionale. Një rrezik tjetër i rëndësishëm është sfida e ngritjes së kapaciteteve mbikëqyrëse në praktikë: nëse kapacitetet nuk rriten në kohë, zbatimi mund të jetë i ngadaltë dhe efektet e pritshme (ulje rreziku/abuzimi) mund të vonohen.</w:t>
      </w:r>
      <w:r w:rsidDel="00000000" w:rsidR="00000000" w:rsidRPr="00000000">
        <w:rPr>
          <w:b w:val="1"/>
          <w:bCs w:val="1"/>
          <w:rtl w:val="0"/>
        </w:rPr>
        <w:br w:type="textWrapping"/>
      </w:r>
    </w:p>
    <w:tbl>
      <w:tblPr>
        <w:tblStyle w:val="Table6"/>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9"/>
        <w:gridCol w:w="1644"/>
        <w:gridCol w:w="3290"/>
        <w:gridCol w:w="3302"/>
        <w:tblGridChange w:id="0">
          <w:tblGrid>
            <w:gridCol w:w="1959"/>
            <w:gridCol w:w="1644"/>
            <w:gridCol w:w="3290"/>
            <w:gridCol w:w="3302"/>
          </w:tblGrid>
        </w:tblGridChange>
      </w:tblGrid>
      <w:tr>
        <w:trPr>
          <w:cantSplit w:val="0"/>
          <w:tblHeader w:val="1"/>
        </w:trPr>
        <w:tc>
          <w:tcPr>
            <w:vAlign w:val="center"/>
          </w:tcPr>
          <w:p w:rsidR="00000000" w:rsidDel="00000000" w:rsidP="00000000" w:rsidRDefault="00000000" w:rsidRPr="00000000" w14:paraId="00000139">
            <w:pPr>
              <w:spacing w:before="240" w:lineRule="auto"/>
              <w:rPr>
                <w:b w:val="1"/>
                <w:bCs w:val="1"/>
              </w:rPr>
            </w:pPr>
            <w:r w:rsidDel="00000000" w:rsidR="00000000" w:rsidRPr="00000000">
              <w:rPr>
                <w:b w:val="1"/>
                <w:bCs w:val="1"/>
                <w:rtl w:val="0"/>
              </w:rPr>
              <w:t xml:space="preserve">Grupi i prekur</w:t>
            </w:r>
          </w:p>
        </w:tc>
        <w:tc>
          <w:tcPr>
            <w:vAlign w:val="center"/>
          </w:tcPr>
          <w:p w:rsidR="00000000" w:rsidDel="00000000" w:rsidP="00000000" w:rsidRDefault="00000000" w:rsidRPr="00000000" w14:paraId="0000013A">
            <w:pPr>
              <w:spacing w:before="240" w:lineRule="auto"/>
              <w:rPr>
                <w:b w:val="1"/>
                <w:bCs w:val="1"/>
              </w:rPr>
            </w:pPr>
            <w:r w:rsidDel="00000000" w:rsidR="00000000" w:rsidRPr="00000000">
              <w:rPr>
                <w:b w:val="1"/>
                <w:bCs w:val="1"/>
                <w:rtl w:val="0"/>
              </w:rPr>
              <w:t xml:space="preserve">Ndikimi (drejtpërdrejt/ tërthortë)</w:t>
            </w:r>
          </w:p>
        </w:tc>
        <w:tc>
          <w:tcPr>
            <w:vAlign w:val="center"/>
          </w:tcPr>
          <w:p w:rsidR="00000000" w:rsidDel="00000000" w:rsidP="00000000" w:rsidRDefault="00000000" w:rsidRPr="00000000" w14:paraId="0000013B">
            <w:pPr>
              <w:spacing w:before="240" w:lineRule="auto"/>
              <w:rPr>
                <w:b w:val="1"/>
                <w:bCs w:val="1"/>
              </w:rPr>
            </w:pPr>
            <w:r w:rsidDel="00000000" w:rsidR="00000000" w:rsidRPr="00000000">
              <w:rPr>
                <w:b w:val="1"/>
                <w:bCs w:val="1"/>
                <w:rtl w:val="0"/>
              </w:rPr>
              <w:t xml:space="preserve">Sasior</w:t>
            </w:r>
          </w:p>
        </w:tc>
        <w:tc>
          <w:tcPr>
            <w:vAlign w:val="center"/>
          </w:tcPr>
          <w:p w:rsidR="00000000" w:rsidDel="00000000" w:rsidP="00000000" w:rsidRDefault="00000000" w:rsidRPr="00000000" w14:paraId="0000013C">
            <w:pPr>
              <w:spacing w:before="240" w:lineRule="auto"/>
              <w:rPr>
                <w:b w:val="1"/>
                <w:bCs w:val="1"/>
              </w:rPr>
            </w:pPr>
            <w:r w:rsidDel="00000000" w:rsidR="00000000" w:rsidRPr="00000000">
              <w:rPr>
                <w:b w:val="1"/>
                <w:bCs w:val="1"/>
                <w:rtl w:val="0"/>
              </w:rPr>
              <w:t xml:space="preserve">Cilësor</w:t>
            </w:r>
          </w:p>
        </w:tc>
      </w:tr>
      <w:tr>
        <w:trPr>
          <w:cantSplit w:val="0"/>
          <w:tblHeader w:val="0"/>
        </w:trPr>
        <w:tc>
          <w:tcPr>
            <w:vAlign w:val="center"/>
          </w:tcPr>
          <w:p w:rsidR="00000000" w:rsidDel="00000000" w:rsidP="00000000" w:rsidRDefault="00000000" w:rsidRPr="00000000" w14:paraId="0000013D">
            <w:pPr>
              <w:spacing w:before="240" w:lineRule="auto"/>
              <w:rPr>
                <w:b w:val="1"/>
                <w:bCs w:val="1"/>
              </w:rPr>
            </w:pPr>
            <w:r w:rsidDel="00000000" w:rsidR="00000000" w:rsidRPr="00000000">
              <w:rPr>
                <w:b w:val="1"/>
                <w:bCs w:val="1"/>
                <w:rtl w:val="0"/>
              </w:rPr>
              <w:t xml:space="preserve">Ofruesit e shërbimeve të kripto-aseteve (CASP) – subjekte të reja/potenciale</w:t>
            </w:r>
          </w:p>
        </w:tc>
        <w:tc>
          <w:tcPr>
            <w:vAlign w:val="center"/>
          </w:tcPr>
          <w:p w:rsidR="00000000" w:rsidDel="00000000" w:rsidP="00000000" w:rsidRDefault="00000000" w:rsidRPr="00000000" w14:paraId="0000013E">
            <w:pPr>
              <w:spacing w:before="240" w:lineRule="auto"/>
              <w:rPr/>
            </w:pPr>
            <w:r w:rsidDel="00000000" w:rsidR="00000000" w:rsidRPr="00000000">
              <w:rPr>
                <w:rtl w:val="0"/>
              </w:rPr>
              <w:t xml:space="preserve">Drejtpërdrejt</w:t>
            </w:r>
          </w:p>
        </w:tc>
        <w:tc>
          <w:tcPr>
            <w:vAlign w:val="center"/>
          </w:tcPr>
          <w:p w:rsidR="00000000" w:rsidDel="00000000" w:rsidP="00000000" w:rsidRDefault="00000000" w:rsidRPr="00000000" w14:paraId="0000013F">
            <w:pPr>
              <w:spacing w:before="240" w:lineRule="auto"/>
              <w:rPr/>
            </w:pPr>
            <w:r w:rsidDel="00000000" w:rsidR="00000000" w:rsidRPr="00000000">
              <w:rPr>
                <w:rtl w:val="0"/>
              </w:rPr>
              <w:t xml:space="preserve">Kërkesa për kapital minimal rregullator sipas MiCA: Klasa 1: EUR 50,000; Klasa 2: EUR 125,000; Klasa 3: EUR 150,000; Tarifa aplikimi dhe mbikëqyrjeje </w:t>
            </w:r>
          </w:p>
        </w:tc>
        <w:tc>
          <w:tcPr>
            <w:vAlign w:val="center"/>
          </w:tcPr>
          <w:p w:rsidR="00000000" w:rsidDel="00000000" w:rsidP="00000000" w:rsidRDefault="00000000" w:rsidRPr="00000000" w14:paraId="00000140">
            <w:pPr>
              <w:spacing w:before="240" w:lineRule="auto"/>
              <w:rPr/>
            </w:pPr>
            <w:r w:rsidDel="00000000" w:rsidR="00000000" w:rsidRPr="00000000">
              <w:rPr>
                <w:rtl w:val="0"/>
              </w:rPr>
              <w:t xml:space="preserve">Vendoset regjim i detyrueshëm autorizimi dhe standarde operacionale (qeverisje korporative, kontroll i brendshëm, menaxhim rreziku, siguri kibernetike/operacionale, raportim). Rritet formalizimi dhe siguria juridike, por rritet edhe barra e pajtueshmërisë për hyrje/operim.</w:t>
            </w:r>
          </w:p>
        </w:tc>
      </w:tr>
      <w:tr>
        <w:trPr>
          <w:cantSplit w:val="0"/>
          <w:tblHeader w:val="0"/>
        </w:trPr>
        <w:tc>
          <w:tcPr>
            <w:vAlign w:val="center"/>
          </w:tcPr>
          <w:p w:rsidR="00000000" w:rsidDel="00000000" w:rsidP="00000000" w:rsidRDefault="00000000" w:rsidRPr="00000000" w14:paraId="00000141">
            <w:pPr>
              <w:spacing w:before="240" w:lineRule="auto"/>
              <w:rPr>
                <w:b w:val="1"/>
                <w:bCs w:val="1"/>
              </w:rPr>
            </w:pPr>
            <w:r w:rsidDel="00000000" w:rsidR="00000000" w:rsidRPr="00000000">
              <w:rPr>
                <w:b w:val="1"/>
                <w:bCs w:val="1"/>
                <w:rtl w:val="0"/>
              </w:rPr>
              <w:t xml:space="preserve">CASP – sipas llojit të shërbimit (klasifikimi)</w:t>
            </w:r>
          </w:p>
        </w:tc>
        <w:tc>
          <w:tcPr>
            <w:vAlign w:val="center"/>
          </w:tcPr>
          <w:p w:rsidR="00000000" w:rsidDel="00000000" w:rsidP="00000000" w:rsidRDefault="00000000" w:rsidRPr="00000000" w14:paraId="00000142">
            <w:pPr>
              <w:spacing w:before="240" w:lineRule="auto"/>
              <w:rPr/>
            </w:pPr>
            <w:r w:rsidDel="00000000" w:rsidR="00000000" w:rsidRPr="00000000">
              <w:rPr>
                <w:rtl w:val="0"/>
              </w:rPr>
              <w:t xml:space="preserve">Drejtpërdrejt</w:t>
            </w:r>
          </w:p>
        </w:tc>
        <w:tc>
          <w:tcPr>
            <w:vAlign w:val="center"/>
          </w:tcPr>
          <w:p w:rsidR="00000000" w:rsidDel="00000000" w:rsidP="00000000" w:rsidRDefault="00000000" w:rsidRPr="00000000" w14:paraId="00000143">
            <w:pPr>
              <w:spacing w:before="240" w:lineRule="auto"/>
              <w:rPr/>
            </w:pPr>
            <w:r w:rsidDel="00000000" w:rsidR="00000000" w:rsidRPr="00000000">
              <w:rPr>
                <w:rtl w:val="0"/>
              </w:rPr>
              <w:t xml:space="preserve">Klasa 1 (shërbime si: ekzekutim urdhrash, listim, transferta, marrje/transmetim urdhrash, këshillim, administrim portofoli) – EUR 50k; Klasa 2 (kujdestari/administrim, këmbim kundrejt fondeve, këmbim kripto-kundrejt-kripto) – EUR 125k; Klasa 3 (operimi i platformës së tregtimit) – EUR 150k.</w:t>
            </w:r>
          </w:p>
        </w:tc>
        <w:tc>
          <w:tcPr>
            <w:vAlign w:val="center"/>
          </w:tcPr>
          <w:p w:rsidR="00000000" w:rsidDel="00000000" w:rsidP="00000000" w:rsidRDefault="00000000" w:rsidRPr="00000000" w14:paraId="00000144">
            <w:pPr>
              <w:spacing w:before="240" w:lineRule="auto"/>
              <w:rPr/>
            </w:pPr>
            <w:r w:rsidDel="00000000" w:rsidR="00000000" w:rsidRPr="00000000">
              <w:rPr>
                <w:rtl w:val="0"/>
              </w:rPr>
              <w:t xml:space="preserve">Proporcionalitet: barrë prudenciale më e lartë aty ku rreziku operacional/kujdestaria është më i madh; kornizë më e qartë për ndarje shërbimesh dhe kontroll risku.</w:t>
            </w:r>
          </w:p>
        </w:tc>
      </w:tr>
      <w:tr>
        <w:trPr>
          <w:cantSplit w:val="0"/>
          <w:tblHeader w:val="0"/>
        </w:trPr>
        <w:tc>
          <w:tcPr>
            <w:vAlign w:val="center"/>
          </w:tcPr>
          <w:p w:rsidR="00000000" w:rsidDel="00000000" w:rsidP="00000000" w:rsidRDefault="00000000" w:rsidRPr="00000000" w14:paraId="00000145">
            <w:pPr>
              <w:spacing w:before="240" w:lineRule="auto"/>
              <w:rPr>
                <w:b w:val="1"/>
                <w:bCs w:val="1"/>
              </w:rPr>
            </w:pPr>
            <w:r w:rsidDel="00000000" w:rsidR="00000000" w:rsidRPr="00000000">
              <w:rPr>
                <w:b w:val="1"/>
                <w:bCs w:val="1"/>
                <w:rtl w:val="0"/>
              </w:rPr>
              <w:t xml:space="preserve">Emetuesit e kripto-aseteve (përfshirë tokenat e asetit dhe tokeni i parasë elektronike)</w:t>
            </w:r>
          </w:p>
        </w:tc>
        <w:tc>
          <w:tcPr>
            <w:vAlign w:val="center"/>
          </w:tcPr>
          <w:p w:rsidR="00000000" w:rsidDel="00000000" w:rsidP="00000000" w:rsidRDefault="00000000" w:rsidRPr="00000000" w14:paraId="00000146">
            <w:pPr>
              <w:spacing w:before="240" w:lineRule="auto"/>
              <w:rPr/>
            </w:pPr>
            <w:r w:rsidDel="00000000" w:rsidR="00000000" w:rsidRPr="00000000">
              <w:rPr>
                <w:rtl w:val="0"/>
              </w:rPr>
              <w:t xml:space="preserve">Drejtpërdrejt</w:t>
            </w:r>
          </w:p>
        </w:tc>
        <w:tc>
          <w:tcPr>
            <w:vAlign w:val="center"/>
          </w:tcPr>
          <w:p w:rsidR="00000000" w:rsidDel="00000000" w:rsidP="00000000" w:rsidRDefault="00000000" w:rsidRPr="00000000" w14:paraId="00000147">
            <w:pPr>
              <w:spacing w:before="240" w:lineRule="auto"/>
              <w:rPr/>
            </w:pPr>
            <w:r w:rsidDel="00000000" w:rsidR="00000000" w:rsidRPr="00000000">
              <w:rPr>
                <w:rtl w:val="0"/>
              </w:rPr>
              <w:t xml:space="preserve">Ndikimi sasior lidhet me detyrime dokumentimi/raportimi dhe standarde prudenciale sipas kategorisë.</w:t>
            </w:r>
          </w:p>
        </w:tc>
        <w:tc>
          <w:tcPr>
            <w:vAlign w:val="center"/>
          </w:tcPr>
          <w:p w:rsidR="00000000" w:rsidDel="00000000" w:rsidP="00000000" w:rsidRDefault="00000000" w:rsidRPr="00000000" w14:paraId="00000148">
            <w:pPr>
              <w:spacing w:before="240" w:lineRule="auto"/>
              <w:rPr/>
            </w:pPr>
            <w:r w:rsidDel="00000000" w:rsidR="00000000" w:rsidRPr="00000000">
              <w:rPr>
                <w:rtl w:val="0"/>
              </w:rPr>
              <w:t xml:space="preserve">Rregulla të qarta për ofertën ndaj publikut dhe kërkesa të standardizuara transparence para-kontraktuale (p.sh. dokument informues/relacion prezantues), që synojnë të ulin rrezikun e ofertave mashtruese dhe keq-informimit.</w:t>
            </w:r>
          </w:p>
        </w:tc>
      </w:tr>
      <w:tr>
        <w:trPr>
          <w:cantSplit w:val="0"/>
          <w:tblHeader w:val="0"/>
        </w:trPr>
        <w:tc>
          <w:tcPr>
            <w:vAlign w:val="center"/>
          </w:tcPr>
          <w:p w:rsidR="00000000" w:rsidDel="00000000" w:rsidP="00000000" w:rsidRDefault="00000000" w:rsidRPr="00000000" w14:paraId="00000149">
            <w:pPr>
              <w:spacing w:before="240" w:lineRule="auto"/>
              <w:rPr>
                <w:b w:val="1"/>
                <w:bCs w:val="1"/>
              </w:rPr>
            </w:pPr>
            <w:r w:rsidDel="00000000" w:rsidR="00000000" w:rsidRPr="00000000">
              <w:rPr>
                <w:b w:val="1"/>
                <w:bCs w:val="1"/>
                <w:rtl w:val="0"/>
              </w:rPr>
              <w:t xml:space="preserve">Bankat e nivelit të dytë dhe institucionet e parasë elektronike (që zgjerojnë shërbime)</w:t>
            </w:r>
          </w:p>
        </w:tc>
        <w:tc>
          <w:tcPr>
            <w:vAlign w:val="center"/>
          </w:tcPr>
          <w:p w:rsidR="00000000" w:rsidDel="00000000" w:rsidP="00000000" w:rsidRDefault="00000000" w:rsidRPr="00000000" w14:paraId="0000014A">
            <w:pPr>
              <w:spacing w:before="240" w:lineRule="auto"/>
              <w:rPr/>
            </w:pPr>
            <w:r w:rsidDel="00000000" w:rsidR="00000000" w:rsidRPr="00000000">
              <w:rPr>
                <w:rtl w:val="0"/>
              </w:rPr>
              <w:t xml:space="preserve">Drejtpërdrejt</w:t>
            </w:r>
          </w:p>
        </w:tc>
        <w:tc>
          <w:tcPr>
            <w:vAlign w:val="center"/>
          </w:tcPr>
          <w:p w:rsidR="00000000" w:rsidDel="00000000" w:rsidP="00000000" w:rsidRDefault="00000000" w:rsidRPr="00000000" w14:paraId="0000014B">
            <w:pPr>
              <w:spacing w:before="240" w:lineRule="auto"/>
              <w:rPr/>
            </w:pPr>
            <w:r w:rsidDel="00000000" w:rsidR="00000000" w:rsidRPr="00000000">
              <w:rPr>
                <w:rtl w:val="0"/>
              </w:rPr>
              <w:t xml:space="preserve">Kosto përshtatjeje (implementim politikash/IT/raportim), por pa të dhëna të sasiore të detajuara në këtë fazë.</w:t>
            </w:r>
          </w:p>
        </w:tc>
        <w:tc>
          <w:tcPr>
            <w:vAlign w:val="center"/>
          </w:tcPr>
          <w:p w:rsidR="00000000" w:rsidDel="00000000" w:rsidP="00000000" w:rsidRDefault="00000000" w:rsidRPr="00000000" w14:paraId="0000014C">
            <w:pPr>
              <w:spacing w:before="240" w:lineRule="auto"/>
              <w:rPr/>
            </w:pPr>
            <w:r w:rsidDel="00000000" w:rsidR="00000000" w:rsidRPr="00000000">
              <w:rPr>
                <w:rtl w:val="0"/>
              </w:rPr>
              <w:t xml:space="preserve">Përshtatje e politikave/procedurave dhe modeleve operacionale për shërbime si emetimi, kujdestaria, transfertat, këmbimi; përforcim i pajtueshmërisë dhe mbrojtjes së klientit.</w:t>
            </w:r>
          </w:p>
        </w:tc>
      </w:tr>
      <w:tr>
        <w:trPr>
          <w:cantSplit w:val="0"/>
          <w:tblHeader w:val="0"/>
        </w:trPr>
        <w:tc>
          <w:tcPr>
            <w:vAlign w:val="center"/>
          </w:tcPr>
          <w:p w:rsidR="00000000" w:rsidDel="00000000" w:rsidP="00000000" w:rsidRDefault="00000000" w:rsidRPr="00000000" w14:paraId="0000014D">
            <w:pPr>
              <w:spacing w:before="240" w:lineRule="auto"/>
              <w:rPr>
                <w:b w:val="1"/>
                <w:bCs w:val="1"/>
              </w:rPr>
            </w:pPr>
            <w:r w:rsidDel="00000000" w:rsidR="00000000" w:rsidRPr="00000000">
              <w:rPr>
                <w:b w:val="1"/>
                <w:bCs w:val="1"/>
                <w:rtl w:val="0"/>
              </w:rPr>
              <w:t xml:space="preserve">Shoqëritë komisionere (që hyjnë/zgjerohen në shërbime kripto)</w:t>
            </w:r>
          </w:p>
        </w:tc>
        <w:tc>
          <w:tcPr>
            <w:vAlign w:val="center"/>
          </w:tcPr>
          <w:p w:rsidR="00000000" w:rsidDel="00000000" w:rsidP="00000000" w:rsidRDefault="00000000" w:rsidRPr="00000000" w14:paraId="0000014E">
            <w:pPr>
              <w:spacing w:before="240" w:lineRule="auto"/>
              <w:rPr/>
            </w:pPr>
            <w:r w:rsidDel="00000000" w:rsidR="00000000" w:rsidRPr="00000000">
              <w:rPr>
                <w:rtl w:val="0"/>
              </w:rPr>
              <w:t xml:space="preserve">Drejtpërdrejt</w:t>
            </w:r>
          </w:p>
        </w:tc>
        <w:tc>
          <w:tcPr>
            <w:vAlign w:val="center"/>
          </w:tcPr>
          <w:p w:rsidR="00000000" w:rsidDel="00000000" w:rsidP="00000000" w:rsidRDefault="00000000" w:rsidRPr="00000000" w14:paraId="0000014F">
            <w:pPr>
              <w:spacing w:before="240" w:lineRule="auto"/>
              <w:rPr/>
            </w:pPr>
            <w:r w:rsidDel="00000000" w:rsidR="00000000" w:rsidRPr="00000000">
              <w:rPr>
                <w:rtl w:val="0"/>
              </w:rPr>
              <w:t xml:space="preserve">Pa të dhëna sasiorë për numrin; kosto shtesë procedurash dhe kontrollesh (pa monetarizim në këtë fazë).</w:t>
            </w:r>
          </w:p>
        </w:tc>
        <w:tc>
          <w:tcPr>
            <w:vAlign w:val="center"/>
          </w:tcPr>
          <w:p w:rsidR="00000000" w:rsidDel="00000000" w:rsidP="00000000" w:rsidRDefault="00000000" w:rsidRPr="00000000" w14:paraId="00000150">
            <w:pPr>
              <w:spacing w:before="240" w:lineRule="auto"/>
              <w:rPr/>
            </w:pPr>
            <w:r w:rsidDel="00000000" w:rsidR="00000000" w:rsidRPr="00000000">
              <w:rPr>
                <w:rtl w:val="0"/>
              </w:rPr>
              <w:t xml:space="preserve">Kërkesa shtesë për procedura listimi për tregtim, menaxhim konfliktesh interesi dhe transparencë ndaj klientit; rritje e disiplinës së brendshme dhe standardeve të sjelljes.</w:t>
            </w:r>
          </w:p>
        </w:tc>
      </w:tr>
      <w:tr>
        <w:trPr>
          <w:cantSplit w:val="0"/>
          <w:tblHeader w:val="0"/>
        </w:trPr>
        <w:tc>
          <w:tcPr>
            <w:vAlign w:val="center"/>
          </w:tcPr>
          <w:p w:rsidR="00000000" w:rsidDel="00000000" w:rsidP="00000000" w:rsidRDefault="00000000" w:rsidRPr="00000000" w14:paraId="00000151">
            <w:pPr>
              <w:spacing w:before="240" w:lineRule="auto"/>
              <w:rPr>
                <w:b w:val="1"/>
                <w:bCs w:val="1"/>
              </w:rPr>
            </w:pPr>
            <w:r w:rsidDel="00000000" w:rsidR="00000000" w:rsidRPr="00000000">
              <w:rPr>
                <w:b w:val="1"/>
                <w:bCs w:val="1"/>
                <w:rtl w:val="0"/>
              </w:rPr>
              <w:t xml:space="preserve">Klientët joprofesionistë dhe klientët institucionalë</w:t>
            </w:r>
          </w:p>
        </w:tc>
        <w:tc>
          <w:tcPr>
            <w:vAlign w:val="center"/>
          </w:tcPr>
          <w:p w:rsidR="00000000" w:rsidDel="00000000" w:rsidP="00000000" w:rsidRDefault="00000000" w:rsidRPr="00000000" w14:paraId="00000152">
            <w:pPr>
              <w:spacing w:before="240" w:lineRule="auto"/>
              <w:rPr/>
            </w:pPr>
            <w:r w:rsidDel="00000000" w:rsidR="00000000" w:rsidRPr="00000000">
              <w:rPr>
                <w:rtl w:val="0"/>
              </w:rPr>
              <w:t xml:space="preserve">Drejtpërdrejt</w:t>
            </w:r>
          </w:p>
        </w:tc>
        <w:tc>
          <w:tcPr>
            <w:vAlign w:val="center"/>
          </w:tcPr>
          <w:p w:rsidR="00000000" w:rsidDel="00000000" w:rsidP="00000000" w:rsidRDefault="00000000" w:rsidRPr="00000000" w14:paraId="00000153">
            <w:pPr>
              <w:spacing w:before="240" w:lineRule="auto"/>
              <w:rPr/>
            </w:pPr>
            <w:r w:rsidDel="00000000" w:rsidR="00000000" w:rsidRPr="00000000">
              <w:rPr>
                <w:rtl w:val="0"/>
              </w:rPr>
              <w:t xml:space="preserve">Përfitimet monetare si “humbje të shmangura” nuk mund të maten pa të dhëna mbi dëme/incidente; mundësi rritjeje tarifash shërbimi ose çmimesh si pasojë e kostove të pajtueshmërisë.</w:t>
            </w:r>
          </w:p>
        </w:tc>
        <w:tc>
          <w:tcPr>
            <w:vAlign w:val="center"/>
          </w:tcPr>
          <w:p w:rsidR="00000000" w:rsidDel="00000000" w:rsidP="00000000" w:rsidRDefault="00000000" w:rsidRPr="00000000" w14:paraId="00000154">
            <w:pPr>
              <w:spacing w:before="240" w:lineRule="auto"/>
              <w:rPr/>
            </w:pPr>
            <w:r w:rsidDel="00000000" w:rsidR="00000000" w:rsidRPr="00000000">
              <w:rPr>
                <w:rtl w:val="0"/>
              </w:rPr>
              <w:t xml:space="preserve">Ulje e ekspozimit ndaj ofertave mashtruese dhe praktikave abuzive përmes standardizimit të informacionit parakontraktual, rregullave të sjelljes, ndalimeve të abuzimit në treg (tregtim i brendshëm/manipulim). Mundësi vonesash në pranimin e klientëve për shkak të kontrolleve të pajtueshmërisë.</w:t>
            </w:r>
          </w:p>
        </w:tc>
      </w:tr>
      <w:tr>
        <w:trPr>
          <w:cantSplit w:val="0"/>
          <w:tblHeader w:val="0"/>
        </w:trPr>
        <w:tc>
          <w:tcPr>
            <w:vAlign w:val="center"/>
          </w:tcPr>
          <w:p w:rsidR="00000000" w:rsidDel="00000000" w:rsidP="00000000" w:rsidRDefault="00000000" w:rsidRPr="00000000" w14:paraId="00000155">
            <w:pPr>
              <w:spacing w:before="240" w:lineRule="auto"/>
              <w:rPr>
                <w:b w:val="1"/>
                <w:bCs w:val="1"/>
              </w:rPr>
            </w:pPr>
            <w:r w:rsidDel="00000000" w:rsidR="00000000" w:rsidRPr="00000000">
              <w:rPr>
                <w:b w:val="1"/>
                <w:bCs w:val="1"/>
                <w:rtl w:val="0"/>
              </w:rPr>
              <w:t xml:space="preserve">Autoritetet përgjegjëse (AMF dhe Banka e Shqipërisë)</w:t>
            </w:r>
          </w:p>
        </w:tc>
        <w:tc>
          <w:tcPr>
            <w:vAlign w:val="center"/>
          </w:tcPr>
          <w:p w:rsidR="00000000" w:rsidDel="00000000" w:rsidP="00000000" w:rsidRDefault="00000000" w:rsidRPr="00000000" w14:paraId="00000156">
            <w:pPr>
              <w:spacing w:before="240" w:lineRule="auto"/>
              <w:rPr/>
            </w:pPr>
            <w:r w:rsidDel="00000000" w:rsidR="00000000" w:rsidRPr="00000000">
              <w:rPr>
                <w:rtl w:val="0"/>
              </w:rPr>
              <w:t xml:space="preserve">Drejtpërdrejt</w:t>
            </w:r>
          </w:p>
        </w:tc>
        <w:tc>
          <w:tcPr>
            <w:vAlign w:val="center"/>
          </w:tcPr>
          <w:p w:rsidR="00000000" w:rsidDel="00000000" w:rsidP="00000000" w:rsidRDefault="00000000" w:rsidRPr="00000000" w14:paraId="00000157">
            <w:pPr>
              <w:spacing w:before="240" w:lineRule="auto"/>
              <w:rPr/>
            </w:pPr>
            <w:r w:rsidDel="00000000" w:rsidR="00000000" w:rsidRPr="00000000">
              <w:rPr>
                <w:rtl w:val="0"/>
              </w:rPr>
              <w:t xml:space="preserve">0 ndikim i pritshëm mbi buxhetin e shtetit (vetëfinancim); nevojë për burime/staf/IT (pa shifra të përcaktuara në këtë fazë).</w:t>
            </w:r>
          </w:p>
        </w:tc>
        <w:tc>
          <w:tcPr>
            <w:vAlign w:val="center"/>
          </w:tcPr>
          <w:p w:rsidR="00000000" w:rsidDel="00000000" w:rsidP="00000000" w:rsidRDefault="00000000" w:rsidRPr="00000000" w14:paraId="00000158">
            <w:pPr>
              <w:spacing w:before="240" w:lineRule="auto"/>
              <w:rPr/>
            </w:pPr>
            <w:r w:rsidDel="00000000" w:rsidR="00000000" w:rsidRPr="00000000">
              <w:rPr>
                <w:rtl w:val="0"/>
              </w:rPr>
              <w:t xml:space="preserve">Rritje e kërkesës për kapacitete mbikëqyrëse (autorizim, inspektim, monitorim, akte nënligjore/udhëzime), por me bazë më të qartë e të harmonizuar se opsionet “me amendime”.</w:t>
            </w:r>
          </w:p>
        </w:tc>
      </w:tr>
      <w:tr>
        <w:trPr>
          <w:cantSplit w:val="0"/>
          <w:tblHeader w:val="0"/>
        </w:trPr>
        <w:tc>
          <w:tcPr>
            <w:vAlign w:val="center"/>
          </w:tcPr>
          <w:p w:rsidR="00000000" w:rsidDel="00000000" w:rsidP="00000000" w:rsidRDefault="00000000" w:rsidRPr="00000000" w14:paraId="00000159">
            <w:pPr>
              <w:spacing w:before="240" w:lineRule="auto"/>
              <w:rPr>
                <w:b w:val="1"/>
                <w:bCs w:val="1"/>
              </w:rPr>
            </w:pPr>
            <w:r w:rsidDel="00000000" w:rsidR="00000000" w:rsidRPr="00000000">
              <w:rPr>
                <w:b w:val="1"/>
                <w:bCs w:val="1"/>
                <w:rtl w:val="0"/>
              </w:rPr>
              <w:t xml:space="preserve">Ndërmarrjet e vogla dhe të mesme (NVM) / start-up (operatorë potencialë)</w:t>
            </w:r>
          </w:p>
        </w:tc>
        <w:tc>
          <w:tcPr>
            <w:vAlign w:val="center"/>
          </w:tcPr>
          <w:p w:rsidR="00000000" w:rsidDel="00000000" w:rsidP="00000000" w:rsidRDefault="00000000" w:rsidRPr="00000000" w14:paraId="0000015A">
            <w:pPr>
              <w:spacing w:before="240" w:lineRule="auto"/>
              <w:rPr/>
            </w:pPr>
            <w:r w:rsidDel="00000000" w:rsidR="00000000" w:rsidRPr="00000000">
              <w:rPr>
                <w:rtl w:val="0"/>
              </w:rPr>
              <w:t xml:space="preserve">Tërthortë</w:t>
            </w:r>
          </w:p>
        </w:tc>
        <w:tc>
          <w:tcPr>
            <w:vAlign w:val="center"/>
          </w:tcPr>
          <w:p w:rsidR="00000000" w:rsidDel="00000000" w:rsidP="00000000" w:rsidRDefault="00000000" w:rsidRPr="00000000" w14:paraId="0000015B">
            <w:pPr>
              <w:spacing w:before="240" w:lineRule="auto"/>
              <w:rPr/>
            </w:pPr>
            <w:r w:rsidDel="00000000" w:rsidR="00000000" w:rsidRPr="00000000">
              <w:rPr>
                <w:rtl w:val="0"/>
              </w:rPr>
              <w:t xml:space="preserve">Nuk ka të dhëna për numër NVM-sh aktive; ndikimi varet nga kosto fikse e pajtueshmërisë dhe nga kërkesat prudenciale/organizative.</w:t>
            </w:r>
          </w:p>
        </w:tc>
        <w:tc>
          <w:tcPr>
            <w:vAlign w:val="center"/>
          </w:tcPr>
          <w:p w:rsidR="00000000" w:rsidDel="00000000" w:rsidP="00000000" w:rsidRDefault="00000000" w:rsidRPr="00000000" w14:paraId="0000015C">
            <w:pPr>
              <w:spacing w:before="240" w:lineRule="auto"/>
              <w:rPr/>
            </w:pPr>
            <w:r w:rsidDel="00000000" w:rsidR="00000000" w:rsidRPr="00000000">
              <w:rPr>
                <w:rtl w:val="0"/>
              </w:rPr>
              <w:t xml:space="preserve">Efekt “dy-anësh”: rrit besimin dhe qartësinë rregullatore (ndihmon formalizimin), por rrit kosto fikse (barrierë hyrjeje) për operatorë shumë të vegjël.</w:t>
            </w:r>
          </w:p>
        </w:tc>
      </w:tr>
      <w:tr>
        <w:trPr>
          <w:cantSplit w:val="0"/>
          <w:tblHeader w:val="0"/>
        </w:trPr>
        <w:tc>
          <w:tcPr>
            <w:vAlign w:val="center"/>
          </w:tcPr>
          <w:p w:rsidR="00000000" w:rsidDel="00000000" w:rsidP="00000000" w:rsidRDefault="00000000" w:rsidRPr="00000000" w14:paraId="0000015D">
            <w:pPr>
              <w:spacing w:before="240" w:lineRule="auto"/>
              <w:rPr>
                <w:b w:val="1"/>
                <w:bCs w:val="1"/>
              </w:rPr>
            </w:pPr>
            <w:r w:rsidDel="00000000" w:rsidR="00000000" w:rsidRPr="00000000">
              <w:rPr>
                <w:b w:val="1"/>
                <w:bCs w:val="1"/>
                <w:rtl w:val="0"/>
              </w:rPr>
              <w:t xml:space="preserve">Tregu në tërësi (integritet, besim, konkurrencë)</w:t>
            </w:r>
          </w:p>
        </w:tc>
        <w:tc>
          <w:tcPr>
            <w:vAlign w:val="center"/>
          </w:tcPr>
          <w:p w:rsidR="00000000" w:rsidDel="00000000" w:rsidP="00000000" w:rsidRDefault="00000000" w:rsidRPr="00000000" w14:paraId="0000015E">
            <w:pPr>
              <w:spacing w:before="240" w:lineRule="auto"/>
              <w:rPr/>
            </w:pPr>
            <w:r w:rsidDel="00000000" w:rsidR="00000000" w:rsidRPr="00000000">
              <w:rPr>
                <w:rtl w:val="0"/>
              </w:rPr>
              <w:t xml:space="preserve">Tërthortë</w:t>
            </w:r>
          </w:p>
        </w:tc>
        <w:tc>
          <w:tcPr>
            <w:vAlign w:val="center"/>
          </w:tcPr>
          <w:p w:rsidR="00000000" w:rsidDel="00000000" w:rsidP="00000000" w:rsidRDefault="00000000" w:rsidRPr="00000000" w14:paraId="0000015F">
            <w:pPr>
              <w:spacing w:before="240" w:lineRule="auto"/>
              <w:rPr/>
            </w:pPr>
            <w:r w:rsidDel="00000000" w:rsidR="00000000" w:rsidRPr="00000000">
              <w:rPr>
                <w:rtl w:val="0"/>
              </w:rPr>
              <w:t xml:space="preserve">Pa të dhëna sasiorë për tregun vendas; efektet maten më shumë përmes indikatorëve të mbikëqyrjes dhe formalizimit (numër autorizimesh, masa zbatimi, etj.).</w:t>
            </w:r>
          </w:p>
        </w:tc>
        <w:tc>
          <w:tcPr>
            <w:vAlign w:val="center"/>
          </w:tcPr>
          <w:p w:rsidR="00000000" w:rsidDel="00000000" w:rsidP="00000000" w:rsidRDefault="00000000" w:rsidRPr="00000000" w14:paraId="00000160">
            <w:pPr>
              <w:spacing w:before="240" w:lineRule="auto"/>
              <w:rPr/>
            </w:pPr>
            <w:r w:rsidDel="00000000" w:rsidR="00000000" w:rsidRPr="00000000">
              <w:rPr>
                <w:rtl w:val="0"/>
              </w:rPr>
              <w:t xml:space="preserve">Regjim i plotë dhe i harmonizuar ul “zonat gri”, redukton arbitrazhin rregullator dhe fragmentimin; rrit parashikueshmërinë dhe besimin; forcon integritetin e tregut.</w:t>
            </w:r>
          </w:p>
        </w:tc>
      </w:tr>
      <w:tr>
        <w:trPr>
          <w:cantSplit w:val="0"/>
          <w:tblHeader w:val="0"/>
        </w:trPr>
        <w:tc>
          <w:tcPr>
            <w:vAlign w:val="center"/>
          </w:tcPr>
          <w:p w:rsidR="00000000" w:rsidDel="00000000" w:rsidP="00000000" w:rsidRDefault="00000000" w:rsidRPr="00000000" w14:paraId="00000161">
            <w:pPr>
              <w:spacing w:before="240" w:lineRule="auto"/>
              <w:rPr>
                <w:b w:val="1"/>
                <w:bCs w:val="1"/>
              </w:rPr>
            </w:pPr>
            <w:r w:rsidDel="00000000" w:rsidR="00000000" w:rsidRPr="00000000">
              <w:rPr>
                <w:rtl w:val="0"/>
              </w:rPr>
            </w:r>
          </w:p>
        </w:tc>
        <w:tc>
          <w:tcPr>
            <w:vAlign w:val="center"/>
          </w:tcPr>
          <w:p w:rsidR="00000000" w:rsidDel="00000000" w:rsidP="00000000" w:rsidRDefault="00000000" w:rsidRPr="00000000" w14:paraId="00000162">
            <w:pPr>
              <w:spacing w:before="240" w:lineRule="auto"/>
              <w:rPr/>
            </w:pPr>
            <w:r w:rsidDel="00000000" w:rsidR="00000000" w:rsidRPr="00000000">
              <w:rPr>
                <w:rtl w:val="0"/>
              </w:rPr>
            </w:r>
          </w:p>
        </w:tc>
        <w:tc>
          <w:tcPr>
            <w:vAlign w:val="center"/>
          </w:tcPr>
          <w:p w:rsidR="00000000" w:rsidDel="00000000" w:rsidP="00000000" w:rsidRDefault="00000000" w:rsidRPr="00000000" w14:paraId="00000163">
            <w:pPr>
              <w:spacing w:before="240" w:lineRule="auto"/>
              <w:rPr/>
            </w:pPr>
            <w:r w:rsidDel="00000000" w:rsidR="00000000" w:rsidRPr="00000000">
              <w:rPr>
                <w:rtl w:val="0"/>
              </w:rPr>
            </w:r>
          </w:p>
        </w:tc>
        <w:tc>
          <w:tcPr>
            <w:vAlign w:val="center"/>
          </w:tcPr>
          <w:p w:rsidR="00000000" w:rsidDel="00000000" w:rsidP="00000000" w:rsidRDefault="00000000" w:rsidRPr="00000000" w14:paraId="00000164">
            <w:pPr>
              <w:spacing w:before="240" w:lineRule="auto"/>
              <w:rPr/>
            </w:pPr>
            <w:r w:rsidDel="00000000" w:rsidR="00000000" w:rsidRPr="00000000">
              <w:rPr>
                <w:rtl w:val="0"/>
              </w:rPr>
            </w:r>
          </w:p>
        </w:tc>
      </w:tr>
    </w:tbl>
    <w:p w:rsidR="00000000" w:rsidDel="00000000" w:rsidP="00000000" w:rsidRDefault="00000000" w:rsidRPr="00000000" w14:paraId="00000165">
      <w:pPr>
        <w:spacing w:before="240" w:lineRule="auto"/>
        <w:jc w:val="both"/>
        <w:rPr>
          <w:b w:val="1"/>
          <w:bCs w:val="1"/>
        </w:rPr>
      </w:pPr>
      <w:r w:rsidDel="00000000" w:rsidR="00000000" w:rsidRPr="00000000">
        <w:rPr>
          <w:rtl w:val="0"/>
        </w:rPr>
      </w:r>
    </w:p>
    <w:p w:rsidR="00000000" w:rsidDel="00000000" w:rsidP="00000000" w:rsidRDefault="00000000" w:rsidRPr="00000000" w14:paraId="00000166">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Arsyetimi i opsionit të preferuar</w:t>
      </w:r>
    </w:p>
    <w:p w:rsidR="00000000" w:rsidDel="00000000" w:rsidP="00000000" w:rsidRDefault="00000000" w:rsidRPr="00000000" w14:paraId="000001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Zgjidhni opsionin e preferuar, bazuar në analizë. </w:t>
      </w:r>
    </w:p>
    <w:p w:rsidR="00000000" w:rsidDel="00000000" w:rsidP="00000000" w:rsidRDefault="00000000" w:rsidRPr="00000000" w14:paraId="000001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arsyetimin tuaj.</w:t>
      </w:r>
    </w:p>
    <w:p w:rsidR="00000000" w:rsidDel="00000000" w:rsidP="00000000" w:rsidRDefault="00000000" w:rsidRPr="00000000" w14:paraId="00000169">
      <w:pPr>
        <w:spacing w:before="240" w:lineRule="auto"/>
        <w:rPr>
          <w:color w:val="808080"/>
        </w:rPr>
      </w:pPr>
      <w:bookmarkStart w:colFirst="0" w:colLast="0" w:name="_heading=h.phpmxe89jt9j" w:id="8"/>
      <w:bookmarkEnd w:id="8"/>
      <w:r w:rsidDel="00000000" w:rsidR="00000000" w:rsidRPr="00000000">
        <w:rPr>
          <w:rtl w:val="0"/>
        </w:rPr>
        <w:t xml:space="preserve">Opsioni 2 është përzgjedhur si opsioni i preferuar, pasi është i vetmi që siguron përafrim të plotë dhe të qëndrueshëm me acquis të BE-së në fushën e kripto-aseteve, përmes transpozimit të plotë të Rregullores (BE) 2023/1114 (MiCA). Kjo është veçanërisht e rëndësishme në kontekstin e detyrimeve që rrjedhin nga procesi i integrimit evropian dhe objektivit për harmonizim të plotë të kuadrit rregullator në fushën e shërbimeve financiare. Ndryshe nga opsionet alternative, miratimi i një ligji të ri të posaçëm shmang zgjidhjet “me arnime”, ul rrezikun e interpretimeve të paqarta dhe krijon siguri juridike për të gjithë aktorët e tregut: emetuesit, ofruesit e shërbimeve të kripto-aseteve, institucionet financiare që mund të zgjerojnë shërbimet, si dhe klientët. Në këtë mënyrë reduktohet edhe fragmentimi rregullator dhe mundësia e arbitrazhit rregullator, pasi vendosen rregulla të qarta dhe të harmonizuara për të gjithë shërbimet kryesore të këtij ekosistemi (oferta ndaj publikut, listimi, këmbimi, kujdestaria, transfertat, ndërmjetësimi i urdhrave, këshillimi, administrimi i portofolit etj.).  </w:t>
        <w:br w:type="textWrapping"/>
        <w:br w:type="textWrapping"/>
        <w:t xml:space="preserve">Përzgjedhja e opsionit 2 arsyetohet edhe nga fakti se ai vendos standardet më të larta të mbrojtjes së investitorëve dhe integritetit të tregut, duke adresuar rreziqet kryesore që lidhen me kripto-asetet: mungesë transparence, praktika mashtruese, abuzim me tregun, konflikte interesi dhe dobësi në kontrollin e riskut operacional dhe kibernetik. Kuadri i ri forcon transparencën përmes standardizimit të informacionit parakontraktual dhe kërkesave të qarta për sjelljen në treg, si dhe vendos mekanizma të posaçëm për parandalimin dhe ndëshkimin e abuzimeve (p.sh. manipulimi i tregut dhe tregtimi i brendshëm). Në të njëjtën kohë, ai krijon kushte më të qarta për përfshirjen e institucioneve të rregulluara (banka, institucione të parasë elektronike, shoqëri komisionere), duke e bërë ndërveprimin e tyre me tregjet e kripto-aseteve më të parashikueshëm dhe më të menaxhueshëm nga këndvështrimi i rrezikut.  </w:t>
        <w:br w:type="textWrapping"/>
        <w:br w:type="textWrapping"/>
        <w:t xml:space="preserve">Një arsye tjetër thelbësore është se opsioni 2 mbështet ndërtimin e kapaciteteve mbikëqyrëse dhe përgatit institucionet shqiptare për standardet që do të kërkohen në një mjedis të integruar me tregjet financiare evropiane. Zbatimi i MiCA-s kërkon qartësi institucionale, procese autorizimi dhe mbikëqyrjeje, rregulla raportimi dhe mekanizma kontrolli, duke e orientuar mbikëqyrjen drejt një modeli më modern, të bazuar në rrezik dhe në monitorim të vazhdueshëm të veprimtarive. Kjo rrit efektivitetin e mbikëqyrjes jo vetëm për kripto-asetet, por edhe për disiplinën e përgjithshme rregullatore në sektorin financiar, sidomos në zonat që lidhen me riskun operacional, sigurinë kibernetike dhe qeverisjen.  </w:t>
        <w:br w:type="textWrapping"/>
        <w:br w:type="textWrapping"/>
        <w:t xml:space="preserve">Nga ana e kostove, opsioni 2 kërkon një angazhim të qartë për ngritjen e kapaciteteve të autoriteteve përgjegjëse, në veçanti përmes burimeve njerëzore të specializuara, trajnimeve, zhvillimit ose përshtatjes së sistemeve IT, krijimit të mekanizmave të raportimit dhe të analizës së rrezikut, si dhe procedurave të inspektimit dhe zbatimit. Paralelisht, subjektet që synojnë të operojnë në këto tregje do të përballen me kosto shtesë pajtueshmërie, të lidhura me autorizimin, kapitalin minimal rregullator, qeverisjen e korporatave, kontrollin e brendshëm, menaxhimin e rrezikut, sigurinë kibernetike dhe detyrimet e raportimit. Megjithatë, këto kosto konsiderohen të arsyeshme dhe proporcionale me rrezikun, pasi shërbejnë si garanci minimale për stabilitet operacional dhe mbrojtje të klientit, dhe njëkohësisht krijojnë një treg më të besueshëm e më të formalizuar.  </w:t>
        <w:br w:type="textWrapping"/>
        <w:br w:type="textWrapping"/>
        <w:t xml:space="preserve">Nisur nga sa më lart, opsioni 2 përfaqëson zgjidhjen më koherente dhe të qëndrueshme: ai realizon përafrimin e plotë me acquis, vendos një regjim të qartë dhe gjithëpërfshirës, ul rreziqet për investitorët dhe integritetin e tregut, shmang fragmentimin rregullator dhe i ndihmon institucionet shqiptare të konsolidojnë standardet mbikëqyrëse përpara integrimit në tregjet financiare evropiane</w:t>
      </w:r>
      <w:r w:rsidDel="00000000" w:rsidR="00000000" w:rsidRPr="00000000">
        <w:rPr>
          <w:color w:val="808080"/>
          <w:rtl w:val="0"/>
        </w:rPr>
        <w:t xml:space="preserve">.</w:t>
      </w:r>
    </w:p>
    <w:p w:rsidR="00000000" w:rsidDel="00000000" w:rsidP="00000000" w:rsidRDefault="00000000" w:rsidRPr="00000000" w14:paraId="0000016A">
      <w:pPr>
        <w:pStyle w:val="Heading1"/>
        <w:tabs>
          <w:tab w:val="right" w:leader="none" w:pos="1020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Çështje të zbatimit</w:t>
      </w:r>
    </w:p>
    <w:p w:rsidR="00000000" w:rsidDel="00000000" w:rsidP="00000000" w:rsidRDefault="00000000" w:rsidRPr="00000000" w14:paraId="000001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se cila strukturë do të jetë përgjegjëse për zbatimin e opsionit të zgjedhur.</w:t>
      </w:r>
    </w:p>
    <w:p w:rsidR="00000000" w:rsidDel="00000000" w:rsidP="00000000" w:rsidRDefault="00000000" w:rsidRPr="00000000" w14:paraId="000001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Shpjegoni pengesat e mundshme për zbatimin e opsionit të zgjedhur.</w:t>
      </w:r>
    </w:p>
    <w:p w:rsidR="00000000" w:rsidDel="00000000" w:rsidP="00000000" w:rsidRDefault="00000000" w:rsidRPr="00000000" w14:paraId="000001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Përshkruani masat që do të ndërmerren gjatë zbatimit për të arritur qëllimet e politikës.</w:t>
      </w:r>
      <w:r w:rsidDel="00000000" w:rsidR="00000000" w:rsidRPr="00000000">
        <w:rPr>
          <w:rtl w:val="0"/>
        </w:rPr>
      </w:r>
    </w:p>
    <w:p w:rsidR="00000000" w:rsidDel="00000000" w:rsidP="00000000" w:rsidRDefault="00000000" w:rsidRPr="00000000" w14:paraId="0000016E">
      <w:pPr>
        <w:spacing w:before="240" w:lineRule="auto"/>
        <w:rPr/>
      </w:pPr>
      <w:bookmarkStart w:colFirst="0" w:colLast="0" w:name="_heading=h.q8qnjqt9f673" w:id="9"/>
      <w:bookmarkEnd w:id="9"/>
      <w:r w:rsidDel="00000000" w:rsidR="00000000" w:rsidRPr="00000000">
        <w:rPr>
          <w:rtl w:val="0"/>
        </w:rPr>
        <w:br w:type="textWrapping"/>
        <w:t xml:space="preserve">Zbatimi i opsionit të zgjedhur (Opsioni 2) do të realizohet përmes një ndarjeje të qartë përgjegjësish ndërmjet dy autoriteteve mbikëqyrëse. Banka e Shqipërisë do të jetë struktura përgjegjëse për autorizimin e emetimit të tokenave të aseteve dhe për mbikëqyrjen e tokenave të parasë elektronike, duke siguruar që këto kategori – për shkak të ndikimit të tyre potencial në stabilitetin financiar dhe në mekanizmat e pagesave – të trajtohen në mënyrë të harmonizuar me kuadrin ekzistues prudencial. Ndërkohë, Autoriteti i Mbikëqyrjes Financiare (AMF) do të jetë përgjegjës për autorizimin e të gjithë ofruesve të shërbimeve të kripto-aseteve dhe për mbikëqyrjen e emetuesve të kripto-aseteve që nuk klasifikohen si tokena të aseteve ose tokena të parasë elektronike, duke mbuluar kështu pjesën më të gjerë të ekosistemit të tregut (platforma tregtimi, këmbim, kujdestari, transferta, ndërmjetësim urdhrash, këshillim, administrim portofoli etj.).</w:t>
      </w:r>
    </w:p>
    <w:p w:rsidR="00000000" w:rsidDel="00000000" w:rsidP="00000000" w:rsidRDefault="00000000" w:rsidRPr="00000000" w14:paraId="0000016F">
      <w:pPr>
        <w:spacing w:before="240" w:lineRule="auto"/>
        <w:rPr/>
      </w:pPr>
      <w:r w:rsidDel="00000000" w:rsidR="00000000" w:rsidRPr="00000000">
        <w:rPr>
          <w:rtl w:val="0"/>
        </w:rPr>
        <w:t xml:space="preserve">Sfidat kryesore të zbatimit lidhen me faktin se këto janë tregje të reja, dinamike dhe me rrezik të lartë operacional e teknologjik, ku mbikëqyrja efektive kërkon koordinim të vazhdueshëm ndërmjet dy autoriteteve, si dhe kapacitete të specializuara për monitorim, analizë rreziku dhe inspektim. Sfida praktike shfaqet veçanërisht në rastet e subjekteve me modele të përziera biznesi (p.sh. kur një grup subjektesh ofron njëkohësisht shërbime të kripto-aseteve dhe veprimtari që lidhen me tokena të aseteve ose tokeni i parasë elektronike), ku rreziku i mbivendosjes së kompetencave ose i boshllëqeve të mbikëqyrjes mund të rritet nëse nuk përcaktohen qartë proceset e shkëmbimit të informacionit, inspektimeve të përbashkëta dhe reagimit ndaj incidenteve (p.sh. sulme kibernetike, probleme të kujdestarisë, apo shkelje të rregullave të sjelljes në treg).</w:t>
      </w:r>
    </w:p>
    <w:p w:rsidR="00000000" w:rsidDel="00000000" w:rsidP="00000000" w:rsidRDefault="00000000" w:rsidRPr="00000000" w14:paraId="00000170">
      <w:pPr>
        <w:spacing w:before="240" w:lineRule="auto"/>
        <w:rPr/>
      </w:pPr>
      <w:r w:rsidDel="00000000" w:rsidR="00000000" w:rsidRPr="00000000">
        <w:rPr>
          <w:rtl w:val="0"/>
        </w:rPr>
        <w:t xml:space="preserve">Për të adresuar këto pengesa dhe për të arritur objektivat e politikës, gjatë zbatimit do të ndërmerren masa të strukturuara që synojnë të garantojnë bashkëveprim institucional dhe zbatim të njëtrajtshëm. Në mënyrë të veçantë, do të hartohet dhe miratohet një Memorandum Mirëkuptimi (MoU) gjithëpërfshirës ndërmjet Bankës së Shqipërisë dhe AMF, në përputhje me kërkesat e projektligjit, ku do të detajohen: mënyrat e bashkëpunimit dhe koordinimit, procedurat për shkëmbimin e informacionit dhe të të dhënave mbikëqyrëse, mekanizmat për inspektime të koordinuara dhe/ose të përbashkëta, trajtimi i rasteve të shkeljeve dhe masave administrative, si dhe protokollet për menaxhimin e incidenteve dhe rreziqeve emergjente (përfshirë rrezikun kibernetik dhe rrezikun operacional). Paralelisht, autoritetet do të forcojnë instrumentet e zbatimit përmes udhëzimeve dhe akteve nënligjore, standardizimit të kërkesave të raportimit dhe ngritjes graduale të kapaciteteve teknike dhe njerëzore, në mënyrë që zbatimi të jetë efektiv, proporcional dhe i orientuar drejt mbrojtjes së klientit dhe integritetit të tregut.</w:t>
      </w:r>
    </w:p>
    <w:p w:rsidR="00000000" w:rsidDel="00000000" w:rsidP="00000000" w:rsidRDefault="00000000" w:rsidRPr="00000000" w14:paraId="00000171">
      <w:pPr>
        <w:spacing w:before="240" w:lineRule="auto"/>
        <w:rPr>
          <w:b w:val="1"/>
          <w:bCs w:val="1"/>
        </w:rPr>
      </w:pPr>
      <w:r w:rsidDel="00000000" w:rsidR="00000000" w:rsidRPr="00000000">
        <w:rPr>
          <w:color w:val="808080"/>
          <w:rtl w:val="0"/>
        </w:rPr>
        <w:t xml:space="preserve">.</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Faza e monitorimit dhe vlerësimit</w:t>
      </w:r>
    </w:p>
    <w:p w:rsidR="00000000" w:rsidDel="00000000" w:rsidP="00000000" w:rsidRDefault="00000000" w:rsidRPr="00000000" w14:paraId="000001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Jepni një përshkrim të përmbledhur të masave të monitorimit dhe të vlerësimit.</w:t>
      </w:r>
    </w:p>
    <w:p w:rsidR="00000000" w:rsidDel="00000000" w:rsidP="00000000" w:rsidRDefault="00000000" w:rsidRPr="00000000" w14:paraId="000001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Identifikoni kriteret/treguesit për të matur arritjen e objektivave ose progresin drejt tyre.</w:t>
      </w:r>
    </w:p>
    <w:p w:rsidR="00000000" w:rsidDel="00000000" w:rsidP="00000000" w:rsidRDefault="00000000" w:rsidRPr="00000000" w14:paraId="00000175">
      <w:pPr>
        <w:spacing w:before="240" w:line="276" w:lineRule="auto"/>
        <w:jc w:val="both"/>
        <w:rPr/>
      </w:pPr>
      <w:r w:rsidDel="00000000" w:rsidR="00000000" w:rsidRPr="00000000">
        <w:rPr>
          <w:rtl w:val="0"/>
        </w:rPr>
        <w:t xml:space="preserve">Monitorimi i zbatimit të ligjit do të kryhet nga AMF dhe Banka e Shqipërisë, secila brenda fushës së kompetencave të tyre, përmes një kombinimi të: (i) raportimeve periodike nga subjektet e autorizuara; (ii) monitorimit në distancë (off-site); dhe (iii) inspektimeve në vend mbi bazë risku. Me qëllim sigurimin e njëtrajtshmërisë në proceset mbikëqyrëse dhe shmangien e mbivendosjeve institucionale, monitorimi do të mbështetet edhe në mekanizmat e bashkëpunimit ndërinstitucional duke standardizuar shkëmbimin e informacionit, inspektimet e përbashkëta dhe menaxhimin e incidenteve.</w:t>
      </w:r>
    </w:p>
    <w:p w:rsidR="00000000" w:rsidDel="00000000" w:rsidP="00000000" w:rsidRDefault="00000000" w:rsidRPr="00000000" w14:paraId="00000176">
      <w:pPr>
        <w:spacing w:before="240" w:line="276" w:lineRule="auto"/>
        <w:jc w:val="both"/>
        <w:rPr/>
      </w:pPr>
      <w:r w:rsidDel="00000000" w:rsidR="00000000" w:rsidRPr="00000000">
        <w:rPr>
          <w:rtl w:val="0"/>
        </w:rPr>
        <w:t xml:space="preserve">Vlerësimi i efektivitetit të politikës do të realizohet në mënyrë periodike me qëillim për të verifikuar nëse kuadri i ri po arrin objektivat kryesore: rritjen e sigurisë juridike, formalizimin e tregut, mbrojtjen e klientit, integritetin e tregut dhe forcimin e kapaciteteve mbikëqyrëse. Nëse treguesit tregojnë boshllëqe, do të parashikohen masa korrigjuese: udhëzime/akte nënligjore sqaruese, rishikim i praktikave mbikëqyrëse, rritje e kapaciteteve teknike dhe përditësim i protokolleve të bashkëpunimit.</w:t>
      </w:r>
    </w:p>
    <w:p w:rsidR="00000000" w:rsidDel="00000000" w:rsidP="00000000" w:rsidRDefault="00000000" w:rsidRPr="00000000" w14:paraId="00000177">
      <w:pPr>
        <w:spacing w:before="240" w:line="276" w:lineRule="auto"/>
        <w:jc w:val="both"/>
        <w:rPr>
          <w:b w:val="1"/>
          <w:bCs w:val="1"/>
        </w:rPr>
      </w:pPr>
      <w:r w:rsidDel="00000000" w:rsidR="00000000" w:rsidRPr="00000000">
        <w:rPr>
          <w:b w:val="1"/>
          <w:bCs w:val="1"/>
          <w:rtl w:val="0"/>
        </w:rPr>
        <w:t xml:space="preserve">Treguesit e monitorimit (KPI)</w:t>
      </w:r>
    </w:p>
    <w:p w:rsidR="00000000" w:rsidDel="00000000" w:rsidP="00000000" w:rsidRDefault="00000000" w:rsidRPr="00000000" w14:paraId="00000178">
      <w:pPr>
        <w:spacing w:before="240" w:line="276" w:lineRule="auto"/>
        <w:jc w:val="both"/>
        <w:rPr>
          <w:b w:val="1"/>
          <w:bCs w:val="1"/>
        </w:rPr>
      </w:pPr>
      <w:r w:rsidDel="00000000" w:rsidR="00000000" w:rsidRPr="00000000">
        <w:rPr>
          <w:rtl w:val="0"/>
        </w:rPr>
        <w:t xml:space="preserve">Për të vlerësuar në mënyrë të matshme progresin dhe efektivitetin e zbatimit të ligjit, monitorimi do të mbështetet në një set treguesish kryesorë performance (KPI) që reflektojnë formalizimin e tregut, mbrojtjen e klientit, integritetin e tregut dhe kapacitetin mbikëqyrës të institucioneve përgjegjëse</w:t>
      </w:r>
      <w:r w:rsidDel="00000000" w:rsidR="00000000" w:rsidRPr="00000000">
        <w:rPr>
          <w:b w:val="1"/>
          <w:bCs w:val="1"/>
          <w:rtl w:val="0"/>
        </w:rPr>
        <w:t xml:space="preserve">.</w:t>
        <w:br w:type="textWrapping"/>
      </w:r>
    </w:p>
    <w:p w:rsidR="00000000" w:rsidDel="00000000" w:rsidP="00000000" w:rsidRDefault="00000000" w:rsidRPr="00000000" w14:paraId="00000179">
      <w:pPr>
        <w:jc w:val="both"/>
        <w:rPr>
          <w:b w:val="1"/>
          <w:bCs w:val="1"/>
        </w:rPr>
      </w:pPr>
      <w:r w:rsidDel="00000000" w:rsidR="00000000" w:rsidRPr="00000000">
        <w:rPr>
          <w:b w:val="1"/>
          <w:bCs w:val="1"/>
          <w:rtl w:val="0"/>
        </w:rPr>
        <w:t xml:space="preserve">Formalizimi i tregut</w:t>
      </w:r>
    </w:p>
    <w:p w:rsidR="00000000" w:rsidDel="00000000" w:rsidP="00000000" w:rsidRDefault="00000000" w:rsidRPr="00000000" w14:paraId="0000017A">
      <w:pPr>
        <w:numPr>
          <w:ilvl w:val="1"/>
          <w:numId w:val="17"/>
        </w:numPr>
        <w:ind w:left="720" w:hanging="360"/>
        <w:jc w:val="both"/>
        <w:rPr/>
      </w:pPr>
      <w:r w:rsidDel="00000000" w:rsidR="00000000" w:rsidRPr="00000000">
        <w:rPr>
          <w:rtl w:val="0"/>
        </w:rPr>
        <w:t xml:space="preserve">Numri i aplikimeve dhe i autorizimeve për ofruesit e shërbimeve të kripto-aseteve (nga AMF) – (tremujor/vjetor).</w:t>
      </w:r>
    </w:p>
    <w:p w:rsidR="00000000" w:rsidDel="00000000" w:rsidP="00000000" w:rsidRDefault="00000000" w:rsidRPr="00000000" w14:paraId="0000017B">
      <w:pPr>
        <w:numPr>
          <w:ilvl w:val="1"/>
          <w:numId w:val="17"/>
        </w:numPr>
        <w:ind w:left="720" w:hanging="360"/>
        <w:jc w:val="both"/>
        <w:rPr/>
      </w:pPr>
      <w:r w:rsidDel="00000000" w:rsidR="00000000" w:rsidRPr="00000000">
        <w:rPr>
          <w:rtl w:val="0"/>
        </w:rPr>
        <w:t xml:space="preserve">Numri i autorizimeve për emetimin e tokenave të aseteve (nga Banka e Shqipërisë) – (vjetor).</w:t>
      </w:r>
    </w:p>
    <w:p w:rsidR="00000000" w:rsidDel="00000000" w:rsidP="00000000" w:rsidRDefault="00000000" w:rsidRPr="00000000" w14:paraId="0000017C">
      <w:pPr>
        <w:numPr>
          <w:ilvl w:val="1"/>
          <w:numId w:val="17"/>
        </w:numPr>
        <w:ind w:left="720" w:hanging="360"/>
        <w:jc w:val="both"/>
        <w:rPr/>
      </w:pPr>
      <w:r w:rsidDel="00000000" w:rsidR="00000000" w:rsidRPr="00000000">
        <w:rPr>
          <w:rtl w:val="0"/>
        </w:rPr>
        <w:t xml:space="preserve">Numri i subjekteve të mbikëqyrura aktive dhe numri i subjekteve të refuzuara/pezulluara/revokuara.</w:t>
      </w:r>
    </w:p>
    <w:p w:rsidR="00000000" w:rsidDel="00000000" w:rsidP="00000000" w:rsidRDefault="00000000" w:rsidRPr="00000000" w14:paraId="0000017D">
      <w:pPr>
        <w:jc w:val="both"/>
        <w:rPr>
          <w:b w:val="1"/>
          <w:bCs w:val="1"/>
        </w:rPr>
      </w:pPr>
      <w:r w:rsidDel="00000000" w:rsidR="00000000" w:rsidRPr="00000000">
        <w:rPr>
          <w:b w:val="1"/>
          <w:bCs w:val="1"/>
          <w:rtl w:val="0"/>
        </w:rPr>
        <w:t xml:space="preserve">Efikasiteti i mbikëqyrjes</w:t>
      </w:r>
    </w:p>
    <w:p w:rsidR="00000000" w:rsidDel="00000000" w:rsidP="00000000" w:rsidRDefault="00000000" w:rsidRPr="00000000" w14:paraId="0000017E">
      <w:pPr>
        <w:numPr>
          <w:ilvl w:val="1"/>
          <w:numId w:val="17"/>
        </w:numPr>
        <w:ind w:left="720" w:hanging="360"/>
        <w:jc w:val="both"/>
        <w:rPr/>
      </w:pPr>
      <w:r w:rsidDel="00000000" w:rsidR="00000000" w:rsidRPr="00000000">
        <w:rPr>
          <w:rtl w:val="0"/>
        </w:rPr>
        <w:t xml:space="preserve">Koha mesatare për përpunimin e aplikimeve (ditë) dhe përqindja e aplikimeve të kthyera për plotësim.</w:t>
      </w:r>
    </w:p>
    <w:p w:rsidR="00000000" w:rsidDel="00000000" w:rsidP="00000000" w:rsidRDefault="00000000" w:rsidRPr="00000000" w14:paraId="0000017F">
      <w:pPr>
        <w:numPr>
          <w:ilvl w:val="1"/>
          <w:numId w:val="17"/>
        </w:numPr>
        <w:ind w:left="720" w:hanging="360"/>
        <w:jc w:val="both"/>
        <w:rPr/>
      </w:pPr>
      <w:r w:rsidDel="00000000" w:rsidR="00000000" w:rsidRPr="00000000">
        <w:rPr>
          <w:rtl w:val="0"/>
        </w:rPr>
        <w:t xml:space="preserve">Numri i inspektimeve në vend dhe në distancë; përqindja e subjekteve të inspektuara mbi totalin e autorizuar.</w:t>
      </w:r>
    </w:p>
    <w:p w:rsidR="00000000" w:rsidDel="00000000" w:rsidP="00000000" w:rsidRDefault="00000000" w:rsidRPr="00000000" w14:paraId="00000180">
      <w:pPr>
        <w:numPr>
          <w:ilvl w:val="1"/>
          <w:numId w:val="17"/>
        </w:numPr>
        <w:ind w:left="720" w:hanging="360"/>
        <w:jc w:val="both"/>
        <w:rPr/>
      </w:pPr>
      <w:r w:rsidDel="00000000" w:rsidR="00000000" w:rsidRPr="00000000">
        <w:rPr>
          <w:rtl w:val="0"/>
        </w:rPr>
        <w:t xml:space="preserve">Numri i masave administrative (urdhra korrigjimi, gjoba, pezullime) dhe tipologjia e shkeljeve.</w:t>
      </w:r>
    </w:p>
    <w:p w:rsidR="00000000" w:rsidDel="00000000" w:rsidP="00000000" w:rsidRDefault="00000000" w:rsidRPr="00000000" w14:paraId="00000181">
      <w:pPr>
        <w:jc w:val="both"/>
        <w:rPr>
          <w:b w:val="1"/>
          <w:bCs w:val="1"/>
        </w:rPr>
      </w:pPr>
      <w:r w:rsidDel="00000000" w:rsidR="00000000" w:rsidRPr="00000000">
        <w:rPr>
          <w:b w:val="1"/>
          <w:bCs w:val="1"/>
          <w:rtl w:val="0"/>
        </w:rPr>
        <w:t xml:space="preserve">Mbrojtja e klientit dhe transparenca</w:t>
      </w:r>
    </w:p>
    <w:p w:rsidR="00000000" w:rsidDel="00000000" w:rsidP="00000000" w:rsidRDefault="00000000" w:rsidRPr="00000000" w14:paraId="00000182">
      <w:pPr>
        <w:numPr>
          <w:ilvl w:val="1"/>
          <w:numId w:val="17"/>
        </w:numPr>
        <w:ind w:left="720" w:hanging="360"/>
        <w:jc w:val="both"/>
        <w:rPr/>
      </w:pPr>
      <w:r w:rsidDel="00000000" w:rsidR="00000000" w:rsidRPr="00000000">
        <w:rPr>
          <w:rtl w:val="0"/>
        </w:rPr>
        <w:t xml:space="preserve">Numri i ankesave të klientëve (tremujor/vjetor) dhe koha mesatare e zgjidhjes.</w:t>
      </w:r>
    </w:p>
    <w:p w:rsidR="00000000" w:rsidDel="00000000" w:rsidP="00000000" w:rsidRDefault="00000000" w:rsidRPr="00000000" w14:paraId="00000183">
      <w:pPr>
        <w:numPr>
          <w:ilvl w:val="1"/>
          <w:numId w:val="17"/>
        </w:numPr>
        <w:ind w:left="720" w:hanging="360"/>
        <w:jc w:val="both"/>
        <w:rPr/>
      </w:pPr>
      <w:r w:rsidDel="00000000" w:rsidR="00000000" w:rsidRPr="00000000">
        <w:rPr>
          <w:rtl w:val="0"/>
        </w:rPr>
        <w:t xml:space="preserve">Numri i rasteve të konstatuara të informacionit të pamjaftueshëm/keqinformues në dokumentet parakontraktuale (p.sh. dokumenti informues/relacioni prezantues) dhe masat korrigjuese.</w:t>
      </w:r>
    </w:p>
    <w:p w:rsidR="00000000" w:rsidDel="00000000" w:rsidP="00000000" w:rsidRDefault="00000000" w:rsidRPr="00000000" w14:paraId="00000184">
      <w:pPr>
        <w:numPr>
          <w:ilvl w:val="1"/>
          <w:numId w:val="17"/>
        </w:numPr>
        <w:ind w:left="720" w:hanging="360"/>
        <w:jc w:val="both"/>
        <w:rPr/>
      </w:pPr>
      <w:r w:rsidDel="00000000" w:rsidR="00000000" w:rsidRPr="00000000">
        <w:rPr>
          <w:rtl w:val="0"/>
        </w:rPr>
        <w:t xml:space="preserve">Numri i incidenteve të ngrirjes së tërheqjeve/ndërprerjeve të shërbimit (kur raportohen) dhe shkaqet kryesore.</w:t>
      </w:r>
    </w:p>
    <w:p w:rsidR="00000000" w:rsidDel="00000000" w:rsidP="00000000" w:rsidRDefault="00000000" w:rsidRPr="00000000" w14:paraId="00000185">
      <w:pPr>
        <w:jc w:val="both"/>
        <w:rPr>
          <w:b w:val="1"/>
          <w:bCs w:val="1"/>
        </w:rPr>
      </w:pPr>
      <w:r w:rsidDel="00000000" w:rsidR="00000000" w:rsidRPr="00000000">
        <w:rPr>
          <w:b w:val="1"/>
          <w:bCs w:val="1"/>
          <w:rtl w:val="0"/>
        </w:rPr>
        <w:t xml:space="preserve">Integriteti i tregut</w:t>
      </w:r>
    </w:p>
    <w:p w:rsidR="00000000" w:rsidDel="00000000" w:rsidP="00000000" w:rsidRDefault="00000000" w:rsidRPr="00000000" w14:paraId="00000186">
      <w:pPr>
        <w:numPr>
          <w:ilvl w:val="1"/>
          <w:numId w:val="17"/>
        </w:numPr>
        <w:ind w:left="720" w:hanging="360"/>
        <w:jc w:val="both"/>
        <w:rPr/>
      </w:pPr>
      <w:r w:rsidDel="00000000" w:rsidR="00000000" w:rsidRPr="00000000">
        <w:rPr>
          <w:rtl w:val="0"/>
        </w:rPr>
        <w:t xml:space="preserve">Numri i sinjalizimeve/rasteve të dyshuara për abuzim me tregun (p.sh. manipulim, tregtim i brendshëm) dhe rezultatet e hetimit administrativ.</w:t>
      </w:r>
    </w:p>
    <w:p w:rsidR="00000000" w:rsidDel="00000000" w:rsidP="00000000" w:rsidRDefault="00000000" w:rsidRPr="00000000" w14:paraId="00000187">
      <w:pPr>
        <w:numPr>
          <w:ilvl w:val="1"/>
          <w:numId w:val="17"/>
        </w:numPr>
        <w:ind w:left="720" w:hanging="360"/>
        <w:jc w:val="both"/>
        <w:rPr/>
      </w:pPr>
      <w:r w:rsidDel="00000000" w:rsidR="00000000" w:rsidRPr="00000000">
        <w:rPr>
          <w:rtl w:val="0"/>
        </w:rPr>
        <w:t xml:space="preserve">Monitorimi i konflikteve të interesit: raste të identifikuara dhe masa të marra (p.sh. ndarje funksionesh, politika e brendshme, kufizime).</w:t>
      </w:r>
    </w:p>
    <w:p w:rsidR="00000000" w:rsidDel="00000000" w:rsidP="00000000" w:rsidRDefault="00000000" w:rsidRPr="00000000" w14:paraId="00000188">
      <w:pPr>
        <w:jc w:val="both"/>
        <w:rPr>
          <w:b w:val="1"/>
          <w:bCs w:val="1"/>
        </w:rPr>
      </w:pPr>
      <w:r w:rsidDel="00000000" w:rsidR="00000000" w:rsidRPr="00000000">
        <w:rPr>
          <w:b w:val="1"/>
          <w:bCs w:val="1"/>
          <w:rtl w:val="0"/>
        </w:rPr>
        <w:t xml:space="preserve">Siguria kibernetike dhe rreziku operacional</w:t>
      </w:r>
    </w:p>
    <w:p w:rsidR="00000000" w:rsidDel="00000000" w:rsidP="00000000" w:rsidRDefault="00000000" w:rsidRPr="00000000" w14:paraId="00000189">
      <w:pPr>
        <w:numPr>
          <w:ilvl w:val="1"/>
          <w:numId w:val="17"/>
        </w:numPr>
        <w:ind w:left="720" w:hanging="360"/>
        <w:jc w:val="both"/>
        <w:rPr/>
      </w:pPr>
      <w:r w:rsidDel="00000000" w:rsidR="00000000" w:rsidRPr="00000000">
        <w:rPr>
          <w:rtl w:val="0"/>
        </w:rPr>
        <w:t xml:space="preserve">Numri i incidenteve kibernetike të raportuara dhe ashpërsia (p.sh. ndërprerje shërbimi, cenim i të dhënave, humbje asetesh).</w:t>
      </w:r>
    </w:p>
    <w:p w:rsidR="00000000" w:rsidDel="00000000" w:rsidP="00000000" w:rsidRDefault="00000000" w:rsidRPr="00000000" w14:paraId="0000018A">
      <w:pPr>
        <w:numPr>
          <w:ilvl w:val="1"/>
          <w:numId w:val="17"/>
        </w:numPr>
        <w:ind w:left="720" w:hanging="360"/>
        <w:jc w:val="both"/>
        <w:rPr/>
      </w:pPr>
      <w:r w:rsidDel="00000000" w:rsidR="00000000" w:rsidRPr="00000000">
        <w:rPr>
          <w:rtl w:val="0"/>
        </w:rPr>
        <w:t xml:space="preserve">Rezultatet e testimeve/raporteve të sigurisë dhe përqindja e masave korrigjuese të zbatuara brenda afatit.</w:t>
      </w:r>
    </w:p>
    <w:p w:rsidR="00000000" w:rsidDel="00000000" w:rsidP="00000000" w:rsidRDefault="00000000" w:rsidRPr="00000000" w14:paraId="0000018B">
      <w:pPr>
        <w:jc w:val="both"/>
        <w:rPr>
          <w:b w:val="1"/>
          <w:bCs w:val="1"/>
        </w:rPr>
      </w:pPr>
      <w:r w:rsidDel="00000000" w:rsidR="00000000" w:rsidRPr="00000000">
        <w:rPr>
          <w:b w:val="1"/>
          <w:bCs w:val="1"/>
          <w:rtl w:val="0"/>
        </w:rPr>
        <w:t xml:space="preserve">Pajtueshmëria dhe PPP/FT</w:t>
      </w:r>
    </w:p>
    <w:p w:rsidR="00000000" w:rsidDel="00000000" w:rsidP="00000000" w:rsidRDefault="00000000" w:rsidRPr="00000000" w14:paraId="0000018C">
      <w:pPr>
        <w:numPr>
          <w:ilvl w:val="1"/>
          <w:numId w:val="17"/>
        </w:numPr>
        <w:ind w:left="720" w:hanging="360"/>
        <w:jc w:val="both"/>
        <w:rPr/>
      </w:pPr>
      <w:r w:rsidDel="00000000" w:rsidR="00000000" w:rsidRPr="00000000">
        <w:rPr>
          <w:rtl w:val="0"/>
        </w:rPr>
        <w:t xml:space="preserve">Numri i gjetjeve kryesore të pajtueshmërisë (KYC/monitorim, dokumentim transaksionesh, kontrolle të brendshme) dhe trendi i tyre.</w:t>
      </w:r>
    </w:p>
    <w:p w:rsidR="00000000" w:rsidDel="00000000" w:rsidP="00000000" w:rsidRDefault="00000000" w:rsidRPr="00000000" w14:paraId="0000018D">
      <w:pPr>
        <w:numPr>
          <w:ilvl w:val="1"/>
          <w:numId w:val="17"/>
        </w:numPr>
        <w:ind w:left="720" w:hanging="360"/>
        <w:jc w:val="both"/>
        <w:rPr>
          <w:color w:val="808080"/>
        </w:rPr>
      </w:pPr>
      <w:r w:rsidDel="00000000" w:rsidR="00000000" w:rsidRPr="00000000">
        <w:rPr>
          <w:rtl w:val="0"/>
        </w:rPr>
        <w:t xml:space="preserve">Numri i sinjalizimeve/raportimeve për transaksione të dyshuara nga subjektet e autorizuara (si indikator i funksionimit të kontrolleve), pa hyrë në vlerësim monetar.</w:t>
      </w:r>
      <w:r w:rsidDel="00000000" w:rsidR="00000000" w:rsidRPr="00000000">
        <w:rPr>
          <w:rtl w:val="0"/>
        </w:rPr>
      </w:r>
    </w:p>
    <w:p w:rsidR="00000000" w:rsidDel="00000000" w:rsidP="00000000" w:rsidRDefault="00000000" w:rsidRPr="00000000" w14:paraId="0000018E">
      <w:pPr>
        <w:spacing w:before="240" w:line="276" w:lineRule="auto"/>
        <w:jc w:val="both"/>
        <w:rPr>
          <w:b w:val="1"/>
          <w:bCs w:val="1"/>
        </w:rPr>
        <w:sectPr>
          <w:headerReference r:id="rId13" w:type="even"/>
          <w:footerReference r:id="rId14" w:type="default"/>
          <w:pgSz w:h="16840" w:w="11907" w:orient="portrait"/>
          <w:pgMar w:bottom="680" w:top="680" w:left="851" w:right="851" w:header="284" w:footer="284"/>
          <w:pgNumType w:start="1"/>
        </w:sectPr>
      </w:pPr>
      <w:r w:rsidDel="00000000" w:rsidR="00000000" w:rsidRPr="00000000">
        <w:rPr>
          <w:color w:val="808080"/>
          <w:rtl w:val="0"/>
        </w:rPr>
        <w:t xml:space="preserve">.</w:t>
      </w:r>
      <w:r w:rsidDel="00000000" w:rsidR="00000000" w:rsidRPr="00000000">
        <w:rPr>
          <w:rtl w:val="0"/>
        </w:rPr>
      </w:r>
    </w:p>
    <w:p w:rsidR="00000000" w:rsidDel="00000000" w:rsidP="00000000" w:rsidRDefault="00000000" w:rsidRPr="00000000" w14:paraId="0000018F">
      <w:pPr>
        <w:spacing w:line="276" w:lineRule="auto"/>
        <w:jc w:val="both"/>
        <w:rPr/>
      </w:pPr>
      <w:r w:rsidDel="00000000" w:rsidR="00000000" w:rsidRPr="00000000">
        <w:rPr>
          <w:b w:val="1"/>
          <w:bCs w:val="1"/>
          <w:rtl w:val="0"/>
        </w:rPr>
        <w:t xml:space="preserve">Raporti i vlerësimit të ndikimit - Shtojca 2/a</w:t>
      </w:r>
      <w:r w:rsidDel="00000000" w:rsidR="00000000" w:rsidRPr="00000000">
        <w:rPr>
          <w:rtl w:val="0"/>
        </w:rPr>
      </w:r>
    </w:p>
    <w:p w:rsidR="00000000" w:rsidDel="00000000" w:rsidP="00000000" w:rsidRDefault="00000000" w:rsidRPr="00000000" w14:paraId="00000190">
      <w:pPr>
        <w:spacing w:line="276" w:lineRule="auto"/>
        <w:rPr>
          <w:b w:val="0"/>
          <w:bCs w:val="0"/>
        </w:rPr>
      </w:pPr>
      <w:r w:rsidDel="00000000" w:rsidR="00000000" w:rsidRPr="00000000">
        <w:rPr>
          <w:rtl w:val="0"/>
        </w:rPr>
      </w:r>
    </w:p>
    <w:p w:rsidR="00000000" w:rsidDel="00000000" w:rsidP="00000000" w:rsidRDefault="00000000" w:rsidRPr="00000000" w14:paraId="00000191">
      <w:pPr>
        <w:spacing w:line="276" w:lineRule="auto"/>
        <w:rPr>
          <w:b w:val="1"/>
          <w:bCs w:val="1"/>
        </w:rPr>
      </w:pPr>
      <w:r w:rsidDel="00000000" w:rsidR="00000000" w:rsidRPr="00000000">
        <w:rPr>
          <w:b w:val="1"/>
          <w:bCs w:val="1"/>
          <w:i w:val="1"/>
          <w:iCs w:val="1"/>
          <w:rtl w:val="0"/>
        </w:rPr>
        <w:t xml:space="preserve">Tabela: Vlera aktuale neto në total (VAN) - kostot dhe përfitimet me vlerë monetare të përcaktuar në milionë lekë e zbritur për 10 vjet (Vlera aktuale e kostos dhe vlera aktuale e përfitimit); krahasuar me status quo-në</w:t>
      </w:r>
      <w:r w:rsidDel="00000000" w:rsidR="00000000" w:rsidRPr="00000000">
        <w:rPr>
          <w:b w:val="1"/>
          <w:bCs w:val="1"/>
          <w:rtl w:val="0"/>
        </w:rPr>
        <w:t xml:space="preserve">.    </w:t>
      </w:r>
    </w:p>
    <w:p w:rsidR="00000000" w:rsidDel="00000000" w:rsidP="00000000" w:rsidRDefault="00000000" w:rsidRPr="00000000" w14:paraId="00000192">
      <w:pPr>
        <w:spacing w:line="276" w:lineRule="auto"/>
        <w:rPr>
          <w:b w:val="1"/>
          <w:bCs w:val="1"/>
        </w:rPr>
      </w:pPr>
      <w:r w:rsidDel="00000000" w:rsidR="00000000" w:rsidRPr="00000000">
        <w:rPr>
          <w:rtl w:val="0"/>
        </w:rPr>
      </w:r>
    </w:p>
    <w:p w:rsidR="00000000" w:rsidDel="00000000" w:rsidP="00000000" w:rsidRDefault="00000000" w:rsidRPr="00000000" w14:paraId="00000193">
      <w:pPr>
        <w:spacing w:line="276" w:lineRule="auto"/>
        <w:rPr>
          <w:b w:val="1"/>
          <w:bCs w:val="1"/>
        </w:rPr>
      </w:pPr>
      <w:r w:rsidDel="00000000" w:rsidR="00000000" w:rsidRPr="00000000">
        <w:rPr>
          <w:b w:val="1"/>
          <w:bCs w:val="1"/>
          <w:rtl w:val="0"/>
        </w:rPr>
        <w:t xml:space="preserve">2/a 1. Baza metodologjike e vlerësimeve të kostove dhe supozimet kryesore</w:t>
      </w:r>
    </w:p>
    <w:p w:rsidR="00000000" w:rsidDel="00000000" w:rsidP="00000000" w:rsidRDefault="00000000" w:rsidRPr="00000000" w14:paraId="00000194">
      <w:pPr>
        <w:spacing w:line="276" w:lineRule="auto"/>
        <w:rPr>
          <w:b w:val="1"/>
          <w:bCs w:val="1"/>
        </w:rPr>
      </w:pPr>
      <w:r w:rsidDel="00000000" w:rsidR="00000000" w:rsidRPr="00000000">
        <w:rPr>
          <w:rtl w:val="0"/>
        </w:rPr>
      </w:r>
    </w:p>
    <w:p w:rsidR="00000000" w:rsidDel="00000000" w:rsidP="00000000" w:rsidRDefault="00000000" w:rsidRPr="00000000" w14:paraId="00000195">
      <w:pPr>
        <w:spacing w:line="276" w:lineRule="auto"/>
        <w:rPr/>
      </w:pPr>
      <w:r w:rsidDel="00000000" w:rsidR="00000000" w:rsidRPr="00000000">
        <w:rPr>
          <w:rtl w:val="0"/>
        </w:rPr>
        <w:t xml:space="preserve">Për Opsionin 2, pjesa më e madhe e kostove të matshme lidhen me përputhshmërinë rregullatore dhe organizimin operacional të subjekteve dhe institucioneve që do të veprojnë nën kuadrin e ri. Duke qenë se tregu i licencuar në këtë fushë nuk ekziston dhe si rrjedhojë nuk ka të dhëna historike të mjaftueshme dhe nuk disponohet informacion i konsoliduar mbi tarifat efektive, strukturat e stafit apo kostot tipike të pajtueshmërisë për operatorë vendas, vlerësimet janë ndërtuar si vlerësime të arsyeshme mbi bazën e komponentëve standardë që kërkohen zakonisht kur një subjekt hyn në një regjim të mbikëqyrur financiar</w:t>
      </w:r>
    </w:p>
    <w:p w:rsidR="00000000" w:rsidDel="00000000" w:rsidP="00000000" w:rsidRDefault="00000000" w:rsidRPr="00000000" w14:paraId="00000196">
      <w:pPr>
        <w:spacing w:line="276" w:lineRule="auto"/>
        <w:rPr/>
      </w:pPr>
      <w:r w:rsidDel="00000000" w:rsidR="00000000" w:rsidRPr="00000000">
        <w:rPr>
          <w:rtl w:val="0"/>
        </w:rPr>
      </w:r>
    </w:p>
    <w:p w:rsidR="00000000" w:rsidDel="00000000" w:rsidP="00000000" w:rsidRDefault="00000000" w:rsidRPr="00000000" w14:paraId="00000197">
      <w:pPr>
        <w:spacing w:line="276" w:lineRule="auto"/>
        <w:rPr/>
      </w:pPr>
      <w:r w:rsidDel="00000000" w:rsidR="00000000" w:rsidRPr="00000000">
        <w:rPr>
          <w:rtl w:val="0"/>
        </w:rPr>
        <w:t xml:space="preserve">Në këtë kuadër, kostoja e njëhershme prej 40,000 EUR për një ofrues të shërbimeve të kripto-aseteve është trajtuar si një paketë minimale e kostove të hyrjes, që zakonisht përfshin: hartimin ose përshtatjen e dokumentacionit të qeverisjes (përfshirë rolet dhe përgjegjësitë, politikën e konfliktit të interesit dhe linjat e raportimit), ndërtimin e politikave dhe procedurave të pajtueshmërisë dhe të kontrollit (përfshirë elementet PPP/FT), kuadrin bazë të menaxhimit të rrezikut dhe kontrollit të brendshëm, procedurat për trajtimin e ankesave dhe transparencën ndaj klientit, si dhe një vlerësim fillestar të sigurisë kibernetike dhe të qëndrueshmërisë së sistemeve (baseline), bashkë me përgatitjen e paketës së aplikimit dhe dokumenteve shoqëruese. Kjo kategori kostoje përfaqëson, në thelb, implementimin fillestar të kornizës organizative dhe dokumentare që i mundëson subjektit të operojë në këto tregje sipas rregullave në fuqi.</w:t>
      </w:r>
    </w:p>
    <w:p w:rsidR="00000000" w:rsidDel="00000000" w:rsidP="00000000" w:rsidRDefault="00000000" w:rsidRPr="00000000" w14:paraId="00000198">
      <w:pPr>
        <w:spacing w:line="276" w:lineRule="auto"/>
        <w:rPr/>
      </w:pPr>
      <w:r w:rsidDel="00000000" w:rsidR="00000000" w:rsidRPr="00000000">
        <w:rPr>
          <w:rtl w:val="0"/>
        </w:rPr>
      </w:r>
    </w:p>
    <w:p w:rsidR="00000000" w:rsidDel="00000000" w:rsidP="00000000" w:rsidRDefault="00000000" w:rsidRPr="00000000" w14:paraId="00000199">
      <w:pPr>
        <w:spacing w:line="276" w:lineRule="auto"/>
        <w:rPr/>
      </w:pPr>
      <w:r w:rsidDel="00000000" w:rsidR="00000000" w:rsidRPr="00000000">
        <w:rPr>
          <w:rtl w:val="0"/>
        </w:rPr>
        <w:t xml:space="preserve">Kostoja vjetore prej 25,000 EUR për një ofrues të shërbimeve të kripto-aseteve është vlerësuar si kosto e vazhdueshme për të ruajtur funksionimin nën mbikëqyrje ku përfshihen raportime periodike, auditime ose kontrolle të jashtme sipas nevojës, përditësim i politikave dhe trajnime, pajtueshmëri dhe monitorim bazë i klientit dhe/ose transaksioneve, si dhe mirëmbajtje e masave të sigurisë IT dhe e dokumentimin e të dhënave. Ky nivel konsiderohet i moderuar, duke supozuar se një pjesë e funksioneve kryhen nga kapacitete të brendshme dhe jo në tërësi me shërbime të jashtme.</w:t>
      </w:r>
    </w:p>
    <w:p w:rsidR="00000000" w:rsidDel="00000000" w:rsidP="00000000" w:rsidRDefault="00000000" w:rsidRPr="00000000" w14:paraId="0000019A">
      <w:pPr>
        <w:spacing w:line="276" w:lineRule="auto"/>
        <w:rPr/>
      </w:pPr>
      <w:r w:rsidDel="00000000" w:rsidR="00000000" w:rsidRPr="00000000">
        <w:rPr>
          <w:rtl w:val="0"/>
        </w:rPr>
      </w:r>
    </w:p>
    <w:p w:rsidR="00000000" w:rsidDel="00000000" w:rsidP="00000000" w:rsidRDefault="00000000" w:rsidRPr="00000000" w14:paraId="0000019B">
      <w:pPr>
        <w:spacing w:line="276" w:lineRule="auto"/>
        <w:rPr/>
      </w:pPr>
      <w:r w:rsidDel="00000000" w:rsidR="00000000" w:rsidRPr="00000000">
        <w:rPr>
          <w:rtl w:val="0"/>
        </w:rPr>
        <w:t xml:space="preserve">Për bankat e nivelit të dytë dhe institucionet e parasë elektronike, kostoja e njëhershme prej 60,000 EUR dhe kostoja vjetore prej 30,000 EUR lidhen me faktin se këto institucione kanë tashmë infrastrukturë të konsoliduar të pajtueshmërisë dhe kontrollit, por zgjerimi drejt shërbimeve të kripto-aseteve (emetim, kujdestari, transferta, këmbim) kërkon përshtatje specifike: ndryshime në procese KYC dhe/ose monitorim në vazhdimësi, rikonfigurim të modelit operativ, integrime IT dhe kontrolle shtesë për riskun operacional (p.sh. segregime, gjurmueshmëri dhe kontrolle të brendshme), si dhe procedura të posaçme të mbrojtjes së klientit për produktin dhe/ose shërbimin e ri. Për këtë arsye, kostoja e hyrjes është më e lartë se ajo e një operatori të vogël, ndërsa kostoja vjetore mbetet relativisht e moderuar sepse një pjesë e strukturave të kontrollit ekzistojnë.</w:t>
      </w:r>
    </w:p>
    <w:p w:rsidR="00000000" w:rsidDel="00000000" w:rsidP="00000000" w:rsidRDefault="00000000" w:rsidRPr="00000000" w14:paraId="0000019C">
      <w:pPr>
        <w:spacing w:line="276" w:lineRule="auto"/>
        <w:rPr/>
      </w:pPr>
      <w:r w:rsidDel="00000000" w:rsidR="00000000" w:rsidRPr="00000000">
        <w:rPr>
          <w:rtl w:val="0"/>
        </w:rPr>
      </w:r>
    </w:p>
    <w:p w:rsidR="00000000" w:rsidDel="00000000" w:rsidP="00000000" w:rsidRDefault="00000000" w:rsidRPr="00000000" w14:paraId="0000019D">
      <w:pPr>
        <w:spacing w:line="276" w:lineRule="auto"/>
        <w:rPr/>
      </w:pPr>
      <w:r w:rsidDel="00000000" w:rsidR="00000000" w:rsidRPr="00000000">
        <w:rPr>
          <w:rtl w:val="0"/>
        </w:rPr>
        <w:t xml:space="preserve">Për shoqëritë komisionere, kostoja e njëhershme prej 50,000 EUR dhe kostoja vjetore prej 25,000 EUR pasqyrojnë barrën e përshtatjes së procedurave dhe dokumentacionit për shërbimet e reja, veçanërisht në aspektin e listimit për tregtim, transparencës ndaj klientit dhe menaxhimit të konflikteve të interesit. “One-off” mbulon krijimin/përshtatjen e procedurave dhe kontrolleve, ndërsa “ongoing” lidhet me funksionimin e vazhdueshëm: raportim, kontroll të brendshëm, pajtueshmëri dhe mirëmbajtje të proceseve.</w:t>
      </w:r>
    </w:p>
    <w:p w:rsidR="00000000" w:rsidDel="00000000" w:rsidP="00000000" w:rsidRDefault="00000000" w:rsidRPr="00000000" w14:paraId="0000019E">
      <w:pPr>
        <w:spacing w:line="276" w:lineRule="auto"/>
        <w:rPr/>
      </w:pPr>
      <w:r w:rsidDel="00000000" w:rsidR="00000000" w:rsidRPr="00000000">
        <w:rPr>
          <w:rtl w:val="0"/>
        </w:rPr>
      </w:r>
    </w:p>
    <w:p w:rsidR="00000000" w:rsidDel="00000000" w:rsidP="00000000" w:rsidRDefault="00000000" w:rsidRPr="00000000" w14:paraId="0000019F">
      <w:pPr>
        <w:spacing w:line="276" w:lineRule="auto"/>
        <w:rPr/>
      </w:pPr>
      <w:r w:rsidDel="00000000" w:rsidR="00000000" w:rsidRPr="00000000">
        <w:rPr>
          <w:rtl w:val="0"/>
        </w:rPr>
        <w:t xml:space="preserve">Për autoritetet përgjegjëse (AMF dhe Banka e Shqipërisë), kostot janë trajtuar si kosto reale institucionale nën kategorinë “grupet e tjera” dhe jo si kosto buxhetore, për shkak se zbatimi parashikohet të mbështetet në burimet vetëfinancuese të institucioneve dhe në mekanizmat ekzistues financiarë (p.sh. tarifa rregullatore), pa kërkuar fonde nga buxheti i shtetit. Këto shpenzime përfshijnë përgatitjen e akteve nënligjore dhe udhëzimeve, trajnime, ngritjen e proceseve të licencimit dhe inspektimit, mjete IT dhe monitorim, si dhe kapacitete njerëzore. Kostot njëherëshe lidhen me krijimin e kornizës së zbatimit dhe mjeteve mbështetëse, ndërsa kostot vjetore lidhen me mbikëqyrjen e vazhdueshme dhe zbatimin praktik.</w:t>
      </w:r>
    </w:p>
    <w:p w:rsidR="00000000" w:rsidDel="00000000" w:rsidP="00000000" w:rsidRDefault="00000000" w:rsidRPr="00000000" w14:paraId="000001A0">
      <w:pPr>
        <w:spacing w:line="276" w:lineRule="auto"/>
        <w:rPr/>
      </w:pPr>
      <w:r w:rsidDel="00000000" w:rsidR="00000000" w:rsidRPr="00000000">
        <w:rPr>
          <w:rtl w:val="0"/>
        </w:rPr>
      </w:r>
    </w:p>
    <w:p w:rsidR="00000000" w:rsidDel="00000000" w:rsidP="00000000" w:rsidRDefault="00000000" w:rsidRPr="00000000" w14:paraId="000001A1">
      <w:pPr>
        <w:spacing w:line="276" w:lineRule="auto"/>
        <w:rPr>
          <w:b w:val="1"/>
          <w:bCs w:val="1"/>
        </w:rPr>
      </w:pPr>
      <w:r w:rsidDel="00000000" w:rsidR="00000000" w:rsidRPr="00000000">
        <w:rPr>
          <w:rtl w:val="0"/>
        </w:rPr>
        <w:t xml:space="preserve">*Shënim: kërkesat për kapital minimal rregullator (50,000/125,000/150,000 EUR sipas klasifikimit të shërbimeve) janë kërkesa prudenciale dhe, në përgjithësi, nuk trajtohen si “shpenzim cash” në tabelat e kostove, pasi kapitali nuk është pagesë por fond i mbajtur si bazë sigurie. Nëse do të vlerësohej ndikimi ekonomik i këtij komponenti, ai do të duhej trajtuar si kosto oportuniteti e kapitalit, e cila kërkon përcaktimin e një norme reference dhe një vendim të qartë metodologjik.</w:t>
      </w:r>
      <w:r w:rsidDel="00000000" w:rsidR="00000000" w:rsidRPr="00000000">
        <w:rPr>
          <w:rtl w:val="0"/>
        </w:rPr>
      </w:r>
    </w:p>
    <w:p w:rsidR="00000000" w:rsidDel="00000000" w:rsidP="00000000" w:rsidRDefault="00000000" w:rsidRPr="00000000" w14:paraId="000001A2">
      <w:pPr>
        <w:spacing w:line="276" w:lineRule="auto"/>
        <w:rPr>
          <w:b w:val="1"/>
          <w:bCs w:val="1"/>
        </w:rPr>
      </w:pPr>
      <w:r w:rsidDel="00000000" w:rsidR="00000000" w:rsidRPr="00000000">
        <w:rPr>
          <w:rtl w:val="0"/>
        </w:rPr>
      </w:r>
    </w:p>
    <w:p w:rsidR="00000000" w:rsidDel="00000000" w:rsidP="00000000" w:rsidRDefault="00000000" w:rsidRPr="00000000" w14:paraId="000001A3">
      <w:pPr>
        <w:spacing w:line="276" w:lineRule="auto"/>
        <w:rPr>
          <w:b w:val="1"/>
          <w:bCs w:val="1"/>
        </w:rPr>
      </w:pPr>
      <w:r w:rsidDel="00000000" w:rsidR="00000000" w:rsidRPr="00000000">
        <w:rPr>
          <w:b w:val="1"/>
          <w:bCs w:val="1"/>
          <w:rtl w:val="0"/>
        </w:rPr>
        <w:t xml:space="preserve">Totali i kostove për secilin skenar </w:t>
      </w:r>
    </w:p>
    <w:p w:rsidR="00000000" w:rsidDel="00000000" w:rsidP="00000000" w:rsidRDefault="00000000" w:rsidRPr="00000000" w14:paraId="000001A4">
      <w:pPr>
        <w:spacing w:line="276" w:lineRule="auto"/>
        <w:rPr>
          <w:b w:val="1"/>
          <w:bCs w:val="1"/>
        </w:rPr>
      </w:pPr>
      <w:r w:rsidDel="00000000" w:rsidR="00000000" w:rsidRPr="00000000">
        <w:rPr>
          <w:b w:val="1"/>
          <w:bCs w:val="1"/>
          <w:rtl w:val="0"/>
        </w:rPr>
        <w:t xml:space="preserve">Skenari A – i ulët</w:t>
      </w:r>
    </w:p>
    <w:p w:rsidR="00000000" w:rsidDel="00000000" w:rsidP="00000000" w:rsidRDefault="00000000" w:rsidRPr="00000000" w14:paraId="000001A5">
      <w:pPr>
        <w:spacing w:line="276" w:lineRule="auto"/>
        <w:rPr/>
      </w:pPr>
      <w:r w:rsidDel="00000000" w:rsidR="00000000" w:rsidRPr="00000000">
        <w:rPr>
          <w:b w:val="1"/>
          <w:bCs w:val="1"/>
          <w:rtl w:val="0"/>
        </w:rPr>
        <w:t xml:space="preserve">Kosto e njëhershme për bizneset  (Viti 1):</w:t>
      </w:r>
      <w:r w:rsidDel="00000000" w:rsidR="00000000" w:rsidRPr="00000000">
        <w:rPr>
          <w:rtl w:val="0"/>
        </w:rPr>
      </w:r>
    </w:p>
    <w:p w:rsidR="00000000" w:rsidDel="00000000" w:rsidP="00000000" w:rsidRDefault="00000000" w:rsidRPr="00000000" w14:paraId="000001A6">
      <w:pPr>
        <w:numPr>
          <w:ilvl w:val="0"/>
          <w:numId w:val="7"/>
        </w:numPr>
        <w:spacing w:line="276" w:lineRule="auto"/>
        <w:ind w:left="720" w:hanging="360"/>
        <w:rPr/>
      </w:pPr>
      <w:r w:rsidDel="00000000" w:rsidR="00000000" w:rsidRPr="00000000">
        <w:rPr>
          <w:rtl w:val="0"/>
        </w:rPr>
        <w:t xml:space="preserve">OSHKA(CASP): 3 × 40,000 = </w:t>
      </w:r>
      <w:r w:rsidDel="00000000" w:rsidR="00000000" w:rsidRPr="00000000">
        <w:rPr>
          <w:b w:val="1"/>
          <w:bCs w:val="1"/>
          <w:rtl w:val="0"/>
        </w:rPr>
        <w:t xml:space="preserve">€120,000</w:t>
      </w:r>
      <w:r w:rsidDel="00000000" w:rsidR="00000000" w:rsidRPr="00000000">
        <w:rPr>
          <w:rtl w:val="0"/>
        </w:rPr>
      </w:r>
    </w:p>
    <w:p w:rsidR="00000000" w:rsidDel="00000000" w:rsidP="00000000" w:rsidRDefault="00000000" w:rsidRPr="00000000" w14:paraId="000001A7">
      <w:pPr>
        <w:numPr>
          <w:ilvl w:val="0"/>
          <w:numId w:val="7"/>
        </w:numPr>
        <w:spacing w:line="276" w:lineRule="auto"/>
        <w:ind w:left="720" w:hanging="360"/>
        <w:rPr/>
      </w:pPr>
      <w:r w:rsidDel="00000000" w:rsidR="00000000" w:rsidRPr="00000000">
        <w:rPr>
          <w:rtl w:val="0"/>
        </w:rPr>
        <w:t xml:space="preserve">Banka/IPE: 1 × 60,000 = </w:t>
      </w:r>
      <w:r w:rsidDel="00000000" w:rsidR="00000000" w:rsidRPr="00000000">
        <w:rPr>
          <w:b w:val="1"/>
          <w:bCs w:val="1"/>
          <w:rtl w:val="0"/>
        </w:rPr>
        <w:t xml:space="preserve">€60,000</w:t>
      </w:r>
      <w:r w:rsidDel="00000000" w:rsidR="00000000" w:rsidRPr="00000000">
        <w:rPr>
          <w:rtl w:val="0"/>
        </w:rPr>
      </w:r>
    </w:p>
    <w:p w:rsidR="00000000" w:rsidDel="00000000" w:rsidP="00000000" w:rsidRDefault="00000000" w:rsidRPr="00000000" w14:paraId="000001A8">
      <w:pPr>
        <w:numPr>
          <w:ilvl w:val="0"/>
          <w:numId w:val="7"/>
        </w:numPr>
        <w:spacing w:line="276" w:lineRule="auto"/>
        <w:ind w:left="720" w:hanging="360"/>
        <w:rPr/>
      </w:pPr>
      <w:r w:rsidDel="00000000" w:rsidR="00000000" w:rsidRPr="00000000">
        <w:rPr>
          <w:rtl w:val="0"/>
        </w:rPr>
        <w:t xml:space="preserve">Shoqëri komisionere: 1 × 50,000 = </w:t>
      </w:r>
      <w:r w:rsidDel="00000000" w:rsidR="00000000" w:rsidRPr="00000000">
        <w:rPr>
          <w:b w:val="1"/>
          <w:bCs w:val="1"/>
          <w:rtl w:val="0"/>
        </w:rPr>
        <w:t xml:space="preserve">€50,000</w:t>
      </w:r>
      <w:r w:rsidDel="00000000" w:rsidR="00000000" w:rsidRPr="00000000">
        <w:rPr>
          <w:rtl w:val="0"/>
        </w:rPr>
        <w:br w:type="textWrapping"/>
      </w:r>
      <w:r w:rsidDel="00000000" w:rsidR="00000000" w:rsidRPr="00000000">
        <w:rPr>
          <w:b w:val="1"/>
          <w:bCs w:val="1"/>
          <w:rtl w:val="0"/>
        </w:rPr>
        <w:t xml:space="preserve">Totali:</w:t>
      </w:r>
      <w:r w:rsidDel="00000000" w:rsidR="00000000" w:rsidRPr="00000000">
        <w:rPr>
          <w:rtl w:val="0"/>
        </w:rPr>
        <w:t xml:space="preserve"> </w:t>
      </w:r>
      <w:r w:rsidDel="00000000" w:rsidR="00000000" w:rsidRPr="00000000">
        <w:rPr>
          <w:b w:val="1"/>
          <w:bCs w:val="1"/>
          <w:rtl w:val="0"/>
        </w:rPr>
        <w:t xml:space="preserve">€230,000</w:t>
      </w:r>
      <w:r w:rsidDel="00000000" w:rsidR="00000000" w:rsidRPr="00000000">
        <w:rPr>
          <w:rtl w:val="0"/>
        </w:rPr>
      </w:r>
    </w:p>
    <w:p w:rsidR="00000000" w:rsidDel="00000000" w:rsidP="00000000" w:rsidRDefault="00000000" w:rsidRPr="00000000" w14:paraId="000001A9">
      <w:pPr>
        <w:spacing w:line="276" w:lineRule="auto"/>
        <w:rPr/>
      </w:pPr>
      <w:r w:rsidDel="00000000" w:rsidR="00000000" w:rsidRPr="00000000">
        <w:rPr>
          <w:b w:val="1"/>
          <w:bCs w:val="1"/>
          <w:rtl w:val="0"/>
        </w:rPr>
        <w:t xml:space="preserve">Kosto për bizneset – në vazhdimësi (çdo vit):</w:t>
      </w:r>
      <w:r w:rsidDel="00000000" w:rsidR="00000000" w:rsidRPr="00000000">
        <w:rPr>
          <w:rtl w:val="0"/>
        </w:rPr>
      </w:r>
    </w:p>
    <w:p w:rsidR="00000000" w:rsidDel="00000000" w:rsidP="00000000" w:rsidRDefault="00000000" w:rsidRPr="00000000" w14:paraId="000001AA">
      <w:pPr>
        <w:numPr>
          <w:ilvl w:val="0"/>
          <w:numId w:val="8"/>
        </w:numPr>
        <w:spacing w:line="276" w:lineRule="auto"/>
        <w:ind w:left="720" w:hanging="360"/>
        <w:rPr/>
      </w:pPr>
      <w:r w:rsidDel="00000000" w:rsidR="00000000" w:rsidRPr="00000000">
        <w:rPr>
          <w:rtl w:val="0"/>
        </w:rPr>
        <w:t xml:space="preserve">OSHKA(CASP): 3 × 25,000 = </w:t>
      </w:r>
      <w:r w:rsidDel="00000000" w:rsidR="00000000" w:rsidRPr="00000000">
        <w:rPr>
          <w:b w:val="1"/>
          <w:bCs w:val="1"/>
          <w:rtl w:val="0"/>
        </w:rPr>
        <w:t xml:space="preserve">€75,000/vit</w:t>
      </w:r>
      <w:r w:rsidDel="00000000" w:rsidR="00000000" w:rsidRPr="00000000">
        <w:rPr>
          <w:rtl w:val="0"/>
        </w:rPr>
      </w:r>
    </w:p>
    <w:p w:rsidR="00000000" w:rsidDel="00000000" w:rsidP="00000000" w:rsidRDefault="00000000" w:rsidRPr="00000000" w14:paraId="000001AB">
      <w:pPr>
        <w:numPr>
          <w:ilvl w:val="0"/>
          <w:numId w:val="8"/>
        </w:numPr>
        <w:spacing w:line="276" w:lineRule="auto"/>
        <w:ind w:left="720" w:hanging="360"/>
        <w:rPr/>
      </w:pPr>
      <w:r w:rsidDel="00000000" w:rsidR="00000000" w:rsidRPr="00000000">
        <w:rPr>
          <w:rtl w:val="0"/>
        </w:rPr>
        <w:t xml:space="preserve">Banka/IPE: 1 × 30,000 = </w:t>
      </w:r>
      <w:r w:rsidDel="00000000" w:rsidR="00000000" w:rsidRPr="00000000">
        <w:rPr>
          <w:b w:val="1"/>
          <w:bCs w:val="1"/>
          <w:rtl w:val="0"/>
        </w:rPr>
        <w:t xml:space="preserve">€30,000/vit</w:t>
      </w:r>
      <w:r w:rsidDel="00000000" w:rsidR="00000000" w:rsidRPr="00000000">
        <w:rPr>
          <w:rtl w:val="0"/>
        </w:rPr>
      </w:r>
    </w:p>
    <w:p w:rsidR="00000000" w:rsidDel="00000000" w:rsidP="00000000" w:rsidRDefault="00000000" w:rsidRPr="00000000" w14:paraId="000001AC">
      <w:pPr>
        <w:numPr>
          <w:ilvl w:val="0"/>
          <w:numId w:val="8"/>
        </w:numPr>
        <w:spacing w:line="276" w:lineRule="auto"/>
        <w:ind w:left="720" w:hanging="360"/>
        <w:rPr/>
      </w:pPr>
      <w:r w:rsidDel="00000000" w:rsidR="00000000" w:rsidRPr="00000000">
        <w:rPr>
          <w:rtl w:val="0"/>
        </w:rPr>
        <w:t xml:space="preserve">Shoqëri komisionere: 1 × 25,000 = </w:t>
      </w:r>
      <w:r w:rsidDel="00000000" w:rsidR="00000000" w:rsidRPr="00000000">
        <w:rPr>
          <w:b w:val="1"/>
          <w:bCs w:val="1"/>
          <w:rtl w:val="0"/>
        </w:rPr>
        <w:t xml:space="preserve">€25,000/vit</w:t>
      </w:r>
      <w:r w:rsidDel="00000000" w:rsidR="00000000" w:rsidRPr="00000000">
        <w:rPr>
          <w:rtl w:val="0"/>
        </w:rPr>
        <w:br w:type="textWrapping"/>
      </w:r>
      <w:r w:rsidDel="00000000" w:rsidR="00000000" w:rsidRPr="00000000">
        <w:rPr>
          <w:b w:val="1"/>
          <w:bCs w:val="1"/>
          <w:rtl w:val="0"/>
        </w:rPr>
        <w:t xml:space="preserve">Totali vjetor:</w:t>
      </w:r>
      <w:r w:rsidDel="00000000" w:rsidR="00000000" w:rsidRPr="00000000">
        <w:rPr>
          <w:rtl w:val="0"/>
        </w:rPr>
        <w:t xml:space="preserve"> </w:t>
      </w:r>
      <w:r w:rsidDel="00000000" w:rsidR="00000000" w:rsidRPr="00000000">
        <w:rPr>
          <w:b w:val="1"/>
          <w:bCs w:val="1"/>
          <w:rtl w:val="0"/>
        </w:rPr>
        <w:t xml:space="preserve">€130,000/vit</w:t>
      </w:r>
      <w:r w:rsidDel="00000000" w:rsidR="00000000" w:rsidRPr="00000000">
        <w:rPr>
          <w:rtl w:val="0"/>
        </w:rPr>
      </w:r>
    </w:p>
    <w:p w:rsidR="00000000" w:rsidDel="00000000" w:rsidP="00000000" w:rsidRDefault="00000000" w:rsidRPr="00000000" w14:paraId="000001AD">
      <w:pPr>
        <w:spacing w:line="276" w:lineRule="auto"/>
        <w:rPr/>
      </w:pPr>
      <w:r w:rsidDel="00000000" w:rsidR="00000000" w:rsidRPr="00000000">
        <w:rPr>
          <w:b w:val="1"/>
          <w:bCs w:val="1"/>
          <w:rtl w:val="0"/>
        </w:rPr>
        <w:t xml:space="preserve">Kosto për grupet e tjera (AMF/BSH):</w:t>
      </w:r>
      <w:r w:rsidDel="00000000" w:rsidR="00000000" w:rsidRPr="00000000">
        <w:rPr>
          <w:rtl w:val="0"/>
        </w:rPr>
      </w:r>
    </w:p>
    <w:p w:rsidR="00000000" w:rsidDel="00000000" w:rsidP="00000000" w:rsidRDefault="00000000" w:rsidRPr="00000000" w14:paraId="000001AE">
      <w:pPr>
        <w:numPr>
          <w:ilvl w:val="0"/>
          <w:numId w:val="9"/>
        </w:numPr>
        <w:spacing w:line="276" w:lineRule="auto"/>
        <w:ind w:left="720" w:hanging="360"/>
        <w:rPr/>
      </w:pPr>
      <w:r w:rsidDel="00000000" w:rsidR="00000000" w:rsidRPr="00000000">
        <w:rPr>
          <w:rtl w:val="0"/>
        </w:rPr>
        <w:t xml:space="preserve">Kosto Njëherë (Viti 1): </w:t>
      </w:r>
      <w:r w:rsidDel="00000000" w:rsidR="00000000" w:rsidRPr="00000000">
        <w:rPr>
          <w:b w:val="1"/>
          <w:bCs w:val="1"/>
          <w:rtl w:val="0"/>
        </w:rPr>
        <w:t xml:space="preserve">€150,000</w:t>
      </w:r>
      <w:r w:rsidDel="00000000" w:rsidR="00000000" w:rsidRPr="00000000">
        <w:rPr>
          <w:rtl w:val="0"/>
        </w:rPr>
      </w:r>
    </w:p>
    <w:p w:rsidR="00000000" w:rsidDel="00000000" w:rsidP="00000000" w:rsidRDefault="00000000" w:rsidRPr="00000000" w14:paraId="000001AF">
      <w:pPr>
        <w:numPr>
          <w:ilvl w:val="0"/>
          <w:numId w:val="9"/>
        </w:numPr>
        <w:spacing w:line="276" w:lineRule="auto"/>
        <w:ind w:left="720" w:hanging="360"/>
        <w:rPr/>
      </w:pPr>
      <w:r w:rsidDel="00000000" w:rsidR="00000000" w:rsidRPr="00000000">
        <w:rPr>
          <w:rtl w:val="0"/>
        </w:rPr>
        <w:t xml:space="preserve">Vjetore: </w:t>
      </w:r>
      <w:r w:rsidDel="00000000" w:rsidR="00000000" w:rsidRPr="00000000">
        <w:rPr>
          <w:b w:val="1"/>
          <w:bCs w:val="1"/>
          <w:rtl w:val="0"/>
        </w:rPr>
        <w:t xml:space="preserve">€120,000/vit</w:t>
      </w:r>
      <w:r w:rsidDel="00000000" w:rsidR="00000000" w:rsidRPr="00000000">
        <w:rPr>
          <w:rtl w:val="0"/>
        </w:rPr>
      </w:r>
    </w:p>
    <w:p w:rsidR="00000000" w:rsidDel="00000000" w:rsidP="00000000" w:rsidRDefault="00000000" w:rsidRPr="00000000" w14:paraId="000001B0">
      <w:pPr>
        <w:spacing w:line="276" w:lineRule="auto"/>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bCs w:val="1"/>
          <w:rtl w:val="0"/>
        </w:rPr>
        <w:t xml:space="preserve">Kosto totale</w:t>
      </w:r>
      <w:r w:rsidDel="00000000" w:rsidR="00000000" w:rsidRPr="00000000">
        <w:rPr>
          <w:rtl w:val="0"/>
        </w:rPr>
        <w:t xml:space="preserve">:</w:t>
      </w:r>
    </w:p>
    <w:p w:rsidR="00000000" w:rsidDel="00000000" w:rsidP="00000000" w:rsidRDefault="00000000" w:rsidRPr="00000000" w14:paraId="000001B1">
      <w:pPr>
        <w:numPr>
          <w:ilvl w:val="0"/>
          <w:numId w:val="10"/>
        </w:numPr>
        <w:spacing w:line="276" w:lineRule="auto"/>
        <w:ind w:left="720" w:hanging="360"/>
        <w:rPr/>
      </w:pPr>
      <w:r w:rsidDel="00000000" w:rsidR="00000000" w:rsidRPr="00000000">
        <w:rPr>
          <w:b w:val="1"/>
          <w:bCs w:val="1"/>
          <w:rtl w:val="0"/>
        </w:rPr>
        <w:t xml:space="preserve">Viti 1</w:t>
      </w:r>
      <w:r w:rsidDel="00000000" w:rsidR="00000000" w:rsidRPr="00000000">
        <w:rPr>
          <w:rtl w:val="0"/>
        </w:rPr>
        <w:t xml:space="preserve"> = 230,000 + 150,000 + (130,000 + 120,000) = </w:t>
      </w:r>
      <w:r w:rsidDel="00000000" w:rsidR="00000000" w:rsidRPr="00000000">
        <w:rPr>
          <w:b w:val="1"/>
          <w:bCs w:val="1"/>
          <w:rtl w:val="0"/>
        </w:rPr>
        <w:t xml:space="preserve">€630,000</w:t>
      </w:r>
      <w:r w:rsidDel="00000000" w:rsidR="00000000" w:rsidRPr="00000000">
        <w:rPr>
          <w:rtl w:val="0"/>
        </w:rPr>
      </w:r>
    </w:p>
    <w:p w:rsidR="00000000" w:rsidDel="00000000" w:rsidP="00000000" w:rsidRDefault="00000000" w:rsidRPr="00000000" w14:paraId="000001B2">
      <w:pPr>
        <w:numPr>
          <w:ilvl w:val="0"/>
          <w:numId w:val="10"/>
        </w:numPr>
        <w:spacing w:line="276" w:lineRule="auto"/>
        <w:ind w:left="720" w:hanging="360"/>
        <w:rPr/>
      </w:pPr>
      <w:r w:rsidDel="00000000" w:rsidR="00000000" w:rsidRPr="00000000">
        <w:rPr>
          <w:b w:val="1"/>
          <w:bCs w:val="1"/>
          <w:rtl w:val="0"/>
        </w:rPr>
        <w:t xml:space="preserve">Vitet 2–10</w:t>
      </w:r>
      <w:r w:rsidDel="00000000" w:rsidR="00000000" w:rsidRPr="00000000">
        <w:rPr>
          <w:rtl w:val="0"/>
        </w:rPr>
        <w:t xml:space="preserve"> = (130,000 + 120,000) = </w:t>
      </w:r>
      <w:r w:rsidDel="00000000" w:rsidR="00000000" w:rsidRPr="00000000">
        <w:rPr>
          <w:b w:val="1"/>
          <w:bCs w:val="1"/>
          <w:rtl w:val="0"/>
        </w:rPr>
        <w:t xml:space="preserve">€250,000/vit</w:t>
      </w:r>
      <w:r w:rsidDel="00000000" w:rsidR="00000000" w:rsidRPr="00000000">
        <w:rPr>
          <w:rtl w:val="0"/>
        </w:rPr>
      </w:r>
    </w:p>
    <w:p w:rsidR="00000000" w:rsidDel="00000000" w:rsidP="00000000" w:rsidRDefault="00000000" w:rsidRPr="00000000" w14:paraId="000001B3">
      <w:pPr>
        <w:spacing w:line="276" w:lineRule="auto"/>
        <w:rPr>
          <w:b w:val="1"/>
          <w:bCs w:val="1"/>
        </w:rPr>
      </w:pPr>
      <w:r w:rsidDel="00000000" w:rsidR="00000000" w:rsidRPr="00000000">
        <w:rPr>
          <w:rtl w:val="0"/>
        </w:rPr>
      </w:r>
    </w:p>
    <w:p w:rsidR="00000000" w:rsidDel="00000000" w:rsidP="00000000" w:rsidRDefault="00000000" w:rsidRPr="00000000" w14:paraId="000001B4">
      <w:pPr>
        <w:spacing w:line="276" w:lineRule="auto"/>
        <w:rPr>
          <w:b w:val="1"/>
          <w:bCs w:val="1"/>
        </w:rPr>
      </w:pPr>
      <w:r w:rsidDel="00000000" w:rsidR="00000000" w:rsidRPr="00000000">
        <w:rPr>
          <w:rtl w:val="0"/>
        </w:rPr>
      </w:r>
    </w:p>
    <w:tbl>
      <w:tblPr>
        <w:tblStyle w:val="Table7"/>
        <w:tblW w:w="125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81"/>
        <w:gridCol w:w="860"/>
        <w:gridCol w:w="860"/>
        <w:gridCol w:w="860"/>
        <w:gridCol w:w="860"/>
        <w:gridCol w:w="860"/>
        <w:gridCol w:w="860"/>
        <w:gridCol w:w="860"/>
        <w:gridCol w:w="860"/>
        <w:gridCol w:w="860"/>
        <w:gridCol w:w="875"/>
        <w:tblGridChange w:id="0">
          <w:tblGrid>
            <w:gridCol w:w="3981"/>
            <w:gridCol w:w="860"/>
            <w:gridCol w:w="860"/>
            <w:gridCol w:w="860"/>
            <w:gridCol w:w="860"/>
            <w:gridCol w:w="860"/>
            <w:gridCol w:w="860"/>
            <w:gridCol w:w="860"/>
            <w:gridCol w:w="860"/>
            <w:gridCol w:w="860"/>
            <w:gridCol w:w="875"/>
          </w:tblGrid>
        </w:tblGridChange>
      </w:tblGrid>
      <w:tr>
        <w:trPr>
          <w:cantSplit w:val="0"/>
          <w:tblHeader w:val="1"/>
        </w:trPr>
        <w:tc>
          <w:tcPr>
            <w:vAlign w:val="center"/>
          </w:tcPr>
          <w:p w:rsidR="00000000" w:rsidDel="00000000" w:rsidP="00000000" w:rsidRDefault="00000000" w:rsidRPr="00000000" w14:paraId="000001B5">
            <w:pPr>
              <w:spacing w:line="276" w:lineRule="auto"/>
              <w:rPr>
                <w:b w:val="1"/>
                <w:bCs w:val="1"/>
              </w:rPr>
            </w:pPr>
            <w:r w:rsidDel="00000000" w:rsidR="00000000" w:rsidRPr="00000000">
              <w:rPr>
                <w:b w:val="1"/>
                <w:bCs w:val="1"/>
                <w:rtl w:val="0"/>
              </w:rPr>
              <w:t xml:space="preserve">Përshkrimi</w:t>
            </w:r>
          </w:p>
        </w:tc>
        <w:tc>
          <w:tcPr>
            <w:vAlign w:val="center"/>
          </w:tcPr>
          <w:p w:rsidR="00000000" w:rsidDel="00000000" w:rsidP="00000000" w:rsidRDefault="00000000" w:rsidRPr="00000000" w14:paraId="000001B6">
            <w:pPr>
              <w:spacing w:line="276" w:lineRule="auto"/>
              <w:rPr>
                <w:b w:val="1"/>
                <w:bCs w:val="1"/>
              </w:rPr>
            </w:pPr>
            <w:r w:rsidDel="00000000" w:rsidR="00000000" w:rsidRPr="00000000">
              <w:rPr>
                <w:b w:val="1"/>
                <w:bCs w:val="1"/>
                <w:rtl w:val="0"/>
              </w:rPr>
              <w:t xml:space="preserve">Viti 1</w:t>
            </w:r>
          </w:p>
        </w:tc>
        <w:tc>
          <w:tcPr>
            <w:vAlign w:val="center"/>
          </w:tcPr>
          <w:p w:rsidR="00000000" w:rsidDel="00000000" w:rsidP="00000000" w:rsidRDefault="00000000" w:rsidRPr="00000000" w14:paraId="000001B7">
            <w:pPr>
              <w:spacing w:line="276" w:lineRule="auto"/>
              <w:rPr>
                <w:b w:val="1"/>
                <w:bCs w:val="1"/>
              </w:rPr>
            </w:pPr>
            <w:r w:rsidDel="00000000" w:rsidR="00000000" w:rsidRPr="00000000">
              <w:rPr>
                <w:b w:val="1"/>
                <w:bCs w:val="1"/>
                <w:rtl w:val="0"/>
              </w:rPr>
              <w:t xml:space="preserve">Viti 2</w:t>
            </w:r>
          </w:p>
        </w:tc>
        <w:tc>
          <w:tcPr>
            <w:vAlign w:val="center"/>
          </w:tcPr>
          <w:p w:rsidR="00000000" w:rsidDel="00000000" w:rsidP="00000000" w:rsidRDefault="00000000" w:rsidRPr="00000000" w14:paraId="000001B8">
            <w:pPr>
              <w:spacing w:line="276" w:lineRule="auto"/>
              <w:rPr>
                <w:b w:val="1"/>
                <w:bCs w:val="1"/>
              </w:rPr>
            </w:pPr>
            <w:r w:rsidDel="00000000" w:rsidR="00000000" w:rsidRPr="00000000">
              <w:rPr>
                <w:b w:val="1"/>
                <w:bCs w:val="1"/>
                <w:rtl w:val="0"/>
              </w:rPr>
              <w:t xml:space="preserve">Viti 3</w:t>
            </w:r>
          </w:p>
        </w:tc>
        <w:tc>
          <w:tcPr>
            <w:vAlign w:val="center"/>
          </w:tcPr>
          <w:p w:rsidR="00000000" w:rsidDel="00000000" w:rsidP="00000000" w:rsidRDefault="00000000" w:rsidRPr="00000000" w14:paraId="000001B9">
            <w:pPr>
              <w:spacing w:line="276" w:lineRule="auto"/>
              <w:rPr>
                <w:b w:val="1"/>
                <w:bCs w:val="1"/>
              </w:rPr>
            </w:pPr>
            <w:r w:rsidDel="00000000" w:rsidR="00000000" w:rsidRPr="00000000">
              <w:rPr>
                <w:b w:val="1"/>
                <w:bCs w:val="1"/>
                <w:rtl w:val="0"/>
              </w:rPr>
              <w:t xml:space="preserve">Viti 4</w:t>
            </w:r>
          </w:p>
        </w:tc>
        <w:tc>
          <w:tcPr>
            <w:vAlign w:val="center"/>
          </w:tcPr>
          <w:p w:rsidR="00000000" w:rsidDel="00000000" w:rsidP="00000000" w:rsidRDefault="00000000" w:rsidRPr="00000000" w14:paraId="000001BA">
            <w:pPr>
              <w:spacing w:line="276" w:lineRule="auto"/>
              <w:rPr>
                <w:b w:val="1"/>
                <w:bCs w:val="1"/>
              </w:rPr>
            </w:pPr>
            <w:r w:rsidDel="00000000" w:rsidR="00000000" w:rsidRPr="00000000">
              <w:rPr>
                <w:b w:val="1"/>
                <w:bCs w:val="1"/>
                <w:rtl w:val="0"/>
              </w:rPr>
              <w:t xml:space="preserve">Viti 5</w:t>
            </w:r>
          </w:p>
        </w:tc>
        <w:tc>
          <w:tcPr>
            <w:vAlign w:val="center"/>
          </w:tcPr>
          <w:p w:rsidR="00000000" w:rsidDel="00000000" w:rsidP="00000000" w:rsidRDefault="00000000" w:rsidRPr="00000000" w14:paraId="000001BB">
            <w:pPr>
              <w:spacing w:line="276" w:lineRule="auto"/>
              <w:rPr>
                <w:b w:val="1"/>
                <w:bCs w:val="1"/>
              </w:rPr>
            </w:pPr>
            <w:r w:rsidDel="00000000" w:rsidR="00000000" w:rsidRPr="00000000">
              <w:rPr>
                <w:b w:val="1"/>
                <w:bCs w:val="1"/>
                <w:rtl w:val="0"/>
              </w:rPr>
              <w:t xml:space="preserve">Viti 6</w:t>
            </w:r>
          </w:p>
        </w:tc>
        <w:tc>
          <w:tcPr>
            <w:vAlign w:val="center"/>
          </w:tcPr>
          <w:p w:rsidR="00000000" w:rsidDel="00000000" w:rsidP="00000000" w:rsidRDefault="00000000" w:rsidRPr="00000000" w14:paraId="000001BC">
            <w:pPr>
              <w:spacing w:line="276" w:lineRule="auto"/>
              <w:rPr>
                <w:b w:val="1"/>
                <w:bCs w:val="1"/>
              </w:rPr>
            </w:pPr>
            <w:r w:rsidDel="00000000" w:rsidR="00000000" w:rsidRPr="00000000">
              <w:rPr>
                <w:b w:val="1"/>
                <w:bCs w:val="1"/>
                <w:rtl w:val="0"/>
              </w:rPr>
              <w:t xml:space="preserve">Viti 7</w:t>
            </w:r>
          </w:p>
        </w:tc>
        <w:tc>
          <w:tcPr>
            <w:vAlign w:val="center"/>
          </w:tcPr>
          <w:p w:rsidR="00000000" w:rsidDel="00000000" w:rsidP="00000000" w:rsidRDefault="00000000" w:rsidRPr="00000000" w14:paraId="000001BD">
            <w:pPr>
              <w:spacing w:line="276" w:lineRule="auto"/>
              <w:rPr>
                <w:b w:val="1"/>
                <w:bCs w:val="1"/>
              </w:rPr>
            </w:pPr>
            <w:r w:rsidDel="00000000" w:rsidR="00000000" w:rsidRPr="00000000">
              <w:rPr>
                <w:b w:val="1"/>
                <w:bCs w:val="1"/>
                <w:rtl w:val="0"/>
              </w:rPr>
              <w:t xml:space="preserve">Viti 8</w:t>
            </w:r>
          </w:p>
        </w:tc>
        <w:tc>
          <w:tcPr>
            <w:vAlign w:val="center"/>
          </w:tcPr>
          <w:p w:rsidR="00000000" w:rsidDel="00000000" w:rsidP="00000000" w:rsidRDefault="00000000" w:rsidRPr="00000000" w14:paraId="000001BE">
            <w:pPr>
              <w:spacing w:line="276" w:lineRule="auto"/>
              <w:rPr>
                <w:b w:val="1"/>
                <w:bCs w:val="1"/>
              </w:rPr>
            </w:pPr>
            <w:r w:rsidDel="00000000" w:rsidR="00000000" w:rsidRPr="00000000">
              <w:rPr>
                <w:b w:val="1"/>
                <w:bCs w:val="1"/>
                <w:rtl w:val="0"/>
              </w:rPr>
              <w:t xml:space="preserve">Viti 9</w:t>
            </w:r>
          </w:p>
        </w:tc>
        <w:tc>
          <w:tcPr>
            <w:vAlign w:val="center"/>
          </w:tcPr>
          <w:p w:rsidR="00000000" w:rsidDel="00000000" w:rsidP="00000000" w:rsidRDefault="00000000" w:rsidRPr="00000000" w14:paraId="000001BF">
            <w:pPr>
              <w:spacing w:line="276" w:lineRule="auto"/>
              <w:rPr>
                <w:b w:val="1"/>
                <w:bCs w:val="1"/>
              </w:rPr>
            </w:pPr>
            <w:r w:rsidDel="00000000" w:rsidR="00000000" w:rsidRPr="00000000">
              <w:rPr>
                <w:b w:val="1"/>
                <w:bCs w:val="1"/>
                <w:rtl w:val="0"/>
              </w:rPr>
              <w:t xml:space="preserve">Viti 10</w:t>
            </w:r>
          </w:p>
        </w:tc>
      </w:tr>
      <w:tr>
        <w:trPr>
          <w:cantSplit w:val="0"/>
          <w:tblHeader w:val="0"/>
        </w:trPr>
        <w:tc>
          <w:tcPr>
            <w:vAlign w:val="center"/>
          </w:tcPr>
          <w:p w:rsidR="00000000" w:rsidDel="00000000" w:rsidP="00000000" w:rsidRDefault="00000000" w:rsidRPr="00000000" w14:paraId="000001C0">
            <w:pPr>
              <w:spacing w:line="276" w:lineRule="auto"/>
              <w:rPr/>
            </w:pPr>
            <w:r w:rsidDel="00000000" w:rsidR="00000000" w:rsidRPr="00000000">
              <w:rPr>
                <w:rtl w:val="0"/>
              </w:rPr>
              <w:t xml:space="preserve">Faktori zbritës</w:t>
            </w:r>
          </w:p>
        </w:tc>
        <w:tc>
          <w:tcPr>
            <w:vAlign w:val="center"/>
          </w:tcPr>
          <w:p w:rsidR="00000000" w:rsidDel="00000000" w:rsidP="00000000" w:rsidRDefault="00000000" w:rsidRPr="00000000" w14:paraId="000001C1">
            <w:pPr>
              <w:spacing w:line="276" w:lineRule="auto"/>
              <w:rPr/>
            </w:pPr>
            <w:r w:rsidDel="00000000" w:rsidR="00000000" w:rsidRPr="00000000">
              <w:rPr>
                <w:rtl w:val="0"/>
              </w:rPr>
              <w:t xml:space="preserve">1.00</w:t>
            </w:r>
          </w:p>
        </w:tc>
        <w:tc>
          <w:tcPr>
            <w:vAlign w:val="center"/>
          </w:tcPr>
          <w:p w:rsidR="00000000" w:rsidDel="00000000" w:rsidP="00000000" w:rsidRDefault="00000000" w:rsidRPr="00000000" w14:paraId="000001C2">
            <w:pPr>
              <w:spacing w:line="276" w:lineRule="auto"/>
              <w:rPr/>
            </w:pPr>
            <w:r w:rsidDel="00000000" w:rsidR="00000000" w:rsidRPr="00000000">
              <w:rPr>
                <w:rtl w:val="0"/>
              </w:rPr>
              <w:t xml:space="preserve">0.95</w:t>
            </w:r>
          </w:p>
        </w:tc>
        <w:tc>
          <w:tcPr>
            <w:vAlign w:val="center"/>
          </w:tcPr>
          <w:p w:rsidR="00000000" w:rsidDel="00000000" w:rsidP="00000000" w:rsidRDefault="00000000" w:rsidRPr="00000000" w14:paraId="000001C3">
            <w:pPr>
              <w:spacing w:line="276" w:lineRule="auto"/>
              <w:rPr/>
            </w:pPr>
            <w:r w:rsidDel="00000000" w:rsidR="00000000" w:rsidRPr="00000000">
              <w:rPr>
                <w:rtl w:val="0"/>
              </w:rPr>
              <w:t xml:space="preserve">0.91</w:t>
            </w:r>
          </w:p>
        </w:tc>
        <w:tc>
          <w:tcPr>
            <w:vAlign w:val="center"/>
          </w:tcPr>
          <w:p w:rsidR="00000000" w:rsidDel="00000000" w:rsidP="00000000" w:rsidRDefault="00000000" w:rsidRPr="00000000" w14:paraId="000001C4">
            <w:pPr>
              <w:spacing w:line="276" w:lineRule="auto"/>
              <w:rPr/>
            </w:pPr>
            <w:r w:rsidDel="00000000" w:rsidR="00000000" w:rsidRPr="00000000">
              <w:rPr>
                <w:rtl w:val="0"/>
              </w:rPr>
              <w:t xml:space="preserve">0.87</w:t>
            </w:r>
          </w:p>
        </w:tc>
        <w:tc>
          <w:tcPr>
            <w:vAlign w:val="center"/>
          </w:tcPr>
          <w:p w:rsidR="00000000" w:rsidDel="00000000" w:rsidP="00000000" w:rsidRDefault="00000000" w:rsidRPr="00000000" w14:paraId="000001C5">
            <w:pPr>
              <w:spacing w:line="276" w:lineRule="auto"/>
              <w:rPr/>
            </w:pPr>
            <w:r w:rsidDel="00000000" w:rsidR="00000000" w:rsidRPr="00000000">
              <w:rPr>
                <w:rtl w:val="0"/>
              </w:rPr>
              <w:t xml:space="preserve">0.82</w:t>
            </w:r>
          </w:p>
        </w:tc>
        <w:tc>
          <w:tcPr>
            <w:vAlign w:val="center"/>
          </w:tcPr>
          <w:p w:rsidR="00000000" w:rsidDel="00000000" w:rsidP="00000000" w:rsidRDefault="00000000" w:rsidRPr="00000000" w14:paraId="000001C6">
            <w:pPr>
              <w:spacing w:line="276" w:lineRule="auto"/>
              <w:rPr/>
            </w:pPr>
            <w:r w:rsidDel="00000000" w:rsidR="00000000" w:rsidRPr="00000000">
              <w:rPr>
                <w:rtl w:val="0"/>
              </w:rPr>
              <w:t xml:space="preserve">0.79</w:t>
            </w:r>
          </w:p>
        </w:tc>
        <w:tc>
          <w:tcPr>
            <w:vAlign w:val="center"/>
          </w:tcPr>
          <w:p w:rsidR="00000000" w:rsidDel="00000000" w:rsidP="00000000" w:rsidRDefault="00000000" w:rsidRPr="00000000" w14:paraId="000001C7">
            <w:pPr>
              <w:spacing w:line="276" w:lineRule="auto"/>
              <w:rPr/>
            </w:pPr>
            <w:r w:rsidDel="00000000" w:rsidR="00000000" w:rsidRPr="00000000">
              <w:rPr>
                <w:rtl w:val="0"/>
              </w:rPr>
              <w:t xml:space="preserve">0.75</w:t>
            </w:r>
          </w:p>
        </w:tc>
        <w:tc>
          <w:tcPr>
            <w:vAlign w:val="center"/>
          </w:tcPr>
          <w:p w:rsidR="00000000" w:rsidDel="00000000" w:rsidP="00000000" w:rsidRDefault="00000000" w:rsidRPr="00000000" w14:paraId="000001C8">
            <w:pPr>
              <w:spacing w:line="276" w:lineRule="auto"/>
              <w:rPr/>
            </w:pPr>
            <w:r w:rsidDel="00000000" w:rsidR="00000000" w:rsidRPr="00000000">
              <w:rPr>
                <w:rtl w:val="0"/>
              </w:rPr>
              <w:t xml:space="preserve">0.71</w:t>
            </w:r>
          </w:p>
        </w:tc>
        <w:tc>
          <w:tcPr>
            <w:vAlign w:val="center"/>
          </w:tcPr>
          <w:p w:rsidR="00000000" w:rsidDel="00000000" w:rsidP="00000000" w:rsidRDefault="00000000" w:rsidRPr="00000000" w14:paraId="000001C9">
            <w:pPr>
              <w:spacing w:line="276" w:lineRule="auto"/>
              <w:rPr/>
            </w:pPr>
            <w:r w:rsidDel="00000000" w:rsidR="00000000" w:rsidRPr="00000000">
              <w:rPr>
                <w:rtl w:val="0"/>
              </w:rPr>
              <w:t xml:space="preserve">0.68</w:t>
            </w:r>
          </w:p>
        </w:tc>
        <w:tc>
          <w:tcPr>
            <w:vAlign w:val="center"/>
          </w:tcPr>
          <w:p w:rsidR="00000000" w:rsidDel="00000000" w:rsidP="00000000" w:rsidRDefault="00000000" w:rsidRPr="00000000" w14:paraId="000001CA">
            <w:pPr>
              <w:spacing w:line="276" w:lineRule="auto"/>
              <w:rPr/>
            </w:pPr>
            <w:r w:rsidDel="00000000" w:rsidR="00000000" w:rsidRPr="00000000">
              <w:rPr>
                <w:rtl w:val="0"/>
              </w:rPr>
              <w:t xml:space="preserve">0.65</w:t>
            </w:r>
          </w:p>
        </w:tc>
      </w:tr>
      <w:tr>
        <w:trPr>
          <w:cantSplit w:val="0"/>
          <w:tblHeader w:val="0"/>
        </w:trPr>
        <w:tc>
          <w:tcPr>
            <w:vAlign w:val="center"/>
          </w:tcPr>
          <w:p w:rsidR="00000000" w:rsidDel="00000000" w:rsidP="00000000" w:rsidRDefault="00000000" w:rsidRPr="00000000" w14:paraId="000001CB">
            <w:pPr>
              <w:spacing w:line="276" w:lineRule="auto"/>
              <w:rPr/>
            </w:pPr>
            <w:r w:rsidDel="00000000" w:rsidR="00000000" w:rsidRPr="00000000">
              <w:rPr>
                <w:rtl w:val="0"/>
              </w:rPr>
              <w:t xml:space="preserve">Kosto për buxhetin – një herë</w:t>
            </w:r>
          </w:p>
        </w:tc>
        <w:tc>
          <w:tcPr>
            <w:vAlign w:val="center"/>
          </w:tcPr>
          <w:p w:rsidR="00000000" w:rsidDel="00000000" w:rsidP="00000000" w:rsidRDefault="00000000" w:rsidRPr="00000000" w14:paraId="000001CC">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CD">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CE">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CF">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0">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1">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2">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3">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4">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5">
            <w:pPr>
              <w:spacing w:line="276" w:lineRule="auto"/>
              <w:rPr/>
            </w:pPr>
            <w:r w:rsidDel="00000000" w:rsidR="00000000" w:rsidRPr="00000000">
              <w:rPr>
                <w:rtl w:val="0"/>
              </w:rPr>
              <w:t xml:space="preserve">0</w:t>
            </w:r>
          </w:p>
        </w:tc>
      </w:tr>
      <w:tr>
        <w:trPr>
          <w:cantSplit w:val="0"/>
          <w:tblHeader w:val="0"/>
        </w:trPr>
        <w:tc>
          <w:tcPr>
            <w:vAlign w:val="center"/>
          </w:tcPr>
          <w:p w:rsidR="00000000" w:rsidDel="00000000" w:rsidP="00000000" w:rsidRDefault="00000000" w:rsidRPr="00000000" w14:paraId="000001D6">
            <w:pPr>
              <w:spacing w:line="276" w:lineRule="auto"/>
              <w:rPr/>
            </w:pPr>
            <w:r w:rsidDel="00000000" w:rsidR="00000000" w:rsidRPr="00000000">
              <w:rPr>
                <w:rtl w:val="0"/>
              </w:rPr>
              <w:t xml:space="preserve">Kosto për buxhetin – në vazhdimësi</w:t>
            </w:r>
          </w:p>
        </w:tc>
        <w:tc>
          <w:tcPr>
            <w:vAlign w:val="center"/>
          </w:tcPr>
          <w:p w:rsidR="00000000" w:rsidDel="00000000" w:rsidP="00000000" w:rsidRDefault="00000000" w:rsidRPr="00000000" w14:paraId="000001D7">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8">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9">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A">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B">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C">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D">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E">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DF">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0">
            <w:pPr>
              <w:spacing w:line="276" w:lineRule="auto"/>
              <w:rPr/>
            </w:pPr>
            <w:r w:rsidDel="00000000" w:rsidR="00000000" w:rsidRPr="00000000">
              <w:rPr>
                <w:rtl w:val="0"/>
              </w:rPr>
              <w:t xml:space="preserve">0</w:t>
            </w:r>
          </w:p>
        </w:tc>
      </w:tr>
      <w:tr>
        <w:trPr>
          <w:cantSplit w:val="0"/>
          <w:tblHeader w:val="0"/>
        </w:trPr>
        <w:tc>
          <w:tcPr>
            <w:vAlign w:val="center"/>
          </w:tcPr>
          <w:p w:rsidR="00000000" w:rsidDel="00000000" w:rsidP="00000000" w:rsidRDefault="00000000" w:rsidRPr="00000000" w14:paraId="000001E1">
            <w:pPr>
              <w:spacing w:line="276" w:lineRule="auto"/>
              <w:rPr/>
            </w:pPr>
            <w:r w:rsidDel="00000000" w:rsidR="00000000" w:rsidRPr="00000000">
              <w:rPr>
                <w:rtl w:val="0"/>
              </w:rPr>
              <w:t xml:space="preserve">Kosto për bizneset – një herë</w:t>
            </w:r>
          </w:p>
        </w:tc>
        <w:tc>
          <w:tcPr>
            <w:vAlign w:val="center"/>
          </w:tcPr>
          <w:p w:rsidR="00000000" w:rsidDel="00000000" w:rsidP="00000000" w:rsidRDefault="00000000" w:rsidRPr="00000000" w14:paraId="000001E2">
            <w:pPr>
              <w:spacing w:line="276" w:lineRule="auto"/>
              <w:rPr/>
            </w:pPr>
            <w:r w:rsidDel="00000000" w:rsidR="00000000" w:rsidRPr="00000000">
              <w:rPr>
                <w:rtl w:val="0"/>
              </w:rPr>
              <w:t xml:space="preserve">230,000</w:t>
            </w:r>
          </w:p>
        </w:tc>
        <w:tc>
          <w:tcPr>
            <w:vAlign w:val="center"/>
          </w:tcPr>
          <w:p w:rsidR="00000000" w:rsidDel="00000000" w:rsidP="00000000" w:rsidRDefault="00000000" w:rsidRPr="00000000" w14:paraId="000001E3">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4">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5">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6">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7">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8">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9">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A">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EB">
            <w:pPr>
              <w:spacing w:line="276" w:lineRule="auto"/>
              <w:rPr/>
            </w:pPr>
            <w:r w:rsidDel="00000000" w:rsidR="00000000" w:rsidRPr="00000000">
              <w:rPr>
                <w:rtl w:val="0"/>
              </w:rPr>
              <w:t xml:space="preserve">0</w:t>
            </w:r>
          </w:p>
        </w:tc>
      </w:tr>
      <w:tr>
        <w:trPr>
          <w:cantSplit w:val="0"/>
          <w:tblHeader w:val="0"/>
        </w:trPr>
        <w:tc>
          <w:tcPr>
            <w:vAlign w:val="center"/>
          </w:tcPr>
          <w:p w:rsidR="00000000" w:rsidDel="00000000" w:rsidP="00000000" w:rsidRDefault="00000000" w:rsidRPr="00000000" w14:paraId="000001EC">
            <w:pPr>
              <w:spacing w:line="276" w:lineRule="auto"/>
              <w:rPr/>
            </w:pPr>
            <w:r w:rsidDel="00000000" w:rsidR="00000000" w:rsidRPr="00000000">
              <w:rPr>
                <w:rtl w:val="0"/>
              </w:rPr>
              <w:t xml:space="preserve">Kosto për bizneset – në vazhdimësi</w:t>
            </w:r>
          </w:p>
        </w:tc>
        <w:tc>
          <w:tcPr>
            <w:vAlign w:val="center"/>
          </w:tcPr>
          <w:p w:rsidR="00000000" w:rsidDel="00000000" w:rsidP="00000000" w:rsidRDefault="00000000" w:rsidRPr="00000000" w14:paraId="000001ED">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EE">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EF">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F0">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F1">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F2">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F3">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F4">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F5">
            <w:pPr>
              <w:spacing w:line="276" w:lineRule="auto"/>
              <w:rPr/>
            </w:pPr>
            <w:r w:rsidDel="00000000" w:rsidR="00000000" w:rsidRPr="00000000">
              <w:rPr>
                <w:rtl w:val="0"/>
              </w:rPr>
              <w:t xml:space="preserve">130,000</w:t>
            </w:r>
          </w:p>
        </w:tc>
        <w:tc>
          <w:tcPr>
            <w:vAlign w:val="center"/>
          </w:tcPr>
          <w:p w:rsidR="00000000" w:rsidDel="00000000" w:rsidP="00000000" w:rsidRDefault="00000000" w:rsidRPr="00000000" w14:paraId="000001F6">
            <w:pPr>
              <w:spacing w:line="276" w:lineRule="auto"/>
              <w:rPr/>
            </w:pPr>
            <w:r w:rsidDel="00000000" w:rsidR="00000000" w:rsidRPr="00000000">
              <w:rPr>
                <w:rtl w:val="0"/>
              </w:rPr>
              <w:t xml:space="preserve">130,000</w:t>
            </w:r>
          </w:p>
        </w:tc>
      </w:tr>
      <w:tr>
        <w:trPr>
          <w:cantSplit w:val="0"/>
          <w:tblHeader w:val="0"/>
        </w:trPr>
        <w:tc>
          <w:tcPr>
            <w:vAlign w:val="center"/>
          </w:tcPr>
          <w:p w:rsidR="00000000" w:rsidDel="00000000" w:rsidP="00000000" w:rsidRDefault="00000000" w:rsidRPr="00000000" w14:paraId="000001F7">
            <w:pPr>
              <w:spacing w:line="276" w:lineRule="auto"/>
              <w:rPr/>
            </w:pPr>
            <w:r w:rsidDel="00000000" w:rsidR="00000000" w:rsidRPr="00000000">
              <w:rPr>
                <w:rtl w:val="0"/>
              </w:rPr>
              <w:t xml:space="preserve">Kosto për grupet e tjera – një herë</w:t>
            </w:r>
          </w:p>
        </w:tc>
        <w:tc>
          <w:tcPr>
            <w:vAlign w:val="center"/>
          </w:tcPr>
          <w:p w:rsidR="00000000" w:rsidDel="00000000" w:rsidP="00000000" w:rsidRDefault="00000000" w:rsidRPr="00000000" w14:paraId="000001F8">
            <w:pPr>
              <w:spacing w:line="276" w:lineRule="auto"/>
              <w:rPr/>
            </w:pPr>
            <w:r w:rsidDel="00000000" w:rsidR="00000000" w:rsidRPr="00000000">
              <w:rPr>
                <w:rtl w:val="0"/>
              </w:rPr>
              <w:t xml:space="preserve">150,000</w:t>
            </w:r>
          </w:p>
        </w:tc>
        <w:tc>
          <w:tcPr>
            <w:vAlign w:val="center"/>
          </w:tcPr>
          <w:p w:rsidR="00000000" w:rsidDel="00000000" w:rsidP="00000000" w:rsidRDefault="00000000" w:rsidRPr="00000000" w14:paraId="000001F9">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FA">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FB">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FC">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FD">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FE">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1FF">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200">
            <w:pPr>
              <w:spacing w:line="276" w:lineRule="auto"/>
              <w:rPr/>
            </w:pPr>
            <w:r w:rsidDel="00000000" w:rsidR="00000000" w:rsidRPr="00000000">
              <w:rPr>
                <w:rtl w:val="0"/>
              </w:rPr>
              <w:t xml:space="preserve">0</w:t>
            </w:r>
          </w:p>
        </w:tc>
        <w:tc>
          <w:tcPr>
            <w:vAlign w:val="center"/>
          </w:tcPr>
          <w:p w:rsidR="00000000" w:rsidDel="00000000" w:rsidP="00000000" w:rsidRDefault="00000000" w:rsidRPr="00000000" w14:paraId="00000201">
            <w:pPr>
              <w:spacing w:line="276" w:lineRule="auto"/>
              <w:rPr/>
            </w:pPr>
            <w:r w:rsidDel="00000000" w:rsidR="00000000" w:rsidRPr="00000000">
              <w:rPr>
                <w:rtl w:val="0"/>
              </w:rPr>
              <w:t xml:space="preserve">0</w:t>
            </w:r>
          </w:p>
        </w:tc>
      </w:tr>
      <w:tr>
        <w:trPr>
          <w:cantSplit w:val="0"/>
          <w:tblHeader w:val="0"/>
        </w:trPr>
        <w:tc>
          <w:tcPr>
            <w:vAlign w:val="center"/>
          </w:tcPr>
          <w:p w:rsidR="00000000" w:rsidDel="00000000" w:rsidP="00000000" w:rsidRDefault="00000000" w:rsidRPr="00000000" w14:paraId="00000202">
            <w:pPr>
              <w:spacing w:line="276" w:lineRule="auto"/>
              <w:rPr/>
            </w:pPr>
            <w:r w:rsidDel="00000000" w:rsidR="00000000" w:rsidRPr="00000000">
              <w:rPr>
                <w:rtl w:val="0"/>
              </w:rPr>
              <w:t xml:space="preserve">Kosto për grupet e tjera – në vazhdimësi</w:t>
            </w:r>
          </w:p>
        </w:tc>
        <w:tc>
          <w:tcPr>
            <w:vAlign w:val="center"/>
          </w:tcPr>
          <w:p w:rsidR="00000000" w:rsidDel="00000000" w:rsidP="00000000" w:rsidRDefault="00000000" w:rsidRPr="00000000" w14:paraId="00000203">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4">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5">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6">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7">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8">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9">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A">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B">
            <w:pPr>
              <w:spacing w:line="276" w:lineRule="auto"/>
              <w:rPr/>
            </w:pPr>
            <w:r w:rsidDel="00000000" w:rsidR="00000000" w:rsidRPr="00000000">
              <w:rPr>
                <w:rtl w:val="0"/>
              </w:rPr>
              <w:t xml:space="preserve">120,000</w:t>
            </w:r>
          </w:p>
        </w:tc>
        <w:tc>
          <w:tcPr>
            <w:vAlign w:val="center"/>
          </w:tcPr>
          <w:p w:rsidR="00000000" w:rsidDel="00000000" w:rsidP="00000000" w:rsidRDefault="00000000" w:rsidRPr="00000000" w14:paraId="0000020C">
            <w:pPr>
              <w:spacing w:line="276" w:lineRule="auto"/>
              <w:rPr/>
            </w:pPr>
            <w:r w:rsidDel="00000000" w:rsidR="00000000" w:rsidRPr="00000000">
              <w:rPr>
                <w:rtl w:val="0"/>
              </w:rPr>
              <w:t xml:space="preserve">120,000</w:t>
            </w:r>
          </w:p>
        </w:tc>
      </w:tr>
      <w:tr>
        <w:trPr>
          <w:cantSplit w:val="0"/>
          <w:tblHeader w:val="0"/>
        </w:trPr>
        <w:tc>
          <w:tcPr>
            <w:vAlign w:val="center"/>
          </w:tcPr>
          <w:p w:rsidR="00000000" w:rsidDel="00000000" w:rsidP="00000000" w:rsidRDefault="00000000" w:rsidRPr="00000000" w14:paraId="0000020D">
            <w:pPr>
              <w:spacing w:line="276" w:lineRule="auto"/>
              <w:rPr/>
            </w:pPr>
            <w:r w:rsidDel="00000000" w:rsidR="00000000" w:rsidRPr="00000000">
              <w:rPr>
                <w:b w:val="1"/>
                <w:bCs w:val="1"/>
                <w:rtl w:val="0"/>
              </w:rPr>
              <w:t xml:space="preserve">Kosto në total</w:t>
            </w:r>
            <w:r w:rsidDel="00000000" w:rsidR="00000000" w:rsidRPr="00000000">
              <w:rPr>
                <w:rtl w:val="0"/>
              </w:rPr>
            </w:r>
          </w:p>
        </w:tc>
        <w:tc>
          <w:tcPr>
            <w:vAlign w:val="center"/>
          </w:tcPr>
          <w:p w:rsidR="00000000" w:rsidDel="00000000" w:rsidP="00000000" w:rsidRDefault="00000000" w:rsidRPr="00000000" w14:paraId="0000020E">
            <w:pPr>
              <w:spacing w:line="276" w:lineRule="auto"/>
              <w:rPr/>
            </w:pPr>
            <w:r w:rsidDel="00000000" w:rsidR="00000000" w:rsidRPr="00000000">
              <w:rPr>
                <w:b w:val="1"/>
                <w:bCs w:val="1"/>
                <w:rtl w:val="0"/>
              </w:rPr>
              <w:t xml:space="preserve">360,000</w:t>
            </w:r>
            <w:r w:rsidDel="00000000" w:rsidR="00000000" w:rsidRPr="00000000">
              <w:rPr>
                <w:rtl w:val="0"/>
              </w:rPr>
            </w:r>
          </w:p>
        </w:tc>
        <w:tc>
          <w:tcPr>
            <w:vAlign w:val="center"/>
          </w:tcPr>
          <w:p w:rsidR="00000000" w:rsidDel="00000000" w:rsidP="00000000" w:rsidRDefault="00000000" w:rsidRPr="00000000" w14:paraId="0000020F">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0">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1">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2">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3">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4">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5">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6">
            <w:pPr>
              <w:spacing w:line="276" w:lineRule="auto"/>
              <w:rPr/>
            </w:pPr>
            <w:r w:rsidDel="00000000" w:rsidR="00000000" w:rsidRPr="00000000">
              <w:rPr>
                <w:b w:val="1"/>
                <w:bCs w:val="1"/>
                <w:rtl w:val="0"/>
              </w:rPr>
              <w:t xml:space="preserve">250,000</w:t>
            </w:r>
            <w:r w:rsidDel="00000000" w:rsidR="00000000" w:rsidRPr="00000000">
              <w:rPr>
                <w:rtl w:val="0"/>
              </w:rPr>
            </w:r>
          </w:p>
        </w:tc>
        <w:tc>
          <w:tcPr>
            <w:vAlign w:val="center"/>
          </w:tcPr>
          <w:p w:rsidR="00000000" w:rsidDel="00000000" w:rsidP="00000000" w:rsidRDefault="00000000" w:rsidRPr="00000000" w14:paraId="00000217">
            <w:pPr>
              <w:spacing w:line="276" w:lineRule="auto"/>
              <w:rPr/>
            </w:pPr>
            <w:r w:rsidDel="00000000" w:rsidR="00000000" w:rsidRPr="00000000">
              <w:rPr>
                <w:b w:val="1"/>
                <w:bCs w:val="1"/>
                <w:rtl w:val="0"/>
              </w:rPr>
              <w:t xml:space="preserve">250,000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8">
            <w:pPr>
              <w:spacing w:line="276" w:lineRule="auto"/>
              <w:rPr/>
            </w:pPr>
            <w:r w:rsidDel="00000000" w:rsidR="00000000" w:rsidRPr="00000000">
              <w:rPr>
                <w:b w:val="1"/>
                <w:bCs w:val="1"/>
                <w:rtl w:val="0"/>
              </w:rPr>
              <w:t xml:space="preserve">Kosto e zbritur</w:t>
            </w:r>
            <w:r w:rsidDel="00000000" w:rsidR="00000000" w:rsidRPr="00000000">
              <w:rPr>
                <w:rtl w:val="0"/>
              </w:rPr>
            </w:r>
          </w:p>
        </w:tc>
        <w:tc>
          <w:tcPr>
            <w:vAlign w:val="center"/>
          </w:tcPr>
          <w:p w:rsidR="00000000" w:rsidDel="00000000" w:rsidP="00000000" w:rsidRDefault="00000000" w:rsidRPr="00000000" w14:paraId="00000219">
            <w:pPr>
              <w:spacing w:line="276" w:lineRule="auto"/>
              <w:rPr/>
            </w:pPr>
            <w:r w:rsidDel="00000000" w:rsidR="00000000" w:rsidRPr="00000000">
              <w:rPr>
                <w:b w:val="1"/>
                <w:bCs w:val="1"/>
                <w:rtl w:val="0"/>
              </w:rPr>
              <w:t xml:space="preserve">360,000</w:t>
            </w:r>
            <w:r w:rsidDel="00000000" w:rsidR="00000000" w:rsidRPr="00000000">
              <w:rPr>
                <w:rtl w:val="0"/>
              </w:rPr>
            </w:r>
          </w:p>
        </w:tc>
        <w:tc>
          <w:tcPr>
            <w:vAlign w:val="center"/>
          </w:tcPr>
          <w:p w:rsidR="00000000" w:rsidDel="00000000" w:rsidP="00000000" w:rsidRDefault="00000000" w:rsidRPr="00000000" w14:paraId="0000021A">
            <w:pPr>
              <w:spacing w:line="276" w:lineRule="auto"/>
              <w:rPr/>
            </w:pPr>
            <w:r w:rsidDel="00000000" w:rsidR="00000000" w:rsidRPr="00000000">
              <w:rPr>
                <w:b w:val="1"/>
                <w:bCs w:val="1"/>
                <w:rtl w:val="0"/>
              </w:rPr>
              <w:t xml:space="preserve">237,500</w:t>
            </w:r>
            <w:r w:rsidDel="00000000" w:rsidR="00000000" w:rsidRPr="00000000">
              <w:rPr>
                <w:rtl w:val="0"/>
              </w:rPr>
            </w:r>
          </w:p>
        </w:tc>
        <w:tc>
          <w:tcPr>
            <w:vAlign w:val="center"/>
          </w:tcPr>
          <w:p w:rsidR="00000000" w:rsidDel="00000000" w:rsidP="00000000" w:rsidRDefault="00000000" w:rsidRPr="00000000" w14:paraId="0000021B">
            <w:pPr>
              <w:spacing w:line="276" w:lineRule="auto"/>
              <w:rPr/>
            </w:pPr>
            <w:r w:rsidDel="00000000" w:rsidR="00000000" w:rsidRPr="00000000">
              <w:rPr>
                <w:b w:val="1"/>
                <w:bCs w:val="1"/>
                <w:rtl w:val="0"/>
              </w:rPr>
              <w:t xml:space="preserve">227,500</w:t>
            </w:r>
            <w:r w:rsidDel="00000000" w:rsidR="00000000" w:rsidRPr="00000000">
              <w:rPr>
                <w:rtl w:val="0"/>
              </w:rPr>
            </w:r>
          </w:p>
        </w:tc>
        <w:tc>
          <w:tcPr>
            <w:vAlign w:val="center"/>
          </w:tcPr>
          <w:p w:rsidR="00000000" w:rsidDel="00000000" w:rsidP="00000000" w:rsidRDefault="00000000" w:rsidRPr="00000000" w14:paraId="0000021C">
            <w:pPr>
              <w:spacing w:line="276" w:lineRule="auto"/>
              <w:rPr/>
            </w:pPr>
            <w:r w:rsidDel="00000000" w:rsidR="00000000" w:rsidRPr="00000000">
              <w:rPr>
                <w:b w:val="1"/>
                <w:bCs w:val="1"/>
                <w:rtl w:val="0"/>
              </w:rPr>
              <w:t xml:space="preserve">217,500</w:t>
            </w:r>
            <w:r w:rsidDel="00000000" w:rsidR="00000000" w:rsidRPr="00000000">
              <w:rPr>
                <w:rtl w:val="0"/>
              </w:rPr>
            </w:r>
          </w:p>
        </w:tc>
        <w:tc>
          <w:tcPr>
            <w:vAlign w:val="center"/>
          </w:tcPr>
          <w:p w:rsidR="00000000" w:rsidDel="00000000" w:rsidP="00000000" w:rsidRDefault="00000000" w:rsidRPr="00000000" w14:paraId="0000021D">
            <w:pPr>
              <w:spacing w:line="276" w:lineRule="auto"/>
              <w:rPr/>
            </w:pPr>
            <w:r w:rsidDel="00000000" w:rsidR="00000000" w:rsidRPr="00000000">
              <w:rPr>
                <w:b w:val="1"/>
                <w:bCs w:val="1"/>
                <w:rtl w:val="0"/>
              </w:rPr>
              <w:t xml:space="preserve">205,000</w:t>
            </w:r>
            <w:r w:rsidDel="00000000" w:rsidR="00000000" w:rsidRPr="00000000">
              <w:rPr>
                <w:rtl w:val="0"/>
              </w:rPr>
            </w:r>
          </w:p>
        </w:tc>
        <w:tc>
          <w:tcPr>
            <w:vAlign w:val="center"/>
          </w:tcPr>
          <w:p w:rsidR="00000000" w:rsidDel="00000000" w:rsidP="00000000" w:rsidRDefault="00000000" w:rsidRPr="00000000" w14:paraId="0000021E">
            <w:pPr>
              <w:spacing w:line="276" w:lineRule="auto"/>
              <w:rPr/>
            </w:pPr>
            <w:r w:rsidDel="00000000" w:rsidR="00000000" w:rsidRPr="00000000">
              <w:rPr>
                <w:b w:val="1"/>
                <w:bCs w:val="1"/>
                <w:rtl w:val="0"/>
              </w:rPr>
              <w:t xml:space="preserve">197,500</w:t>
            </w:r>
            <w:r w:rsidDel="00000000" w:rsidR="00000000" w:rsidRPr="00000000">
              <w:rPr>
                <w:rtl w:val="0"/>
              </w:rPr>
            </w:r>
          </w:p>
        </w:tc>
        <w:tc>
          <w:tcPr>
            <w:vAlign w:val="center"/>
          </w:tcPr>
          <w:p w:rsidR="00000000" w:rsidDel="00000000" w:rsidP="00000000" w:rsidRDefault="00000000" w:rsidRPr="00000000" w14:paraId="0000021F">
            <w:pPr>
              <w:spacing w:line="276" w:lineRule="auto"/>
              <w:rPr/>
            </w:pPr>
            <w:r w:rsidDel="00000000" w:rsidR="00000000" w:rsidRPr="00000000">
              <w:rPr>
                <w:b w:val="1"/>
                <w:bCs w:val="1"/>
                <w:rtl w:val="0"/>
              </w:rPr>
              <w:t xml:space="preserve">187,500</w:t>
            </w:r>
            <w:r w:rsidDel="00000000" w:rsidR="00000000" w:rsidRPr="00000000">
              <w:rPr>
                <w:rtl w:val="0"/>
              </w:rPr>
            </w:r>
          </w:p>
        </w:tc>
        <w:tc>
          <w:tcPr>
            <w:vAlign w:val="center"/>
          </w:tcPr>
          <w:p w:rsidR="00000000" w:rsidDel="00000000" w:rsidP="00000000" w:rsidRDefault="00000000" w:rsidRPr="00000000" w14:paraId="00000220">
            <w:pPr>
              <w:spacing w:line="276" w:lineRule="auto"/>
              <w:rPr/>
            </w:pPr>
            <w:r w:rsidDel="00000000" w:rsidR="00000000" w:rsidRPr="00000000">
              <w:rPr>
                <w:b w:val="1"/>
                <w:bCs w:val="1"/>
                <w:rtl w:val="0"/>
              </w:rPr>
              <w:t xml:space="preserve">177,500</w:t>
            </w:r>
            <w:r w:rsidDel="00000000" w:rsidR="00000000" w:rsidRPr="00000000">
              <w:rPr>
                <w:rtl w:val="0"/>
              </w:rPr>
            </w:r>
          </w:p>
        </w:tc>
        <w:tc>
          <w:tcPr>
            <w:vAlign w:val="center"/>
          </w:tcPr>
          <w:p w:rsidR="00000000" w:rsidDel="00000000" w:rsidP="00000000" w:rsidRDefault="00000000" w:rsidRPr="00000000" w14:paraId="00000221">
            <w:pPr>
              <w:spacing w:line="276" w:lineRule="auto"/>
              <w:rPr/>
            </w:pPr>
            <w:r w:rsidDel="00000000" w:rsidR="00000000" w:rsidRPr="00000000">
              <w:rPr>
                <w:b w:val="1"/>
                <w:bCs w:val="1"/>
                <w:rtl w:val="0"/>
              </w:rPr>
              <w:t xml:space="preserve">170,000</w:t>
            </w:r>
            <w:r w:rsidDel="00000000" w:rsidR="00000000" w:rsidRPr="00000000">
              <w:rPr>
                <w:rtl w:val="0"/>
              </w:rPr>
            </w:r>
          </w:p>
        </w:tc>
        <w:tc>
          <w:tcPr>
            <w:vAlign w:val="center"/>
          </w:tcPr>
          <w:p w:rsidR="00000000" w:rsidDel="00000000" w:rsidP="00000000" w:rsidRDefault="00000000" w:rsidRPr="00000000" w14:paraId="00000222">
            <w:pPr>
              <w:spacing w:line="276" w:lineRule="auto"/>
              <w:rPr/>
            </w:pPr>
            <w:r w:rsidDel="00000000" w:rsidR="00000000" w:rsidRPr="00000000">
              <w:rPr>
                <w:b w:val="1"/>
                <w:bCs w:val="1"/>
                <w:rtl w:val="0"/>
              </w:rPr>
              <w:t xml:space="preserve">162,500</w:t>
            </w:r>
            <w:r w:rsidDel="00000000" w:rsidR="00000000" w:rsidRPr="00000000">
              <w:rPr>
                <w:rtl w:val="0"/>
              </w:rPr>
            </w:r>
          </w:p>
        </w:tc>
      </w:tr>
    </w:tbl>
    <w:p w:rsidR="00000000" w:rsidDel="00000000" w:rsidP="00000000" w:rsidRDefault="00000000" w:rsidRPr="00000000" w14:paraId="00000223">
      <w:pPr>
        <w:spacing w:line="276" w:lineRule="auto"/>
        <w:rPr/>
        <w:sectPr>
          <w:type w:val="continuous"/>
          <w:pgSz w:h="11907" w:w="16840" w:orient="landscape"/>
          <w:pgMar w:bottom="850" w:top="850" w:left="677" w:right="677" w:header="288" w:footer="288"/>
        </w:sectPr>
      </w:pPr>
      <w:r w:rsidDel="00000000" w:rsidR="00000000" w:rsidRPr="00000000">
        <w:rPr>
          <w:rtl w:val="0"/>
        </w:rPr>
      </w:r>
    </w:p>
    <w:p w:rsidR="00000000" w:rsidDel="00000000" w:rsidP="00000000" w:rsidRDefault="00000000" w:rsidRPr="00000000" w14:paraId="00000224">
      <w:pPr>
        <w:spacing w:line="276" w:lineRule="auto"/>
        <w:rPr>
          <w:b w:val="1"/>
          <w:bCs w:val="1"/>
        </w:rPr>
      </w:pPr>
      <w:r w:rsidDel="00000000" w:rsidR="00000000" w:rsidRPr="00000000">
        <w:rPr>
          <w:rtl w:val="0"/>
        </w:rPr>
      </w:r>
    </w:p>
    <w:p w:rsidR="00000000" w:rsidDel="00000000" w:rsidP="00000000" w:rsidRDefault="00000000" w:rsidRPr="00000000" w14:paraId="00000225">
      <w:pPr>
        <w:spacing w:line="276" w:lineRule="auto"/>
        <w:rPr>
          <w:b w:val="1"/>
          <w:bCs w:val="1"/>
        </w:rPr>
      </w:pPr>
      <w:r w:rsidDel="00000000" w:rsidR="00000000" w:rsidRPr="00000000">
        <w:rPr>
          <w:b w:val="1"/>
          <w:bCs w:val="1"/>
          <w:rtl w:val="0"/>
        </w:rPr>
        <w:t xml:space="preserve">Skenari B – bazë</w:t>
      </w:r>
    </w:p>
    <w:p w:rsidR="00000000" w:rsidDel="00000000" w:rsidP="00000000" w:rsidRDefault="00000000" w:rsidRPr="00000000" w14:paraId="00000226">
      <w:pPr>
        <w:spacing w:line="276" w:lineRule="auto"/>
        <w:rPr/>
      </w:pPr>
      <w:r w:rsidDel="00000000" w:rsidR="00000000" w:rsidRPr="00000000">
        <w:rPr>
          <w:b w:val="1"/>
          <w:bCs w:val="1"/>
          <w:rtl w:val="0"/>
        </w:rPr>
        <w:t xml:space="preserve">Kostot e njëhershme (Viti 1)</w:t>
      </w:r>
      <w:r w:rsidDel="00000000" w:rsidR="00000000" w:rsidRPr="00000000">
        <w:rPr>
          <w:rtl w:val="0"/>
        </w:rPr>
        <w:t xml:space="preserve">:</w:t>
      </w:r>
    </w:p>
    <w:p w:rsidR="00000000" w:rsidDel="00000000" w:rsidP="00000000" w:rsidRDefault="00000000" w:rsidRPr="00000000" w14:paraId="00000227">
      <w:pPr>
        <w:numPr>
          <w:ilvl w:val="0"/>
          <w:numId w:val="11"/>
        </w:numPr>
        <w:spacing w:line="276" w:lineRule="auto"/>
        <w:ind w:left="720" w:hanging="360"/>
        <w:rPr/>
      </w:pPr>
      <w:r w:rsidDel="00000000" w:rsidR="00000000" w:rsidRPr="00000000">
        <w:rPr>
          <w:rtl w:val="0"/>
        </w:rPr>
        <w:t xml:space="preserve">OSHKA(CASP): 6×40,000=240,000</w:t>
      </w:r>
    </w:p>
    <w:p w:rsidR="00000000" w:rsidDel="00000000" w:rsidP="00000000" w:rsidRDefault="00000000" w:rsidRPr="00000000" w14:paraId="00000228">
      <w:pPr>
        <w:numPr>
          <w:ilvl w:val="0"/>
          <w:numId w:val="11"/>
        </w:numPr>
        <w:spacing w:line="276" w:lineRule="auto"/>
        <w:ind w:left="720" w:hanging="360"/>
        <w:rPr/>
      </w:pPr>
      <w:r w:rsidDel="00000000" w:rsidR="00000000" w:rsidRPr="00000000">
        <w:rPr>
          <w:rtl w:val="0"/>
        </w:rPr>
        <w:t xml:space="preserve">Banka/IPE: 2×60,000=120,000</w:t>
      </w:r>
    </w:p>
    <w:p w:rsidR="00000000" w:rsidDel="00000000" w:rsidP="00000000" w:rsidRDefault="00000000" w:rsidRPr="00000000" w14:paraId="00000229">
      <w:pPr>
        <w:numPr>
          <w:ilvl w:val="0"/>
          <w:numId w:val="11"/>
        </w:numPr>
        <w:spacing w:line="276" w:lineRule="auto"/>
        <w:ind w:left="720" w:hanging="360"/>
        <w:rPr/>
      </w:pPr>
      <w:r w:rsidDel="00000000" w:rsidR="00000000" w:rsidRPr="00000000">
        <w:rPr>
          <w:rtl w:val="0"/>
        </w:rPr>
        <w:t xml:space="preserve">Shoqëri komisionere: 2×50,000=100,000</w:t>
        <w:br w:type="textWrapping"/>
      </w:r>
      <w:r w:rsidDel="00000000" w:rsidR="00000000" w:rsidRPr="00000000">
        <w:rPr>
          <w:b w:val="1"/>
          <w:bCs w:val="1"/>
          <w:rtl w:val="0"/>
        </w:rPr>
        <w:t xml:space="preserve">Totali: €460,000</w:t>
      </w:r>
      <w:r w:rsidDel="00000000" w:rsidR="00000000" w:rsidRPr="00000000">
        <w:rPr>
          <w:rtl w:val="0"/>
        </w:rPr>
      </w:r>
    </w:p>
    <w:p w:rsidR="00000000" w:rsidDel="00000000" w:rsidP="00000000" w:rsidRDefault="00000000" w:rsidRPr="00000000" w14:paraId="0000022A">
      <w:pPr>
        <w:spacing w:line="276" w:lineRule="auto"/>
        <w:rPr/>
      </w:pPr>
      <w:r w:rsidDel="00000000" w:rsidR="00000000" w:rsidRPr="00000000">
        <w:rPr>
          <w:b w:val="1"/>
          <w:bCs w:val="1"/>
          <w:rtl w:val="0"/>
        </w:rPr>
        <w:t xml:space="preserve">Kostot Vjetore</w:t>
      </w:r>
      <w:r w:rsidDel="00000000" w:rsidR="00000000" w:rsidRPr="00000000">
        <w:rPr>
          <w:rtl w:val="0"/>
        </w:rPr>
        <w:t xml:space="preserve">:</w:t>
      </w:r>
    </w:p>
    <w:p w:rsidR="00000000" w:rsidDel="00000000" w:rsidP="00000000" w:rsidRDefault="00000000" w:rsidRPr="00000000" w14:paraId="0000022B">
      <w:pPr>
        <w:numPr>
          <w:ilvl w:val="0"/>
          <w:numId w:val="12"/>
        </w:numPr>
        <w:spacing w:line="276" w:lineRule="auto"/>
        <w:ind w:left="720" w:hanging="360"/>
        <w:rPr/>
      </w:pPr>
      <w:r w:rsidDel="00000000" w:rsidR="00000000" w:rsidRPr="00000000">
        <w:rPr>
          <w:rtl w:val="0"/>
        </w:rPr>
        <w:t xml:space="preserve">OSHKA(CASP): 6×25,000=150,000</w:t>
      </w:r>
    </w:p>
    <w:p w:rsidR="00000000" w:rsidDel="00000000" w:rsidP="00000000" w:rsidRDefault="00000000" w:rsidRPr="00000000" w14:paraId="0000022C">
      <w:pPr>
        <w:numPr>
          <w:ilvl w:val="0"/>
          <w:numId w:val="12"/>
        </w:numPr>
        <w:spacing w:line="276" w:lineRule="auto"/>
        <w:ind w:left="720" w:hanging="360"/>
        <w:rPr/>
      </w:pPr>
      <w:r w:rsidDel="00000000" w:rsidR="00000000" w:rsidRPr="00000000">
        <w:rPr>
          <w:rtl w:val="0"/>
        </w:rPr>
        <w:t xml:space="preserve">Banka/IPE: 2×30,000=60,000</w:t>
      </w:r>
    </w:p>
    <w:p w:rsidR="00000000" w:rsidDel="00000000" w:rsidP="00000000" w:rsidRDefault="00000000" w:rsidRPr="00000000" w14:paraId="0000022D">
      <w:pPr>
        <w:numPr>
          <w:ilvl w:val="0"/>
          <w:numId w:val="12"/>
        </w:numPr>
        <w:spacing w:line="276" w:lineRule="auto"/>
        <w:ind w:left="720" w:hanging="360"/>
        <w:rPr/>
      </w:pPr>
      <w:r w:rsidDel="00000000" w:rsidR="00000000" w:rsidRPr="00000000">
        <w:rPr>
          <w:rtl w:val="0"/>
        </w:rPr>
        <w:t xml:space="preserve">Shoqëri komisionere: 2×25,000=50,000</w:t>
        <w:br w:type="textWrapping"/>
      </w:r>
      <w:r w:rsidDel="00000000" w:rsidR="00000000" w:rsidRPr="00000000">
        <w:rPr>
          <w:b w:val="1"/>
          <w:bCs w:val="1"/>
          <w:rtl w:val="0"/>
        </w:rPr>
        <w:t xml:space="preserve">Totali vjetor: €260,000/vit</w:t>
      </w:r>
      <w:r w:rsidDel="00000000" w:rsidR="00000000" w:rsidRPr="00000000">
        <w:rPr>
          <w:rtl w:val="0"/>
        </w:rPr>
      </w:r>
    </w:p>
    <w:p w:rsidR="00000000" w:rsidDel="00000000" w:rsidP="00000000" w:rsidRDefault="00000000" w:rsidRPr="00000000" w14:paraId="0000022E">
      <w:pPr>
        <w:spacing w:line="276" w:lineRule="auto"/>
        <w:rPr/>
      </w:pPr>
      <w:r w:rsidDel="00000000" w:rsidR="00000000" w:rsidRPr="00000000">
        <w:rPr>
          <w:rtl w:val="0"/>
        </w:rPr>
        <w:t xml:space="preserve">AMF/BSH: kosto një herë €250,000; vjetore €200,000/vit</w:t>
      </w:r>
    </w:p>
    <w:p w:rsidR="00000000" w:rsidDel="00000000" w:rsidP="00000000" w:rsidRDefault="00000000" w:rsidRPr="00000000" w14:paraId="0000022F">
      <w:pPr>
        <w:spacing w:line="276" w:lineRule="auto"/>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bCs w:val="1"/>
          <w:rtl w:val="0"/>
        </w:rPr>
        <w:t xml:space="preserve">Kosto totale</w:t>
      </w:r>
      <w:r w:rsidDel="00000000" w:rsidR="00000000" w:rsidRPr="00000000">
        <w:rPr>
          <w:rtl w:val="0"/>
        </w:rPr>
        <w:t xml:space="preserve">:</w:t>
      </w:r>
    </w:p>
    <w:p w:rsidR="00000000" w:rsidDel="00000000" w:rsidP="00000000" w:rsidRDefault="00000000" w:rsidRPr="00000000" w14:paraId="00000230">
      <w:pPr>
        <w:numPr>
          <w:ilvl w:val="0"/>
          <w:numId w:val="13"/>
        </w:numPr>
        <w:spacing w:line="276" w:lineRule="auto"/>
        <w:ind w:left="720" w:hanging="360"/>
        <w:rPr/>
      </w:pPr>
      <w:r w:rsidDel="00000000" w:rsidR="00000000" w:rsidRPr="00000000">
        <w:rPr>
          <w:rtl w:val="0"/>
        </w:rPr>
        <w:t xml:space="preserve">Viti 1 = 460,000 + 250,000 + (260,000 + 200,000) = €1,170,000</w:t>
      </w:r>
    </w:p>
    <w:p w:rsidR="00000000" w:rsidDel="00000000" w:rsidP="00000000" w:rsidRDefault="00000000" w:rsidRPr="00000000" w14:paraId="00000231">
      <w:pPr>
        <w:numPr>
          <w:ilvl w:val="0"/>
          <w:numId w:val="13"/>
        </w:numPr>
        <w:spacing w:line="276" w:lineRule="auto"/>
        <w:ind w:left="720" w:hanging="360"/>
        <w:rPr>
          <w:b w:val="1"/>
          <w:bCs w:val="1"/>
        </w:rPr>
      </w:pPr>
      <w:r w:rsidDel="00000000" w:rsidR="00000000" w:rsidRPr="00000000">
        <w:rPr>
          <w:rtl w:val="0"/>
        </w:rPr>
        <w:t xml:space="preserve">Vitet 2–10 = (260,000 + 200,000) = €460,000/vit</w:t>
      </w:r>
      <w:r w:rsidDel="00000000" w:rsidR="00000000" w:rsidRPr="00000000">
        <w:rPr>
          <w:rtl w:val="0"/>
        </w:rPr>
      </w:r>
    </w:p>
    <w:p w:rsidR="00000000" w:rsidDel="00000000" w:rsidP="00000000" w:rsidRDefault="00000000" w:rsidRPr="00000000" w14:paraId="00000232">
      <w:pPr>
        <w:spacing w:line="276" w:lineRule="auto"/>
        <w:rPr/>
      </w:pPr>
      <w:r w:rsidDel="00000000" w:rsidR="00000000" w:rsidRPr="00000000">
        <w:rPr>
          <w:rtl w:val="0"/>
        </w:rPr>
      </w:r>
    </w:p>
    <w:tbl>
      <w:tblPr>
        <w:tblStyle w:val="Table8"/>
        <w:tblW w:w="130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1040"/>
        <w:gridCol w:w="860"/>
        <w:gridCol w:w="860"/>
        <w:gridCol w:w="860"/>
        <w:gridCol w:w="860"/>
        <w:gridCol w:w="860"/>
        <w:gridCol w:w="860"/>
        <w:gridCol w:w="860"/>
        <w:gridCol w:w="860"/>
        <w:gridCol w:w="875"/>
        <w:tblGridChange w:id="0">
          <w:tblGrid>
            <w:gridCol w:w="4248"/>
            <w:gridCol w:w="1040"/>
            <w:gridCol w:w="860"/>
            <w:gridCol w:w="860"/>
            <w:gridCol w:w="860"/>
            <w:gridCol w:w="860"/>
            <w:gridCol w:w="860"/>
            <w:gridCol w:w="860"/>
            <w:gridCol w:w="860"/>
            <w:gridCol w:w="860"/>
            <w:gridCol w:w="875"/>
          </w:tblGrid>
        </w:tblGridChange>
      </w:tblGrid>
      <w:tr>
        <w:trPr>
          <w:cantSplit w:val="0"/>
          <w:tblHeader w:val="1"/>
        </w:trPr>
        <w:tc>
          <w:tcPr>
            <w:vAlign w:val="center"/>
          </w:tcPr>
          <w:p w:rsidR="00000000" w:rsidDel="00000000" w:rsidP="00000000" w:rsidRDefault="00000000" w:rsidRPr="00000000" w14:paraId="00000233">
            <w:pPr>
              <w:spacing w:line="276" w:lineRule="auto"/>
              <w:rPr>
                <w:b w:val="1"/>
                <w:bCs w:val="1"/>
              </w:rPr>
            </w:pPr>
            <w:r w:rsidDel="00000000" w:rsidR="00000000" w:rsidRPr="00000000">
              <w:rPr>
                <w:b w:val="1"/>
                <w:bCs w:val="1"/>
                <w:rtl w:val="0"/>
              </w:rPr>
              <w:t xml:space="preserve">Përshkrimi</w:t>
            </w:r>
          </w:p>
        </w:tc>
        <w:tc>
          <w:tcPr>
            <w:vAlign w:val="center"/>
          </w:tcPr>
          <w:p w:rsidR="00000000" w:rsidDel="00000000" w:rsidP="00000000" w:rsidRDefault="00000000" w:rsidRPr="00000000" w14:paraId="00000234">
            <w:pPr>
              <w:spacing w:line="276" w:lineRule="auto"/>
              <w:rPr>
                <w:b w:val="1"/>
                <w:bCs w:val="1"/>
              </w:rPr>
            </w:pPr>
            <w:r w:rsidDel="00000000" w:rsidR="00000000" w:rsidRPr="00000000">
              <w:rPr>
                <w:b w:val="1"/>
                <w:bCs w:val="1"/>
                <w:rtl w:val="0"/>
              </w:rPr>
              <w:t xml:space="preserve">Viti 1</w:t>
            </w:r>
          </w:p>
        </w:tc>
        <w:tc>
          <w:tcPr>
            <w:vAlign w:val="center"/>
          </w:tcPr>
          <w:p w:rsidR="00000000" w:rsidDel="00000000" w:rsidP="00000000" w:rsidRDefault="00000000" w:rsidRPr="00000000" w14:paraId="00000235">
            <w:pPr>
              <w:spacing w:line="276" w:lineRule="auto"/>
              <w:rPr>
                <w:b w:val="1"/>
                <w:bCs w:val="1"/>
              </w:rPr>
            </w:pPr>
            <w:r w:rsidDel="00000000" w:rsidR="00000000" w:rsidRPr="00000000">
              <w:rPr>
                <w:b w:val="1"/>
                <w:bCs w:val="1"/>
                <w:rtl w:val="0"/>
              </w:rPr>
              <w:t xml:space="preserve">Viti 2</w:t>
            </w:r>
          </w:p>
        </w:tc>
        <w:tc>
          <w:tcPr>
            <w:vAlign w:val="center"/>
          </w:tcPr>
          <w:p w:rsidR="00000000" w:rsidDel="00000000" w:rsidP="00000000" w:rsidRDefault="00000000" w:rsidRPr="00000000" w14:paraId="00000236">
            <w:pPr>
              <w:spacing w:line="276" w:lineRule="auto"/>
              <w:rPr>
                <w:b w:val="1"/>
                <w:bCs w:val="1"/>
              </w:rPr>
            </w:pPr>
            <w:r w:rsidDel="00000000" w:rsidR="00000000" w:rsidRPr="00000000">
              <w:rPr>
                <w:b w:val="1"/>
                <w:bCs w:val="1"/>
                <w:rtl w:val="0"/>
              </w:rPr>
              <w:t xml:space="preserve">Viti 3</w:t>
            </w:r>
          </w:p>
        </w:tc>
        <w:tc>
          <w:tcPr>
            <w:vAlign w:val="center"/>
          </w:tcPr>
          <w:p w:rsidR="00000000" w:rsidDel="00000000" w:rsidP="00000000" w:rsidRDefault="00000000" w:rsidRPr="00000000" w14:paraId="00000237">
            <w:pPr>
              <w:spacing w:line="276" w:lineRule="auto"/>
              <w:rPr>
                <w:b w:val="1"/>
                <w:bCs w:val="1"/>
              </w:rPr>
            </w:pPr>
            <w:r w:rsidDel="00000000" w:rsidR="00000000" w:rsidRPr="00000000">
              <w:rPr>
                <w:b w:val="1"/>
                <w:bCs w:val="1"/>
                <w:rtl w:val="0"/>
              </w:rPr>
              <w:t xml:space="preserve">Viti 4</w:t>
            </w:r>
          </w:p>
        </w:tc>
        <w:tc>
          <w:tcPr>
            <w:vAlign w:val="center"/>
          </w:tcPr>
          <w:p w:rsidR="00000000" w:rsidDel="00000000" w:rsidP="00000000" w:rsidRDefault="00000000" w:rsidRPr="00000000" w14:paraId="00000238">
            <w:pPr>
              <w:spacing w:line="276" w:lineRule="auto"/>
              <w:rPr>
                <w:b w:val="1"/>
                <w:bCs w:val="1"/>
              </w:rPr>
            </w:pPr>
            <w:r w:rsidDel="00000000" w:rsidR="00000000" w:rsidRPr="00000000">
              <w:rPr>
                <w:b w:val="1"/>
                <w:bCs w:val="1"/>
                <w:rtl w:val="0"/>
              </w:rPr>
              <w:t xml:space="preserve">Viti 5</w:t>
            </w:r>
          </w:p>
        </w:tc>
        <w:tc>
          <w:tcPr>
            <w:vAlign w:val="center"/>
          </w:tcPr>
          <w:p w:rsidR="00000000" w:rsidDel="00000000" w:rsidP="00000000" w:rsidRDefault="00000000" w:rsidRPr="00000000" w14:paraId="00000239">
            <w:pPr>
              <w:spacing w:line="276" w:lineRule="auto"/>
              <w:rPr>
                <w:b w:val="1"/>
                <w:bCs w:val="1"/>
              </w:rPr>
            </w:pPr>
            <w:r w:rsidDel="00000000" w:rsidR="00000000" w:rsidRPr="00000000">
              <w:rPr>
                <w:b w:val="1"/>
                <w:bCs w:val="1"/>
                <w:rtl w:val="0"/>
              </w:rPr>
              <w:t xml:space="preserve">Viti 6</w:t>
            </w:r>
          </w:p>
        </w:tc>
        <w:tc>
          <w:tcPr>
            <w:vAlign w:val="center"/>
          </w:tcPr>
          <w:p w:rsidR="00000000" w:rsidDel="00000000" w:rsidP="00000000" w:rsidRDefault="00000000" w:rsidRPr="00000000" w14:paraId="0000023A">
            <w:pPr>
              <w:spacing w:line="276" w:lineRule="auto"/>
              <w:rPr>
                <w:b w:val="1"/>
                <w:bCs w:val="1"/>
              </w:rPr>
            </w:pPr>
            <w:r w:rsidDel="00000000" w:rsidR="00000000" w:rsidRPr="00000000">
              <w:rPr>
                <w:b w:val="1"/>
                <w:bCs w:val="1"/>
                <w:rtl w:val="0"/>
              </w:rPr>
              <w:t xml:space="preserve">Viti 7</w:t>
            </w:r>
          </w:p>
        </w:tc>
        <w:tc>
          <w:tcPr>
            <w:vAlign w:val="center"/>
          </w:tcPr>
          <w:p w:rsidR="00000000" w:rsidDel="00000000" w:rsidP="00000000" w:rsidRDefault="00000000" w:rsidRPr="00000000" w14:paraId="0000023B">
            <w:pPr>
              <w:spacing w:line="276" w:lineRule="auto"/>
              <w:rPr>
                <w:b w:val="1"/>
                <w:bCs w:val="1"/>
              </w:rPr>
            </w:pPr>
            <w:r w:rsidDel="00000000" w:rsidR="00000000" w:rsidRPr="00000000">
              <w:rPr>
                <w:b w:val="1"/>
                <w:bCs w:val="1"/>
                <w:rtl w:val="0"/>
              </w:rPr>
              <w:t xml:space="preserve">Viti 8</w:t>
            </w:r>
          </w:p>
        </w:tc>
        <w:tc>
          <w:tcPr>
            <w:vAlign w:val="center"/>
          </w:tcPr>
          <w:p w:rsidR="00000000" w:rsidDel="00000000" w:rsidP="00000000" w:rsidRDefault="00000000" w:rsidRPr="00000000" w14:paraId="0000023C">
            <w:pPr>
              <w:spacing w:line="276" w:lineRule="auto"/>
              <w:rPr>
                <w:b w:val="1"/>
                <w:bCs w:val="1"/>
              </w:rPr>
            </w:pPr>
            <w:r w:rsidDel="00000000" w:rsidR="00000000" w:rsidRPr="00000000">
              <w:rPr>
                <w:b w:val="1"/>
                <w:bCs w:val="1"/>
                <w:rtl w:val="0"/>
              </w:rPr>
              <w:t xml:space="preserve">Viti 9</w:t>
            </w:r>
          </w:p>
        </w:tc>
        <w:tc>
          <w:tcPr>
            <w:vAlign w:val="center"/>
          </w:tcPr>
          <w:p w:rsidR="00000000" w:rsidDel="00000000" w:rsidP="00000000" w:rsidRDefault="00000000" w:rsidRPr="00000000" w14:paraId="0000023D">
            <w:pPr>
              <w:spacing w:line="276" w:lineRule="auto"/>
              <w:rPr>
                <w:b w:val="1"/>
                <w:bCs w:val="1"/>
              </w:rPr>
            </w:pPr>
            <w:r w:rsidDel="00000000" w:rsidR="00000000" w:rsidRPr="00000000">
              <w:rPr>
                <w:b w:val="1"/>
                <w:bCs w:val="1"/>
                <w:rtl w:val="0"/>
              </w:rPr>
              <w:t xml:space="preserve">Viti 10</w:t>
            </w:r>
          </w:p>
        </w:tc>
      </w:tr>
      <w:tr>
        <w:trPr>
          <w:cantSplit w:val="0"/>
          <w:tblHeader w:val="0"/>
        </w:trPr>
        <w:tc>
          <w:tcPr>
            <w:vAlign w:val="center"/>
          </w:tcPr>
          <w:p w:rsidR="00000000" w:rsidDel="00000000" w:rsidP="00000000" w:rsidRDefault="00000000" w:rsidRPr="00000000" w14:paraId="0000023E">
            <w:pPr>
              <w:spacing w:line="276" w:lineRule="auto"/>
              <w:rPr>
                <w:b w:val="1"/>
                <w:bCs w:val="1"/>
              </w:rPr>
            </w:pPr>
            <w:r w:rsidDel="00000000" w:rsidR="00000000" w:rsidRPr="00000000">
              <w:rPr>
                <w:b w:val="1"/>
                <w:bCs w:val="1"/>
                <w:rtl w:val="0"/>
              </w:rPr>
              <w:t xml:space="preserve">Faktori zbritës</w:t>
            </w:r>
          </w:p>
        </w:tc>
        <w:tc>
          <w:tcPr>
            <w:vAlign w:val="center"/>
          </w:tcPr>
          <w:p w:rsidR="00000000" w:rsidDel="00000000" w:rsidP="00000000" w:rsidRDefault="00000000" w:rsidRPr="00000000" w14:paraId="0000023F">
            <w:pPr>
              <w:spacing w:line="276" w:lineRule="auto"/>
              <w:rPr>
                <w:b w:val="1"/>
                <w:bCs w:val="1"/>
              </w:rPr>
            </w:pPr>
            <w:r w:rsidDel="00000000" w:rsidR="00000000" w:rsidRPr="00000000">
              <w:rPr>
                <w:b w:val="1"/>
                <w:bCs w:val="1"/>
                <w:rtl w:val="0"/>
              </w:rPr>
              <w:t xml:space="preserve">1.00</w:t>
            </w:r>
          </w:p>
        </w:tc>
        <w:tc>
          <w:tcPr>
            <w:vAlign w:val="center"/>
          </w:tcPr>
          <w:p w:rsidR="00000000" w:rsidDel="00000000" w:rsidP="00000000" w:rsidRDefault="00000000" w:rsidRPr="00000000" w14:paraId="00000240">
            <w:pPr>
              <w:spacing w:line="276" w:lineRule="auto"/>
              <w:rPr>
                <w:b w:val="1"/>
                <w:bCs w:val="1"/>
              </w:rPr>
            </w:pPr>
            <w:r w:rsidDel="00000000" w:rsidR="00000000" w:rsidRPr="00000000">
              <w:rPr>
                <w:b w:val="1"/>
                <w:bCs w:val="1"/>
                <w:rtl w:val="0"/>
              </w:rPr>
              <w:t xml:space="preserve">0.95</w:t>
            </w:r>
          </w:p>
        </w:tc>
        <w:tc>
          <w:tcPr>
            <w:vAlign w:val="center"/>
          </w:tcPr>
          <w:p w:rsidR="00000000" w:rsidDel="00000000" w:rsidP="00000000" w:rsidRDefault="00000000" w:rsidRPr="00000000" w14:paraId="00000241">
            <w:pPr>
              <w:spacing w:line="276" w:lineRule="auto"/>
              <w:rPr>
                <w:b w:val="1"/>
                <w:bCs w:val="1"/>
              </w:rPr>
            </w:pPr>
            <w:r w:rsidDel="00000000" w:rsidR="00000000" w:rsidRPr="00000000">
              <w:rPr>
                <w:b w:val="1"/>
                <w:bCs w:val="1"/>
                <w:rtl w:val="0"/>
              </w:rPr>
              <w:t xml:space="preserve">0.91</w:t>
            </w:r>
          </w:p>
        </w:tc>
        <w:tc>
          <w:tcPr>
            <w:vAlign w:val="center"/>
          </w:tcPr>
          <w:p w:rsidR="00000000" w:rsidDel="00000000" w:rsidP="00000000" w:rsidRDefault="00000000" w:rsidRPr="00000000" w14:paraId="00000242">
            <w:pPr>
              <w:spacing w:line="276" w:lineRule="auto"/>
              <w:rPr>
                <w:b w:val="1"/>
                <w:bCs w:val="1"/>
              </w:rPr>
            </w:pPr>
            <w:r w:rsidDel="00000000" w:rsidR="00000000" w:rsidRPr="00000000">
              <w:rPr>
                <w:b w:val="1"/>
                <w:bCs w:val="1"/>
                <w:rtl w:val="0"/>
              </w:rPr>
              <w:t xml:space="preserve">0.87</w:t>
            </w:r>
          </w:p>
        </w:tc>
        <w:tc>
          <w:tcPr>
            <w:vAlign w:val="center"/>
          </w:tcPr>
          <w:p w:rsidR="00000000" w:rsidDel="00000000" w:rsidP="00000000" w:rsidRDefault="00000000" w:rsidRPr="00000000" w14:paraId="00000243">
            <w:pPr>
              <w:spacing w:line="276" w:lineRule="auto"/>
              <w:rPr>
                <w:b w:val="1"/>
                <w:bCs w:val="1"/>
              </w:rPr>
            </w:pPr>
            <w:r w:rsidDel="00000000" w:rsidR="00000000" w:rsidRPr="00000000">
              <w:rPr>
                <w:b w:val="1"/>
                <w:bCs w:val="1"/>
                <w:rtl w:val="0"/>
              </w:rPr>
              <w:t xml:space="preserve">0.82</w:t>
            </w:r>
          </w:p>
        </w:tc>
        <w:tc>
          <w:tcPr>
            <w:vAlign w:val="center"/>
          </w:tcPr>
          <w:p w:rsidR="00000000" w:rsidDel="00000000" w:rsidP="00000000" w:rsidRDefault="00000000" w:rsidRPr="00000000" w14:paraId="00000244">
            <w:pPr>
              <w:spacing w:line="276" w:lineRule="auto"/>
              <w:rPr>
                <w:b w:val="1"/>
                <w:bCs w:val="1"/>
              </w:rPr>
            </w:pPr>
            <w:r w:rsidDel="00000000" w:rsidR="00000000" w:rsidRPr="00000000">
              <w:rPr>
                <w:b w:val="1"/>
                <w:bCs w:val="1"/>
                <w:rtl w:val="0"/>
              </w:rPr>
              <w:t xml:space="preserve">0.79</w:t>
            </w:r>
          </w:p>
        </w:tc>
        <w:tc>
          <w:tcPr>
            <w:vAlign w:val="center"/>
          </w:tcPr>
          <w:p w:rsidR="00000000" w:rsidDel="00000000" w:rsidP="00000000" w:rsidRDefault="00000000" w:rsidRPr="00000000" w14:paraId="00000245">
            <w:pPr>
              <w:spacing w:line="276" w:lineRule="auto"/>
              <w:rPr>
                <w:b w:val="1"/>
                <w:bCs w:val="1"/>
              </w:rPr>
            </w:pPr>
            <w:r w:rsidDel="00000000" w:rsidR="00000000" w:rsidRPr="00000000">
              <w:rPr>
                <w:b w:val="1"/>
                <w:bCs w:val="1"/>
                <w:rtl w:val="0"/>
              </w:rPr>
              <w:t xml:space="preserve">0.75</w:t>
            </w:r>
          </w:p>
        </w:tc>
        <w:tc>
          <w:tcPr>
            <w:vAlign w:val="center"/>
          </w:tcPr>
          <w:p w:rsidR="00000000" w:rsidDel="00000000" w:rsidP="00000000" w:rsidRDefault="00000000" w:rsidRPr="00000000" w14:paraId="00000246">
            <w:pPr>
              <w:spacing w:line="276" w:lineRule="auto"/>
              <w:rPr>
                <w:b w:val="1"/>
                <w:bCs w:val="1"/>
              </w:rPr>
            </w:pPr>
            <w:r w:rsidDel="00000000" w:rsidR="00000000" w:rsidRPr="00000000">
              <w:rPr>
                <w:b w:val="1"/>
                <w:bCs w:val="1"/>
                <w:rtl w:val="0"/>
              </w:rPr>
              <w:t xml:space="preserve">0.71</w:t>
            </w:r>
          </w:p>
        </w:tc>
        <w:tc>
          <w:tcPr>
            <w:vAlign w:val="center"/>
          </w:tcPr>
          <w:p w:rsidR="00000000" w:rsidDel="00000000" w:rsidP="00000000" w:rsidRDefault="00000000" w:rsidRPr="00000000" w14:paraId="00000247">
            <w:pPr>
              <w:spacing w:line="276" w:lineRule="auto"/>
              <w:rPr>
                <w:b w:val="1"/>
                <w:bCs w:val="1"/>
              </w:rPr>
            </w:pPr>
            <w:r w:rsidDel="00000000" w:rsidR="00000000" w:rsidRPr="00000000">
              <w:rPr>
                <w:b w:val="1"/>
                <w:bCs w:val="1"/>
                <w:rtl w:val="0"/>
              </w:rPr>
              <w:t xml:space="preserve">0.68</w:t>
            </w:r>
          </w:p>
        </w:tc>
        <w:tc>
          <w:tcPr>
            <w:vAlign w:val="center"/>
          </w:tcPr>
          <w:p w:rsidR="00000000" w:rsidDel="00000000" w:rsidP="00000000" w:rsidRDefault="00000000" w:rsidRPr="00000000" w14:paraId="00000248">
            <w:pPr>
              <w:spacing w:line="276" w:lineRule="auto"/>
              <w:rPr>
                <w:b w:val="1"/>
                <w:bCs w:val="1"/>
              </w:rPr>
            </w:pPr>
            <w:r w:rsidDel="00000000" w:rsidR="00000000" w:rsidRPr="00000000">
              <w:rPr>
                <w:b w:val="1"/>
                <w:bCs w:val="1"/>
                <w:rtl w:val="0"/>
              </w:rPr>
              <w:t xml:space="preserve">0.65</w:t>
            </w:r>
          </w:p>
        </w:tc>
      </w:tr>
      <w:tr>
        <w:trPr>
          <w:cantSplit w:val="0"/>
          <w:tblHeader w:val="0"/>
        </w:trPr>
        <w:tc>
          <w:tcPr>
            <w:vAlign w:val="center"/>
          </w:tcPr>
          <w:p w:rsidR="00000000" w:rsidDel="00000000" w:rsidP="00000000" w:rsidRDefault="00000000" w:rsidRPr="00000000" w14:paraId="00000249">
            <w:pPr>
              <w:spacing w:line="276" w:lineRule="auto"/>
              <w:rPr>
                <w:b w:val="1"/>
                <w:bCs w:val="1"/>
              </w:rPr>
            </w:pPr>
            <w:r w:rsidDel="00000000" w:rsidR="00000000" w:rsidRPr="00000000">
              <w:rPr>
                <w:b w:val="1"/>
                <w:bCs w:val="1"/>
                <w:rtl w:val="0"/>
              </w:rPr>
              <w:t xml:space="preserve">Kosto për buxhetin – një herë</w:t>
            </w:r>
          </w:p>
        </w:tc>
        <w:tc>
          <w:tcPr>
            <w:vAlign w:val="center"/>
          </w:tcPr>
          <w:p w:rsidR="00000000" w:rsidDel="00000000" w:rsidP="00000000" w:rsidRDefault="00000000" w:rsidRPr="00000000" w14:paraId="0000024A">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4B">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4C">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4D">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4E">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4F">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0">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1">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2">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3">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54">
            <w:pPr>
              <w:spacing w:line="276" w:lineRule="auto"/>
              <w:rPr>
                <w:b w:val="1"/>
                <w:bCs w:val="1"/>
              </w:rPr>
            </w:pPr>
            <w:r w:rsidDel="00000000" w:rsidR="00000000" w:rsidRPr="00000000">
              <w:rPr>
                <w:b w:val="1"/>
                <w:bCs w:val="1"/>
                <w:rtl w:val="0"/>
              </w:rPr>
              <w:t xml:space="preserve">Kosto për buxhetin – në vazhdimësi</w:t>
            </w:r>
          </w:p>
        </w:tc>
        <w:tc>
          <w:tcPr>
            <w:vAlign w:val="center"/>
          </w:tcPr>
          <w:p w:rsidR="00000000" w:rsidDel="00000000" w:rsidP="00000000" w:rsidRDefault="00000000" w:rsidRPr="00000000" w14:paraId="00000255">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6">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7">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8">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9">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A">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B">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C">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D">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5E">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5F">
            <w:pPr>
              <w:spacing w:line="276" w:lineRule="auto"/>
              <w:rPr>
                <w:b w:val="1"/>
                <w:bCs w:val="1"/>
              </w:rPr>
            </w:pPr>
            <w:r w:rsidDel="00000000" w:rsidR="00000000" w:rsidRPr="00000000">
              <w:rPr>
                <w:b w:val="1"/>
                <w:bCs w:val="1"/>
                <w:rtl w:val="0"/>
              </w:rPr>
              <w:t xml:space="preserve">Kosto për bizneset – një herë</w:t>
            </w:r>
          </w:p>
        </w:tc>
        <w:tc>
          <w:tcPr>
            <w:vAlign w:val="center"/>
          </w:tcPr>
          <w:p w:rsidR="00000000" w:rsidDel="00000000" w:rsidP="00000000" w:rsidRDefault="00000000" w:rsidRPr="00000000" w14:paraId="00000260">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61">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2">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3">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4">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5">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6">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7">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8">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69">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6A">
            <w:pPr>
              <w:spacing w:line="276" w:lineRule="auto"/>
              <w:rPr>
                <w:b w:val="1"/>
                <w:bCs w:val="1"/>
              </w:rPr>
            </w:pPr>
            <w:r w:rsidDel="00000000" w:rsidR="00000000" w:rsidRPr="00000000">
              <w:rPr>
                <w:b w:val="1"/>
                <w:bCs w:val="1"/>
                <w:rtl w:val="0"/>
              </w:rPr>
              <w:t xml:space="preserve">Kosto për bizneset – në vazhdimësi</w:t>
            </w:r>
          </w:p>
        </w:tc>
        <w:tc>
          <w:tcPr>
            <w:vAlign w:val="center"/>
          </w:tcPr>
          <w:p w:rsidR="00000000" w:rsidDel="00000000" w:rsidP="00000000" w:rsidRDefault="00000000" w:rsidRPr="00000000" w14:paraId="0000026B">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6C">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6D">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6E">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6F">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70">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71">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72">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73">
            <w:pPr>
              <w:spacing w:line="276" w:lineRule="auto"/>
              <w:rPr>
                <w:b w:val="1"/>
                <w:bCs w:val="1"/>
              </w:rPr>
            </w:pPr>
            <w:r w:rsidDel="00000000" w:rsidR="00000000" w:rsidRPr="00000000">
              <w:rPr>
                <w:b w:val="1"/>
                <w:bCs w:val="1"/>
                <w:rtl w:val="0"/>
              </w:rPr>
              <w:t xml:space="preserve">260,000</w:t>
            </w:r>
          </w:p>
        </w:tc>
        <w:tc>
          <w:tcPr>
            <w:vAlign w:val="center"/>
          </w:tcPr>
          <w:p w:rsidR="00000000" w:rsidDel="00000000" w:rsidP="00000000" w:rsidRDefault="00000000" w:rsidRPr="00000000" w14:paraId="00000274">
            <w:pPr>
              <w:spacing w:line="276" w:lineRule="auto"/>
              <w:rPr>
                <w:b w:val="1"/>
                <w:bCs w:val="1"/>
              </w:rPr>
            </w:pPr>
            <w:r w:rsidDel="00000000" w:rsidR="00000000" w:rsidRPr="00000000">
              <w:rPr>
                <w:b w:val="1"/>
                <w:bCs w:val="1"/>
                <w:rtl w:val="0"/>
              </w:rPr>
              <w:t xml:space="preserve">260,000</w:t>
            </w:r>
          </w:p>
        </w:tc>
      </w:tr>
      <w:tr>
        <w:trPr>
          <w:cantSplit w:val="0"/>
          <w:tblHeader w:val="0"/>
        </w:trPr>
        <w:tc>
          <w:tcPr>
            <w:vAlign w:val="center"/>
          </w:tcPr>
          <w:p w:rsidR="00000000" w:rsidDel="00000000" w:rsidP="00000000" w:rsidRDefault="00000000" w:rsidRPr="00000000" w14:paraId="00000275">
            <w:pPr>
              <w:spacing w:line="276" w:lineRule="auto"/>
              <w:rPr>
                <w:b w:val="1"/>
                <w:bCs w:val="1"/>
              </w:rPr>
            </w:pPr>
            <w:r w:rsidDel="00000000" w:rsidR="00000000" w:rsidRPr="00000000">
              <w:rPr>
                <w:b w:val="1"/>
                <w:bCs w:val="1"/>
                <w:rtl w:val="0"/>
              </w:rPr>
              <w:t xml:space="preserve">Kosto për grupet e tjera – një herë</w:t>
            </w:r>
          </w:p>
        </w:tc>
        <w:tc>
          <w:tcPr>
            <w:vAlign w:val="center"/>
          </w:tcPr>
          <w:p w:rsidR="00000000" w:rsidDel="00000000" w:rsidP="00000000" w:rsidRDefault="00000000" w:rsidRPr="00000000" w14:paraId="00000276">
            <w:pPr>
              <w:spacing w:line="276" w:lineRule="auto"/>
              <w:rPr>
                <w:b w:val="1"/>
                <w:bCs w:val="1"/>
              </w:rPr>
            </w:pPr>
            <w:r w:rsidDel="00000000" w:rsidR="00000000" w:rsidRPr="00000000">
              <w:rPr>
                <w:b w:val="1"/>
                <w:bCs w:val="1"/>
                <w:rtl w:val="0"/>
              </w:rPr>
              <w:t xml:space="preserve">250,000</w:t>
            </w:r>
          </w:p>
        </w:tc>
        <w:tc>
          <w:tcPr>
            <w:vAlign w:val="center"/>
          </w:tcPr>
          <w:p w:rsidR="00000000" w:rsidDel="00000000" w:rsidP="00000000" w:rsidRDefault="00000000" w:rsidRPr="00000000" w14:paraId="00000277">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8">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9">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A">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B">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C">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D">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E">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7F">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80">
            <w:pPr>
              <w:spacing w:line="276" w:lineRule="auto"/>
              <w:rPr>
                <w:b w:val="1"/>
                <w:bCs w:val="1"/>
              </w:rPr>
            </w:pPr>
            <w:r w:rsidDel="00000000" w:rsidR="00000000" w:rsidRPr="00000000">
              <w:rPr>
                <w:b w:val="1"/>
                <w:bCs w:val="1"/>
                <w:rtl w:val="0"/>
              </w:rPr>
              <w:t xml:space="preserve">Kosto për grupet e tjera – në vazhdimësi</w:t>
            </w:r>
          </w:p>
        </w:tc>
        <w:tc>
          <w:tcPr>
            <w:vAlign w:val="center"/>
          </w:tcPr>
          <w:p w:rsidR="00000000" w:rsidDel="00000000" w:rsidP="00000000" w:rsidRDefault="00000000" w:rsidRPr="00000000" w14:paraId="00000281">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2">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3">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4">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5">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6">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7">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8">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9">
            <w:pPr>
              <w:spacing w:line="276" w:lineRule="auto"/>
              <w:rPr>
                <w:b w:val="1"/>
                <w:bCs w:val="1"/>
              </w:rPr>
            </w:pPr>
            <w:r w:rsidDel="00000000" w:rsidR="00000000" w:rsidRPr="00000000">
              <w:rPr>
                <w:b w:val="1"/>
                <w:bCs w:val="1"/>
                <w:rtl w:val="0"/>
              </w:rPr>
              <w:t xml:space="preserve">200,000</w:t>
            </w:r>
          </w:p>
        </w:tc>
        <w:tc>
          <w:tcPr>
            <w:vAlign w:val="center"/>
          </w:tcPr>
          <w:p w:rsidR="00000000" w:rsidDel="00000000" w:rsidP="00000000" w:rsidRDefault="00000000" w:rsidRPr="00000000" w14:paraId="0000028A">
            <w:pPr>
              <w:spacing w:line="276" w:lineRule="auto"/>
              <w:rPr>
                <w:b w:val="1"/>
                <w:bCs w:val="1"/>
              </w:rPr>
            </w:pPr>
            <w:r w:rsidDel="00000000" w:rsidR="00000000" w:rsidRPr="00000000">
              <w:rPr>
                <w:b w:val="1"/>
                <w:bCs w:val="1"/>
                <w:rtl w:val="0"/>
              </w:rPr>
              <w:t xml:space="preserve">200,000</w:t>
            </w:r>
          </w:p>
        </w:tc>
      </w:tr>
      <w:tr>
        <w:trPr>
          <w:cantSplit w:val="0"/>
          <w:tblHeader w:val="0"/>
        </w:trPr>
        <w:tc>
          <w:tcPr>
            <w:vAlign w:val="center"/>
          </w:tcPr>
          <w:p w:rsidR="00000000" w:rsidDel="00000000" w:rsidP="00000000" w:rsidRDefault="00000000" w:rsidRPr="00000000" w14:paraId="0000028B">
            <w:pPr>
              <w:spacing w:line="276" w:lineRule="auto"/>
              <w:rPr>
                <w:b w:val="1"/>
                <w:bCs w:val="1"/>
              </w:rPr>
            </w:pPr>
            <w:r w:rsidDel="00000000" w:rsidR="00000000" w:rsidRPr="00000000">
              <w:rPr>
                <w:b w:val="1"/>
                <w:bCs w:val="1"/>
                <w:rtl w:val="0"/>
              </w:rPr>
              <w:t xml:space="preserve">Kosto në total</w:t>
            </w:r>
          </w:p>
        </w:tc>
        <w:tc>
          <w:tcPr>
            <w:vAlign w:val="center"/>
          </w:tcPr>
          <w:p w:rsidR="00000000" w:rsidDel="00000000" w:rsidP="00000000" w:rsidRDefault="00000000" w:rsidRPr="00000000" w14:paraId="0000028C">
            <w:pPr>
              <w:spacing w:line="276" w:lineRule="auto"/>
              <w:rPr>
                <w:b w:val="1"/>
                <w:bCs w:val="1"/>
              </w:rPr>
            </w:pPr>
            <w:r w:rsidDel="00000000" w:rsidR="00000000" w:rsidRPr="00000000">
              <w:rPr>
                <w:b w:val="1"/>
                <w:bCs w:val="1"/>
                <w:rtl w:val="0"/>
              </w:rPr>
              <w:t xml:space="preserve">1,170,000</w:t>
            </w:r>
          </w:p>
        </w:tc>
        <w:tc>
          <w:tcPr>
            <w:vAlign w:val="center"/>
          </w:tcPr>
          <w:p w:rsidR="00000000" w:rsidDel="00000000" w:rsidP="00000000" w:rsidRDefault="00000000" w:rsidRPr="00000000" w14:paraId="0000028D">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8E">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8F">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90">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91">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92">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93">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94">
            <w:pPr>
              <w:spacing w:line="276" w:lineRule="auto"/>
              <w:rPr>
                <w:b w:val="1"/>
                <w:bCs w:val="1"/>
              </w:rPr>
            </w:pPr>
            <w:r w:rsidDel="00000000" w:rsidR="00000000" w:rsidRPr="00000000">
              <w:rPr>
                <w:b w:val="1"/>
                <w:bCs w:val="1"/>
                <w:rtl w:val="0"/>
              </w:rPr>
              <w:t xml:space="preserve">460,000</w:t>
            </w:r>
          </w:p>
        </w:tc>
        <w:tc>
          <w:tcPr>
            <w:vAlign w:val="center"/>
          </w:tcPr>
          <w:p w:rsidR="00000000" w:rsidDel="00000000" w:rsidP="00000000" w:rsidRDefault="00000000" w:rsidRPr="00000000" w14:paraId="00000295">
            <w:pPr>
              <w:spacing w:line="276" w:lineRule="auto"/>
              <w:rPr>
                <w:b w:val="1"/>
                <w:bCs w:val="1"/>
              </w:rPr>
            </w:pPr>
            <w:r w:rsidDel="00000000" w:rsidR="00000000" w:rsidRPr="00000000">
              <w:rPr>
                <w:b w:val="1"/>
                <w:bCs w:val="1"/>
                <w:rtl w:val="0"/>
              </w:rPr>
              <w:t xml:space="preserve">460,000</w:t>
            </w:r>
          </w:p>
        </w:tc>
      </w:tr>
      <w:tr>
        <w:trPr>
          <w:cantSplit w:val="0"/>
          <w:tblHeader w:val="0"/>
        </w:trPr>
        <w:tc>
          <w:tcPr>
            <w:vAlign w:val="center"/>
          </w:tcPr>
          <w:p w:rsidR="00000000" w:rsidDel="00000000" w:rsidP="00000000" w:rsidRDefault="00000000" w:rsidRPr="00000000" w14:paraId="00000296">
            <w:pPr>
              <w:spacing w:line="276" w:lineRule="auto"/>
              <w:rPr>
                <w:b w:val="1"/>
                <w:bCs w:val="1"/>
              </w:rPr>
            </w:pPr>
            <w:r w:rsidDel="00000000" w:rsidR="00000000" w:rsidRPr="00000000">
              <w:rPr>
                <w:b w:val="1"/>
                <w:bCs w:val="1"/>
                <w:rtl w:val="0"/>
              </w:rPr>
              <w:t xml:space="preserve">Kosto e zbritur</w:t>
            </w:r>
          </w:p>
        </w:tc>
        <w:tc>
          <w:tcPr>
            <w:vAlign w:val="center"/>
          </w:tcPr>
          <w:p w:rsidR="00000000" w:rsidDel="00000000" w:rsidP="00000000" w:rsidRDefault="00000000" w:rsidRPr="00000000" w14:paraId="00000297">
            <w:pPr>
              <w:spacing w:line="276" w:lineRule="auto"/>
              <w:rPr>
                <w:b w:val="1"/>
                <w:bCs w:val="1"/>
              </w:rPr>
            </w:pPr>
            <w:r w:rsidDel="00000000" w:rsidR="00000000" w:rsidRPr="00000000">
              <w:rPr>
                <w:b w:val="1"/>
                <w:bCs w:val="1"/>
                <w:rtl w:val="0"/>
              </w:rPr>
              <w:t xml:space="preserve">1,170,000</w:t>
            </w:r>
          </w:p>
        </w:tc>
        <w:tc>
          <w:tcPr>
            <w:vAlign w:val="center"/>
          </w:tcPr>
          <w:p w:rsidR="00000000" w:rsidDel="00000000" w:rsidP="00000000" w:rsidRDefault="00000000" w:rsidRPr="00000000" w14:paraId="00000298">
            <w:pPr>
              <w:spacing w:line="276" w:lineRule="auto"/>
              <w:rPr>
                <w:b w:val="1"/>
                <w:bCs w:val="1"/>
              </w:rPr>
            </w:pPr>
            <w:r w:rsidDel="00000000" w:rsidR="00000000" w:rsidRPr="00000000">
              <w:rPr>
                <w:b w:val="1"/>
                <w:bCs w:val="1"/>
                <w:rtl w:val="0"/>
              </w:rPr>
              <w:t xml:space="preserve">437,000</w:t>
            </w:r>
          </w:p>
        </w:tc>
        <w:tc>
          <w:tcPr>
            <w:vAlign w:val="center"/>
          </w:tcPr>
          <w:p w:rsidR="00000000" w:rsidDel="00000000" w:rsidP="00000000" w:rsidRDefault="00000000" w:rsidRPr="00000000" w14:paraId="00000299">
            <w:pPr>
              <w:spacing w:line="276" w:lineRule="auto"/>
              <w:rPr>
                <w:b w:val="1"/>
                <w:bCs w:val="1"/>
              </w:rPr>
            </w:pPr>
            <w:r w:rsidDel="00000000" w:rsidR="00000000" w:rsidRPr="00000000">
              <w:rPr>
                <w:b w:val="1"/>
                <w:bCs w:val="1"/>
                <w:rtl w:val="0"/>
              </w:rPr>
              <w:t xml:space="preserve">418,600</w:t>
            </w:r>
          </w:p>
        </w:tc>
        <w:tc>
          <w:tcPr>
            <w:vAlign w:val="center"/>
          </w:tcPr>
          <w:p w:rsidR="00000000" w:rsidDel="00000000" w:rsidP="00000000" w:rsidRDefault="00000000" w:rsidRPr="00000000" w14:paraId="0000029A">
            <w:pPr>
              <w:spacing w:line="276" w:lineRule="auto"/>
              <w:rPr>
                <w:b w:val="1"/>
                <w:bCs w:val="1"/>
              </w:rPr>
            </w:pPr>
            <w:r w:rsidDel="00000000" w:rsidR="00000000" w:rsidRPr="00000000">
              <w:rPr>
                <w:b w:val="1"/>
                <w:bCs w:val="1"/>
                <w:rtl w:val="0"/>
              </w:rPr>
              <w:t xml:space="preserve">400,200</w:t>
            </w:r>
          </w:p>
        </w:tc>
        <w:tc>
          <w:tcPr>
            <w:vAlign w:val="center"/>
          </w:tcPr>
          <w:p w:rsidR="00000000" w:rsidDel="00000000" w:rsidP="00000000" w:rsidRDefault="00000000" w:rsidRPr="00000000" w14:paraId="0000029B">
            <w:pPr>
              <w:spacing w:line="276" w:lineRule="auto"/>
              <w:rPr>
                <w:b w:val="1"/>
                <w:bCs w:val="1"/>
              </w:rPr>
            </w:pPr>
            <w:r w:rsidDel="00000000" w:rsidR="00000000" w:rsidRPr="00000000">
              <w:rPr>
                <w:b w:val="1"/>
                <w:bCs w:val="1"/>
                <w:rtl w:val="0"/>
              </w:rPr>
              <w:t xml:space="preserve">377,200</w:t>
            </w:r>
          </w:p>
        </w:tc>
        <w:tc>
          <w:tcPr>
            <w:vAlign w:val="center"/>
          </w:tcPr>
          <w:p w:rsidR="00000000" w:rsidDel="00000000" w:rsidP="00000000" w:rsidRDefault="00000000" w:rsidRPr="00000000" w14:paraId="0000029C">
            <w:pPr>
              <w:spacing w:line="276" w:lineRule="auto"/>
              <w:rPr>
                <w:b w:val="1"/>
                <w:bCs w:val="1"/>
              </w:rPr>
            </w:pPr>
            <w:r w:rsidDel="00000000" w:rsidR="00000000" w:rsidRPr="00000000">
              <w:rPr>
                <w:b w:val="1"/>
                <w:bCs w:val="1"/>
                <w:rtl w:val="0"/>
              </w:rPr>
              <w:t xml:space="preserve">363,400</w:t>
            </w:r>
          </w:p>
        </w:tc>
        <w:tc>
          <w:tcPr>
            <w:vAlign w:val="center"/>
          </w:tcPr>
          <w:p w:rsidR="00000000" w:rsidDel="00000000" w:rsidP="00000000" w:rsidRDefault="00000000" w:rsidRPr="00000000" w14:paraId="0000029D">
            <w:pPr>
              <w:spacing w:line="276" w:lineRule="auto"/>
              <w:rPr>
                <w:b w:val="1"/>
                <w:bCs w:val="1"/>
              </w:rPr>
            </w:pPr>
            <w:r w:rsidDel="00000000" w:rsidR="00000000" w:rsidRPr="00000000">
              <w:rPr>
                <w:b w:val="1"/>
                <w:bCs w:val="1"/>
                <w:rtl w:val="0"/>
              </w:rPr>
              <w:t xml:space="preserve">345,000</w:t>
            </w:r>
          </w:p>
        </w:tc>
        <w:tc>
          <w:tcPr>
            <w:vAlign w:val="center"/>
          </w:tcPr>
          <w:p w:rsidR="00000000" w:rsidDel="00000000" w:rsidP="00000000" w:rsidRDefault="00000000" w:rsidRPr="00000000" w14:paraId="0000029E">
            <w:pPr>
              <w:spacing w:line="276" w:lineRule="auto"/>
              <w:rPr>
                <w:b w:val="1"/>
                <w:bCs w:val="1"/>
              </w:rPr>
            </w:pPr>
            <w:r w:rsidDel="00000000" w:rsidR="00000000" w:rsidRPr="00000000">
              <w:rPr>
                <w:b w:val="1"/>
                <w:bCs w:val="1"/>
                <w:rtl w:val="0"/>
              </w:rPr>
              <w:t xml:space="preserve">326,600</w:t>
            </w:r>
          </w:p>
        </w:tc>
        <w:tc>
          <w:tcPr>
            <w:vAlign w:val="center"/>
          </w:tcPr>
          <w:p w:rsidR="00000000" w:rsidDel="00000000" w:rsidP="00000000" w:rsidRDefault="00000000" w:rsidRPr="00000000" w14:paraId="0000029F">
            <w:pPr>
              <w:spacing w:line="276" w:lineRule="auto"/>
              <w:rPr>
                <w:b w:val="1"/>
                <w:bCs w:val="1"/>
              </w:rPr>
            </w:pPr>
            <w:r w:rsidDel="00000000" w:rsidR="00000000" w:rsidRPr="00000000">
              <w:rPr>
                <w:b w:val="1"/>
                <w:bCs w:val="1"/>
                <w:rtl w:val="0"/>
              </w:rPr>
              <w:t xml:space="preserve">312,800</w:t>
            </w:r>
          </w:p>
        </w:tc>
        <w:tc>
          <w:tcPr>
            <w:vAlign w:val="center"/>
          </w:tcPr>
          <w:p w:rsidR="00000000" w:rsidDel="00000000" w:rsidP="00000000" w:rsidRDefault="00000000" w:rsidRPr="00000000" w14:paraId="000002A0">
            <w:pPr>
              <w:spacing w:line="276" w:lineRule="auto"/>
              <w:rPr>
                <w:b w:val="1"/>
                <w:bCs w:val="1"/>
              </w:rPr>
            </w:pPr>
            <w:r w:rsidDel="00000000" w:rsidR="00000000" w:rsidRPr="00000000">
              <w:rPr>
                <w:b w:val="1"/>
                <w:bCs w:val="1"/>
                <w:rtl w:val="0"/>
              </w:rPr>
              <w:t xml:space="preserve">299,000</w:t>
            </w:r>
          </w:p>
        </w:tc>
      </w:tr>
    </w:tbl>
    <w:p w:rsidR="00000000" w:rsidDel="00000000" w:rsidP="00000000" w:rsidRDefault="00000000" w:rsidRPr="00000000" w14:paraId="000002A1">
      <w:pPr>
        <w:spacing w:line="276" w:lineRule="auto"/>
        <w:rPr>
          <w:b w:val="1"/>
          <w:bCs w:val="1"/>
        </w:rPr>
      </w:pPr>
      <w:r w:rsidDel="00000000" w:rsidR="00000000" w:rsidRPr="00000000">
        <w:rPr>
          <w:rtl w:val="0"/>
        </w:rPr>
      </w:r>
    </w:p>
    <w:p w:rsidR="00000000" w:rsidDel="00000000" w:rsidP="00000000" w:rsidRDefault="00000000" w:rsidRPr="00000000" w14:paraId="000002A2">
      <w:pPr>
        <w:spacing w:line="276" w:lineRule="auto"/>
        <w:rPr>
          <w:b w:val="1"/>
          <w:bCs w:val="1"/>
        </w:rPr>
      </w:pPr>
      <w:r w:rsidDel="00000000" w:rsidR="00000000" w:rsidRPr="00000000">
        <w:rPr>
          <w:rtl w:val="0"/>
        </w:rPr>
      </w:r>
    </w:p>
    <w:p w:rsidR="00000000" w:rsidDel="00000000" w:rsidP="00000000" w:rsidRDefault="00000000" w:rsidRPr="00000000" w14:paraId="000002A3">
      <w:pPr>
        <w:spacing w:line="276" w:lineRule="auto"/>
        <w:rPr>
          <w:b w:val="1"/>
          <w:bCs w:val="1"/>
        </w:rPr>
      </w:pPr>
      <w:r w:rsidDel="00000000" w:rsidR="00000000" w:rsidRPr="00000000">
        <w:rPr>
          <w:b w:val="1"/>
          <w:bCs w:val="1"/>
          <w:rtl w:val="0"/>
        </w:rPr>
        <w:t xml:space="preserve">Skenari C – i lartë</w:t>
      </w:r>
    </w:p>
    <w:p w:rsidR="00000000" w:rsidDel="00000000" w:rsidP="00000000" w:rsidRDefault="00000000" w:rsidRPr="00000000" w14:paraId="000002A4">
      <w:pPr>
        <w:spacing w:line="276" w:lineRule="auto"/>
        <w:rPr/>
      </w:pPr>
      <w:r w:rsidDel="00000000" w:rsidR="00000000" w:rsidRPr="00000000">
        <w:rPr>
          <w:b w:val="1"/>
          <w:bCs w:val="1"/>
          <w:rtl w:val="0"/>
        </w:rPr>
        <w:t xml:space="preserve">Kostot e njëhershme (Viti 1)</w:t>
      </w:r>
      <w:r w:rsidDel="00000000" w:rsidR="00000000" w:rsidRPr="00000000">
        <w:rPr>
          <w:rtl w:val="0"/>
        </w:rPr>
        <w:t xml:space="preserve">:</w:t>
      </w:r>
    </w:p>
    <w:p w:rsidR="00000000" w:rsidDel="00000000" w:rsidP="00000000" w:rsidRDefault="00000000" w:rsidRPr="00000000" w14:paraId="000002A5">
      <w:pPr>
        <w:numPr>
          <w:ilvl w:val="0"/>
          <w:numId w:val="14"/>
        </w:numPr>
        <w:spacing w:line="276" w:lineRule="auto"/>
        <w:ind w:left="720" w:hanging="360"/>
        <w:rPr/>
      </w:pPr>
      <w:r w:rsidDel="00000000" w:rsidR="00000000" w:rsidRPr="00000000">
        <w:rPr>
          <w:rtl w:val="0"/>
        </w:rPr>
        <w:t xml:space="preserve">OSHKA(CASP): 10×40,000=400,000</w:t>
      </w:r>
    </w:p>
    <w:p w:rsidR="00000000" w:rsidDel="00000000" w:rsidP="00000000" w:rsidRDefault="00000000" w:rsidRPr="00000000" w14:paraId="000002A6">
      <w:pPr>
        <w:numPr>
          <w:ilvl w:val="0"/>
          <w:numId w:val="14"/>
        </w:numPr>
        <w:spacing w:line="276" w:lineRule="auto"/>
        <w:ind w:left="720" w:hanging="360"/>
        <w:rPr/>
      </w:pPr>
      <w:r w:rsidDel="00000000" w:rsidR="00000000" w:rsidRPr="00000000">
        <w:rPr>
          <w:rtl w:val="0"/>
        </w:rPr>
        <w:t xml:space="preserve">Banka/IPE: 4×60,000=240,000</w:t>
      </w:r>
    </w:p>
    <w:p w:rsidR="00000000" w:rsidDel="00000000" w:rsidP="00000000" w:rsidRDefault="00000000" w:rsidRPr="00000000" w14:paraId="000002A7">
      <w:pPr>
        <w:numPr>
          <w:ilvl w:val="0"/>
          <w:numId w:val="14"/>
        </w:numPr>
        <w:spacing w:line="276" w:lineRule="auto"/>
        <w:ind w:left="720" w:hanging="360"/>
        <w:rPr/>
      </w:pPr>
      <w:r w:rsidDel="00000000" w:rsidR="00000000" w:rsidRPr="00000000">
        <w:rPr>
          <w:rtl w:val="0"/>
        </w:rPr>
        <w:t xml:space="preserve">Shoqëri komisionere: 3×50,000=150,000</w:t>
        <w:br w:type="textWrapping"/>
      </w:r>
      <w:r w:rsidDel="00000000" w:rsidR="00000000" w:rsidRPr="00000000">
        <w:rPr>
          <w:b w:val="1"/>
          <w:bCs w:val="1"/>
          <w:rtl w:val="0"/>
        </w:rPr>
        <w:t xml:space="preserve">Totali: €790,000</w:t>
      </w:r>
      <w:r w:rsidDel="00000000" w:rsidR="00000000" w:rsidRPr="00000000">
        <w:rPr>
          <w:rtl w:val="0"/>
        </w:rPr>
      </w:r>
    </w:p>
    <w:p w:rsidR="00000000" w:rsidDel="00000000" w:rsidP="00000000" w:rsidRDefault="00000000" w:rsidRPr="00000000" w14:paraId="000002A8">
      <w:pPr>
        <w:spacing w:line="276" w:lineRule="auto"/>
        <w:rPr>
          <w:b w:val="1"/>
          <w:bCs w:val="1"/>
        </w:rPr>
      </w:pPr>
      <w:r w:rsidDel="00000000" w:rsidR="00000000" w:rsidRPr="00000000">
        <w:rPr>
          <w:b w:val="1"/>
          <w:bCs w:val="1"/>
          <w:rtl w:val="0"/>
        </w:rPr>
        <w:t xml:space="preserve">Kostot Vjetore:</w:t>
      </w:r>
    </w:p>
    <w:p w:rsidR="00000000" w:rsidDel="00000000" w:rsidP="00000000" w:rsidRDefault="00000000" w:rsidRPr="00000000" w14:paraId="000002A9">
      <w:pPr>
        <w:numPr>
          <w:ilvl w:val="0"/>
          <w:numId w:val="15"/>
        </w:numPr>
        <w:spacing w:line="276" w:lineRule="auto"/>
        <w:ind w:left="720" w:hanging="360"/>
        <w:rPr/>
      </w:pPr>
      <w:r w:rsidDel="00000000" w:rsidR="00000000" w:rsidRPr="00000000">
        <w:rPr>
          <w:rtl w:val="0"/>
        </w:rPr>
        <w:t xml:space="preserve">OSHKA(CASP): 10×25,000=250,000</w:t>
      </w:r>
    </w:p>
    <w:p w:rsidR="00000000" w:rsidDel="00000000" w:rsidP="00000000" w:rsidRDefault="00000000" w:rsidRPr="00000000" w14:paraId="000002AA">
      <w:pPr>
        <w:numPr>
          <w:ilvl w:val="0"/>
          <w:numId w:val="15"/>
        </w:numPr>
        <w:spacing w:line="276" w:lineRule="auto"/>
        <w:ind w:left="720" w:hanging="360"/>
        <w:rPr/>
      </w:pPr>
      <w:r w:rsidDel="00000000" w:rsidR="00000000" w:rsidRPr="00000000">
        <w:rPr>
          <w:rtl w:val="0"/>
        </w:rPr>
        <w:t xml:space="preserve">Banka/IPE: 4×30,000=120,000</w:t>
      </w:r>
    </w:p>
    <w:p w:rsidR="00000000" w:rsidDel="00000000" w:rsidP="00000000" w:rsidRDefault="00000000" w:rsidRPr="00000000" w14:paraId="000002AB">
      <w:pPr>
        <w:numPr>
          <w:ilvl w:val="0"/>
          <w:numId w:val="15"/>
        </w:numPr>
        <w:spacing w:line="276" w:lineRule="auto"/>
        <w:ind w:left="720" w:hanging="360"/>
        <w:rPr/>
      </w:pPr>
      <w:r w:rsidDel="00000000" w:rsidR="00000000" w:rsidRPr="00000000">
        <w:rPr>
          <w:rtl w:val="0"/>
        </w:rPr>
        <w:t xml:space="preserve">Shoqëri komisionere: 3×25,000=75,000</w:t>
        <w:br w:type="textWrapping"/>
      </w:r>
      <w:r w:rsidDel="00000000" w:rsidR="00000000" w:rsidRPr="00000000">
        <w:rPr>
          <w:b w:val="1"/>
          <w:bCs w:val="1"/>
          <w:rtl w:val="0"/>
        </w:rPr>
        <w:t xml:space="preserve">Totali vjetor: €445,000/vit</w:t>
      </w:r>
      <w:r w:rsidDel="00000000" w:rsidR="00000000" w:rsidRPr="00000000">
        <w:rPr>
          <w:rtl w:val="0"/>
        </w:rPr>
      </w:r>
    </w:p>
    <w:p w:rsidR="00000000" w:rsidDel="00000000" w:rsidP="00000000" w:rsidRDefault="00000000" w:rsidRPr="00000000" w14:paraId="000002AC">
      <w:pPr>
        <w:spacing w:line="276" w:lineRule="auto"/>
        <w:rPr/>
      </w:pPr>
      <w:r w:rsidDel="00000000" w:rsidR="00000000" w:rsidRPr="00000000">
        <w:rPr>
          <w:rtl w:val="0"/>
        </w:rPr>
        <w:t xml:space="preserve">AMF/BSH: one-off €400,000; vjetore €320,000/vit</w:t>
      </w:r>
    </w:p>
    <w:p w:rsidR="00000000" w:rsidDel="00000000" w:rsidP="00000000" w:rsidRDefault="00000000" w:rsidRPr="00000000" w14:paraId="000002AD">
      <w:pPr>
        <w:spacing w:line="276" w:lineRule="auto"/>
        <w:rPr/>
      </w:pPr>
      <w:r w:rsidDel="00000000" w:rsidR="00000000" w:rsidRPr="00000000">
        <w:rPr>
          <w:rFonts w:ascii="Quattrocento Sans" w:cs="Quattrocento Sans" w:eastAsia="Quattrocento Sans" w:hAnsi="Quattrocento Sans"/>
          <w:rtl w:val="0"/>
        </w:rPr>
        <w:t xml:space="preserve">➡️</w:t>
      </w:r>
      <w:r w:rsidDel="00000000" w:rsidR="00000000" w:rsidRPr="00000000">
        <w:rPr>
          <w:b w:val="1"/>
          <w:bCs w:val="1"/>
          <w:rtl w:val="0"/>
        </w:rPr>
        <w:t xml:space="preserve"> Kosto totale:</w:t>
      </w:r>
      <w:r w:rsidDel="00000000" w:rsidR="00000000" w:rsidRPr="00000000">
        <w:rPr>
          <w:rtl w:val="0"/>
        </w:rPr>
      </w:r>
    </w:p>
    <w:p w:rsidR="00000000" w:rsidDel="00000000" w:rsidP="00000000" w:rsidRDefault="00000000" w:rsidRPr="00000000" w14:paraId="000002AE">
      <w:pPr>
        <w:numPr>
          <w:ilvl w:val="0"/>
          <w:numId w:val="16"/>
        </w:numPr>
        <w:spacing w:line="276" w:lineRule="auto"/>
        <w:ind w:left="720" w:hanging="360"/>
        <w:rPr/>
      </w:pPr>
      <w:r w:rsidDel="00000000" w:rsidR="00000000" w:rsidRPr="00000000">
        <w:rPr>
          <w:rtl w:val="0"/>
        </w:rPr>
        <w:t xml:space="preserve">Viti 1 = 790,000 + 400,000 + (445,000 + 320,000) = €1,955,000</w:t>
      </w:r>
    </w:p>
    <w:p w:rsidR="00000000" w:rsidDel="00000000" w:rsidP="00000000" w:rsidRDefault="00000000" w:rsidRPr="00000000" w14:paraId="000002AF">
      <w:pPr>
        <w:numPr>
          <w:ilvl w:val="0"/>
          <w:numId w:val="16"/>
        </w:numPr>
        <w:spacing w:line="276" w:lineRule="auto"/>
        <w:ind w:left="720" w:hanging="360"/>
        <w:rPr>
          <w:b w:val="1"/>
          <w:bCs w:val="1"/>
        </w:rPr>
      </w:pPr>
      <w:r w:rsidDel="00000000" w:rsidR="00000000" w:rsidRPr="00000000">
        <w:rPr>
          <w:rtl w:val="0"/>
        </w:rPr>
        <w:t xml:space="preserve">Vitet 2–10 = (445,000 + 320,000) = €765,000/vit</w:t>
      </w:r>
      <w:r w:rsidDel="00000000" w:rsidR="00000000" w:rsidRPr="00000000">
        <w:rPr>
          <w:rtl w:val="0"/>
        </w:rPr>
      </w:r>
    </w:p>
    <w:p w:rsidR="00000000" w:rsidDel="00000000" w:rsidP="00000000" w:rsidRDefault="00000000" w:rsidRPr="00000000" w14:paraId="000002B0">
      <w:pPr>
        <w:spacing w:line="276" w:lineRule="auto"/>
        <w:rPr>
          <w:b w:val="1"/>
          <w:bCs w:val="1"/>
        </w:rPr>
      </w:pPr>
      <w:r w:rsidDel="00000000" w:rsidR="00000000" w:rsidRPr="00000000">
        <w:rPr>
          <w:rtl w:val="0"/>
        </w:rPr>
      </w:r>
    </w:p>
    <w:tbl>
      <w:tblPr>
        <w:tblStyle w:val="Table9"/>
        <w:tblW w:w="130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1040"/>
        <w:gridCol w:w="860"/>
        <w:gridCol w:w="860"/>
        <w:gridCol w:w="860"/>
        <w:gridCol w:w="860"/>
        <w:gridCol w:w="860"/>
        <w:gridCol w:w="860"/>
        <w:gridCol w:w="860"/>
        <w:gridCol w:w="860"/>
        <w:gridCol w:w="875"/>
        <w:tblGridChange w:id="0">
          <w:tblGrid>
            <w:gridCol w:w="4248"/>
            <w:gridCol w:w="1040"/>
            <w:gridCol w:w="860"/>
            <w:gridCol w:w="860"/>
            <w:gridCol w:w="860"/>
            <w:gridCol w:w="860"/>
            <w:gridCol w:w="860"/>
            <w:gridCol w:w="860"/>
            <w:gridCol w:w="860"/>
            <w:gridCol w:w="860"/>
            <w:gridCol w:w="875"/>
          </w:tblGrid>
        </w:tblGridChange>
      </w:tblGrid>
      <w:tr>
        <w:trPr>
          <w:cantSplit w:val="0"/>
          <w:tblHeader w:val="1"/>
        </w:trPr>
        <w:tc>
          <w:tcPr>
            <w:vAlign w:val="center"/>
          </w:tcPr>
          <w:p w:rsidR="00000000" w:rsidDel="00000000" w:rsidP="00000000" w:rsidRDefault="00000000" w:rsidRPr="00000000" w14:paraId="000002B1">
            <w:pPr>
              <w:spacing w:line="276" w:lineRule="auto"/>
              <w:rPr>
                <w:b w:val="1"/>
                <w:bCs w:val="1"/>
              </w:rPr>
            </w:pPr>
            <w:r w:rsidDel="00000000" w:rsidR="00000000" w:rsidRPr="00000000">
              <w:rPr>
                <w:b w:val="1"/>
                <w:bCs w:val="1"/>
                <w:rtl w:val="0"/>
              </w:rPr>
              <w:t xml:space="preserve">Përshkrimi</w:t>
            </w:r>
          </w:p>
        </w:tc>
        <w:tc>
          <w:tcPr>
            <w:vAlign w:val="center"/>
          </w:tcPr>
          <w:p w:rsidR="00000000" w:rsidDel="00000000" w:rsidP="00000000" w:rsidRDefault="00000000" w:rsidRPr="00000000" w14:paraId="000002B2">
            <w:pPr>
              <w:spacing w:line="276" w:lineRule="auto"/>
              <w:rPr>
                <w:b w:val="1"/>
                <w:bCs w:val="1"/>
              </w:rPr>
            </w:pPr>
            <w:r w:rsidDel="00000000" w:rsidR="00000000" w:rsidRPr="00000000">
              <w:rPr>
                <w:b w:val="1"/>
                <w:bCs w:val="1"/>
                <w:rtl w:val="0"/>
              </w:rPr>
              <w:t xml:space="preserve">Viti 1</w:t>
            </w:r>
          </w:p>
        </w:tc>
        <w:tc>
          <w:tcPr>
            <w:vAlign w:val="center"/>
          </w:tcPr>
          <w:p w:rsidR="00000000" w:rsidDel="00000000" w:rsidP="00000000" w:rsidRDefault="00000000" w:rsidRPr="00000000" w14:paraId="000002B3">
            <w:pPr>
              <w:spacing w:line="276" w:lineRule="auto"/>
              <w:rPr>
                <w:b w:val="1"/>
                <w:bCs w:val="1"/>
              </w:rPr>
            </w:pPr>
            <w:r w:rsidDel="00000000" w:rsidR="00000000" w:rsidRPr="00000000">
              <w:rPr>
                <w:b w:val="1"/>
                <w:bCs w:val="1"/>
                <w:rtl w:val="0"/>
              </w:rPr>
              <w:t xml:space="preserve">Viti 2</w:t>
            </w:r>
          </w:p>
        </w:tc>
        <w:tc>
          <w:tcPr>
            <w:vAlign w:val="center"/>
          </w:tcPr>
          <w:p w:rsidR="00000000" w:rsidDel="00000000" w:rsidP="00000000" w:rsidRDefault="00000000" w:rsidRPr="00000000" w14:paraId="000002B4">
            <w:pPr>
              <w:spacing w:line="276" w:lineRule="auto"/>
              <w:rPr>
                <w:b w:val="1"/>
                <w:bCs w:val="1"/>
              </w:rPr>
            </w:pPr>
            <w:r w:rsidDel="00000000" w:rsidR="00000000" w:rsidRPr="00000000">
              <w:rPr>
                <w:b w:val="1"/>
                <w:bCs w:val="1"/>
                <w:rtl w:val="0"/>
              </w:rPr>
              <w:t xml:space="preserve">Viti 3</w:t>
            </w:r>
          </w:p>
        </w:tc>
        <w:tc>
          <w:tcPr>
            <w:vAlign w:val="center"/>
          </w:tcPr>
          <w:p w:rsidR="00000000" w:rsidDel="00000000" w:rsidP="00000000" w:rsidRDefault="00000000" w:rsidRPr="00000000" w14:paraId="000002B5">
            <w:pPr>
              <w:spacing w:line="276" w:lineRule="auto"/>
              <w:rPr>
                <w:b w:val="1"/>
                <w:bCs w:val="1"/>
              </w:rPr>
            </w:pPr>
            <w:r w:rsidDel="00000000" w:rsidR="00000000" w:rsidRPr="00000000">
              <w:rPr>
                <w:b w:val="1"/>
                <w:bCs w:val="1"/>
                <w:rtl w:val="0"/>
              </w:rPr>
              <w:t xml:space="preserve">Viti 4</w:t>
            </w:r>
          </w:p>
        </w:tc>
        <w:tc>
          <w:tcPr>
            <w:vAlign w:val="center"/>
          </w:tcPr>
          <w:p w:rsidR="00000000" w:rsidDel="00000000" w:rsidP="00000000" w:rsidRDefault="00000000" w:rsidRPr="00000000" w14:paraId="000002B6">
            <w:pPr>
              <w:spacing w:line="276" w:lineRule="auto"/>
              <w:rPr>
                <w:b w:val="1"/>
                <w:bCs w:val="1"/>
              </w:rPr>
            </w:pPr>
            <w:r w:rsidDel="00000000" w:rsidR="00000000" w:rsidRPr="00000000">
              <w:rPr>
                <w:b w:val="1"/>
                <w:bCs w:val="1"/>
                <w:rtl w:val="0"/>
              </w:rPr>
              <w:t xml:space="preserve">Viti 5</w:t>
            </w:r>
          </w:p>
        </w:tc>
        <w:tc>
          <w:tcPr>
            <w:vAlign w:val="center"/>
          </w:tcPr>
          <w:p w:rsidR="00000000" w:rsidDel="00000000" w:rsidP="00000000" w:rsidRDefault="00000000" w:rsidRPr="00000000" w14:paraId="000002B7">
            <w:pPr>
              <w:spacing w:line="276" w:lineRule="auto"/>
              <w:rPr>
                <w:b w:val="1"/>
                <w:bCs w:val="1"/>
              </w:rPr>
            </w:pPr>
            <w:r w:rsidDel="00000000" w:rsidR="00000000" w:rsidRPr="00000000">
              <w:rPr>
                <w:b w:val="1"/>
                <w:bCs w:val="1"/>
                <w:rtl w:val="0"/>
              </w:rPr>
              <w:t xml:space="preserve">Viti 6</w:t>
            </w:r>
          </w:p>
        </w:tc>
        <w:tc>
          <w:tcPr>
            <w:vAlign w:val="center"/>
          </w:tcPr>
          <w:p w:rsidR="00000000" w:rsidDel="00000000" w:rsidP="00000000" w:rsidRDefault="00000000" w:rsidRPr="00000000" w14:paraId="000002B8">
            <w:pPr>
              <w:spacing w:line="276" w:lineRule="auto"/>
              <w:rPr>
                <w:b w:val="1"/>
                <w:bCs w:val="1"/>
              </w:rPr>
            </w:pPr>
            <w:r w:rsidDel="00000000" w:rsidR="00000000" w:rsidRPr="00000000">
              <w:rPr>
                <w:b w:val="1"/>
                <w:bCs w:val="1"/>
                <w:rtl w:val="0"/>
              </w:rPr>
              <w:t xml:space="preserve">Viti 7</w:t>
            </w:r>
          </w:p>
        </w:tc>
        <w:tc>
          <w:tcPr>
            <w:vAlign w:val="center"/>
          </w:tcPr>
          <w:p w:rsidR="00000000" w:rsidDel="00000000" w:rsidP="00000000" w:rsidRDefault="00000000" w:rsidRPr="00000000" w14:paraId="000002B9">
            <w:pPr>
              <w:spacing w:line="276" w:lineRule="auto"/>
              <w:rPr>
                <w:b w:val="1"/>
                <w:bCs w:val="1"/>
              </w:rPr>
            </w:pPr>
            <w:r w:rsidDel="00000000" w:rsidR="00000000" w:rsidRPr="00000000">
              <w:rPr>
                <w:b w:val="1"/>
                <w:bCs w:val="1"/>
                <w:rtl w:val="0"/>
              </w:rPr>
              <w:t xml:space="preserve">Viti 8</w:t>
            </w:r>
          </w:p>
        </w:tc>
        <w:tc>
          <w:tcPr>
            <w:vAlign w:val="center"/>
          </w:tcPr>
          <w:p w:rsidR="00000000" w:rsidDel="00000000" w:rsidP="00000000" w:rsidRDefault="00000000" w:rsidRPr="00000000" w14:paraId="000002BA">
            <w:pPr>
              <w:spacing w:line="276" w:lineRule="auto"/>
              <w:rPr>
                <w:b w:val="1"/>
                <w:bCs w:val="1"/>
              </w:rPr>
            </w:pPr>
            <w:r w:rsidDel="00000000" w:rsidR="00000000" w:rsidRPr="00000000">
              <w:rPr>
                <w:b w:val="1"/>
                <w:bCs w:val="1"/>
                <w:rtl w:val="0"/>
              </w:rPr>
              <w:t xml:space="preserve">Viti 9</w:t>
            </w:r>
          </w:p>
        </w:tc>
        <w:tc>
          <w:tcPr>
            <w:vAlign w:val="center"/>
          </w:tcPr>
          <w:p w:rsidR="00000000" w:rsidDel="00000000" w:rsidP="00000000" w:rsidRDefault="00000000" w:rsidRPr="00000000" w14:paraId="000002BB">
            <w:pPr>
              <w:spacing w:line="276" w:lineRule="auto"/>
              <w:rPr>
                <w:b w:val="1"/>
                <w:bCs w:val="1"/>
              </w:rPr>
            </w:pPr>
            <w:r w:rsidDel="00000000" w:rsidR="00000000" w:rsidRPr="00000000">
              <w:rPr>
                <w:b w:val="1"/>
                <w:bCs w:val="1"/>
                <w:rtl w:val="0"/>
              </w:rPr>
              <w:t xml:space="preserve">Viti 10</w:t>
            </w:r>
          </w:p>
        </w:tc>
      </w:tr>
      <w:tr>
        <w:trPr>
          <w:cantSplit w:val="0"/>
          <w:tblHeader w:val="0"/>
        </w:trPr>
        <w:tc>
          <w:tcPr>
            <w:vAlign w:val="center"/>
          </w:tcPr>
          <w:p w:rsidR="00000000" w:rsidDel="00000000" w:rsidP="00000000" w:rsidRDefault="00000000" w:rsidRPr="00000000" w14:paraId="000002BC">
            <w:pPr>
              <w:spacing w:line="276" w:lineRule="auto"/>
              <w:rPr>
                <w:b w:val="1"/>
                <w:bCs w:val="1"/>
              </w:rPr>
            </w:pPr>
            <w:r w:rsidDel="00000000" w:rsidR="00000000" w:rsidRPr="00000000">
              <w:rPr>
                <w:b w:val="1"/>
                <w:bCs w:val="1"/>
                <w:rtl w:val="0"/>
              </w:rPr>
              <w:t xml:space="preserve">Faktori zbritës</w:t>
            </w:r>
          </w:p>
        </w:tc>
        <w:tc>
          <w:tcPr>
            <w:vAlign w:val="center"/>
          </w:tcPr>
          <w:p w:rsidR="00000000" w:rsidDel="00000000" w:rsidP="00000000" w:rsidRDefault="00000000" w:rsidRPr="00000000" w14:paraId="000002BD">
            <w:pPr>
              <w:spacing w:line="276" w:lineRule="auto"/>
              <w:rPr>
                <w:b w:val="1"/>
                <w:bCs w:val="1"/>
              </w:rPr>
            </w:pPr>
            <w:r w:rsidDel="00000000" w:rsidR="00000000" w:rsidRPr="00000000">
              <w:rPr>
                <w:b w:val="1"/>
                <w:bCs w:val="1"/>
                <w:rtl w:val="0"/>
              </w:rPr>
              <w:t xml:space="preserve">1.00</w:t>
            </w:r>
          </w:p>
        </w:tc>
        <w:tc>
          <w:tcPr>
            <w:vAlign w:val="center"/>
          </w:tcPr>
          <w:p w:rsidR="00000000" w:rsidDel="00000000" w:rsidP="00000000" w:rsidRDefault="00000000" w:rsidRPr="00000000" w14:paraId="000002BE">
            <w:pPr>
              <w:spacing w:line="276" w:lineRule="auto"/>
              <w:rPr>
                <w:b w:val="1"/>
                <w:bCs w:val="1"/>
              </w:rPr>
            </w:pPr>
            <w:r w:rsidDel="00000000" w:rsidR="00000000" w:rsidRPr="00000000">
              <w:rPr>
                <w:b w:val="1"/>
                <w:bCs w:val="1"/>
                <w:rtl w:val="0"/>
              </w:rPr>
              <w:t xml:space="preserve">0.95</w:t>
            </w:r>
          </w:p>
        </w:tc>
        <w:tc>
          <w:tcPr>
            <w:vAlign w:val="center"/>
          </w:tcPr>
          <w:p w:rsidR="00000000" w:rsidDel="00000000" w:rsidP="00000000" w:rsidRDefault="00000000" w:rsidRPr="00000000" w14:paraId="000002BF">
            <w:pPr>
              <w:spacing w:line="276" w:lineRule="auto"/>
              <w:rPr>
                <w:b w:val="1"/>
                <w:bCs w:val="1"/>
              </w:rPr>
            </w:pPr>
            <w:r w:rsidDel="00000000" w:rsidR="00000000" w:rsidRPr="00000000">
              <w:rPr>
                <w:b w:val="1"/>
                <w:bCs w:val="1"/>
                <w:rtl w:val="0"/>
              </w:rPr>
              <w:t xml:space="preserve">0.91</w:t>
            </w:r>
          </w:p>
        </w:tc>
        <w:tc>
          <w:tcPr>
            <w:vAlign w:val="center"/>
          </w:tcPr>
          <w:p w:rsidR="00000000" w:rsidDel="00000000" w:rsidP="00000000" w:rsidRDefault="00000000" w:rsidRPr="00000000" w14:paraId="000002C0">
            <w:pPr>
              <w:spacing w:line="276" w:lineRule="auto"/>
              <w:rPr>
                <w:b w:val="1"/>
                <w:bCs w:val="1"/>
              </w:rPr>
            </w:pPr>
            <w:r w:rsidDel="00000000" w:rsidR="00000000" w:rsidRPr="00000000">
              <w:rPr>
                <w:b w:val="1"/>
                <w:bCs w:val="1"/>
                <w:rtl w:val="0"/>
              </w:rPr>
              <w:t xml:space="preserve">0.87</w:t>
            </w:r>
          </w:p>
        </w:tc>
        <w:tc>
          <w:tcPr>
            <w:vAlign w:val="center"/>
          </w:tcPr>
          <w:p w:rsidR="00000000" w:rsidDel="00000000" w:rsidP="00000000" w:rsidRDefault="00000000" w:rsidRPr="00000000" w14:paraId="000002C1">
            <w:pPr>
              <w:spacing w:line="276" w:lineRule="auto"/>
              <w:rPr>
                <w:b w:val="1"/>
                <w:bCs w:val="1"/>
              </w:rPr>
            </w:pPr>
            <w:r w:rsidDel="00000000" w:rsidR="00000000" w:rsidRPr="00000000">
              <w:rPr>
                <w:b w:val="1"/>
                <w:bCs w:val="1"/>
                <w:rtl w:val="0"/>
              </w:rPr>
              <w:t xml:space="preserve">0.82</w:t>
            </w:r>
          </w:p>
        </w:tc>
        <w:tc>
          <w:tcPr>
            <w:vAlign w:val="center"/>
          </w:tcPr>
          <w:p w:rsidR="00000000" w:rsidDel="00000000" w:rsidP="00000000" w:rsidRDefault="00000000" w:rsidRPr="00000000" w14:paraId="000002C2">
            <w:pPr>
              <w:spacing w:line="276" w:lineRule="auto"/>
              <w:rPr>
                <w:b w:val="1"/>
                <w:bCs w:val="1"/>
              </w:rPr>
            </w:pPr>
            <w:r w:rsidDel="00000000" w:rsidR="00000000" w:rsidRPr="00000000">
              <w:rPr>
                <w:b w:val="1"/>
                <w:bCs w:val="1"/>
                <w:rtl w:val="0"/>
              </w:rPr>
              <w:t xml:space="preserve">0.79</w:t>
            </w:r>
          </w:p>
        </w:tc>
        <w:tc>
          <w:tcPr>
            <w:vAlign w:val="center"/>
          </w:tcPr>
          <w:p w:rsidR="00000000" w:rsidDel="00000000" w:rsidP="00000000" w:rsidRDefault="00000000" w:rsidRPr="00000000" w14:paraId="000002C3">
            <w:pPr>
              <w:spacing w:line="276" w:lineRule="auto"/>
              <w:rPr>
                <w:b w:val="1"/>
                <w:bCs w:val="1"/>
              </w:rPr>
            </w:pPr>
            <w:r w:rsidDel="00000000" w:rsidR="00000000" w:rsidRPr="00000000">
              <w:rPr>
                <w:b w:val="1"/>
                <w:bCs w:val="1"/>
                <w:rtl w:val="0"/>
              </w:rPr>
              <w:t xml:space="preserve">0.75</w:t>
            </w:r>
          </w:p>
        </w:tc>
        <w:tc>
          <w:tcPr>
            <w:vAlign w:val="center"/>
          </w:tcPr>
          <w:p w:rsidR="00000000" w:rsidDel="00000000" w:rsidP="00000000" w:rsidRDefault="00000000" w:rsidRPr="00000000" w14:paraId="000002C4">
            <w:pPr>
              <w:spacing w:line="276" w:lineRule="auto"/>
              <w:rPr>
                <w:b w:val="1"/>
                <w:bCs w:val="1"/>
              </w:rPr>
            </w:pPr>
            <w:r w:rsidDel="00000000" w:rsidR="00000000" w:rsidRPr="00000000">
              <w:rPr>
                <w:b w:val="1"/>
                <w:bCs w:val="1"/>
                <w:rtl w:val="0"/>
              </w:rPr>
              <w:t xml:space="preserve">0.71</w:t>
            </w:r>
          </w:p>
        </w:tc>
        <w:tc>
          <w:tcPr>
            <w:vAlign w:val="center"/>
          </w:tcPr>
          <w:p w:rsidR="00000000" w:rsidDel="00000000" w:rsidP="00000000" w:rsidRDefault="00000000" w:rsidRPr="00000000" w14:paraId="000002C5">
            <w:pPr>
              <w:spacing w:line="276" w:lineRule="auto"/>
              <w:rPr>
                <w:b w:val="1"/>
                <w:bCs w:val="1"/>
              </w:rPr>
            </w:pPr>
            <w:r w:rsidDel="00000000" w:rsidR="00000000" w:rsidRPr="00000000">
              <w:rPr>
                <w:b w:val="1"/>
                <w:bCs w:val="1"/>
                <w:rtl w:val="0"/>
              </w:rPr>
              <w:t xml:space="preserve">0.68</w:t>
            </w:r>
          </w:p>
        </w:tc>
        <w:tc>
          <w:tcPr>
            <w:vAlign w:val="center"/>
          </w:tcPr>
          <w:p w:rsidR="00000000" w:rsidDel="00000000" w:rsidP="00000000" w:rsidRDefault="00000000" w:rsidRPr="00000000" w14:paraId="000002C6">
            <w:pPr>
              <w:spacing w:line="276" w:lineRule="auto"/>
              <w:rPr>
                <w:b w:val="1"/>
                <w:bCs w:val="1"/>
              </w:rPr>
            </w:pPr>
            <w:r w:rsidDel="00000000" w:rsidR="00000000" w:rsidRPr="00000000">
              <w:rPr>
                <w:b w:val="1"/>
                <w:bCs w:val="1"/>
                <w:rtl w:val="0"/>
              </w:rPr>
              <w:t xml:space="preserve">0.65</w:t>
            </w:r>
          </w:p>
        </w:tc>
      </w:tr>
      <w:tr>
        <w:trPr>
          <w:cantSplit w:val="0"/>
          <w:tblHeader w:val="0"/>
        </w:trPr>
        <w:tc>
          <w:tcPr>
            <w:vAlign w:val="center"/>
          </w:tcPr>
          <w:p w:rsidR="00000000" w:rsidDel="00000000" w:rsidP="00000000" w:rsidRDefault="00000000" w:rsidRPr="00000000" w14:paraId="000002C7">
            <w:pPr>
              <w:spacing w:line="276" w:lineRule="auto"/>
              <w:rPr>
                <w:b w:val="1"/>
                <w:bCs w:val="1"/>
              </w:rPr>
            </w:pPr>
            <w:r w:rsidDel="00000000" w:rsidR="00000000" w:rsidRPr="00000000">
              <w:rPr>
                <w:b w:val="1"/>
                <w:bCs w:val="1"/>
                <w:rtl w:val="0"/>
              </w:rPr>
              <w:t xml:space="preserve">Kosto për buxhetin – një herë</w:t>
            </w:r>
          </w:p>
        </w:tc>
        <w:tc>
          <w:tcPr>
            <w:vAlign w:val="center"/>
          </w:tcPr>
          <w:p w:rsidR="00000000" w:rsidDel="00000000" w:rsidP="00000000" w:rsidRDefault="00000000" w:rsidRPr="00000000" w14:paraId="000002C8">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C9">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CA">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CB">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CC">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CD">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CE">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CF">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0">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1">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D2">
            <w:pPr>
              <w:spacing w:line="276" w:lineRule="auto"/>
              <w:rPr>
                <w:b w:val="1"/>
                <w:bCs w:val="1"/>
              </w:rPr>
            </w:pPr>
            <w:r w:rsidDel="00000000" w:rsidR="00000000" w:rsidRPr="00000000">
              <w:rPr>
                <w:b w:val="1"/>
                <w:bCs w:val="1"/>
                <w:rtl w:val="0"/>
              </w:rPr>
              <w:t xml:space="preserve">Kosto për buxhetin – në vazhdimësi</w:t>
            </w:r>
          </w:p>
        </w:tc>
        <w:tc>
          <w:tcPr>
            <w:vAlign w:val="center"/>
          </w:tcPr>
          <w:p w:rsidR="00000000" w:rsidDel="00000000" w:rsidP="00000000" w:rsidRDefault="00000000" w:rsidRPr="00000000" w14:paraId="000002D3">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4">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5">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6">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7">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8">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9">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A">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B">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DC">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DD">
            <w:pPr>
              <w:spacing w:line="276" w:lineRule="auto"/>
              <w:rPr>
                <w:b w:val="1"/>
                <w:bCs w:val="1"/>
              </w:rPr>
            </w:pPr>
            <w:r w:rsidDel="00000000" w:rsidR="00000000" w:rsidRPr="00000000">
              <w:rPr>
                <w:b w:val="1"/>
                <w:bCs w:val="1"/>
                <w:rtl w:val="0"/>
              </w:rPr>
              <w:t xml:space="preserve">Kosto për bizneset – një herë</w:t>
            </w:r>
          </w:p>
        </w:tc>
        <w:tc>
          <w:tcPr>
            <w:vAlign w:val="center"/>
          </w:tcPr>
          <w:p w:rsidR="00000000" w:rsidDel="00000000" w:rsidP="00000000" w:rsidRDefault="00000000" w:rsidRPr="00000000" w14:paraId="000002DE">
            <w:pPr>
              <w:spacing w:line="276" w:lineRule="auto"/>
              <w:rPr>
                <w:b w:val="1"/>
                <w:bCs w:val="1"/>
              </w:rPr>
            </w:pPr>
            <w:r w:rsidDel="00000000" w:rsidR="00000000" w:rsidRPr="00000000">
              <w:rPr>
                <w:b w:val="1"/>
                <w:bCs w:val="1"/>
                <w:rtl w:val="0"/>
              </w:rPr>
              <w:t xml:space="preserve">790,000</w:t>
            </w:r>
          </w:p>
        </w:tc>
        <w:tc>
          <w:tcPr>
            <w:vAlign w:val="center"/>
          </w:tcPr>
          <w:p w:rsidR="00000000" w:rsidDel="00000000" w:rsidP="00000000" w:rsidRDefault="00000000" w:rsidRPr="00000000" w14:paraId="000002DF">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0">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1">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2">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3">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4">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5">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6">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E7">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E8">
            <w:pPr>
              <w:spacing w:line="276" w:lineRule="auto"/>
              <w:rPr>
                <w:b w:val="1"/>
                <w:bCs w:val="1"/>
              </w:rPr>
            </w:pPr>
            <w:r w:rsidDel="00000000" w:rsidR="00000000" w:rsidRPr="00000000">
              <w:rPr>
                <w:b w:val="1"/>
                <w:bCs w:val="1"/>
                <w:rtl w:val="0"/>
              </w:rPr>
              <w:t xml:space="preserve">Kosto për bizneset – në vazhdimësi</w:t>
            </w:r>
          </w:p>
        </w:tc>
        <w:tc>
          <w:tcPr>
            <w:vAlign w:val="center"/>
          </w:tcPr>
          <w:p w:rsidR="00000000" w:rsidDel="00000000" w:rsidP="00000000" w:rsidRDefault="00000000" w:rsidRPr="00000000" w14:paraId="000002E9">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EA">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EB">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EC">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ED">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EE">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EF">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F0">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F1">
            <w:pPr>
              <w:spacing w:line="276" w:lineRule="auto"/>
              <w:rPr>
                <w:b w:val="1"/>
                <w:bCs w:val="1"/>
              </w:rPr>
            </w:pPr>
            <w:r w:rsidDel="00000000" w:rsidR="00000000" w:rsidRPr="00000000">
              <w:rPr>
                <w:b w:val="1"/>
                <w:bCs w:val="1"/>
                <w:rtl w:val="0"/>
              </w:rPr>
              <w:t xml:space="preserve">445,000</w:t>
            </w:r>
          </w:p>
        </w:tc>
        <w:tc>
          <w:tcPr>
            <w:vAlign w:val="center"/>
          </w:tcPr>
          <w:p w:rsidR="00000000" w:rsidDel="00000000" w:rsidP="00000000" w:rsidRDefault="00000000" w:rsidRPr="00000000" w14:paraId="000002F2">
            <w:pPr>
              <w:spacing w:line="276" w:lineRule="auto"/>
              <w:rPr>
                <w:b w:val="1"/>
                <w:bCs w:val="1"/>
              </w:rPr>
            </w:pPr>
            <w:r w:rsidDel="00000000" w:rsidR="00000000" w:rsidRPr="00000000">
              <w:rPr>
                <w:b w:val="1"/>
                <w:bCs w:val="1"/>
                <w:rtl w:val="0"/>
              </w:rPr>
              <w:t xml:space="preserve">445,000</w:t>
            </w:r>
          </w:p>
        </w:tc>
      </w:tr>
      <w:tr>
        <w:trPr>
          <w:cantSplit w:val="0"/>
          <w:tblHeader w:val="0"/>
        </w:trPr>
        <w:tc>
          <w:tcPr>
            <w:vAlign w:val="center"/>
          </w:tcPr>
          <w:p w:rsidR="00000000" w:rsidDel="00000000" w:rsidP="00000000" w:rsidRDefault="00000000" w:rsidRPr="00000000" w14:paraId="000002F3">
            <w:pPr>
              <w:spacing w:line="276" w:lineRule="auto"/>
              <w:rPr>
                <w:b w:val="1"/>
                <w:bCs w:val="1"/>
              </w:rPr>
            </w:pPr>
            <w:r w:rsidDel="00000000" w:rsidR="00000000" w:rsidRPr="00000000">
              <w:rPr>
                <w:b w:val="1"/>
                <w:bCs w:val="1"/>
                <w:rtl w:val="0"/>
              </w:rPr>
              <w:t xml:space="preserve">Kosto për grupet e tjera – një herë</w:t>
            </w:r>
          </w:p>
        </w:tc>
        <w:tc>
          <w:tcPr>
            <w:vAlign w:val="center"/>
          </w:tcPr>
          <w:p w:rsidR="00000000" w:rsidDel="00000000" w:rsidP="00000000" w:rsidRDefault="00000000" w:rsidRPr="00000000" w14:paraId="000002F4">
            <w:pPr>
              <w:spacing w:line="276" w:lineRule="auto"/>
              <w:rPr>
                <w:b w:val="1"/>
                <w:bCs w:val="1"/>
              </w:rPr>
            </w:pPr>
            <w:r w:rsidDel="00000000" w:rsidR="00000000" w:rsidRPr="00000000">
              <w:rPr>
                <w:b w:val="1"/>
                <w:bCs w:val="1"/>
                <w:rtl w:val="0"/>
              </w:rPr>
              <w:t xml:space="preserve">400,000</w:t>
            </w:r>
          </w:p>
        </w:tc>
        <w:tc>
          <w:tcPr>
            <w:vAlign w:val="center"/>
          </w:tcPr>
          <w:p w:rsidR="00000000" w:rsidDel="00000000" w:rsidP="00000000" w:rsidRDefault="00000000" w:rsidRPr="00000000" w14:paraId="000002F5">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6">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7">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8">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9">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A">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B">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C">
            <w:pPr>
              <w:spacing w:line="276" w:lineRule="auto"/>
              <w:rPr>
                <w:b w:val="1"/>
                <w:bCs w:val="1"/>
              </w:rPr>
            </w:pPr>
            <w:r w:rsidDel="00000000" w:rsidR="00000000" w:rsidRPr="00000000">
              <w:rPr>
                <w:b w:val="1"/>
                <w:bCs w:val="1"/>
                <w:rtl w:val="0"/>
              </w:rPr>
              <w:t xml:space="preserve">0</w:t>
            </w:r>
          </w:p>
        </w:tc>
        <w:tc>
          <w:tcPr>
            <w:vAlign w:val="center"/>
          </w:tcPr>
          <w:p w:rsidR="00000000" w:rsidDel="00000000" w:rsidP="00000000" w:rsidRDefault="00000000" w:rsidRPr="00000000" w14:paraId="000002FD">
            <w:pPr>
              <w:spacing w:line="276" w:lineRule="auto"/>
              <w:rPr>
                <w:b w:val="1"/>
                <w:bCs w:val="1"/>
              </w:rPr>
            </w:pPr>
            <w:r w:rsidDel="00000000" w:rsidR="00000000" w:rsidRPr="00000000">
              <w:rPr>
                <w:b w:val="1"/>
                <w:bCs w:val="1"/>
                <w:rtl w:val="0"/>
              </w:rPr>
              <w:t xml:space="preserve">0</w:t>
            </w:r>
          </w:p>
        </w:tc>
      </w:tr>
      <w:tr>
        <w:trPr>
          <w:cantSplit w:val="0"/>
          <w:tblHeader w:val="0"/>
        </w:trPr>
        <w:tc>
          <w:tcPr>
            <w:vAlign w:val="center"/>
          </w:tcPr>
          <w:p w:rsidR="00000000" w:rsidDel="00000000" w:rsidP="00000000" w:rsidRDefault="00000000" w:rsidRPr="00000000" w14:paraId="000002FE">
            <w:pPr>
              <w:spacing w:line="276" w:lineRule="auto"/>
              <w:rPr>
                <w:b w:val="1"/>
                <w:bCs w:val="1"/>
              </w:rPr>
            </w:pPr>
            <w:r w:rsidDel="00000000" w:rsidR="00000000" w:rsidRPr="00000000">
              <w:rPr>
                <w:b w:val="1"/>
                <w:bCs w:val="1"/>
                <w:rtl w:val="0"/>
              </w:rPr>
              <w:t xml:space="preserve">Kosto për grupet e tjera – në vazhdimësi</w:t>
            </w:r>
          </w:p>
        </w:tc>
        <w:tc>
          <w:tcPr>
            <w:vAlign w:val="center"/>
          </w:tcPr>
          <w:p w:rsidR="00000000" w:rsidDel="00000000" w:rsidP="00000000" w:rsidRDefault="00000000" w:rsidRPr="00000000" w14:paraId="000002FF">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0">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1">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2">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3">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4">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5">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6">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7">
            <w:pPr>
              <w:spacing w:line="276" w:lineRule="auto"/>
              <w:rPr>
                <w:b w:val="1"/>
                <w:bCs w:val="1"/>
              </w:rPr>
            </w:pPr>
            <w:r w:rsidDel="00000000" w:rsidR="00000000" w:rsidRPr="00000000">
              <w:rPr>
                <w:b w:val="1"/>
                <w:bCs w:val="1"/>
                <w:rtl w:val="0"/>
              </w:rPr>
              <w:t xml:space="preserve">320,000</w:t>
            </w:r>
          </w:p>
        </w:tc>
        <w:tc>
          <w:tcPr>
            <w:vAlign w:val="center"/>
          </w:tcPr>
          <w:p w:rsidR="00000000" w:rsidDel="00000000" w:rsidP="00000000" w:rsidRDefault="00000000" w:rsidRPr="00000000" w14:paraId="00000308">
            <w:pPr>
              <w:spacing w:line="276" w:lineRule="auto"/>
              <w:rPr>
                <w:b w:val="1"/>
                <w:bCs w:val="1"/>
              </w:rPr>
            </w:pPr>
            <w:r w:rsidDel="00000000" w:rsidR="00000000" w:rsidRPr="00000000">
              <w:rPr>
                <w:b w:val="1"/>
                <w:bCs w:val="1"/>
                <w:rtl w:val="0"/>
              </w:rPr>
              <w:t xml:space="preserve">320,000</w:t>
            </w:r>
          </w:p>
        </w:tc>
      </w:tr>
      <w:tr>
        <w:trPr>
          <w:cantSplit w:val="0"/>
          <w:tblHeader w:val="0"/>
        </w:trPr>
        <w:tc>
          <w:tcPr>
            <w:vAlign w:val="center"/>
          </w:tcPr>
          <w:p w:rsidR="00000000" w:rsidDel="00000000" w:rsidP="00000000" w:rsidRDefault="00000000" w:rsidRPr="00000000" w14:paraId="00000309">
            <w:pPr>
              <w:spacing w:line="276" w:lineRule="auto"/>
              <w:rPr>
                <w:b w:val="1"/>
                <w:bCs w:val="1"/>
              </w:rPr>
            </w:pPr>
            <w:r w:rsidDel="00000000" w:rsidR="00000000" w:rsidRPr="00000000">
              <w:rPr>
                <w:b w:val="1"/>
                <w:bCs w:val="1"/>
                <w:rtl w:val="0"/>
              </w:rPr>
              <w:t xml:space="preserve">Kosto në total</w:t>
            </w:r>
          </w:p>
        </w:tc>
        <w:tc>
          <w:tcPr>
            <w:vAlign w:val="center"/>
          </w:tcPr>
          <w:p w:rsidR="00000000" w:rsidDel="00000000" w:rsidP="00000000" w:rsidRDefault="00000000" w:rsidRPr="00000000" w14:paraId="0000030A">
            <w:pPr>
              <w:spacing w:line="276" w:lineRule="auto"/>
              <w:rPr>
                <w:b w:val="1"/>
                <w:bCs w:val="1"/>
              </w:rPr>
            </w:pPr>
            <w:r w:rsidDel="00000000" w:rsidR="00000000" w:rsidRPr="00000000">
              <w:rPr>
                <w:b w:val="1"/>
                <w:bCs w:val="1"/>
                <w:rtl w:val="0"/>
              </w:rPr>
              <w:t xml:space="preserve">1,955,000</w:t>
            </w:r>
          </w:p>
        </w:tc>
        <w:tc>
          <w:tcPr>
            <w:vAlign w:val="center"/>
          </w:tcPr>
          <w:p w:rsidR="00000000" w:rsidDel="00000000" w:rsidP="00000000" w:rsidRDefault="00000000" w:rsidRPr="00000000" w14:paraId="0000030B">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0C">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0D">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0E">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0F">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10">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11">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12">
            <w:pPr>
              <w:spacing w:line="276" w:lineRule="auto"/>
              <w:rPr>
                <w:b w:val="1"/>
                <w:bCs w:val="1"/>
              </w:rPr>
            </w:pPr>
            <w:r w:rsidDel="00000000" w:rsidR="00000000" w:rsidRPr="00000000">
              <w:rPr>
                <w:b w:val="1"/>
                <w:bCs w:val="1"/>
                <w:rtl w:val="0"/>
              </w:rPr>
              <w:t xml:space="preserve">765,000</w:t>
            </w:r>
          </w:p>
        </w:tc>
        <w:tc>
          <w:tcPr>
            <w:vAlign w:val="center"/>
          </w:tcPr>
          <w:p w:rsidR="00000000" w:rsidDel="00000000" w:rsidP="00000000" w:rsidRDefault="00000000" w:rsidRPr="00000000" w14:paraId="00000313">
            <w:pPr>
              <w:spacing w:line="276" w:lineRule="auto"/>
              <w:rPr>
                <w:b w:val="1"/>
                <w:bCs w:val="1"/>
              </w:rPr>
            </w:pPr>
            <w:r w:rsidDel="00000000" w:rsidR="00000000" w:rsidRPr="00000000">
              <w:rPr>
                <w:b w:val="1"/>
                <w:bCs w:val="1"/>
                <w:rtl w:val="0"/>
              </w:rPr>
              <w:t xml:space="preserve">765,000</w:t>
            </w:r>
          </w:p>
        </w:tc>
      </w:tr>
      <w:tr>
        <w:trPr>
          <w:cantSplit w:val="0"/>
          <w:tblHeader w:val="0"/>
        </w:trPr>
        <w:tc>
          <w:tcPr>
            <w:vAlign w:val="center"/>
          </w:tcPr>
          <w:p w:rsidR="00000000" w:rsidDel="00000000" w:rsidP="00000000" w:rsidRDefault="00000000" w:rsidRPr="00000000" w14:paraId="00000314">
            <w:pPr>
              <w:spacing w:line="276" w:lineRule="auto"/>
              <w:rPr>
                <w:b w:val="1"/>
                <w:bCs w:val="1"/>
              </w:rPr>
            </w:pPr>
            <w:r w:rsidDel="00000000" w:rsidR="00000000" w:rsidRPr="00000000">
              <w:rPr>
                <w:b w:val="1"/>
                <w:bCs w:val="1"/>
                <w:rtl w:val="0"/>
              </w:rPr>
              <w:t xml:space="preserve">Kosto e zbritur</w:t>
            </w:r>
          </w:p>
        </w:tc>
        <w:tc>
          <w:tcPr>
            <w:vAlign w:val="center"/>
          </w:tcPr>
          <w:p w:rsidR="00000000" w:rsidDel="00000000" w:rsidP="00000000" w:rsidRDefault="00000000" w:rsidRPr="00000000" w14:paraId="00000315">
            <w:pPr>
              <w:spacing w:line="276" w:lineRule="auto"/>
              <w:rPr>
                <w:b w:val="1"/>
                <w:bCs w:val="1"/>
              </w:rPr>
            </w:pPr>
            <w:r w:rsidDel="00000000" w:rsidR="00000000" w:rsidRPr="00000000">
              <w:rPr>
                <w:b w:val="1"/>
                <w:bCs w:val="1"/>
                <w:rtl w:val="0"/>
              </w:rPr>
              <w:t xml:space="preserve">1,955,000</w:t>
            </w:r>
          </w:p>
        </w:tc>
        <w:tc>
          <w:tcPr>
            <w:vAlign w:val="center"/>
          </w:tcPr>
          <w:p w:rsidR="00000000" w:rsidDel="00000000" w:rsidP="00000000" w:rsidRDefault="00000000" w:rsidRPr="00000000" w14:paraId="00000316">
            <w:pPr>
              <w:spacing w:line="276" w:lineRule="auto"/>
              <w:rPr>
                <w:b w:val="1"/>
                <w:bCs w:val="1"/>
              </w:rPr>
            </w:pPr>
            <w:r w:rsidDel="00000000" w:rsidR="00000000" w:rsidRPr="00000000">
              <w:rPr>
                <w:b w:val="1"/>
                <w:bCs w:val="1"/>
                <w:rtl w:val="0"/>
              </w:rPr>
              <w:t xml:space="preserve">726,750</w:t>
            </w:r>
          </w:p>
        </w:tc>
        <w:tc>
          <w:tcPr>
            <w:vAlign w:val="center"/>
          </w:tcPr>
          <w:p w:rsidR="00000000" w:rsidDel="00000000" w:rsidP="00000000" w:rsidRDefault="00000000" w:rsidRPr="00000000" w14:paraId="00000317">
            <w:pPr>
              <w:spacing w:line="276" w:lineRule="auto"/>
              <w:rPr>
                <w:b w:val="1"/>
                <w:bCs w:val="1"/>
              </w:rPr>
            </w:pPr>
            <w:r w:rsidDel="00000000" w:rsidR="00000000" w:rsidRPr="00000000">
              <w:rPr>
                <w:b w:val="1"/>
                <w:bCs w:val="1"/>
                <w:rtl w:val="0"/>
              </w:rPr>
              <w:t xml:space="preserve">696,150</w:t>
            </w:r>
          </w:p>
        </w:tc>
        <w:tc>
          <w:tcPr>
            <w:vAlign w:val="center"/>
          </w:tcPr>
          <w:p w:rsidR="00000000" w:rsidDel="00000000" w:rsidP="00000000" w:rsidRDefault="00000000" w:rsidRPr="00000000" w14:paraId="00000318">
            <w:pPr>
              <w:spacing w:line="276" w:lineRule="auto"/>
              <w:rPr>
                <w:b w:val="1"/>
                <w:bCs w:val="1"/>
              </w:rPr>
            </w:pPr>
            <w:r w:rsidDel="00000000" w:rsidR="00000000" w:rsidRPr="00000000">
              <w:rPr>
                <w:b w:val="1"/>
                <w:bCs w:val="1"/>
                <w:rtl w:val="0"/>
              </w:rPr>
              <w:t xml:space="preserve">665,550</w:t>
            </w:r>
          </w:p>
        </w:tc>
        <w:tc>
          <w:tcPr>
            <w:vAlign w:val="center"/>
          </w:tcPr>
          <w:p w:rsidR="00000000" w:rsidDel="00000000" w:rsidP="00000000" w:rsidRDefault="00000000" w:rsidRPr="00000000" w14:paraId="00000319">
            <w:pPr>
              <w:spacing w:line="276" w:lineRule="auto"/>
              <w:rPr>
                <w:b w:val="1"/>
                <w:bCs w:val="1"/>
              </w:rPr>
            </w:pPr>
            <w:r w:rsidDel="00000000" w:rsidR="00000000" w:rsidRPr="00000000">
              <w:rPr>
                <w:b w:val="1"/>
                <w:bCs w:val="1"/>
                <w:rtl w:val="0"/>
              </w:rPr>
              <w:t xml:space="preserve">627,300</w:t>
            </w:r>
          </w:p>
        </w:tc>
        <w:tc>
          <w:tcPr>
            <w:vAlign w:val="center"/>
          </w:tcPr>
          <w:p w:rsidR="00000000" w:rsidDel="00000000" w:rsidP="00000000" w:rsidRDefault="00000000" w:rsidRPr="00000000" w14:paraId="0000031A">
            <w:pPr>
              <w:spacing w:line="276" w:lineRule="auto"/>
              <w:rPr>
                <w:b w:val="1"/>
                <w:bCs w:val="1"/>
              </w:rPr>
            </w:pPr>
            <w:r w:rsidDel="00000000" w:rsidR="00000000" w:rsidRPr="00000000">
              <w:rPr>
                <w:b w:val="1"/>
                <w:bCs w:val="1"/>
                <w:rtl w:val="0"/>
              </w:rPr>
              <w:t xml:space="preserve">604,350</w:t>
            </w:r>
          </w:p>
        </w:tc>
        <w:tc>
          <w:tcPr>
            <w:vAlign w:val="center"/>
          </w:tcPr>
          <w:p w:rsidR="00000000" w:rsidDel="00000000" w:rsidP="00000000" w:rsidRDefault="00000000" w:rsidRPr="00000000" w14:paraId="0000031B">
            <w:pPr>
              <w:spacing w:line="276" w:lineRule="auto"/>
              <w:rPr>
                <w:b w:val="1"/>
                <w:bCs w:val="1"/>
              </w:rPr>
            </w:pPr>
            <w:r w:rsidDel="00000000" w:rsidR="00000000" w:rsidRPr="00000000">
              <w:rPr>
                <w:b w:val="1"/>
                <w:bCs w:val="1"/>
                <w:rtl w:val="0"/>
              </w:rPr>
              <w:t xml:space="preserve">573,750</w:t>
            </w:r>
          </w:p>
        </w:tc>
        <w:tc>
          <w:tcPr>
            <w:vAlign w:val="center"/>
          </w:tcPr>
          <w:p w:rsidR="00000000" w:rsidDel="00000000" w:rsidP="00000000" w:rsidRDefault="00000000" w:rsidRPr="00000000" w14:paraId="0000031C">
            <w:pPr>
              <w:spacing w:line="276" w:lineRule="auto"/>
              <w:rPr>
                <w:b w:val="1"/>
                <w:bCs w:val="1"/>
              </w:rPr>
            </w:pPr>
            <w:r w:rsidDel="00000000" w:rsidR="00000000" w:rsidRPr="00000000">
              <w:rPr>
                <w:b w:val="1"/>
                <w:bCs w:val="1"/>
                <w:rtl w:val="0"/>
              </w:rPr>
              <w:t xml:space="preserve">543,150</w:t>
            </w:r>
          </w:p>
        </w:tc>
        <w:tc>
          <w:tcPr>
            <w:vAlign w:val="center"/>
          </w:tcPr>
          <w:p w:rsidR="00000000" w:rsidDel="00000000" w:rsidP="00000000" w:rsidRDefault="00000000" w:rsidRPr="00000000" w14:paraId="0000031D">
            <w:pPr>
              <w:spacing w:line="276" w:lineRule="auto"/>
              <w:rPr>
                <w:b w:val="1"/>
                <w:bCs w:val="1"/>
              </w:rPr>
            </w:pPr>
            <w:r w:rsidDel="00000000" w:rsidR="00000000" w:rsidRPr="00000000">
              <w:rPr>
                <w:b w:val="1"/>
                <w:bCs w:val="1"/>
                <w:rtl w:val="0"/>
              </w:rPr>
              <w:t xml:space="preserve">520,200</w:t>
            </w:r>
          </w:p>
        </w:tc>
        <w:tc>
          <w:tcPr>
            <w:vAlign w:val="center"/>
          </w:tcPr>
          <w:p w:rsidR="00000000" w:rsidDel="00000000" w:rsidP="00000000" w:rsidRDefault="00000000" w:rsidRPr="00000000" w14:paraId="0000031E">
            <w:pPr>
              <w:spacing w:line="276" w:lineRule="auto"/>
              <w:rPr>
                <w:b w:val="1"/>
                <w:bCs w:val="1"/>
              </w:rPr>
            </w:pPr>
            <w:r w:rsidDel="00000000" w:rsidR="00000000" w:rsidRPr="00000000">
              <w:rPr>
                <w:b w:val="1"/>
                <w:bCs w:val="1"/>
                <w:rtl w:val="0"/>
              </w:rPr>
              <w:t xml:space="preserve">497,250</w:t>
            </w:r>
          </w:p>
        </w:tc>
      </w:tr>
    </w:tbl>
    <w:p w:rsidR="00000000" w:rsidDel="00000000" w:rsidP="00000000" w:rsidRDefault="00000000" w:rsidRPr="00000000" w14:paraId="0000031F">
      <w:pPr>
        <w:spacing w:line="276" w:lineRule="auto"/>
        <w:rPr>
          <w:b w:val="1"/>
          <w:bCs w:val="1"/>
        </w:rPr>
      </w:pPr>
      <w:r w:rsidDel="00000000" w:rsidR="00000000" w:rsidRPr="00000000">
        <w:rPr>
          <w:rtl w:val="0"/>
        </w:rPr>
      </w:r>
    </w:p>
    <w:p w:rsidR="00000000" w:rsidDel="00000000" w:rsidP="00000000" w:rsidRDefault="00000000" w:rsidRPr="00000000" w14:paraId="00000320">
      <w:pPr>
        <w:spacing w:line="276" w:lineRule="auto"/>
        <w:rPr>
          <w:b w:val="1"/>
          <w:bCs w:val="1"/>
        </w:rPr>
      </w:pPr>
      <w:r w:rsidDel="00000000" w:rsidR="00000000" w:rsidRPr="00000000">
        <w:rPr>
          <w:rtl w:val="0"/>
        </w:rPr>
      </w:r>
    </w:p>
    <w:p w:rsidR="00000000" w:rsidDel="00000000" w:rsidP="00000000" w:rsidRDefault="00000000" w:rsidRPr="00000000" w14:paraId="00000321">
      <w:pPr>
        <w:spacing w:line="276" w:lineRule="auto"/>
        <w:rPr>
          <w:b w:val="1"/>
          <w:bCs w:val="1"/>
        </w:rPr>
      </w:pPr>
      <w:r w:rsidDel="00000000" w:rsidR="00000000" w:rsidRPr="00000000">
        <w:rPr>
          <w:rtl w:val="0"/>
        </w:rPr>
      </w:r>
    </w:p>
    <w:p w:rsidR="00000000" w:rsidDel="00000000" w:rsidP="00000000" w:rsidRDefault="00000000" w:rsidRPr="00000000" w14:paraId="00000322">
      <w:pPr>
        <w:spacing w:line="276" w:lineRule="auto"/>
        <w:rPr>
          <w:b w:val="1"/>
          <w:bCs w:val="1"/>
        </w:rPr>
      </w:pPr>
      <w:r w:rsidDel="00000000" w:rsidR="00000000" w:rsidRPr="00000000">
        <w:rPr>
          <w:rtl w:val="0"/>
        </w:rPr>
      </w:r>
    </w:p>
    <w:p w:rsidR="00000000" w:rsidDel="00000000" w:rsidP="00000000" w:rsidRDefault="00000000" w:rsidRPr="00000000" w14:paraId="00000323">
      <w:pPr>
        <w:spacing w:line="276" w:lineRule="auto"/>
        <w:jc w:val="center"/>
        <w:rPr>
          <w:b w:val="1"/>
          <w:bCs w:val="1"/>
        </w:rPr>
      </w:pPr>
      <w:r w:rsidDel="00000000" w:rsidR="00000000" w:rsidRPr="00000000">
        <w:rPr>
          <w:b w:val="1"/>
          <w:bCs w:val="1"/>
          <w:rtl w:val="0"/>
        </w:rPr>
        <w:t xml:space="preserve">MINISTËR</w:t>
      </w:r>
    </w:p>
    <w:p w:rsidR="00000000" w:rsidDel="00000000" w:rsidP="00000000" w:rsidRDefault="00000000" w:rsidRPr="00000000" w14:paraId="00000324">
      <w:pPr>
        <w:spacing w:line="276" w:lineRule="auto"/>
        <w:jc w:val="center"/>
        <w:rPr>
          <w:b w:val="1"/>
          <w:bCs w:val="1"/>
        </w:rPr>
      </w:pPr>
      <w:r w:rsidDel="00000000" w:rsidR="00000000" w:rsidRPr="00000000">
        <w:rPr>
          <w:rtl w:val="0"/>
        </w:rPr>
      </w:r>
    </w:p>
    <w:bookmarkStart w:colFirst="0" w:colLast="0" w:name="bookmark=id.5w27sluwfej6" w:id="10"/>
    <w:bookmarkEnd w:id="10"/>
    <w:p w:rsidR="00000000" w:rsidDel="00000000" w:rsidP="00000000" w:rsidRDefault="00000000" w:rsidRPr="00000000" w14:paraId="00000325">
      <w:pPr>
        <w:spacing w:line="276" w:lineRule="auto"/>
        <w:jc w:val="center"/>
        <w:rPr>
          <w:b w:val="1"/>
          <w:bCs w:val="1"/>
        </w:rPr>
      </w:pPr>
      <w:r w:rsidDel="00000000" w:rsidR="00000000" w:rsidRPr="00000000">
        <w:rPr>
          <w:color w:val="808080"/>
          <w:rtl w:val="0"/>
        </w:rPr>
        <w:t xml:space="preserve">[Emri</w:t>
      </w:r>
      <w:r w:rsidDel="00000000" w:rsidR="00000000" w:rsidRPr="00000000">
        <w:rPr>
          <w:rtl w:val="0"/>
        </w:rPr>
        <w:t xml:space="preserve"> </w:t>
      </w:r>
      <w:bookmarkStart w:colFirst="0" w:colLast="0" w:name="bookmark=id.4c3zujfxiall" w:id="11"/>
      <w:bookmarkEnd w:id="11"/>
      <w:r w:rsidDel="00000000" w:rsidR="00000000" w:rsidRPr="00000000">
        <w:rPr>
          <w:color w:val="808080"/>
          <w:rtl w:val="0"/>
        </w:rPr>
        <w:t xml:space="preserve">Mbiemri]</w:t>
      </w:r>
      <w:r w:rsidDel="00000000" w:rsidR="00000000" w:rsidRPr="00000000">
        <w:rPr>
          <w:rtl w:val="0"/>
        </w:rPr>
      </w:r>
    </w:p>
    <w:p w:rsidR="00000000" w:rsidDel="00000000" w:rsidP="00000000" w:rsidRDefault="00000000" w:rsidRPr="00000000" w14:paraId="00000326">
      <w:pPr>
        <w:spacing w:line="276" w:lineRule="auto"/>
        <w:rPr/>
      </w:pPr>
      <w:r w:rsidDel="00000000" w:rsidR="00000000" w:rsidRPr="00000000">
        <w:rPr>
          <w:rtl w:val="0"/>
        </w:rPr>
      </w:r>
    </w:p>
    <w:p w:rsidR="00000000" w:rsidDel="00000000" w:rsidP="00000000" w:rsidRDefault="00000000" w:rsidRPr="00000000" w14:paraId="00000327">
      <w:pPr>
        <w:spacing w:line="276" w:lineRule="auto"/>
        <w:rPr/>
      </w:pPr>
      <w:r w:rsidDel="00000000" w:rsidR="00000000" w:rsidRPr="00000000">
        <w:rPr>
          <w:rtl w:val="0"/>
        </w:rPr>
      </w:r>
    </w:p>
    <w:sectPr>
      <w:type w:val="continuous"/>
      <w:pgSz w:h="11907" w:w="16840" w:orient="landscape"/>
      <w:pgMar w:bottom="850" w:top="850" w:left="677" w:right="677" w:header="288"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132"/>
        <w:tab w:val="right" w:leader="none" w:pos="10260"/>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right" w:leader="none" w:pos="10206"/>
      </w:tabs>
      <w:spacing w:after="60" w:before="240" w:lineRule="auto"/>
    </w:pPr>
    <w:rPr>
      <w:rFonts w:ascii="Arial" w:cs="Arial" w:eastAsia="Arial" w:hAnsi="Arial"/>
      <w:b w:val="1"/>
      <w:bCs w:val="1"/>
      <w:sz w:val="32"/>
      <w:szCs w:val="32"/>
    </w:rPr>
  </w:style>
  <w:style w:type="paragraph" w:styleId="Heading2">
    <w:name w:val="heading 2"/>
    <w:basedOn w:val="Normal"/>
    <w:next w:val="Normal"/>
    <w:pPr>
      <w:keepNext w:val="1"/>
      <w:keepLines w:val="1"/>
      <w:spacing w:after="240" w:before="480" w:lineRule="auto"/>
    </w:pPr>
    <w:rPr>
      <w:color w:val="000000"/>
      <w:sz w:val="32"/>
      <w:szCs w:val="32"/>
    </w:rPr>
  </w:style>
  <w:style w:type="paragraph" w:styleId="Heading3">
    <w:name w:val="heading 3"/>
    <w:basedOn w:val="Normal"/>
    <w:next w:val="Normal"/>
    <w:pPr>
      <w:keepNext w:val="1"/>
      <w:keepLines w:val="1"/>
      <w:spacing w:after="240" w:before="360" w:lineRule="auto"/>
    </w:pPr>
    <w:rPr>
      <w:b w:val="1"/>
      <w:bCs w:val="1"/>
      <w:color w:val="000000"/>
    </w:rPr>
  </w:style>
  <w:style w:type="paragraph" w:styleId="Heading4">
    <w:name w:val="heading 4"/>
    <w:basedOn w:val="Normal"/>
    <w:next w:val="Normal"/>
    <w:pPr>
      <w:spacing w:after="120" w:before="240" w:lineRule="auto"/>
    </w:pPr>
    <w:rPr>
      <w:b w:val="1"/>
      <w:bCs w:val="1"/>
      <w:color w:val="000000"/>
      <w:sz w:val="22"/>
      <w:szCs w:val="22"/>
    </w:rPr>
  </w:style>
  <w:style w:type="paragraph" w:styleId="Heading5">
    <w:name w:val="heading 5"/>
    <w:basedOn w:val="Normal"/>
    <w:next w:val="Normal"/>
    <w:pPr>
      <w:spacing w:after="120" w:before="240" w:lineRule="auto"/>
    </w:pPr>
    <w:rPr>
      <w:i w:val="1"/>
      <w:i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ind w:left="113"/>
    </w:pPr>
    <w:rPr>
      <w:color w:val="fffff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Pr>
      <w:rFonts w:cs="Times New Roman" w:asciiTheme="majorHAnsi" w:eastAsiaTheme="majorEastAsia" w:hAnsiTheme="majorHAnsi"/>
      <w:b w:val="1"/>
      <w:bCs w:val="1"/>
      <w:kern w:val="32"/>
      <w:sz w:val="32"/>
      <w:szCs w:val="32"/>
      <w:lang w:eastAsia="en-US" w:val="x-none"/>
    </w:rPr>
  </w:style>
  <w:style w:type="character" w:styleId="Heading2Char" w:customStyle="1">
    <w:name w:val="Heading 2 Char"/>
    <w:aliases w:val="EBHeading1 Char"/>
    <w:basedOn w:val="DefaultParagraphFont"/>
    <w:link w:val="Heading2"/>
    <w:uiPriority w:val="9"/>
    <w:semiHidden w:val="1"/>
    <w:locked w:val="1"/>
    <w:rPr>
      <w:rFonts w:cs="Times New Roman" w:asciiTheme="majorHAnsi" w:eastAsiaTheme="majorEastAsia" w:hAnsiTheme="majorHAnsi"/>
      <w:b w:val="1"/>
      <w:bCs w:val="1"/>
      <w:i w:val="1"/>
      <w:iCs w:val="1"/>
      <w:sz w:val="28"/>
      <w:szCs w:val="28"/>
      <w:lang w:eastAsia="en-US" w:val="x-none"/>
    </w:rPr>
  </w:style>
  <w:style w:type="character" w:styleId="Heading3Char" w:customStyle="1">
    <w:name w:val="Heading 3 Char"/>
    <w:aliases w:val="EBHeading2 Char"/>
    <w:basedOn w:val="DefaultParagraphFont"/>
    <w:link w:val="Heading3"/>
    <w:uiPriority w:val="9"/>
    <w:semiHidden w:val="1"/>
    <w:locked w:val="1"/>
    <w:rPr>
      <w:rFonts w:cs="Times New Roman" w:asciiTheme="majorHAnsi" w:eastAsiaTheme="majorEastAsia" w:hAnsiTheme="majorHAnsi"/>
      <w:b w:val="1"/>
      <w:bCs w:val="1"/>
      <w:sz w:val="26"/>
      <w:szCs w:val="26"/>
      <w:lang w:eastAsia="en-US" w:val="x-none"/>
    </w:rPr>
  </w:style>
  <w:style w:type="character" w:styleId="Heading4Char" w:customStyle="1">
    <w:name w:val="Heading 4 Char"/>
    <w:aliases w:val="EBHeading3 Char"/>
    <w:basedOn w:val="DefaultParagraphFont"/>
    <w:link w:val="Heading4"/>
    <w:uiPriority w:val="9"/>
    <w:semiHidden w:val="1"/>
    <w:locked w:val="1"/>
    <w:rPr>
      <w:rFonts w:cs="Times New Roman" w:asciiTheme="minorHAnsi" w:eastAsiaTheme="minorEastAsia" w:hAnsiTheme="minorHAnsi"/>
      <w:b w:val="1"/>
      <w:bCs w:val="1"/>
      <w:sz w:val="28"/>
      <w:szCs w:val="28"/>
      <w:lang w:eastAsia="en-US" w:val="x-none"/>
    </w:rPr>
  </w:style>
  <w:style w:type="character" w:styleId="Heading5Char" w:customStyle="1">
    <w:name w:val="Heading 5 Char"/>
    <w:aliases w:val="EBHeading4 Char"/>
    <w:basedOn w:val="DefaultParagraphFont"/>
    <w:link w:val="Heading5"/>
    <w:uiPriority w:val="9"/>
    <w:semiHidden w:val="1"/>
    <w:locked w:val="1"/>
    <w:rPr>
      <w:rFonts w:cs="Times New Roman" w:asciiTheme="minorHAnsi" w:eastAsiaTheme="minorEastAsia" w:hAnsiTheme="minorHAnsi"/>
      <w:b w:val="1"/>
      <w:bCs w:val="1"/>
      <w:i w:val="1"/>
      <w:iCs w:val="1"/>
      <w:sz w:val="26"/>
      <w:szCs w:val="26"/>
      <w:lang w:eastAsia="en-US" w:val="x-none"/>
    </w:rPr>
  </w:style>
  <w:style w:type="paragraph" w:styleId="IATableLabel" w:customStyle="1">
    <w:name w:val="IATableLabel"/>
    <w:basedOn w:val="Normal"/>
    <w:link w:val="IATableLabelCharChar"/>
    <w:rsid w:val="00402E80"/>
    <w:pPr>
      <w:spacing w:after="50" w:before="50"/>
      <w:ind w:left="113" w:right="113"/>
    </w:pPr>
    <w:rPr>
      <w:rFonts w:eastAsia="SimSun"/>
      <w:b w:val="1"/>
      <w:color w:val="000000"/>
      <w:spacing w:val="-5"/>
      <w:sz w:val="20"/>
      <w:lang w:eastAsia="zh-CN"/>
    </w:rPr>
  </w:style>
  <w:style w:type="character" w:styleId="IATableLabelCharChar" w:customStyle="1">
    <w:name w:val="IATableLabel Char Char"/>
    <w:link w:val="IATableLabel"/>
    <w:locked w:val="1"/>
    <w:rsid w:val="00402E80"/>
    <w:rPr>
      <w:rFonts w:ascii="Arial" w:eastAsia="SimSun" w:hAnsi="Arial"/>
      <w:b w:val="1"/>
      <w:color w:val="000000"/>
      <w:spacing w:val="-5"/>
      <w:lang w:eastAsia="zh-CN" w:val="en-GB"/>
    </w:rPr>
  </w:style>
  <w:style w:type="paragraph" w:styleId="IASpacer" w:customStyle="1">
    <w:name w:val="IASpacer"/>
    <w:basedOn w:val="Normal"/>
    <w:rsid w:val="007208D9"/>
    <w:pPr>
      <w:spacing w:line="80" w:lineRule="exact"/>
    </w:pPr>
    <w:rPr>
      <w:rFonts w:eastAsia="SimSun"/>
      <w:sz w:val="22"/>
      <w:lang w:eastAsia="zh-CN"/>
    </w:rPr>
  </w:style>
  <w:style w:type="paragraph" w:styleId="IATableText" w:customStyle="1">
    <w:name w:val="IATableText"/>
    <w:basedOn w:val="IATableLabel"/>
    <w:link w:val="IATableTextChar"/>
    <w:rsid w:val="00220F29"/>
    <w:rPr>
      <w:b w:val="0"/>
      <w:color w:val="auto"/>
      <w:sz w:val="22"/>
    </w:rPr>
  </w:style>
  <w:style w:type="character" w:styleId="IATableTextChar" w:customStyle="1">
    <w:name w:val="IATableText Char"/>
    <w:link w:val="IATableText"/>
    <w:locked w:val="1"/>
    <w:rsid w:val="00220F29"/>
    <w:rPr>
      <w:rFonts w:ascii="Arial" w:eastAsia="SimSun" w:hAnsi="Arial"/>
      <w:b w:val="1"/>
      <w:color w:val="000000"/>
      <w:spacing w:val="-5"/>
      <w:sz w:val="22"/>
      <w:lang w:eastAsia="zh-CN" w:val="en-GB"/>
    </w:rPr>
  </w:style>
  <w:style w:type="paragraph" w:styleId="BodyText">
    <w:name w:val="Body Text"/>
    <w:basedOn w:val="Normal"/>
    <w:link w:val="BodyTextChar"/>
    <w:uiPriority w:val="99"/>
    <w:rsid w:val="003E54B6"/>
    <w:pPr>
      <w:spacing w:after="120"/>
    </w:pPr>
    <w:rPr>
      <w:rFonts w:cs="Arial"/>
      <w:bCs w:val="1"/>
      <w:color w:val="000000"/>
      <w:sz w:val="22"/>
      <w:szCs w:val="22"/>
    </w:rPr>
  </w:style>
  <w:style w:type="character" w:styleId="BodyTextChar" w:customStyle="1">
    <w:name w:val="Body Text Char"/>
    <w:basedOn w:val="DefaultParagraphFont"/>
    <w:link w:val="BodyText"/>
    <w:uiPriority w:val="99"/>
    <w:locked w:val="1"/>
    <w:rsid w:val="0049416F"/>
    <w:rPr>
      <w:rFonts w:ascii="Arial" w:cs="Times New Roman" w:hAnsi="Arial"/>
      <w:color w:val="000000"/>
      <w:sz w:val="22"/>
      <w:lang w:eastAsia="en-GB" w:val="en-GB"/>
    </w:rPr>
  </w:style>
  <w:style w:type="table" w:styleId="TableGrid">
    <w:name w:val="Table Grid"/>
    <w:basedOn w:val="TableNormal"/>
    <w:uiPriority w:val="59"/>
    <w:rsid w:val="0002655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leChar" w:customStyle="1">
    <w:name w:val="Title Char"/>
    <w:basedOn w:val="DefaultParagraphFont"/>
    <w:link w:val="Title"/>
    <w:uiPriority w:val="10"/>
    <w:locked w:val="1"/>
    <w:rsid w:val="00174C10"/>
    <w:rPr>
      <w:rFonts w:ascii="Arial" w:cs="Times New Roman" w:hAnsi="Arial"/>
      <w:color w:val="ffffff"/>
      <w:kern w:val="28"/>
      <w:sz w:val="32"/>
      <w:lang w:eastAsia="en-US" w:val="en-GB"/>
    </w:rPr>
  </w:style>
  <w:style w:type="paragraph" w:styleId="IAHeadDept" w:customStyle="1">
    <w:name w:val="IAHeadDept"/>
    <w:basedOn w:val="IATableText"/>
    <w:link w:val="IAHeadDeptChar"/>
    <w:rsid w:val="00C120C0"/>
    <w:pPr>
      <w:spacing w:after="120"/>
      <w:ind w:left="0" w:right="57"/>
    </w:pPr>
    <w:rPr>
      <w:spacing w:val="-6"/>
      <w:szCs w:val="22"/>
    </w:rPr>
  </w:style>
  <w:style w:type="paragraph" w:styleId="IAHeadLabel" w:customStyle="1">
    <w:name w:val="IAHeadLabel"/>
    <w:basedOn w:val="IATableLabel"/>
    <w:link w:val="IAHeadLabelChar"/>
    <w:rsid w:val="00570F8E"/>
    <w:pPr>
      <w:spacing w:before="110"/>
      <w:ind w:left="0" w:right="0"/>
    </w:pPr>
  </w:style>
  <w:style w:type="character" w:styleId="IAHeadLabelChar" w:customStyle="1">
    <w:name w:val="IAHeadLabel Char"/>
    <w:basedOn w:val="IATableLabelCharChar"/>
    <w:link w:val="IAHeadLabel"/>
    <w:locked w:val="1"/>
    <w:rsid w:val="00570F8E"/>
    <w:rPr>
      <w:rFonts w:ascii="Arial" w:cs="Times New Roman" w:eastAsia="SimSun" w:hAnsi="Arial"/>
      <w:b w:val="1"/>
      <w:color w:val="000000"/>
      <w:spacing w:val="-5"/>
      <w:lang w:bidi="ar-SA" w:eastAsia="zh-CN" w:val="en-GB"/>
    </w:rPr>
  </w:style>
  <w:style w:type="table" w:styleId="TableIAHeading" w:customStyle="1">
    <w:name w:val="Table_IAHeading"/>
    <w:basedOn w:val="TableNormal"/>
    <w:semiHidden w:val="1"/>
    <w:rsid w:val="006A5A2E"/>
    <w:rPr>
      <w:rFonts w:eastAsia="SimSun"/>
      <w:color w:val="ffffff"/>
    </w:rPr>
    <w:tblPr>
      <w:tblBorders>
        <w:top w:color="008080" w:space="0" w:sz="12" w:val="single"/>
        <w:left w:color="008080" w:space="0" w:sz="12" w:val="single"/>
        <w:bottom w:color="008080" w:space="0" w:sz="12" w:val="single"/>
        <w:right w:color="008080" w:space="0" w:sz="12" w:val="single"/>
        <w:insideH w:color="008080" w:space="0" w:sz="12" w:val="single"/>
      </w:tblBorders>
      <w:tblCellMar>
        <w:left w:w="0.0" w:type="dxa"/>
        <w:right w:w="0.0" w:type="dxa"/>
      </w:tblCellMar>
    </w:tblPr>
    <w:tcPr>
      <w:shd w:color="auto" w:fill="008080" w:val="clear"/>
    </w:tcPr>
  </w:style>
  <w:style w:type="paragraph" w:styleId="IATableNotes" w:customStyle="1">
    <w:name w:val="IATableNotes"/>
    <w:basedOn w:val="Normal"/>
    <w:link w:val="IATableNotesChar"/>
    <w:rsid w:val="006A5A2E"/>
    <w:pPr>
      <w:spacing w:after="60" w:before="60"/>
      <w:ind w:left="113" w:right="113"/>
    </w:pPr>
    <w:rPr>
      <w:rFonts w:eastAsia="SimSun"/>
      <w:sz w:val="18"/>
      <w:lang w:eastAsia="zh-CN"/>
    </w:rPr>
  </w:style>
  <w:style w:type="character" w:styleId="IATableNotesChar" w:customStyle="1">
    <w:name w:val="IATableNotes Char"/>
    <w:link w:val="IATableNotes"/>
    <w:locked w:val="1"/>
    <w:rsid w:val="006A5A2E"/>
    <w:rPr>
      <w:rFonts w:ascii="Arial" w:eastAsia="SimSun" w:hAnsi="Arial"/>
      <w:sz w:val="18"/>
      <w:lang w:eastAsia="zh-CN" w:val="en-GB"/>
    </w:rPr>
  </w:style>
  <w:style w:type="paragraph" w:styleId="IASignOff" w:customStyle="1">
    <w:name w:val="IASignOff"/>
    <w:basedOn w:val="IATableNotes"/>
    <w:next w:val="IATableNotes"/>
    <w:link w:val="IASignOffChar"/>
    <w:semiHidden w:val="1"/>
    <w:rsid w:val="006A5A2E"/>
    <w:pPr>
      <w:spacing w:after="120" w:before="120"/>
      <w:ind w:left="567" w:right="567"/>
    </w:pPr>
    <w:rPr>
      <w:b w:val="1"/>
      <w:bCs w:val="1"/>
      <w:i w:val="1"/>
      <w:iCs w:val="1"/>
    </w:rPr>
  </w:style>
  <w:style w:type="character" w:styleId="IASignOffChar" w:customStyle="1">
    <w:name w:val="IASignOff Char"/>
    <w:link w:val="IASignOff"/>
    <w:locked w:val="1"/>
    <w:rsid w:val="006A5A2E"/>
    <w:rPr>
      <w:rFonts w:ascii="Arial" w:eastAsia="SimSun" w:hAnsi="Arial"/>
      <w:b w:val="1"/>
      <w:i w:val="1"/>
      <w:sz w:val="18"/>
      <w:lang w:eastAsia="zh-CN" w:val="en-GB"/>
    </w:rPr>
  </w:style>
  <w:style w:type="paragraph" w:styleId="IAHeadTitle" w:customStyle="1">
    <w:name w:val="IAHeadTitle"/>
    <w:basedOn w:val="IAHeadDept"/>
    <w:link w:val="IAHeadTitleChar"/>
    <w:rsid w:val="008228A5"/>
    <w:pPr>
      <w:spacing w:after="0" w:before="0"/>
    </w:pPr>
    <w:rPr>
      <w:b w:val="1"/>
      <w:sz w:val="28"/>
      <w:szCs w:val="28"/>
    </w:rPr>
  </w:style>
  <w:style w:type="paragraph" w:styleId="IASignature" w:customStyle="1">
    <w:name w:val="IA Signature"/>
    <w:basedOn w:val="IATableText"/>
    <w:rsid w:val="00C67CDD"/>
    <w:pPr>
      <w:tabs>
        <w:tab w:val="left" w:leader="dot" w:pos="6804"/>
        <w:tab w:val="right" w:leader="dot" w:pos="10206"/>
      </w:tabs>
      <w:spacing w:after="0" w:before="0"/>
      <w:ind w:left="0"/>
    </w:pPr>
  </w:style>
  <w:style w:type="paragraph" w:styleId="IASign-offlabel" w:customStyle="1">
    <w:name w:val="IA Sign-off label"/>
    <w:basedOn w:val="IAHeadLabel"/>
    <w:link w:val="IASign-offlabelChar"/>
    <w:rsid w:val="00FB5CFE"/>
    <w:pPr>
      <w:spacing w:after="120"/>
    </w:pPr>
    <w:rPr>
      <w:szCs w:val="22"/>
      <w:u w:val="single"/>
    </w:rPr>
  </w:style>
  <w:style w:type="character" w:styleId="IASign-offlabelChar" w:customStyle="1">
    <w:name w:val="IA Sign-off label Char"/>
    <w:link w:val="IASign-offlabel"/>
    <w:locked w:val="1"/>
    <w:rsid w:val="009050B9"/>
    <w:rPr>
      <w:rFonts w:ascii="Arial" w:eastAsia="SimSun" w:hAnsi="Arial"/>
      <w:b w:val="1"/>
      <w:color w:val="000000"/>
      <w:spacing w:val="-5"/>
      <w:sz w:val="22"/>
      <w:u w:val="single"/>
      <w:lang w:eastAsia="zh-CN" w:val="en-GB"/>
    </w:rPr>
  </w:style>
  <w:style w:type="paragraph" w:styleId="IASign-off" w:customStyle="1">
    <w:name w:val="IA Sign-off"/>
    <w:basedOn w:val="IATableText"/>
    <w:rsid w:val="00C67CDD"/>
    <w:pPr>
      <w:spacing w:after="0" w:before="0"/>
      <w:ind w:left="0" w:right="284"/>
    </w:pPr>
    <w:rPr>
      <w:b w:val="1"/>
      <w:i w:val="1"/>
    </w:rPr>
  </w:style>
  <w:style w:type="paragraph" w:styleId="IAHeading2" w:customStyle="1">
    <w:name w:val="IAHeading2"/>
    <w:basedOn w:val="Normal"/>
    <w:semiHidden w:val="1"/>
    <w:rsid w:val="000A79FC"/>
    <w:pPr>
      <w:keepNext w:val="1"/>
      <w:keepLines w:val="1"/>
      <w:spacing w:after="60" w:before="60"/>
      <w:ind w:left="113" w:right="113"/>
    </w:pPr>
    <w:rPr>
      <w:rFonts w:eastAsia="SimSun"/>
      <w:b w:val="1"/>
      <w:sz w:val="20"/>
      <w:lang w:eastAsia="zh-CN"/>
    </w:rPr>
  </w:style>
  <w:style w:type="table" w:styleId="TableIABox" w:customStyle="1">
    <w:name w:val="Table_IABox"/>
    <w:basedOn w:val="TableNormal"/>
    <w:rsid w:val="007777A1"/>
    <w:rPr>
      <w:rFonts w:eastAsia="SimSun"/>
    </w:rPr>
    <w:tblPr>
      <w:tblBorders>
        <w:top w:color="auto" w:space="0" w:sz="4" w:val="single"/>
        <w:left w:color="auto" w:space="0" w:sz="4" w:val="single"/>
        <w:bottom w:color="auto" w:space="0" w:sz="4" w:val="single"/>
        <w:right w:color="auto" w:space="0" w:sz="4" w:val="single"/>
      </w:tblBorders>
      <w:tblCellMar>
        <w:left w:w="0.0" w:type="dxa"/>
        <w:right w:w="0.0" w:type="dxa"/>
      </w:tblCellMar>
    </w:tblPr>
  </w:style>
  <w:style w:type="paragraph" w:styleId="Header">
    <w:name w:val="header"/>
    <w:basedOn w:val="Normal"/>
    <w:link w:val="HeaderChar"/>
    <w:uiPriority w:val="99"/>
    <w:rsid w:val="00E96CB5"/>
    <w:pPr>
      <w:jc w:val="center"/>
    </w:pPr>
    <w:rPr>
      <w:caps w:val="1"/>
    </w:rPr>
  </w:style>
  <w:style w:type="character" w:styleId="HeaderChar" w:customStyle="1">
    <w:name w:val="Header Char"/>
    <w:basedOn w:val="DefaultParagraphFont"/>
    <w:link w:val="Header"/>
    <w:uiPriority w:val="99"/>
    <w:semiHidden w:val="1"/>
    <w:locked w:val="1"/>
    <w:rPr>
      <w:rFonts w:ascii="Arial" w:cs="Times New Roman" w:hAnsi="Arial"/>
      <w:sz w:val="24"/>
      <w:szCs w:val="24"/>
      <w:lang w:eastAsia="en-US" w:val="x-none"/>
    </w:rPr>
  </w:style>
  <w:style w:type="paragraph" w:styleId="Footer">
    <w:name w:val="footer"/>
    <w:basedOn w:val="Normal"/>
    <w:link w:val="FooterChar"/>
    <w:uiPriority w:val="99"/>
    <w:rsid w:val="000407D8"/>
    <w:pPr>
      <w:tabs>
        <w:tab w:val="center" w:pos="5132"/>
        <w:tab w:val="right" w:pos="10260"/>
      </w:tabs>
      <w:jc w:val="center"/>
    </w:pPr>
    <w:rPr>
      <w:b w:val="1"/>
      <w:sz w:val="18"/>
    </w:rPr>
  </w:style>
  <w:style w:type="character" w:styleId="FooterChar" w:customStyle="1">
    <w:name w:val="Footer Char"/>
    <w:basedOn w:val="DefaultParagraphFont"/>
    <w:link w:val="Footer"/>
    <w:uiPriority w:val="99"/>
    <w:semiHidden w:val="1"/>
    <w:locked w:val="1"/>
    <w:rPr>
      <w:rFonts w:ascii="Arial" w:cs="Times New Roman" w:hAnsi="Arial"/>
      <w:sz w:val="24"/>
      <w:szCs w:val="24"/>
      <w:lang w:eastAsia="en-US" w:val="x-none"/>
    </w:rPr>
  </w:style>
  <w:style w:type="character" w:styleId="PageNumber">
    <w:name w:val="page number"/>
    <w:basedOn w:val="DefaultParagraphFont"/>
    <w:uiPriority w:val="99"/>
    <w:rsid w:val="00EB43FD"/>
    <w:rPr>
      <w:rFonts w:cs="Times New Roman"/>
    </w:rPr>
  </w:style>
  <w:style w:type="paragraph" w:styleId="IANotes" w:customStyle="1">
    <w:name w:val="IANotes"/>
    <w:basedOn w:val="Normal"/>
    <w:semiHidden w:val="1"/>
    <w:rsid w:val="00650282"/>
    <w:rPr>
      <w:rFonts w:eastAsia="SimSun"/>
      <w:color w:val="008080"/>
      <w:sz w:val="22"/>
      <w:lang w:eastAsia="zh-CN"/>
    </w:rPr>
  </w:style>
  <w:style w:type="paragraph" w:styleId="IATableHeading" w:customStyle="1">
    <w:name w:val="IATableHeading"/>
    <w:basedOn w:val="IATableLabel"/>
    <w:rsid w:val="00716D5C"/>
    <w:rPr>
      <w:sz w:val="22"/>
      <w:szCs w:val="24"/>
    </w:rPr>
  </w:style>
  <w:style w:type="paragraph" w:styleId="FootnoteText">
    <w:name w:val="footnote text"/>
    <w:basedOn w:val="Normal"/>
    <w:link w:val="FootnoteTextChar"/>
    <w:uiPriority w:val="99"/>
    <w:semiHidden w:val="1"/>
    <w:rsid w:val="00490FF7"/>
    <w:rPr>
      <w:rFonts w:eastAsia="SimSun"/>
      <w:sz w:val="16"/>
      <w:lang w:eastAsia="zh-CN"/>
    </w:rPr>
  </w:style>
  <w:style w:type="character" w:styleId="FootnoteTextChar" w:customStyle="1">
    <w:name w:val="Footnote Text Char"/>
    <w:basedOn w:val="DefaultParagraphFont"/>
    <w:link w:val="FootnoteText"/>
    <w:uiPriority w:val="99"/>
    <w:semiHidden w:val="1"/>
    <w:locked w:val="1"/>
    <w:rPr>
      <w:rFonts w:ascii="Arial" w:cs="Times New Roman" w:hAnsi="Arial"/>
      <w:lang w:eastAsia="en-US" w:val="x-none"/>
    </w:rPr>
  </w:style>
  <w:style w:type="character" w:styleId="FootnoteReference">
    <w:name w:val="footnote reference"/>
    <w:basedOn w:val="DefaultParagraphFont"/>
    <w:uiPriority w:val="99"/>
    <w:rsid w:val="00B84190"/>
    <w:rPr>
      <w:rFonts w:cs="Times New Roman"/>
      <w:sz w:val="22"/>
      <w:vertAlign w:val="superscript"/>
    </w:rPr>
  </w:style>
  <w:style w:type="paragraph" w:styleId="EBBodyPara" w:customStyle="1">
    <w:name w:val="EBBodyPara"/>
    <w:basedOn w:val="BodyText"/>
    <w:rsid w:val="005A2FC0"/>
  </w:style>
  <w:style w:type="paragraph" w:styleId="BalloonText">
    <w:name w:val="Balloon Text"/>
    <w:basedOn w:val="Normal"/>
    <w:link w:val="BalloonTextChar"/>
    <w:uiPriority w:val="99"/>
    <w:semiHidden w:val="1"/>
    <w:rsid w:val="00300CED"/>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Pr>
      <w:rFonts w:ascii="Segoe UI" w:cs="Segoe UI" w:hAnsi="Segoe UI"/>
      <w:sz w:val="18"/>
      <w:szCs w:val="18"/>
      <w:lang w:eastAsia="en-US" w:val="x-none"/>
    </w:rPr>
  </w:style>
  <w:style w:type="paragraph" w:styleId="EBNumber" w:customStyle="1">
    <w:name w:val="EBNumber"/>
    <w:basedOn w:val="BodyText"/>
    <w:rsid w:val="002B7335"/>
    <w:pPr>
      <w:numPr>
        <w:ilvl w:val="1"/>
        <w:numId w:val="20"/>
      </w:numPr>
    </w:pPr>
  </w:style>
  <w:style w:type="paragraph" w:styleId="EBNumberRestart" w:customStyle="1">
    <w:name w:val="EBNumberRestart"/>
    <w:basedOn w:val="BodyText"/>
    <w:next w:val="EBNumber"/>
    <w:rsid w:val="002B7335"/>
    <w:pPr>
      <w:numPr>
        <w:numId w:val="20"/>
      </w:numPr>
    </w:pPr>
  </w:style>
  <w:style w:type="paragraph" w:styleId="StyleIATableText10ptRight" w:customStyle="1">
    <w:name w:val="Style IATableText + 10 pt Right"/>
    <w:basedOn w:val="IATableText"/>
    <w:rsid w:val="008D39AA"/>
    <w:pPr>
      <w:ind w:left="0" w:right="57"/>
      <w:jc w:val="right"/>
    </w:pPr>
    <w:rPr>
      <w:rFonts w:eastAsia="Times New Roman"/>
      <w:sz w:val="20"/>
    </w:rPr>
  </w:style>
  <w:style w:type="paragraph" w:styleId="SecurityClass" w:customStyle="1">
    <w:name w:val="SecurityClass"/>
    <w:basedOn w:val="Header"/>
    <w:rsid w:val="00AE46AA"/>
  </w:style>
  <w:style w:type="paragraph" w:styleId="IARefNumber" w:customStyle="1">
    <w:name w:val="IARefNumber"/>
    <w:basedOn w:val="IATableText"/>
    <w:rsid w:val="001E152A"/>
    <w:pPr>
      <w:numPr>
        <w:numId w:val="12"/>
      </w:numPr>
      <w:ind w:left="0"/>
    </w:pPr>
  </w:style>
  <w:style w:type="character" w:styleId="Hyperlink">
    <w:name w:val="Hyperlink"/>
    <w:basedOn w:val="DefaultParagraphFont"/>
    <w:uiPriority w:val="99"/>
    <w:rsid w:val="00B4136C"/>
    <w:rPr>
      <w:rFonts w:cs="Times New Roman"/>
      <w:color w:val="auto"/>
      <w:u w:val="single"/>
    </w:rPr>
  </w:style>
  <w:style w:type="paragraph" w:styleId="POPBY" w:customStyle="1">
    <w:name w:val="POPBY"/>
    <w:basedOn w:val="IATableLabel"/>
    <w:rsid w:val="00AB574B"/>
  </w:style>
  <w:style w:type="paragraph" w:styleId="EBBullet" w:customStyle="1">
    <w:name w:val="EBBullet"/>
    <w:basedOn w:val="BodyText"/>
    <w:rsid w:val="002B7335"/>
    <w:pPr>
      <w:numPr>
        <w:numId w:val="17"/>
      </w:numPr>
    </w:pPr>
  </w:style>
  <w:style w:type="paragraph" w:styleId="IAHeadText" w:customStyle="1">
    <w:name w:val="IAHeadText"/>
    <w:basedOn w:val="IATableText"/>
    <w:rsid w:val="00632CB9"/>
    <w:pPr>
      <w:spacing w:after="0" w:before="0"/>
      <w:ind w:left="0" w:right="57"/>
    </w:pPr>
    <w:rPr>
      <w:spacing w:val="-6"/>
    </w:rPr>
  </w:style>
  <w:style w:type="paragraph" w:styleId="IAHeadLabel0" w:customStyle="1">
    <w:name w:val="IAHeadLabel0"/>
    <w:basedOn w:val="IAHeadLabel"/>
    <w:next w:val="IAHeadTitle"/>
    <w:rsid w:val="00632CB9"/>
    <w:pPr>
      <w:spacing w:before="0"/>
    </w:pPr>
  </w:style>
  <w:style w:type="paragraph" w:styleId="IATableLines" w:customStyle="1">
    <w:name w:val="IATableLines"/>
    <w:basedOn w:val="IATableText"/>
    <w:link w:val="IATableLinesChar"/>
    <w:rsid w:val="00E82A56"/>
    <w:pPr>
      <w:spacing w:after="0" w:before="0"/>
    </w:pPr>
  </w:style>
  <w:style w:type="paragraph" w:styleId="EvidenceHeadPIR" w:customStyle="1">
    <w:name w:val="EvidenceHeadPIR"/>
    <w:rsid w:val="00BE650A"/>
    <w:pPr>
      <w:spacing w:after="120"/>
    </w:pPr>
    <w:rPr>
      <w:rFonts w:ascii="Arial" w:cs="Arial" w:hAnsi="Arial"/>
      <w:bCs w:val="1"/>
      <w:color w:val="000000"/>
      <w:sz w:val="22"/>
      <w:szCs w:val="22"/>
    </w:rPr>
  </w:style>
  <w:style w:type="character" w:styleId="FollowedHyperlink">
    <w:name w:val="FollowedHyperlink"/>
    <w:basedOn w:val="DefaultParagraphFont"/>
    <w:uiPriority w:val="99"/>
    <w:rsid w:val="006D37CF"/>
    <w:rPr>
      <w:rFonts w:cs="Times New Roman"/>
      <w:color w:val="auto"/>
      <w:u w:val="single"/>
    </w:rPr>
  </w:style>
  <w:style w:type="paragraph" w:styleId="IASpacer2" w:customStyle="1">
    <w:name w:val="IASpacer2"/>
    <w:basedOn w:val="IASpacer"/>
    <w:rsid w:val="00311373"/>
    <w:pPr>
      <w:spacing w:line="40" w:lineRule="exact"/>
    </w:pPr>
  </w:style>
  <w:style w:type="paragraph" w:styleId="POPVBY" w:customStyle="1">
    <w:name w:val="POPVBY"/>
    <w:basedOn w:val="IATableLabel"/>
    <w:rsid w:val="00AB574B"/>
  </w:style>
  <w:style w:type="paragraph" w:styleId="POTPY" w:customStyle="1">
    <w:name w:val="POTPY"/>
    <w:basedOn w:val="IATableLabel"/>
    <w:rsid w:val="00F622E8"/>
  </w:style>
  <w:style w:type="paragraph" w:styleId="PONBLow" w:customStyle="1">
    <w:name w:val="PONBLow"/>
    <w:basedOn w:val="IATableLabel"/>
    <w:link w:val="PONBLowCharChar"/>
    <w:rsid w:val="00F622E8"/>
    <w:rPr>
      <w:b w:val="0"/>
      <w:szCs w:val="22"/>
    </w:rPr>
  </w:style>
  <w:style w:type="character" w:styleId="PONBLowCharChar" w:customStyle="1">
    <w:name w:val="PONBLow Char Char"/>
    <w:link w:val="PONBLow"/>
    <w:locked w:val="1"/>
    <w:rsid w:val="00F622E8"/>
    <w:rPr>
      <w:rFonts w:ascii="Arial" w:eastAsia="SimSun" w:hAnsi="Arial"/>
      <w:b w:val="1"/>
      <w:color w:val="000000"/>
      <w:spacing w:val="-5"/>
      <w:sz w:val="22"/>
      <w:lang w:eastAsia="zh-CN" w:val="en-GB"/>
    </w:rPr>
  </w:style>
  <w:style w:type="paragraph" w:styleId="PONBHigh" w:customStyle="1">
    <w:name w:val="PONBHigh"/>
    <w:basedOn w:val="IATableLabel"/>
    <w:link w:val="PONBHighChar"/>
    <w:rsid w:val="00F622E8"/>
    <w:rPr>
      <w:b w:val="0"/>
      <w:szCs w:val="22"/>
    </w:rPr>
  </w:style>
  <w:style w:type="character" w:styleId="PONBHighChar" w:customStyle="1">
    <w:name w:val="PONBHigh Char"/>
    <w:link w:val="PONBHigh"/>
    <w:locked w:val="1"/>
    <w:rsid w:val="00F622E8"/>
    <w:rPr>
      <w:rFonts w:ascii="Arial" w:eastAsia="SimSun" w:hAnsi="Arial"/>
      <w:b w:val="1"/>
      <w:color w:val="000000"/>
      <w:spacing w:val="-5"/>
      <w:sz w:val="22"/>
      <w:lang w:eastAsia="zh-CN" w:val="en-GB"/>
    </w:rPr>
  </w:style>
  <w:style w:type="paragraph" w:styleId="PONBBestEst" w:customStyle="1">
    <w:name w:val="PONBBestEst"/>
    <w:basedOn w:val="IATableLabel"/>
    <w:link w:val="PONBBestEstChar"/>
    <w:rsid w:val="00F622E8"/>
    <w:rPr>
      <w:b w:val="0"/>
      <w:szCs w:val="22"/>
    </w:rPr>
  </w:style>
  <w:style w:type="character" w:styleId="PONBBestEstChar" w:customStyle="1">
    <w:name w:val="PONBBestEst Char"/>
    <w:link w:val="PONBBestEst"/>
    <w:locked w:val="1"/>
    <w:rsid w:val="00F622E8"/>
    <w:rPr>
      <w:rFonts w:ascii="Arial" w:eastAsia="SimSun" w:hAnsi="Arial"/>
      <w:b w:val="1"/>
      <w:color w:val="000000"/>
      <w:spacing w:val="-5"/>
      <w:sz w:val="22"/>
      <w:lang w:eastAsia="zh-CN" w:val="en-GB"/>
    </w:rPr>
  </w:style>
  <w:style w:type="paragraph" w:styleId="POTTCostsHigh" w:customStyle="1">
    <w:name w:val="POTTCostsHigh"/>
    <w:basedOn w:val="IATableText"/>
    <w:rsid w:val="00B318B0"/>
    <w:pPr>
      <w:jc w:val="right"/>
    </w:pPr>
  </w:style>
  <w:style w:type="paragraph" w:styleId="POTTCostsLow" w:customStyle="1">
    <w:name w:val="POTTCostsLow"/>
    <w:basedOn w:val="POTTCostsHigh"/>
    <w:rsid w:val="00B318B0"/>
  </w:style>
  <w:style w:type="paragraph" w:styleId="POTTCostsBest" w:customStyle="1">
    <w:name w:val="POTTCostsBest"/>
    <w:basedOn w:val="IATableText"/>
    <w:rsid w:val="00B318B0"/>
    <w:pPr>
      <w:jc w:val="right"/>
    </w:pPr>
  </w:style>
  <w:style w:type="paragraph" w:styleId="POTTCostsYear" w:customStyle="1">
    <w:name w:val="POTTCostsYear"/>
    <w:basedOn w:val="IATableText"/>
    <w:rsid w:val="00B318B0"/>
    <w:pPr>
      <w:jc w:val="center"/>
    </w:pPr>
    <w:rPr>
      <w:szCs w:val="18"/>
    </w:rPr>
  </w:style>
  <w:style w:type="paragraph" w:styleId="POAACostsLow" w:customStyle="1">
    <w:name w:val="POAACostsLow"/>
    <w:basedOn w:val="IATableText"/>
    <w:rsid w:val="00B318B0"/>
    <w:pPr>
      <w:jc w:val="right"/>
    </w:pPr>
  </w:style>
  <w:style w:type="paragraph" w:styleId="POAACostsHigh" w:customStyle="1">
    <w:name w:val="POAACostsHigh"/>
    <w:basedOn w:val="POAACostsLow"/>
    <w:rsid w:val="00B318B0"/>
  </w:style>
  <w:style w:type="paragraph" w:styleId="POAACostsBest" w:customStyle="1">
    <w:name w:val="POAACostsBest"/>
    <w:basedOn w:val="IATableText"/>
    <w:rsid w:val="00B318B0"/>
    <w:pPr>
      <w:jc w:val="right"/>
    </w:pPr>
  </w:style>
  <w:style w:type="paragraph" w:styleId="POTCCostsLow" w:customStyle="1">
    <w:name w:val="POTCCostsLow"/>
    <w:basedOn w:val="IATableText"/>
    <w:rsid w:val="00B318B0"/>
    <w:pPr>
      <w:jc w:val="right"/>
    </w:pPr>
    <w:rPr>
      <w:b w:val="1"/>
    </w:rPr>
  </w:style>
  <w:style w:type="paragraph" w:styleId="POTCCostsHigh" w:customStyle="1">
    <w:name w:val="POTCCostsHigh"/>
    <w:basedOn w:val="IATableText"/>
    <w:rsid w:val="00B318B0"/>
    <w:pPr>
      <w:jc w:val="right"/>
    </w:pPr>
    <w:rPr>
      <w:b w:val="1"/>
    </w:rPr>
  </w:style>
  <w:style w:type="paragraph" w:styleId="POTCCostsBest" w:customStyle="1">
    <w:name w:val="POTCCostsBest"/>
    <w:basedOn w:val="IATableText"/>
    <w:rsid w:val="00B318B0"/>
    <w:pPr>
      <w:jc w:val="right"/>
    </w:pPr>
    <w:rPr>
      <w:b w:val="1"/>
    </w:rPr>
  </w:style>
  <w:style w:type="paragraph" w:styleId="IAPOQ1" w:customStyle="1">
    <w:name w:val="IAPOQ1"/>
    <w:basedOn w:val="IATableLabel"/>
    <w:rsid w:val="00B006A9"/>
  </w:style>
  <w:style w:type="paragraph" w:styleId="IAPOA1" w:customStyle="1">
    <w:name w:val="IAPOA1"/>
    <w:basedOn w:val="IATableLines"/>
    <w:rsid w:val="00B006A9"/>
  </w:style>
  <w:style w:type="paragraph" w:styleId="IAPOQ2" w:customStyle="1">
    <w:name w:val="IAPOQ2"/>
    <w:basedOn w:val="IATableLabel"/>
    <w:link w:val="IAPOQ2Char"/>
    <w:rsid w:val="00B006A9"/>
  </w:style>
  <w:style w:type="paragraph" w:styleId="IAPOA2" w:customStyle="1">
    <w:name w:val="IAPOA2"/>
    <w:basedOn w:val="IATableLines"/>
    <w:rsid w:val="00B006A9"/>
  </w:style>
  <w:style w:type="paragraph" w:styleId="POTTBenLow" w:customStyle="1">
    <w:name w:val="POTTBenLow"/>
    <w:basedOn w:val="POTTCostsLow"/>
    <w:rsid w:val="00B006A9"/>
  </w:style>
  <w:style w:type="paragraph" w:styleId="POTTBenHigh" w:customStyle="1">
    <w:name w:val="POTTBenHigh"/>
    <w:basedOn w:val="POTTCostsHigh"/>
    <w:rsid w:val="00B006A9"/>
  </w:style>
  <w:style w:type="paragraph" w:styleId="POTTBenBest" w:customStyle="1">
    <w:name w:val="POTTBenBest"/>
    <w:basedOn w:val="POTTCostsBest"/>
    <w:rsid w:val="00B006A9"/>
  </w:style>
  <w:style w:type="paragraph" w:styleId="POAABenLow" w:customStyle="1">
    <w:name w:val="POAABenLow"/>
    <w:basedOn w:val="POAACostsLow"/>
    <w:rsid w:val="00B006A9"/>
  </w:style>
  <w:style w:type="paragraph" w:styleId="POAABenHigh" w:customStyle="1">
    <w:name w:val="POAABenHigh"/>
    <w:basedOn w:val="POAABenLow"/>
    <w:rsid w:val="00B006A9"/>
  </w:style>
  <w:style w:type="paragraph" w:styleId="POAABenBest" w:customStyle="1">
    <w:name w:val="POAABenBest"/>
    <w:basedOn w:val="POAABenHigh"/>
    <w:rsid w:val="00B006A9"/>
  </w:style>
  <w:style w:type="paragraph" w:styleId="POTBBenLow" w:customStyle="1">
    <w:name w:val="POTBBenLow"/>
    <w:basedOn w:val="POTCCostsLow"/>
    <w:rsid w:val="00B006A9"/>
  </w:style>
  <w:style w:type="paragraph" w:styleId="POTBBenHigh" w:customStyle="1">
    <w:name w:val="POTBBenHigh"/>
    <w:basedOn w:val="POTBBenLow"/>
    <w:rsid w:val="00B006A9"/>
  </w:style>
  <w:style w:type="paragraph" w:styleId="POTBBenBest" w:customStyle="1">
    <w:name w:val="POTBBenBest"/>
    <w:basedOn w:val="POTBBenHigh"/>
    <w:rsid w:val="00B006A9"/>
  </w:style>
  <w:style w:type="paragraph" w:styleId="IPPOQ3" w:customStyle="1">
    <w:name w:val="IPPOQ3"/>
    <w:basedOn w:val="IAPOQ2"/>
    <w:link w:val="IPPOQ3Char"/>
    <w:rsid w:val="00F1653E"/>
  </w:style>
  <w:style w:type="paragraph" w:styleId="IAPOQ4" w:customStyle="1">
    <w:name w:val="IAPOQ4"/>
    <w:basedOn w:val="IPPOQ3"/>
    <w:link w:val="IAPOQ4Char"/>
    <w:rsid w:val="00F1653E"/>
  </w:style>
  <w:style w:type="paragraph" w:styleId="IAPOA3" w:customStyle="1">
    <w:name w:val="IAPOA3"/>
    <w:basedOn w:val="IAPOA2"/>
    <w:rsid w:val="00F1653E"/>
  </w:style>
  <w:style w:type="paragraph" w:styleId="IAPOA4" w:customStyle="1">
    <w:name w:val="IAPOA4"/>
    <w:basedOn w:val="IAPOA3"/>
    <w:rsid w:val="00F1653E"/>
  </w:style>
  <w:style w:type="paragraph" w:styleId="IAPOA5" w:customStyle="1">
    <w:name w:val="IAPOA5"/>
    <w:basedOn w:val="IAPOA4"/>
    <w:rsid w:val="00F1653E"/>
  </w:style>
  <w:style w:type="paragraph" w:styleId="IAPOQ5" w:customStyle="1">
    <w:name w:val="IAPOQ5"/>
    <w:basedOn w:val="IAPOQ4"/>
    <w:link w:val="IAPOQ5Char"/>
    <w:rsid w:val="00F1653E"/>
  </w:style>
  <w:style w:type="character" w:styleId="IAPOQ2Char" w:customStyle="1">
    <w:name w:val="IAPOQ2 Char"/>
    <w:basedOn w:val="IATableLabelCharChar"/>
    <w:link w:val="IAPOQ2"/>
    <w:locked w:val="1"/>
    <w:rsid w:val="00F1653E"/>
    <w:rPr>
      <w:rFonts w:ascii="Arial" w:cs="Times New Roman" w:eastAsia="SimSun" w:hAnsi="Arial"/>
      <w:b w:val="1"/>
      <w:color w:val="000000"/>
      <w:spacing w:val="-5"/>
      <w:lang w:bidi="ar-SA" w:eastAsia="zh-CN" w:val="en-GB"/>
    </w:rPr>
  </w:style>
  <w:style w:type="character" w:styleId="IPPOQ3Char" w:customStyle="1">
    <w:name w:val="IPPOQ3 Char"/>
    <w:basedOn w:val="IAPOQ2Char"/>
    <w:link w:val="IPPOQ3"/>
    <w:locked w:val="1"/>
    <w:rsid w:val="00F1653E"/>
    <w:rPr>
      <w:rFonts w:ascii="Arial" w:cs="Times New Roman" w:eastAsia="SimSun" w:hAnsi="Arial"/>
      <w:b w:val="1"/>
      <w:color w:val="000000"/>
      <w:spacing w:val="-5"/>
      <w:lang w:bidi="ar-SA" w:eastAsia="zh-CN" w:val="en-GB"/>
    </w:rPr>
  </w:style>
  <w:style w:type="character" w:styleId="IAPOQ4Char" w:customStyle="1">
    <w:name w:val="IAPOQ4 Char"/>
    <w:basedOn w:val="IPPOQ3Char"/>
    <w:link w:val="IAPOQ4"/>
    <w:locked w:val="1"/>
    <w:rsid w:val="00F1653E"/>
    <w:rPr>
      <w:rFonts w:ascii="Arial" w:cs="Times New Roman" w:eastAsia="SimSun" w:hAnsi="Arial"/>
      <w:b w:val="1"/>
      <w:color w:val="000000"/>
      <w:spacing w:val="-5"/>
      <w:lang w:bidi="ar-SA" w:eastAsia="zh-CN" w:val="en-GB"/>
    </w:rPr>
  </w:style>
  <w:style w:type="character" w:styleId="IAPOQ5Char" w:customStyle="1">
    <w:name w:val="IAPOQ5 Char"/>
    <w:basedOn w:val="IAPOQ4Char"/>
    <w:link w:val="IAPOQ5"/>
    <w:locked w:val="1"/>
    <w:rsid w:val="00F1653E"/>
    <w:rPr>
      <w:rFonts w:ascii="Arial" w:cs="Times New Roman" w:eastAsia="SimSun" w:hAnsi="Arial"/>
      <w:b w:val="1"/>
      <w:color w:val="000000"/>
      <w:spacing w:val="-5"/>
      <w:lang w:bidi="ar-SA" w:eastAsia="zh-CN" w:val="en-GB"/>
    </w:rPr>
  </w:style>
  <w:style w:type="paragraph" w:styleId="IAPODisRate" w:customStyle="1">
    <w:name w:val="IAPODisRate"/>
    <w:basedOn w:val="IATableLabel"/>
    <w:rsid w:val="00F1653E"/>
    <w:pPr>
      <w:ind w:left="0"/>
      <w:jc w:val="center"/>
    </w:pPr>
    <w:rPr>
      <w:b w:val="0"/>
    </w:rPr>
  </w:style>
  <w:style w:type="paragraph" w:styleId="IAPODICost" w:customStyle="1">
    <w:name w:val="IAPODICost"/>
    <w:basedOn w:val="IATableLabel"/>
    <w:link w:val="IAPODICostChar"/>
    <w:rsid w:val="000E3FD7"/>
    <w:rPr>
      <w:b w:val="0"/>
      <w:sz w:val="22"/>
      <w:szCs w:val="22"/>
    </w:rPr>
  </w:style>
  <w:style w:type="character" w:styleId="IAPODICostChar" w:customStyle="1">
    <w:name w:val="IAPODICost Char"/>
    <w:link w:val="IAPODICost"/>
    <w:locked w:val="1"/>
    <w:rsid w:val="000E3FD7"/>
    <w:rPr>
      <w:rFonts w:ascii="Arial" w:eastAsia="SimSun" w:hAnsi="Arial"/>
      <w:b w:val="1"/>
      <w:color w:val="000000"/>
      <w:spacing w:val="-5"/>
      <w:sz w:val="22"/>
      <w:lang w:eastAsia="zh-CN" w:val="en-GB"/>
    </w:rPr>
  </w:style>
  <w:style w:type="paragraph" w:styleId="IAPODIBen" w:customStyle="1">
    <w:name w:val="IAPODIBen"/>
    <w:basedOn w:val="IATableLabel"/>
    <w:link w:val="IAPODIBenChar"/>
    <w:rsid w:val="000E3FD7"/>
    <w:rPr>
      <w:b w:val="0"/>
      <w:sz w:val="22"/>
      <w:szCs w:val="22"/>
    </w:rPr>
  </w:style>
  <w:style w:type="paragraph" w:styleId="IAPODINet" w:customStyle="1">
    <w:name w:val="IAPODINet"/>
    <w:basedOn w:val="IATableLabel"/>
    <w:link w:val="IAPODINetChar"/>
    <w:rsid w:val="000E3FD7"/>
    <w:rPr>
      <w:b w:val="0"/>
      <w:sz w:val="22"/>
      <w:szCs w:val="22"/>
    </w:rPr>
  </w:style>
  <w:style w:type="paragraph" w:styleId="IAPODIOIOO" w:customStyle="1">
    <w:name w:val="IAPODIOIOO"/>
    <w:basedOn w:val="IATableLabel"/>
    <w:rsid w:val="000E3FD7"/>
    <w:rPr>
      <w:b w:val="0"/>
      <w:sz w:val="22"/>
      <w:szCs w:val="22"/>
    </w:rPr>
  </w:style>
  <w:style w:type="character" w:styleId="IAPODINetChar" w:customStyle="1">
    <w:name w:val="IAPODINet Char"/>
    <w:link w:val="IAPODINet"/>
    <w:locked w:val="1"/>
    <w:rsid w:val="000E3FD7"/>
    <w:rPr>
      <w:rFonts w:ascii="Arial" w:eastAsia="SimSun" w:hAnsi="Arial"/>
      <w:b w:val="1"/>
      <w:color w:val="000000"/>
      <w:spacing w:val="-5"/>
      <w:sz w:val="22"/>
      <w:lang w:eastAsia="zh-CN" w:val="en-GB"/>
    </w:rPr>
  </w:style>
  <w:style w:type="character" w:styleId="IAPODIBenChar" w:customStyle="1">
    <w:name w:val="IAPODIBen Char"/>
    <w:link w:val="IAPODIBen"/>
    <w:locked w:val="1"/>
    <w:rsid w:val="000E3FD7"/>
    <w:rPr>
      <w:rFonts w:ascii="Arial" w:eastAsia="SimSun" w:hAnsi="Arial"/>
      <w:b w:val="1"/>
      <w:color w:val="000000"/>
      <w:spacing w:val="-5"/>
      <w:sz w:val="22"/>
      <w:lang w:eastAsia="zh-CN" w:val="en-GB"/>
    </w:rPr>
  </w:style>
  <w:style w:type="paragraph" w:styleId="IAPODIMQ" w:customStyle="1">
    <w:name w:val="IAPODIMQ"/>
    <w:basedOn w:val="IATableText"/>
    <w:rsid w:val="000E3FD7"/>
    <w:rPr>
      <w:color w:val="000000"/>
      <w:sz w:val="20"/>
    </w:rPr>
  </w:style>
  <w:style w:type="paragraph" w:styleId="ebbullet0" w:customStyle="1">
    <w:name w:val="ebbullet"/>
    <w:basedOn w:val="Normal"/>
    <w:rsid w:val="001F5423"/>
    <w:pPr>
      <w:spacing w:after="100" w:afterAutospacing="1" w:before="100" w:beforeAutospacing="1"/>
    </w:pPr>
  </w:style>
  <w:style w:type="paragraph" w:styleId="IATitle" w:customStyle="1">
    <w:name w:val="IATitle"/>
    <w:basedOn w:val="Normal"/>
    <w:rsid w:val="005F32E7"/>
    <w:pPr>
      <w:ind w:left="113"/>
    </w:pPr>
    <w:rPr>
      <w:rFonts w:cs="Arial" w:eastAsia="SimSun"/>
      <w:sz w:val="20"/>
    </w:rPr>
  </w:style>
  <w:style w:type="paragraph" w:styleId="IANo" w:customStyle="1">
    <w:name w:val="IANo"/>
    <w:basedOn w:val="Normal"/>
    <w:link w:val="IANoChar"/>
    <w:rsid w:val="005F32E7"/>
    <w:pPr>
      <w:ind w:left="113"/>
    </w:pPr>
    <w:rPr>
      <w:sz w:val="20"/>
      <w:szCs w:val="22"/>
    </w:rPr>
  </w:style>
  <w:style w:type="character" w:styleId="IAHeadDeptChar" w:customStyle="1">
    <w:name w:val="IAHeadDept Char"/>
    <w:link w:val="IAHeadDept"/>
    <w:locked w:val="1"/>
    <w:rsid w:val="008031EC"/>
    <w:rPr>
      <w:rFonts w:ascii="Arial" w:eastAsia="SimSun" w:hAnsi="Arial"/>
      <w:b w:val="1"/>
      <w:color w:val="000000"/>
      <w:spacing w:val="-6"/>
      <w:sz w:val="22"/>
      <w:lang w:eastAsia="zh-CN" w:val="en-GB"/>
    </w:rPr>
  </w:style>
  <w:style w:type="character" w:styleId="IAHeadTitleChar" w:customStyle="1">
    <w:name w:val="IAHeadTitle Char"/>
    <w:link w:val="IAHeadTitle"/>
    <w:locked w:val="1"/>
    <w:rsid w:val="008031EC"/>
    <w:rPr>
      <w:rFonts w:ascii="Arial" w:eastAsia="SimSun" w:hAnsi="Arial"/>
      <w:b w:val="1"/>
      <w:color w:val="000000"/>
      <w:spacing w:val="-6"/>
      <w:sz w:val="28"/>
      <w:lang w:eastAsia="zh-CN" w:val="en-GB"/>
    </w:rPr>
  </w:style>
  <w:style w:type="character" w:styleId="IANoChar" w:customStyle="1">
    <w:name w:val="IANo Char"/>
    <w:link w:val="IANo"/>
    <w:locked w:val="1"/>
    <w:rsid w:val="005F32E7"/>
    <w:rPr>
      <w:rFonts w:ascii="Arial" w:eastAsia="SimSun" w:hAnsi="Arial"/>
      <w:b w:val="1"/>
      <w:color w:val="000000"/>
      <w:spacing w:val="-6"/>
      <w:sz w:val="22"/>
      <w:lang w:eastAsia="en-US" w:val="en-GB"/>
    </w:rPr>
  </w:style>
  <w:style w:type="paragraph" w:styleId="IALeadDept" w:customStyle="1">
    <w:name w:val="IALeadDept"/>
    <w:basedOn w:val="Normal"/>
    <w:rsid w:val="005F32E7"/>
    <w:pPr>
      <w:ind w:left="113"/>
    </w:pPr>
    <w:rPr>
      <w:rFonts w:cs="Arial"/>
      <w:noProof w:val="1"/>
      <w:sz w:val="20"/>
    </w:rPr>
  </w:style>
  <w:style w:type="paragraph" w:styleId="IAOtherDepts" w:customStyle="1">
    <w:name w:val="IAOtherDepts"/>
    <w:basedOn w:val="IATableLabel"/>
    <w:rsid w:val="008031EC"/>
    <w:pPr>
      <w:spacing w:after="0"/>
    </w:pPr>
    <w:rPr>
      <w:b w:val="0"/>
    </w:rPr>
  </w:style>
  <w:style w:type="paragraph" w:styleId="IADate" w:customStyle="1">
    <w:name w:val="IADate"/>
    <w:basedOn w:val="IATableLabel"/>
    <w:link w:val="IADateChar"/>
    <w:rsid w:val="008031EC"/>
    <w:rPr>
      <w:b w:val="0"/>
      <w:sz w:val="22"/>
      <w:szCs w:val="22"/>
    </w:rPr>
  </w:style>
  <w:style w:type="paragraph" w:styleId="IAStage" w:customStyle="1">
    <w:name w:val="IAStage"/>
    <w:basedOn w:val="IATableLabel"/>
    <w:link w:val="IAStageChar"/>
    <w:rsid w:val="008031EC"/>
    <w:rPr>
      <w:b w:val="0"/>
      <w:sz w:val="22"/>
    </w:rPr>
  </w:style>
  <w:style w:type="paragraph" w:styleId="IASOI" w:customStyle="1">
    <w:name w:val="IASOI"/>
    <w:basedOn w:val="IATableLabel"/>
    <w:link w:val="IASOIChar"/>
    <w:rsid w:val="008031EC"/>
    <w:rPr>
      <w:b w:val="0"/>
      <w:sz w:val="22"/>
    </w:rPr>
  </w:style>
  <w:style w:type="paragraph" w:styleId="IATOM" w:customStyle="1">
    <w:name w:val="IATOM"/>
    <w:basedOn w:val="IATableLabel"/>
    <w:link w:val="IATOMChar"/>
    <w:rsid w:val="008031EC"/>
    <w:rPr>
      <w:b w:val="0"/>
      <w:sz w:val="22"/>
    </w:rPr>
  </w:style>
  <w:style w:type="paragraph" w:styleId="IACOE" w:customStyle="1">
    <w:name w:val="IACOE"/>
    <w:basedOn w:val="Normal"/>
    <w:link w:val="IACOEChar"/>
    <w:autoRedefine w:val="1"/>
    <w:rsid w:val="00B225B0"/>
    <w:rPr>
      <w:rFonts w:eastAsia="SimSun"/>
      <w:spacing w:val="-5"/>
      <w:sz w:val="20"/>
      <w:lang w:eastAsia="zh-CN"/>
    </w:rPr>
  </w:style>
  <w:style w:type="paragraph" w:styleId="IARPC" w:customStyle="1">
    <w:name w:val="IARPC"/>
    <w:basedOn w:val="Title"/>
    <w:link w:val="IARPCChar"/>
    <w:rsid w:val="00174C10"/>
    <w:rPr>
      <w:rFonts w:eastAsia="SimSun"/>
      <w:color w:val="000000"/>
      <w:sz w:val="24"/>
      <w:szCs w:val="24"/>
    </w:rPr>
  </w:style>
  <w:style w:type="paragraph" w:styleId="IAIIOTNPV" w:customStyle="1">
    <w:name w:val="IAIIOTNPV"/>
    <w:basedOn w:val="IATableLabel"/>
    <w:rsid w:val="008031EC"/>
    <w:pPr>
      <w:spacing w:after="0" w:before="0"/>
      <w:jc w:val="both"/>
    </w:pPr>
    <w:rPr>
      <w:b w:val="0"/>
      <w:sz w:val="22"/>
      <w:szCs w:val="22"/>
    </w:rPr>
  </w:style>
  <w:style w:type="paragraph" w:styleId="IAIOBNPV" w:customStyle="1">
    <w:name w:val="IAIOBNPV"/>
    <w:basedOn w:val="IATableLabel"/>
    <w:rsid w:val="008031EC"/>
    <w:pPr>
      <w:spacing w:after="0" w:before="0"/>
    </w:pPr>
    <w:rPr>
      <w:b w:val="0"/>
      <w:sz w:val="22"/>
      <w:szCs w:val="22"/>
    </w:rPr>
  </w:style>
  <w:style w:type="paragraph" w:styleId="IAIONCTBPY" w:customStyle="1">
    <w:name w:val="IAIONCTBPY"/>
    <w:basedOn w:val="IATableLabel"/>
    <w:rsid w:val="008031EC"/>
    <w:pPr>
      <w:spacing w:after="0" w:before="0"/>
    </w:pPr>
    <w:rPr>
      <w:b w:val="0"/>
      <w:sz w:val="22"/>
      <w:szCs w:val="22"/>
    </w:rPr>
  </w:style>
  <w:style w:type="paragraph" w:styleId="IAIOInScopeInOut" w:customStyle="1">
    <w:name w:val="IAIOInScopeInOut"/>
    <w:basedOn w:val="IATableLabel"/>
    <w:rsid w:val="008369A3"/>
    <w:pPr>
      <w:spacing w:after="0" w:before="0"/>
    </w:pPr>
    <w:rPr>
      <w:b w:val="0"/>
      <w:sz w:val="22"/>
      <w:szCs w:val="22"/>
    </w:rPr>
  </w:style>
  <w:style w:type="paragraph" w:styleId="IAIOPrefMQ" w:customStyle="1">
    <w:name w:val="IAIOPrefMQ"/>
    <w:basedOn w:val="IATableText"/>
    <w:rsid w:val="008369A3"/>
    <w:pPr>
      <w:spacing w:after="0" w:before="0"/>
    </w:pPr>
    <w:rPr>
      <w:color w:val="000000"/>
      <w:szCs w:val="22"/>
    </w:rPr>
  </w:style>
  <w:style w:type="paragraph" w:styleId="IAIOQ1" w:customStyle="1">
    <w:name w:val="IAIOQ1"/>
    <w:basedOn w:val="IATableLabel"/>
    <w:rsid w:val="008369A3"/>
  </w:style>
  <w:style w:type="paragraph" w:styleId="IAIOA1" w:customStyle="1">
    <w:name w:val="IAIOA1"/>
    <w:basedOn w:val="IATableLines"/>
    <w:rsid w:val="008369A3"/>
  </w:style>
  <w:style w:type="paragraph" w:styleId="IAIOQ2" w:customStyle="1">
    <w:name w:val="IAIOQ2"/>
    <w:basedOn w:val="IATableLabel"/>
    <w:rsid w:val="008369A3"/>
  </w:style>
  <w:style w:type="paragraph" w:styleId="IAIOA2" w:customStyle="1">
    <w:name w:val="IAIOA2"/>
    <w:basedOn w:val="IATableLines"/>
    <w:rsid w:val="008369A3"/>
  </w:style>
  <w:style w:type="paragraph" w:styleId="IAIOQ3" w:customStyle="1">
    <w:name w:val="IAIOQ3"/>
    <w:basedOn w:val="IATableLabel"/>
    <w:rsid w:val="008369A3"/>
  </w:style>
  <w:style w:type="paragraph" w:styleId="IAIOA3" w:customStyle="1">
    <w:name w:val="IAIOA3"/>
    <w:basedOn w:val="IATableLines"/>
    <w:rsid w:val="008369A3"/>
  </w:style>
  <w:style w:type="paragraph" w:styleId="IAIOPolicyReview" w:customStyle="1">
    <w:name w:val="IAIOPolicyReview"/>
    <w:basedOn w:val="IATableLabel"/>
    <w:link w:val="IAIOPolicyReviewChar"/>
    <w:rsid w:val="00F91F5A"/>
    <w:rPr>
      <w:b w:val="0"/>
      <w:sz w:val="22"/>
      <w:szCs w:val="22"/>
    </w:rPr>
  </w:style>
  <w:style w:type="character" w:styleId="IAIOPolicyReviewChar" w:customStyle="1">
    <w:name w:val="IAIOPolicyReview Char"/>
    <w:link w:val="IAIOPolicyReview"/>
    <w:locked w:val="1"/>
    <w:rsid w:val="00F91F5A"/>
    <w:rPr>
      <w:rFonts w:ascii="Arial" w:eastAsia="SimSun" w:hAnsi="Arial"/>
      <w:b w:val="1"/>
      <w:color w:val="000000"/>
      <w:spacing w:val="-5"/>
      <w:sz w:val="22"/>
      <w:lang w:eastAsia="zh-CN" w:val="en-GB"/>
    </w:rPr>
  </w:style>
  <w:style w:type="paragraph" w:styleId="IAIOReviewMonth" w:customStyle="1">
    <w:name w:val="IAIOReviewMonth"/>
    <w:basedOn w:val="IATableLabel"/>
    <w:link w:val="IAIOReviewMonthChar"/>
    <w:rsid w:val="00F91F5A"/>
    <w:rPr>
      <w:b w:val="0"/>
      <w:sz w:val="22"/>
      <w:szCs w:val="22"/>
    </w:rPr>
  </w:style>
  <w:style w:type="paragraph" w:styleId="IAIOReviewYear" w:customStyle="1">
    <w:name w:val="IAIOReviewYear"/>
    <w:basedOn w:val="IATableLabel"/>
    <w:link w:val="IAIOReviewYearChar"/>
    <w:rsid w:val="00F91F5A"/>
    <w:rPr>
      <w:b w:val="0"/>
      <w:sz w:val="22"/>
      <w:szCs w:val="22"/>
    </w:rPr>
  </w:style>
  <w:style w:type="paragraph" w:styleId="IAIOCheckEU" w:customStyle="1">
    <w:name w:val="IAIOCheckEU"/>
    <w:basedOn w:val="IATableText"/>
    <w:rsid w:val="00F91F5A"/>
    <w:pPr>
      <w:spacing w:after="0" w:before="0"/>
    </w:pPr>
    <w:rPr>
      <w:sz w:val="20"/>
    </w:rPr>
  </w:style>
  <w:style w:type="character" w:styleId="IAIOReviewYearChar" w:customStyle="1">
    <w:name w:val="IAIOReviewYear Char"/>
    <w:link w:val="IAIOReviewYear"/>
    <w:locked w:val="1"/>
    <w:rsid w:val="00F91F5A"/>
    <w:rPr>
      <w:rFonts w:ascii="Arial" w:eastAsia="SimSun" w:hAnsi="Arial"/>
      <w:b w:val="1"/>
      <w:color w:val="000000"/>
      <w:spacing w:val="-5"/>
      <w:sz w:val="22"/>
      <w:lang w:eastAsia="zh-CN" w:val="en-GB"/>
    </w:rPr>
  </w:style>
  <w:style w:type="character" w:styleId="IAIOReviewMonthChar" w:customStyle="1">
    <w:name w:val="IAIOReviewMonth Char"/>
    <w:link w:val="IAIOReviewMonth"/>
    <w:locked w:val="1"/>
    <w:rsid w:val="00F91F5A"/>
    <w:rPr>
      <w:rFonts w:ascii="Arial" w:eastAsia="SimSun" w:hAnsi="Arial"/>
      <w:b w:val="1"/>
      <w:color w:val="000000"/>
      <w:spacing w:val="-5"/>
      <w:sz w:val="22"/>
      <w:lang w:eastAsia="zh-CN" w:val="en-GB"/>
    </w:rPr>
  </w:style>
  <w:style w:type="paragraph" w:styleId="IAIOCheckMicro" w:customStyle="1">
    <w:name w:val="IAIOCheckMicro"/>
    <w:basedOn w:val="IATableLines"/>
    <w:link w:val="IAIOCheckMicroChar"/>
    <w:rsid w:val="00F91F5A"/>
    <w:rPr>
      <w:sz w:val="20"/>
    </w:rPr>
  </w:style>
  <w:style w:type="paragraph" w:styleId="IAIOCheck20" w:customStyle="1">
    <w:name w:val="IAIOCheck20"/>
    <w:basedOn w:val="IATableLines"/>
    <w:rsid w:val="00F91F5A"/>
    <w:rPr>
      <w:sz w:val="20"/>
    </w:rPr>
  </w:style>
  <w:style w:type="paragraph" w:styleId="IAIOCheckSmall" w:customStyle="1">
    <w:name w:val="IAIOCheckSmall"/>
    <w:basedOn w:val="IATableLines"/>
    <w:link w:val="IAIOCheckSmallChar"/>
    <w:rsid w:val="00F91F5A"/>
    <w:rPr>
      <w:sz w:val="20"/>
    </w:rPr>
  </w:style>
  <w:style w:type="paragraph" w:styleId="IAIOCheckMedium" w:customStyle="1">
    <w:name w:val="IAIOCheckMedium"/>
    <w:basedOn w:val="IATableLines"/>
    <w:link w:val="IAIOCheckMediumChar"/>
    <w:rsid w:val="00F91F5A"/>
    <w:rPr>
      <w:sz w:val="20"/>
    </w:rPr>
  </w:style>
  <w:style w:type="paragraph" w:styleId="IAIOCheckLarge" w:customStyle="1">
    <w:name w:val="IAIOCheckLarge"/>
    <w:basedOn w:val="IATableLines"/>
    <w:link w:val="IAIOCheckLargeChar"/>
    <w:rsid w:val="00F91F5A"/>
    <w:rPr>
      <w:sz w:val="20"/>
    </w:rPr>
  </w:style>
  <w:style w:type="paragraph" w:styleId="IAIOCO2Traded" w:customStyle="1">
    <w:name w:val="IAIOCO2Traded"/>
    <w:basedOn w:val="IATableLabel"/>
    <w:link w:val="IAIOCO2TradedChar"/>
    <w:rsid w:val="00F91F5A"/>
    <w:rPr>
      <w:b w:val="0"/>
      <w:sz w:val="22"/>
    </w:rPr>
  </w:style>
  <w:style w:type="paragraph" w:styleId="IAIOCO2NonTraded" w:customStyle="1">
    <w:name w:val="IAIOCO2NonTraded"/>
    <w:basedOn w:val="IAIOCO2Traded"/>
    <w:rsid w:val="008155E3"/>
    <w:rPr>
      <w:sz w:val="20"/>
    </w:rPr>
  </w:style>
  <w:style w:type="paragraph" w:styleId="IAIOtextSign" w:customStyle="1">
    <w:name w:val="IAIOtextSign"/>
    <w:basedOn w:val="Normal"/>
    <w:rsid w:val="00F91F5A"/>
    <w:pPr>
      <w:jc w:val="center"/>
    </w:pPr>
  </w:style>
  <w:style w:type="paragraph" w:styleId="IAIOSigDate" w:customStyle="1">
    <w:name w:val="IAIOSigDate"/>
    <w:basedOn w:val="Normal"/>
    <w:rsid w:val="00F91F5A"/>
    <w:pPr>
      <w:jc w:val="center"/>
    </w:pPr>
    <w:rPr>
      <w:sz w:val="22"/>
      <w:szCs w:val="22"/>
    </w:rPr>
  </w:style>
  <w:style w:type="paragraph" w:styleId="IAPODescription" w:customStyle="1">
    <w:name w:val="IAPODescription"/>
    <w:basedOn w:val="IAHeadLabel"/>
    <w:link w:val="IAPODescriptionCharChar"/>
    <w:rsid w:val="00D00846"/>
    <w:pPr>
      <w:spacing w:before="50"/>
    </w:pPr>
    <w:rPr>
      <w:b w:val="0"/>
    </w:rPr>
  </w:style>
  <w:style w:type="character" w:styleId="IAPODescriptionCharChar" w:customStyle="1">
    <w:name w:val="IAPODescription Char Char"/>
    <w:basedOn w:val="IAHeadLabelChar"/>
    <w:link w:val="IAPODescription"/>
    <w:locked w:val="1"/>
    <w:rsid w:val="00D00846"/>
    <w:rPr>
      <w:rFonts w:ascii="Arial" w:cs="Times New Roman" w:eastAsia="SimSun" w:hAnsi="Arial"/>
      <w:b w:val="1"/>
      <w:color w:val="000000"/>
      <w:spacing w:val="-5"/>
      <w:lang w:bidi="ar-SA" w:eastAsia="zh-CN" w:val="en-GB"/>
    </w:rPr>
  </w:style>
  <w:style w:type="character" w:styleId="IADateChar" w:customStyle="1">
    <w:name w:val="IADate Char"/>
    <w:link w:val="IADate"/>
    <w:locked w:val="1"/>
    <w:rsid w:val="00174C10"/>
    <w:rPr>
      <w:rFonts w:ascii="Arial" w:eastAsia="SimSun" w:hAnsi="Arial"/>
      <w:b w:val="1"/>
      <w:color w:val="000000"/>
      <w:spacing w:val="-5"/>
      <w:sz w:val="22"/>
      <w:lang w:eastAsia="zh-CN" w:val="en-GB"/>
    </w:rPr>
  </w:style>
  <w:style w:type="character" w:styleId="IATableLinesChar" w:customStyle="1">
    <w:name w:val="IATableLines Char"/>
    <w:basedOn w:val="IATableTextChar"/>
    <w:link w:val="IATableLines"/>
    <w:locked w:val="1"/>
    <w:rsid w:val="00174C10"/>
    <w:rPr>
      <w:rFonts w:ascii="Arial" w:cs="Times New Roman" w:eastAsia="SimSun" w:hAnsi="Arial"/>
      <w:b w:val="1"/>
      <w:color w:val="000000"/>
      <w:spacing w:val="-5"/>
      <w:sz w:val="22"/>
      <w:lang w:bidi="ar-SA" w:eastAsia="zh-CN" w:val="en-GB"/>
    </w:rPr>
  </w:style>
  <w:style w:type="character" w:styleId="IACOEChar" w:customStyle="1">
    <w:name w:val="IACOE Char"/>
    <w:link w:val="IACOE"/>
    <w:locked w:val="1"/>
    <w:rsid w:val="00B225B0"/>
    <w:rPr>
      <w:rFonts w:ascii="Arial" w:eastAsia="SimSun" w:hAnsi="Arial"/>
      <w:b w:val="1"/>
      <w:color w:val="000000"/>
      <w:spacing w:val="-5"/>
      <w:sz w:val="24"/>
      <w:lang w:eastAsia="zh-CN" w:val="en-GB"/>
    </w:rPr>
  </w:style>
  <w:style w:type="character" w:styleId="IAStageChar" w:customStyle="1">
    <w:name w:val="IAStage Char"/>
    <w:link w:val="IAStage"/>
    <w:locked w:val="1"/>
    <w:rsid w:val="00174C10"/>
    <w:rPr>
      <w:rFonts w:ascii="Arial" w:eastAsia="SimSun" w:hAnsi="Arial"/>
      <w:b w:val="1"/>
      <w:color w:val="000000"/>
      <w:spacing w:val="-5"/>
      <w:sz w:val="22"/>
      <w:lang w:eastAsia="zh-CN" w:val="en-GB"/>
    </w:rPr>
  </w:style>
  <w:style w:type="character" w:styleId="IASOIChar" w:customStyle="1">
    <w:name w:val="IASOI Char"/>
    <w:link w:val="IASOI"/>
    <w:locked w:val="1"/>
    <w:rsid w:val="00174C10"/>
    <w:rPr>
      <w:rFonts w:ascii="Arial" w:eastAsia="SimSun" w:hAnsi="Arial"/>
      <w:b w:val="1"/>
      <w:color w:val="000000"/>
      <w:spacing w:val="-5"/>
      <w:sz w:val="22"/>
      <w:lang w:eastAsia="zh-CN" w:val="en-GB"/>
    </w:rPr>
  </w:style>
  <w:style w:type="character" w:styleId="IATOMChar" w:customStyle="1">
    <w:name w:val="IATOM Char"/>
    <w:link w:val="IATOM"/>
    <w:locked w:val="1"/>
    <w:rsid w:val="00174C10"/>
    <w:rPr>
      <w:rFonts w:ascii="Arial" w:eastAsia="SimSun" w:hAnsi="Arial"/>
      <w:b w:val="1"/>
      <w:color w:val="000000"/>
      <w:spacing w:val="-5"/>
      <w:sz w:val="22"/>
      <w:lang w:eastAsia="zh-CN" w:val="en-GB"/>
    </w:rPr>
  </w:style>
  <w:style w:type="character" w:styleId="IARPCChar" w:customStyle="1">
    <w:name w:val="IARPC Char"/>
    <w:link w:val="IARPC"/>
    <w:locked w:val="1"/>
    <w:rsid w:val="00174C10"/>
    <w:rPr>
      <w:rFonts w:ascii="Arial" w:eastAsia="SimSun" w:hAnsi="Arial"/>
      <w:color w:val="000000"/>
      <w:kern w:val="28"/>
      <w:sz w:val="24"/>
      <w:lang w:eastAsia="en-US" w:val="en-GB"/>
    </w:rPr>
  </w:style>
  <w:style w:type="character" w:styleId="IAIOCheckMicroChar" w:customStyle="1">
    <w:name w:val="IAIOCheckMicro Char"/>
    <w:basedOn w:val="IATableLinesChar"/>
    <w:link w:val="IAIOCheckMicro"/>
    <w:locked w:val="1"/>
    <w:rsid w:val="00D478C9"/>
    <w:rPr>
      <w:rFonts w:ascii="Arial" w:cs="Times New Roman" w:eastAsia="SimSun" w:hAnsi="Arial"/>
      <w:b w:val="1"/>
      <w:color w:val="000000"/>
      <w:spacing w:val="-5"/>
      <w:sz w:val="22"/>
      <w:lang w:bidi="ar-SA" w:eastAsia="zh-CN" w:val="en-GB"/>
    </w:rPr>
  </w:style>
  <w:style w:type="character" w:styleId="IAIOCheckSmallChar" w:customStyle="1">
    <w:name w:val="IAIOCheckSmall Char"/>
    <w:basedOn w:val="IATableLinesChar"/>
    <w:link w:val="IAIOCheckSmall"/>
    <w:locked w:val="1"/>
    <w:rsid w:val="00D478C9"/>
    <w:rPr>
      <w:rFonts w:ascii="Arial" w:cs="Times New Roman" w:eastAsia="SimSun" w:hAnsi="Arial"/>
      <w:b w:val="1"/>
      <w:color w:val="000000"/>
      <w:spacing w:val="-5"/>
      <w:sz w:val="22"/>
      <w:lang w:bidi="ar-SA" w:eastAsia="zh-CN" w:val="en-GB"/>
    </w:rPr>
  </w:style>
  <w:style w:type="character" w:styleId="IAIOCheckMediumChar" w:customStyle="1">
    <w:name w:val="IAIOCheckMedium Char"/>
    <w:basedOn w:val="IATableLinesChar"/>
    <w:link w:val="IAIOCheckMedium"/>
    <w:locked w:val="1"/>
    <w:rsid w:val="00D478C9"/>
    <w:rPr>
      <w:rFonts w:ascii="Arial" w:cs="Times New Roman" w:eastAsia="SimSun" w:hAnsi="Arial"/>
      <w:b w:val="1"/>
      <w:color w:val="000000"/>
      <w:spacing w:val="-5"/>
      <w:sz w:val="22"/>
      <w:lang w:bidi="ar-SA" w:eastAsia="zh-CN" w:val="en-GB"/>
    </w:rPr>
  </w:style>
  <w:style w:type="character" w:styleId="IAIOCheckLargeChar" w:customStyle="1">
    <w:name w:val="IAIOCheckLarge Char"/>
    <w:basedOn w:val="IATableLinesChar"/>
    <w:link w:val="IAIOCheckLarge"/>
    <w:locked w:val="1"/>
    <w:rsid w:val="00D478C9"/>
    <w:rPr>
      <w:rFonts w:ascii="Arial" w:cs="Times New Roman" w:eastAsia="SimSun" w:hAnsi="Arial"/>
      <w:b w:val="1"/>
      <w:color w:val="000000"/>
      <w:spacing w:val="-5"/>
      <w:sz w:val="22"/>
      <w:lang w:bidi="ar-SA" w:eastAsia="zh-CN" w:val="en-GB"/>
    </w:rPr>
  </w:style>
  <w:style w:type="character" w:styleId="IAIOCO2TradedChar" w:customStyle="1">
    <w:name w:val="IAIOCO2Traded Char"/>
    <w:link w:val="IAIOCO2Traded"/>
    <w:locked w:val="1"/>
    <w:rsid w:val="00D478C9"/>
    <w:rPr>
      <w:rFonts w:ascii="Arial" w:eastAsia="SimSun" w:hAnsi="Arial"/>
      <w:b w:val="1"/>
      <w:color w:val="000000"/>
      <w:spacing w:val="-5"/>
      <w:sz w:val="22"/>
      <w:lang w:eastAsia="zh-CN" w:val="en-GB"/>
    </w:rPr>
  </w:style>
  <w:style w:type="character" w:styleId="IALabel" w:customStyle="1">
    <w:name w:val="IALabel"/>
    <w:rsid w:val="009F6692"/>
    <w:rPr>
      <w:color w:val="000000"/>
      <w:sz w:val="20"/>
    </w:rPr>
  </w:style>
  <w:style w:type="character" w:styleId="CommentReference">
    <w:name w:val="annotation reference"/>
    <w:basedOn w:val="DefaultParagraphFont"/>
    <w:uiPriority w:val="99"/>
    <w:unhideWhenUsed w:val="1"/>
    <w:rsid w:val="00CA40EE"/>
    <w:rPr>
      <w:sz w:val="16"/>
      <w:szCs w:val="16"/>
    </w:rPr>
  </w:style>
  <w:style w:type="paragraph" w:styleId="CommentText">
    <w:name w:val="annotation text"/>
    <w:basedOn w:val="Normal"/>
    <w:link w:val="CommentTextChar"/>
    <w:uiPriority w:val="99"/>
    <w:unhideWhenUsed w:val="1"/>
    <w:rsid w:val="00CA40EE"/>
    <w:rPr>
      <w:sz w:val="20"/>
    </w:rPr>
  </w:style>
  <w:style w:type="character" w:styleId="CommentTextChar" w:customStyle="1">
    <w:name w:val="Comment Text Char"/>
    <w:basedOn w:val="DefaultParagraphFont"/>
    <w:link w:val="CommentText"/>
    <w:uiPriority w:val="99"/>
    <w:rsid w:val="00CA40EE"/>
    <w:rPr>
      <w:rFonts w:ascii="Arial" w:hAnsi="Arial"/>
      <w:lang w:eastAsia="en-US"/>
    </w:rPr>
  </w:style>
  <w:style w:type="character" w:styleId="PlaceholderText">
    <w:name w:val="Placeholder Text"/>
    <w:basedOn w:val="DefaultParagraphFont"/>
    <w:uiPriority w:val="99"/>
    <w:semiHidden w:val="1"/>
    <w:rsid w:val="00CA40EE"/>
    <w:rPr>
      <w:color w:val="808080"/>
    </w:rPr>
  </w:style>
  <w:style w:type="paragraph" w:styleId="ListParagraph">
    <w:name w:val="List Paragraph"/>
    <w:aliases w:val="F5 List Paragraph,List Paragraph1,Dot pt,No Spacing1,List Paragraph Char Char Char,Indicator Text,Numbered Para 1,List Paragraph11,Colorful List - Accent 11,Bullet 1,Bullet Points,MAIN CONTENT,Párrafo de lista,Recommendation,L,TOC style,l"/>
    <w:basedOn w:val="Normal"/>
    <w:link w:val="ListParagraphChar"/>
    <w:uiPriority w:val="34"/>
    <w:qFormat w:val="1"/>
    <w:rsid w:val="002125B7"/>
    <w:pPr>
      <w:tabs>
        <w:tab w:val="left" w:pos="567"/>
      </w:tabs>
      <w:spacing w:after="120"/>
      <w:ind w:left="567" w:hanging="567"/>
    </w:pPr>
    <w:rPr>
      <w:rFonts w:ascii="Calibri" w:hAnsi="Calibri"/>
      <w:sz w:val="22"/>
    </w:rPr>
  </w:style>
  <w:style w:type="paragraph" w:styleId="NoSpacing">
    <w:name w:val="No Spacing"/>
    <w:uiPriority w:val="1"/>
    <w:qFormat w:val="1"/>
    <w:rsid w:val="002125B7"/>
    <w:rPr>
      <w:rFonts w:ascii="Arial" w:hAnsi="Arial"/>
      <w:sz w:val="22"/>
      <w:lang w:eastAsia="en-US"/>
    </w:rPr>
  </w:style>
  <w:style w:type="paragraph" w:styleId="Style1-BodyText" w:customStyle="1">
    <w:name w:val="Style1- Body Text"/>
    <w:basedOn w:val="Normal"/>
    <w:link w:val="Style1-BodyTextChar"/>
    <w:qFormat w:val="1"/>
    <w:rsid w:val="002125B7"/>
    <w:pPr>
      <w:spacing w:after="120"/>
      <w:jc w:val="both"/>
    </w:pPr>
    <w:rPr>
      <w:rFonts w:cs="Arial"/>
      <w:sz w:val="22"/>
    </w:rPr>
  </w:style>
  <w:style w:type="character" w:styleId="Style1-BodyTextChar" w:customStyle="1">
    <w:name w:val="Style1- Body Text Char"/>
    <w:basedOn w:val="DefaultParagraphFont"/>
    <w:link w:val="Style1-BodyText"/>
    <w:rsid w:val="002125B7"/>
    <w:rPr>
      <w:rFonts w:ascii="Arial" w:cs="Arial" w:hAnsi="Arial"/>
      <w:sz w:val="22"/>
      <w:szCs w:val="24"/>
      <w:lang w:eastAsia="en-US"/>
    </w:rPr>
  </w:style>
  <w:style w:type="character" w:styleId="ListParagraphChar" w:customStyle="1">
    <w:name w:val="List Paragraph Char"/>
    <w:aliases w:val="F5 List Paragraph Char,List Paragraph1 Char,Dot pt Char,No Spacing1 Char,List Paragraph Char Char Char Char,Indicator Text Char,Numbered Para 1 Char,List Paragraph11 Char,Colorful List - Accent 11 Char,Bullet 1 Char,MAIN CONTENT Char"/>
    <w:link w:val="ListParagraph"/>
    <w:uiPriority w:val="34"/>
    <w:qFormat w:val="1"/>
    <w:locked w:val="1"/>
    <w:rsid w:val="002125B7"/>
    <w:rPr>
      <w:rFonts w:ascii="Calibri" w:hAnsi="Calibri"/>
      <w:sz w:val="22"/>
      <w:lang w:eastAsia="en-US"/>
    </w:rPr>
  </w:style>
  <w:style w:type="character" w:styleId="Strong">
    <w:name w:val="Strong"/>
    <w:basedOn w:val="DefaultParagraphFont"/>
    <w:qFormat w:val="1"/>
    <w:rsid w:val="002125B7"/>
    <w:rPr>
      <w:b w:val="1"/>
      <w:bCs w:val="1"/>
    </w:rPr>
  </w:style>
  <w:style w:type="paragraph" w:styleId="CommentSubject">
    <w:name w:val="annotation subject"/>
    <w:basedOn w:val="CommentText"/>
    <w:next w:val="CommentText"/>
    <w:link w:val="CommentSubjectChar"/>
    <w:rsid w:val="00C133FC"/>
    <w:rPr>
      <w:b w:val="1"/>
      <w:bCs w:val="1"/>
    </w:rPr>
  </w:style>
  <w:style w:type="character" w:styleId="CommentSubjectChar" w:customStyle="1">
    <w:name w:val="Comment Subject Char"/>
    <w:basedOn w:val="CommentTextChar"/>
    <w:link w:val="CommentSubject"/>
    <w:rsid w:val="00C133FC"/>
    <w:rPr>
      <w:rFonts w:ascii="Arial" w:hAnsi="Arial"/>
      <w:b w:val="1"/>
      <w:bCs w:val="1"/>
      <w:sz w:val="20"/>
      <w:lang w:eastAsia="en-US"/>
    </w:rPr>
  </w:style>
  <w:style w:type="character" w:styleId="normaltextrun" w:customStyle="1">
    <w:name w:val="normaltextrun"/>
    <w:basedOn w:val="DefaultParagraphFont"/>
    <w:rsid w:val="00082B7D"/>
  </w:style>
  <w:style w:type="paragraph" w:styleId="NormalWeb">
    <w:name w:val="Normal (Web)"/>
    <w:basedOn w:val="Normal"/>
    <w:rsid w:val="00710D2D"/>
    <w:rPr>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1701591517294972E-2"/>
          <c:y val="0.10619869964280161"/>
          <c:w val="0.94093136825773505"/>
          <c:h val="0.70670459579574396"/>
        </c:manualLayout>
      </c:layout>
      <c:barChart>
        <c:barDir val="col"/>
        <c:grouping val="clustered"/>
        <c:varyColors val="0"/>
        <c:ser>
          <c:idx val="0"/>
          <c:order val="0"/>
          <c:tx>
            <c:strRef>
              <c:f>Sheet1!$B$1</c:f>
              <c:strCache>
                <c:ptCount val="1"/>
                <c:pt idx="0">
                  <c:v>Kategorizimi i kërkesave të mbërritura në Autoritet rreth ligjit 66/2020</c:v>
                </c:pt>
              </c:strCache>
            </c:strRef>
          </c:tx>
          <c:spPr>
            <a:solidFill>
              <a:schemeClr val="accent1"/>
            </a:solidFill>
            <a:ln>
              <a:noFill/>
            </a:ln>
            <a:effectLst/>
          </c:spPr>
          <c:invertIfNegative val="0"/>
          <c:cat>
            <c:strRef>
              <c:f>Sheet1!$A$2:$A$7</c:f>
              <c:strCache>
                <c:ptCount val="6"/>
                <c:pt idx="0">
                  <c:v>Kërkesa për informacion të përgjithshëm</c:v>
                </c:pt>
                <c:pt idx="1">
                  <c:v>Agjent TD</c:v>
                </c:pt>
                <c:pt idx="2">
                  <c:v>Bursë DLT</c:v>
                </c:pt>
                <c:pt idx="3">
                  <c:v>Kujdestar i portofolit të palëve të treta</c:v>
                </c:pt>
                <c:pt idx="4">
                  <c:v>ICO/STO</c:v>
                </c:pt>
                <c:pt idx="5">
                  <c:v>Mining</c:v>
                </c:pt>
              </c:strCache>
            </c:strRef>
          </c:cat>
          <c:val>
            <c:numRef>
              <c:f>Sheet1!$B$2:$B$7</c:f>
              <c:numCache>
                <c:formatCode>General</c:formatCode>
                <c:ptCount val="6"/>
                <c:pt idx="0">
                  <c:v>17</c:v>
                </c:pt>
                <c:pt idx="1">
                  <c:v>0</c:v>
                </c:pt>
                <c:pt idx="2">
                  <c:v>15</c:v>
                </c:pt>
                <c:pt idx="3">
                  <c:v>2</c:v>
                </c:pt>
                <c:pt idx="4">
                  <c:v>0</c:v>
                </c:pt>
                <c:pt idx="5">
                  <c:v>11</c:v>
                </c:pt>
              </c:numCache>
            </c:numRef>
          </c:val>
          <c:extLst>
            <c:ext xmlns:c16="http://schemas.microsoft.com/office/drawing/2014/chart" uri="{C3380CC4-5D6E-409C-BE32-E72D297353CC}">
              <c16:uniqueId val="{00000000-3745-4F15-B5C6-21C6146F349A}"/>
            </c:ext>
          </c:extLst>
        </c:ser>
        <c:dLbls>
          <c:showLegendKey val="0"/>
          <c:showVal val="0"/>
          <c:showCatName val="0"/>
          <c:showSerName val="0"/>
          <c:showPercent val="0"/>
          <c:showBubbleSize val="0"/>
        </c:dLbls>
        <c:gapWidth val="219"/>
        <c:overlap val="-27"/>
        <c:axId val="61473423"/>
        <c:axId val="1566933343"/>
      </c:barChart>
      <c:catAx>
        <c:axId val="61473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933343"/>
        <c:crosses val="autoZero"/>
        <c:auto val="1"/>
        <c:lblAlgn val="ctr"/>
        <c:lblOffset val="100"/>
        <c:noMultiLvlLbl val="0"/>
      </c:catAx>
      <c:valAx>
        <c:axId val="1566933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ZjaQW3cCEsZxxrTJ4mhwRn+cw==">CgMxLjAyD2lkLmRkZjltNGx1NzVuMjIPaWQuejR5cXpnaGVhMzVpMg5oLmFlaXlrZnliMndpbjIOaC45djRidmRwdmRocHcyDmgubWoyNmhqZjh4NGI5Mg5oLnZkbjhkYnVobXlzczIOaC5teTZubWU2MnJ3YTUyDmguZDUxeWJhNHpjYzVuMg5oLnBocG14ZTg5anQ5ajIOaC5xOHFuanF0OWY2NzMyD2lkLjV3MjdzbHV3ZmVqNjIPaWQuNGMzenVqZnhpYWxsOAByITFtZEl2V1BRSXdQMjZuM3pPUkh3bVRjb21fek4xbExM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2025-11-19T10:56:00Z</dcterms:created>
  <dc:creator>Ricketts Simon (GO-Science)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Stage">
    <vt:lpwstr>Development/Options</vt:lpwstr>
  </property>
</Properties>
</file>