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A395" w14:textId="6ED8FFF9" w:rsidR="005B6D2B" w:rsidRPr="00CE170C" w:rsidRDefault="005B363D" w:rsidP="002342EA">
      <w:pPr>
        <w:jc w:val="center"/>
        <w:rPr>
          <w:rFonts w:ascii="Times New Roman" w:hAnsi="Times New Roman"/>
          <w:b/>
          <w:bCs/>
          <w:iCs/>
          <w:sz w:val="24"/>
          <w:szCs w:val="24"/>
          <w:lang w:val="sq-AL" w:bidi="en-GB"/>
        </w:rPr>
      </w:pPr>
      <w:r w:rsidRPr="00CE170C">
        <w:rPr>
          <w:rFonts w:ascii="Times New Roman" w:hAnsi="Times New Roman"/>
          <w:b/>
          <w:bCs/>
          <w:iCs/>
          <w:sz w:val="24"/>
          <w:szCs w:val="24"/>
          <w:lang w:val="sq-AL" w:bidi="en-GB"/>
        </w:rPr>
        <w:t>RAPORT PËR REZULTATET E KONSULTIMEVE PUBLIKE</w:t>
      </w:r>
    </w:p>
    <w:p w14:paraId="207A6F4F" w14:textId="77777777" w:rsidR="005B6D2B" w:rsidRPr="00CE170C" w:rsidRDefault="005B6D2B" w:rsidP="002342EA">
      <w:pPr>
        <w:rPr>
          <w:rFonts w:ascii="Times New Roman" w:hAnsi="Times New Roman"/>
          <w:sz w:val="24"/>
          <w:szCs w:val="24"/>
          <w:lang w:val="sq-AL"/>
        </w:rPr>
      </w:pPr>
    </w:p>
    <w:p w14:paraId="140CFDEC" w14:textId="77777777" w:rsidR="005B6D2B" w:rsidRPr="00CE170C" w:rsidRDefault="005B6D2B" w:rsidP="002342EA">
      <w:pPr>
        <w:pStyle w:val="ListParagraph"/>
        <w:numPr>
          <w:ilvl w:val="0"/>
          <w:numId w:val="1"/>
        </w:numPr>
        <w:spacing w:after="0"/>
        <w:jc w:val="both"/>
        <w:rPr>
          <w:rFonts w:ascii="Times New Roman" w:hAnsi="Times New Roman"/>
          <w:b/>
          <w:bCs/>
          <w:sz w:val="24"/>
          <w:szCs w:val="24"/>
          <w:lang w:val="sq-AL"/>
        </w:rPr>
      </w:pPr>
      <w:r w:rsidRPr="00CE170C">
        <w:rPr>
          <w:rFonts w:ascii="Times New Roman" w:hAnsi="Times New Roman"/>
          <w:b/>
          <w:bCs/>
          <w:sz w:val="24"/>
          <w:szCs w:val="24"/>
          <w:lang w:val="sq-AL"/>
        </w:rPr>
        <w:t>Titulli i draft aktit</w:t>
      </w:r>
    </w:p>
    <w:p w14:paraId="51760081" w14:textId="662D5C5A" w:rsidR="00A121AB" w:rsidRPr="00CE170C" w:rsidRDefault="007419C1" w:rsidP="002342EA">
      <w:pPr>
        <w:ind w:left="360"/>
        <w:jc w:val="both"/>
        <w:rPr>
          <w:rFonts w:ascii="Times New Roman" w:hAnsi="Times New Roman"/>
          <w:bCs/>
          <w:sz w:val="24"/>
          <w:szCs w:val="24"/>
          <w:lang w:val="sq-AL"/>
        </w:rPr>
      </w:pPr>
      <w:r w:rsidRPr="00CE170C">
        <w:rPr>
          <w:rFonts w:ascii="Times New Roman" w:hAnsi="Times New Roman"/>
          <w:bCs/>
          <w:sz w:val="24"/>
          <w:szCs w:val="24"/>
          <w:lang w:val="sq-AL"/>
        </w:rPr>
        <w:t>Projektligj “Për disa shtesa dhe ndryshime në ligjin nr. 9917, datë 19.5.2008, ‘Për parandalimin e pastrimit të parave dhe financimit të terrorizmit’, të ndryshuar.”</w:t>
      </w:r>
    </w:p>
    <w:p w14:paraId="753CC980" w14:textId="77777777" w:rsidR="007419C1" w:rsidRPr="00CE170C" w:rsidRDefault="007419C1" w:rsidP="002342EA">
      <w:pPr>
        <w:ind w:left="360"/>
        <w:jc w:val="both"/>
        <w:rPr>
          <w:rFonts w:ascii="Times New Roman" w:hAnsi="Times New Roman"/>
          <w:b/>
          <w:bCs/>
          <w:sz w:val="24"/>
          <w:szCs w:val="24"/>
          <w:lang w:val="sq-AL"/>
        </w:rPr>
      </w:pPr>
    </w:p>
    <w:p w14:paraId="36FE306D" w14:textId="77777777" w:rsidR="005B6D2B" w:rsidRPr="00CE170C" w:rsidRDefault="005B6D2B" w:rsidP="002342EA">
      <w:pPr>
        <w:pStyle w:val="ListParagraph"/>
        <w:numPr>
          <w:ilvl w:val="0"/>
          <w:numId w:val="1"/>
        </w:numPr>
        <w:spacing w:after="0"/>
        <w:jc w:val="both"/>
        <w:rPr>
          <w:rFonts w:ascii="Times New Roman" w:hAnsi="Times New Roman"/>
          <w:i/>
          <w:iCs/>
          <w:sz w:val="24"/>
          <w:szCs w:val="24"/>
          <w:lang w:val="sq-AL"/>
        </w:rPr>
      </w:pPr>
      <w:r w:rsidRPr="00CE170C">
        <w:rPr>
          <w:rFonts w:ascii="Times New Roman" w:hAnsi="Times New Roman"/>
          <w:b/>
          <w:bCs/>
          <w:sz w:val="24"/>
          <w:szCs w:val="24"/>
          <w:lang w:val="sq-AL"/>
        </w:rPr>
        <w:t>Kohëzgjatja e konsultimeve</w:t>
      </w:r>
    </w:p>
    <w:p w14:paraId="37D7F9C8" w14:textId="69E3D77B" w:rsidR="007755F2" w:rsidRPr="00CE170C" w:rsidRDefault="007419C1" w:rsidP="002342EA">
      <w:pPr>
        <w:ind w:left="360"/>
        <w:jc w:val="both"/>
        <w:rPr>
          <w:rFonts w:ascii="Times New Roman" w:hAnsi="Times New Roman"/>
          <w:iCs/>
          <w:sz w:val="24"/>
          <w:szCs w:val="24"/>
          <w:lang w:val="sq-AL"/>
        </w:rPr>
      </w:pPr>
      <w:r w:rsidRPr="00CE170C">
        <w:rPr>
          <w:rFonts w:ascii="Times New Roman" w:hAnsi="Times New Roman"/>
          <w:iCs/>
          <w:sz w:val="24"/>
          <w:szCs w:val="24"/>
          <w:lang w:val="sq-AL"/>
        </w:rPr>
        <w:t xml:space="preserve">Konsultimi publik është zhvilluar për periudhën </w:t>
      </w:r>
      <w:r w:rsidR="00211779" w:rsidRPr="00CE170C">
        <w:rPr>
          <w:rFonts w:ascii="Times New Roman" w:hAnsi="Times New Roman"/>
          <w:iCs/>
          <w:sz w:val="24"/>
          <w:szCs w:val="24"/>
          <w:lang w:val="sq-AL"/>
        </w:rPr>
        <w:t>20</w:t>
      </w:r>
      <w:r w:rsidRPr="00CE170C">
        <w:rPr>
          <w:rFonts w:ascii="Times New Roman" w:hAnsi="Times New Roman"/>
          <w:iCs/>
          <w:sz w:val="24"/>
          <w:szCs w:val="24"/>
          <w:lang w:val="sq-AL"/>
        </w:rPr>
        <w:t xml:space="preserve"> ditë pune, nga 23.10.2025 deri më 20.11.2025. Publikimi është bërë në Regjistrin Elektronik të Konsultimeve Publike.</w:t>
      </w:r>
    </w:p>
    <w:p w14:paraId="56080D4C" w14:textId="77777777" w:rsidR="007419C1" w:rsidRPr="00CE170C" w:rsidRDefault="007419C1" w:rsidP="002342EA">
      <w:pPr>
        <w:ind w:left="360"/>
        <w:jc w:val="both"/>
        <w:rPr>
          <w:rFonts w:ascii="Times New Roman" w:hAnsi="Times New Roman"/>
          <w:i/>
          <w:iCs/>
          <w:sz w:val="24"/>
          <w:szCs w:val="24"/>
          <w:lang w:val="sq-AL"/>
        </w:rPr>
      </w:pPr>
    </w:p>
    <w:p w14:paraId="73963536" w14:textId="77777777" w:rsidR="005B6D2B" w:rsidRPr="00CE170C" w:rsidRDefault="005B6D2B" w:rsidP="002342EA">
      <w:pPr>
        <w:pStyle w:val="ListParagraph"/>
        <w:numPr>
          <w:ilvl w:val="0"/>
          <w:numId w:val="1"/>
        </w:numPr>
        <w:spacing w:after="0"/>
        <w:jc w:val="both"/>
        <w:rPr>
          <w:rFonts w:ascii="Times New Roman" w:hAnsi="Times New Roman"/>
          <w:sz w:val="24"/>
          <w:szCs w:val="24"/>
          <w:lang w:val="sq-AL"/>
        </w:rPr>
      </w:pPr>
      <w:r w:rsidRPr="00CE170C">
        <w:rPr>
          <w:rFonts w:ascii="Times New Roman" w:hAnsi="Times New Roman"/>
          <w:b/>
          <w:bCs/>
          <w:sz w:val="24"/>
          <w:szCs w:val="24"/>
          <w:lang w:val="sq-AL"/>
        </w:rPr>
        <w:t>Metoda e konsultimit</w:t>
      </w:r>
    </w:p>
    <w:p w14:paraId="77009E76" w14:textId="77777777" w:rsidR="00445A41" w:rsidRPr="00CE170C" w:rsidRDefault="00445A41" w:rsidP="002342EA">
      <w:pPr>
        <w:ind w:left="360"/>
        <w:jc w:val="both"/>
        <w:rPr>
          <w:rFonts w:ascii="Times New Roman" w:hAnsi="Times New Roman"/>
          <w:iCs/>
          <w:sz w:val="24"/>
          <w:szCs w:val="24"/>
          <w:lang w:val="sq-AL"/>
        </w:rPr>
      </w:pPr>
      <w:r w:rsidRPr="00CE170C">
        <w:rPr>
          <w:rFonts w:ascii="Times New Roman" w:hAnsi="Times New Roman"/>
          <w:iCs/>
          <w:sz w:val="24"/>
          <w:szCs w:val="24"/>
          <w:lang w:val="sq-AL"/>
        </w:rPr>
        <w:t>• Konsultim elektronik në Regjistrin Elektronik të Konsultimeve Publike.</w:t>
      </w:r>
    </w:p>
    <w:p w14:paraId="6DCC09AE" w14:textId="77777777" w:rsidR="00445A41" w:rsidRPr="00CE170C" w:rsidRDefault="00445A41" w:rsidP="002342EA">
      <w:pPr>
        <w:ind w:left="360"/>
        <w:jc w:val="both"/>
        <w:rPr>
          <w:rFonts w:ascii="Times New Roman" w:hAnsi="Times New Roman"/>
          <w:iCs/>
          <w:sz w:val="24"/>
          <w:szCs w:val="24"/>
          <w:lang w:val="sq-AL"/>
        </w:rPr>
      </w:pPr>
      <w:r w:rsidRPr="00CE170C">
        <w:rPr>
          <w:rFonts w:ascii="Times New Roman" w:hAnsi="Times New Roman"/>
          <w:iCs/>
          <w:sz w:val="24"/>
          <w:szCs w:val="24"/>
          <w:lang w:val="sq-AL"/>
        </w:rPr>
        <w:t>• Publikim në faqen zyrtare të AIF.</w:t>
      </w:r>
    </w:p>
    <w:p w14:paraId="479C38F1" w14:textId="77777777" w:rsidR="00445A41" w:rsidRPr="00CE170C" w:rsidRDefault="00445A41" w:rsidP="002342EA">
      <w:pPr>
        <w:ind w:left="360"/>
        <w:jc w:val="both"/>
        <w:rPr>
          <w:rFonts w:ascii="Times New Roman" w:hAnsi="Times New Roman"/>
          <w:iCs/>
          <w:sz w:val="24"/>
          <w:szCs w:val="24"/>
          <w:lang w:val="sq-AL"/>
        </w:rPr>
      </w:pPr>
      <w:r w:rsidRPr="00CE170C">
        <w:rPr>
          <w:rFonts w:ascii="Times New Roman" w:hAnsi="Times New Roman"/>
          <w:iCs/>
          <w:sz w:val="24"/>
          <w:szCs w:val="24"/>
          <w:lang w:val="sq-AL"/>
        </w:rPr>
        <w:t>• Konsultime me email me institucionet pjesëmarrëse.</w:t>
      </w:r>
    </w:p>
    <w:p w14:paraId="3CEE2759" w14:textId="1A6F5FE5" w:rsidR="00332DB4" w:rsidRPr="00CE170C" w:rsidRDefault="00445A41" w:rsidP="002342EA">
      <w:pPr>
        <w:ind w:left="360"/>
        <w:jc w:val="both"/>
        <w:rPr>
          <w:rFonts w:ascii="Times New Roman" w:hAnsi="Times New Roman"/>
          <w:iCs/>
          <w:sz w:val="24"/>
          <w:szCs w:val="24"/>
          <w:lang w:val="sq-AL"/>
        </w:rPr>
      </w:pPr>
      <w:r w:rsidRPr="00CE170C">
        <w:rPr>
          <w:rFonts w:ascii="Times New Roman" w:hAnsi="Times New Roman"/>
          <w:iCs/>
          <w:sz w:val="24"/>
          <w:szCs w:val="24"/>
          <w:lang w:val="sq-AL"/>
        </w:rPr>
        <w:t>• Takime ndërinstitucionale dhe shkëmbime teknike me grupet e punës.</w:t>
      </w:r>
    </w:p>
    <w:p w14:paraId="3DBE9A66" w14:textId="77777777" w:rsidR="00445A41" w:rsidRPr="00CE170C" w:rsidRDefault="00445A41" w:rsidP="002342EA">
      <w:pPr>
        <w:ind w:left="360"/>
        <w:jc w:val="both"/>
        <w:rPr>
          <w:rFonts w:ascii="Times New Roman" w:hAnsi="Times New Roman"/>
          <w:sz w:val="24"/>
          <w:szCs w:val="24"/>
          <w:lang w:val="sq-AL"/>
        </w:rPr>
      </w:pPr>
    </w:p>
    <w:p w14:paraId="746B51D2" w14:textId="54D80C8C" w:rsidR="00251055" w:rsidRPr="00E20DD9" w:rsidRDefault="005B6D2B" w:rsidP="00E20DD9">
      <w:pPr>
        <w:pStyle w:val="ListParagraph"/>
        <w:numPr>
          <w:ilvl w:val="0"/>
          <w:numId w:val="1"/>
        </w:numPr>
        <w:spacing w:after="0"/>
        <w:jc w:val="both"/>
        <w:rPr>
          <w:rFonts w:ascii="Times New Roman" w:hAnsi="Times New Roman"/>
          <w:b/>
          <w:bCs/>
          <w:sz w:val="24"/>
          <w:szCs w:val="24"/>
          <w:lang w:val="sq-AL"/>
        </w:rPr>
      </w:pPr>
      <w:r w:rsidRPr="00CE170C">
        <w:rPr>
          <w:rFonts w:ascii="Times New Roman" w:hAnsi="Times New Roman"/>
          <w:b/>
          <w:bCs/>
          <w:sz w:val="24"/>
          <w:szCs w:val="24"/>
          <w:lang w:val="sq-AL"/>
        </w:rPr>
        <w:t>Palët e interesit të përfshira</w:t>
      </w:r>
    </w:p>
    <w:p w14:paraId="75687967" w14:textId="1BF5097E" w:rsidR="00251055" w:rsidRPr="00CE170C" w:rsidRDefault="00251055" w:rsidP="009B0AB1">
      <w:pPr>
        <w:pStyle w:val="ListParagraph"/>
        <w:numPr>
          <w:ilvl w:val="0"/>
          <w:numId w:val="5"/>
        </w:numPr>
        <w:tabs>
          <w:tab w:val="left" w:pos="7552"/>
        </w:tabs>
        <w:spacing w:after="0"/>
        <w:ind w:hanging="720"/>
        <w:jc w:val="both"/>
        <w:rPr>
          <w:rFonts w:ascii="Times New Roman" w:hAnsi="Times New Roman"/>
          <w:sz w:val="24"/>
          <w:szCs w:val="24"/>
          <w:lang w:val="sq-AL"/>
        </w:rPr>
      </w:pPr>
      <w:r w:rsidRPr="00CE170C">
        <w:rPr>
          <w:rFonts w:ascii="Times New Roman" w:hAnsi="Times New Roman"/>
          <w:sz w:val="24"/>
          <w:szCs w:val="24"/>
          <w:lang w:val="sq-AL"/>
        </w:rPr>
        <w:t>SCiDEV</w:t>
      </w:r>
    </w:p>
    <w:p w14:paraId="21DDBC79" w14:textId="0ED16870" w:rsidR="00251055" w:rsidRPr="00CE170C" w:rsidRDefault="00251055" w:rsidP="009B0AB1">
      <w:pPr>
        <w:pStyle w:val="ListParagraph"/>
        <w:numPr>
          <w:ilvl w:val="0"/>
          <w:numId w:val="5"/>
        </w:numPr>
        <w:tabs>
          <w:tab w:val="left" w:pos="7552"/>
        </w:tabs>
        <w:spacing w:after="0"/>
        <w:ind w:hanging="720"/>
        <w:jc w:val="both"/>
        <w:rPr>
          <w:rFonts w:ascii="Times New Roman" w:hAnsi="Times New Roman"/>
          <w:sz w:val="24"/>
          <w:szCs w:val="24"/>
          <w:lang w:val="sq-AL"/>
        </w:rPr>
      </w:pPr>
      <w:r w:rsidRPr="00CE170C">
        <w:rPr>
          <w:rFonts w:ascii="Times New Roman" w:hAnsi="Times New Roman"/>
          <w:sz w:val="24"/>
          <w:szCs w:val="24"/>
          <w:lang w:val="sq-AL"/>
        </w:rPr>
        <w:t>AL-TAX</w:t>
      </w:r>
    </w:p>
    <w:p w14:paraId="24C836B6" w14:textId="45917414" w:rsidR="00251055" w:rsidRPr="00CE170C" w:rsidRDefault="00251055" w:rsidP="009B0AB1">
      <w:pPr>
        <w:pStyle w:val="ListParagraph"/>
        <w:numPr>
          <w:ilvl w:val="0"/>
          <w:numId w:val="5"/>
        </w:numPr>
        <w:tabs>
          <w:tab w:val="left" w:pos="7552"/>
        </w:tabs>
        <w:spacing w:after="0"/>
        <w:ind w:hanging="720"/>
        <w:jc w:val="both"/>
        <w:rPr>
          <w:rFonts w:ascii="Times New Roman" w:hAnsi="Times New Roman"/>
          <w:sz w:val="24"/>
          <w:szCs w:val="24"/>
          <w:lang w:val="sq-AL"/>
        </w:rPr>
      </w:pPr>
      <w:r w:rsidRPr="00CE170C">
        <w:rPr>
          <w:rFonts w:ascii="Times New Roman" w:hAnsi="Times New Roman"/>
          <w:sz w:val="24"/>
          <w:szCs w:val="24"/>
          <w:lang w:val="sq-AL"/>
        </w:rPr>
        <w:t>Partners Albania</w:t>
      </w:r>
    </w:p>
    <w:p w14:paraId="169D6D50" w14:textId="77777777" w:rsidR="00142C72" w:rsidRPr="00CE170C" w:rsidRDefault="00142C72" w:rsidP="002342EA">
      <w:pPr>
        <w:pStyle w:val="ListParagraph"/>
        <w:tabs>
          <w:tab w:val="left" w:pos="7552"/>
        </w:tabs>
        <w:spacing w:after="0"/>
        <w:ind w:left="360" w:firstLine="0"/>
        <w:jc w:val="both"/>
        <w:rPr>
          <w:rFonts w:ascii="Times New Roman" w:hAnsi="Times New Roman"/>
          <w:sz w:val="24"/>
          <w:szCs w:val="24"/>
          <w:lang w:val="sq-AL"/>
        </w:rPr>
      </w:pPr>
    </w:p>
    <w:p w14:paraId="0BE0BD3F" w14:textId="77777777" w:rsidR="005B6D2B" w:rsidRPr="00CE170C" w:rsidRDefault="005B6D2B" w:rsidP="002342EA">
      <w:pPr>
        <w:pStyle w:val="ListParagraph"/>
        <w:numPr>
          <w:ilvl w:val="0"/>
          <w:numId w:val="1"/>
        </w:numPr>
        <w:spacing w:after="0"/>
        <w:jc w:val="both"/>
        <w:rPr>
          <w:rFonts w:ascii="Times New Roman" w:hAnsi="Times New Roman"/>
          <w:i/>
          <w:iCs/>
          <w:sz w:val="24"/>
          <w:szCs w:val="24"/>
          <w:lang w:val="sq-AL"/>
        </w:rPr>
      </w:pPr>
      <w:r w:rsidRPr="00CE170C">
        <w:rPr>
          <w:rFonts w:ascii="Times New Roman" w:hAnsi="Times New Roman"/>
          <w:b/>
          <w:bCs/>
          <w:sz w:val="24"/>
          <w:szCs w:val="24"/>
          <w:lang w:val="sq-AL"/>
        </w:rPr>
        <w:t xml:space="preserve"> Pasqyra e komenteve të pranuara me arsyetimin e komenteve të pranuara/ refuzuara</w:t>
      </w:r>
    </w:p>
    <w:p w14:paraId="7476C95D" w14:textId="77777777" w:rsidR="007755F2" w:rsidRPr="00CE170C" w:rsidRDefault="007755F2" w:rsidP="002342EA">
      <w:pPr>
        <w:ind w:left="360"/>
        <w:jc w:val="both"/>
        <w:rPr>
          <w:rFonts w:ascii="Times New Roman" w:hAnsi="Times New Roman"/>
          <w:iCs/>
          <w:sz w:val="24"/>
          <w:szCs w:val="24"/>
          <w:lang w:val="sq-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977"/>
        <w:gridCol w:w="1559"/>
        <w:gridCol w:w="1276"/>
        <w:gridCol w:w="2580"/>
        <w:gridCol w:w="113"/>
      </w:tblGrid>
      <w:tr w:rsidR="0019234D" w:rsidRPr="00D72257" w14:paraId="18875F58" w14:textId="1AEADF5C" w:rsidTr="0019234D">
        <w:trPr>
          <w:gridAfter w:val="1"/>
          <w:wAfter w:w="113" w:type="dxa"/>
          <w:trHeight w:val="2107"/>
        </w:trPr>
        <w:tc>
          <w:tcPr>
            <w:tcW w:w="1843" w:type="dxa"/>
          </w:tcPr>
          <w:p w14:paraId="189F3C6D" w14:textId="77777777" w:rsidR="0019234D" w:rsidRPr="0019234D" w:rsidRDefault="0019234D" w:rsidP="0019234D">
            <w:pPr>
              <w:spacing w:line="276" w:lineRule="auto"/>
              <w:jc w:val="both"/>
              <w:rPr>
                <w:rFonts w:ascii="Times New Roman" w:hAnsi="Times New Roman"/>
                <w:szCs w:val="22"/>
                <w:lang w:val="sq-AL"/>
              </w:rPr>
            </w:pPr>
            <w:r w:rsidRPr="0019234D">
              <w:rPr>
                <w:rFonts w:ascii="Times New Roman" w:hAnsi="Times New Roman"/>
                <w:szCs w:val="22"/>
                <w:lang w:val="sq-AL"/>
              </w:rPr>
              <w:t>Çështja e adresuar</w:t>
            </w:r>
          </w:p>
          <w:p w14:paraId="2FDDDBF8" w14:textId="6FBE4AC6" w:rsidR="0019234D" w:rsidRPr="0019234D" w:rsidRDefault="0019234D" w:rsidP="0019234D">
            <w:pPr>
              <w:spacing w:line="276" w:lineRule="auto"/>
              <w:jc w:val="both"/>
              <w:rPr>
                <w:rFonts w:ascii="Times New Roman" w:hAnsi="Times New Roman"/>
                <w:b/>
                <w:szCs w:val="22"/>
              </w:rPr>
            </w:pPr>
          </w:p>
          <w:p w14:paraId="715C27E0" w14:textId="01CBD955" w:rsidR="0019234D" w:rsidRPr="0019234D" w:rsidRDefault="0019234D" w:rsidP="0019234D">
            <w:pPr>
              <w:jc w:val="both"/>
              <w:rPr>
                <w:rFonts w:ascii="Times New Roman" w:hAnsi="Times New Roman"/>
                <w:b/>
                <w:szCs w:val="22"/>
              </w:rPr>
            </w:pPr>
          </w:p>
        </w:tc>
        <w:tc>
          <w:tcPr>
            <w:tcW w:w="2977" w:type="dxa"/>
          </w:tcPr>
          <w:p w14:paraId="2B3CA584" w14:textId="77777777" w:rsidR="0019234D" w:rsidRPr="0019234D" w:rsidRDefault="0019234D" w:rsidP="0019234D">
            <w:pPr>
              <w:spacing w:line="276" w:lineRule="auto"/>
              <w:jc w:val="both"/>
              <w:rPr>
                <w:rFonts w:ascii="Times New Roman" w:hAnsi="Times New Roman"/>
                <w:szCs w:val="22"/>
                <w:lang w:val="sq-AL"/>
              </w:rPr>
            </w:pPr>
            <w:r w:rsidRPr="0019234D">
              <w:rPr>
                <w:rFonts w:ascii="Times New Roman" w:hAnsi="Times New Roman"/>
                <w:szCs w:val="22"/>
                <w:lang w:val="sq-AL"/>
              </w:rPr>
              <w:t>Komenti</w:t>
            </w:r>
          </w:p>
          <w:p w14:paraId="50A68142" w14:textId="77777777" w:rsidR="0019234D" w:rsidRPr="0019234D" w:rsidRDefault="0019234D" w:rsidP="0019234D">
            <w:pPr>
              <w:spacing w:line="276" w:lineRule="auto"/>
              <w:jc w:val="both"/>
              <w:rPr>
                <w:rFonts w:ascii="Times New Roman" w:hAnsi="Times New Roman"/>
                <w:szCs w:val="22"/>
                <w:lang w:val="sq-AL"/>
              </w:rPr>
            </w:pPr>
            <w:r w:rsidRPr="0019234D">
              <w:rPr>
                <w:rFonts w:ascii="Times New Roman" w:hAnsi="Times New Roman"/>
                <w:szCs w:val="22"/>
                <w:lang w:val="sq-AL"/>
              </w:rPr>
              <w:t>(grumbulloni dhe</w:t>
            </w:r>
          </w:p>
          <w:p w14:paraId="1EB9A5AF" w14:textId="77777777" w:rsidR="0019234D" w:rsidRPr="0019234D" w:rsidRDefault="0019234D" w:rsidP="0019234D">
            <w:pPr>
              <w:spacing w:line="276" w:lineRule="auto"/>
              <w:jc w:val="both"/>
              <w:rPr>
                <w:rFonts w:ascii="Times New Roman" w:hAnsi="Times New Roman"/>
                <w:szCs w:val="22"/>
                <w:lang w:val="sq-AL"/>
              </w:rPr>
            </w:pPr>
            <w:r w:rsidRPr="0019234D">
              <w:rPr>
                <w:rFonts w:ascii="Times New Roman" w:hAnsi="Times New Roman"/>
                <w:szCs w:val="22"/>
                <w:lang w:val="sq-AL"/>
              </w:rPr>
              <w:t>përmblidhni komente</w:t>
            </w:r>
          </w:p>
          <w:p w14:paraId="5315E2D8" w14:textId="77777777" w:rsidR="0019234D" w:rsidRPr="0019234D" w:rsidRDefault="0019234D" w:rsidP="0019234D">
            <w:pPr>
              <w:spacing w:line="276" w:lineRule="auto"/>
              <w:jc w:val="both"/>
              <w:rPr>
                <w:rFonts w:ascii="Times New Roman" w:hAnsi="Times New Roman"/>
                <w:szCs w:val="22"/>
                <w:lang w:val="sq-AL"/>
              </w:rPr>
            </w:pPr>
            <w:r w:rsidRPr="0019234D">
              <w:rPr>
                <w:rFonts w:ascii="Times New Roman" w:hAnsi="Times New Roman"/>
                <w:szCs w:val="22"/>
                <w:lang w:val="sq-AL"/>
              </w:rPr>
              <w:t>identike/të ngjashme</w:t>
            </w:r>
          </w:p>
          <w:p w14:paraId="09AC621F" w14:textId="77777777" w:rsidR="0019234D" w:rsidRPr="0019234D" w:rsidRDefault="0019234D" w:rsidP="0019234D">
            <w:pPr>
              <w:spacing w:line="276" w:lineRule="auto"/>
              <w:jc w:val="both"/>
              <w:rPr>
                <w:rFonts w:ascii="Times New Roman" w:hAnsi="Times New Roman"/>
                <w:szCs w:val="22"/>
                <w:lang w:val="sq-AL"/>
              </w:rPr>
            </w:pPr>
            <w:r w:rsidRPr="0019234D">
              <w:rPr>
                <w:rFonts w:ascii="Times New Roman" w:hAnsi="Times New Roman"/>
                <w:szCs w:val="22"/>
                <w:lang w:val="sq-AL"/>
              </w:rPr>
              <w:t>nga palët e ndryshme të</w:t>
            </w:r>
          </w:p>
          <w:p w14:paraId="7772B71B" w14:textId="353CF716" w:rsidR="0019234D" w:rsidRPr="0019234D" w:rsidRDefault="0019234D" w:rsidP="0019234D">
            <w:pPr>
              <w:jc w:val="both"/>
              <w:rPr>
                <w:rFonts w:ascii="Times New Roman" w:hAnsi="Times New Roman"/>
                <w:b/>
                <w:szCs w:val="22"/>
              </w:rPr>
            </w:pPr>
            <w:r w:rsidRPr="0019234D">
              <w:rPr>
                <w:rFonts w:ascii="Times New Roman" w:hAnsi="Times New Roman"/>
                <w:szCs w:val="22"/>
                <w:lang w:val="sq-AL"/>
              </w:rPr>
              <w:t>interesuara së bashku)</w:t>
            </w:r>
          </w:p>
        </w:tc>
        <w:tc>
          <w:tcPr>
            <w:tcW w:w="1559" w:type="dxa"/>
          </w:tcPr>
          <w:p w14:paraId="69DBA9ED" w14:textId="77777777" w:rsidR="0019234D" w:rsidRPr="0019234D" w:rsidRDefault="0019234D" w:rsidP="0019234D">
            <w:pPr>
              <w:spacing w:line="276" w:lineRule="auto"/>
              <w:jc w:val="both"/>
              <w:rPr>
                <w:rFonts w:ascii="Times New Roman" w:hAnsi="Times New Roman"/>
                <w:szCs w:val="22"/>
                <w:lang w:val="sq-AL"/>
              </w:rPr>
            </w:pPr>
            <w:r w:rsidRPr="0019234D">
              <w:rPr>
                <w:rFonts w:ascii="Times New Roman" w:hAnsi="Times New Roman"/>
                <w:szCs w:val="22"/>
                <w:lang w:val="sq-AL"/>
              </w:rPr>
              <w:t>Palët e interesuara</w:t>
            </w:r>
          </w:p>
          <w:p w14:paraId="2B12CD21" w14:textId="77777777" w:rsidR="0019234D" w:rsidRPr="0019234D" w:rsidRDefault="0019234D" w:rsidP="0019234D">
            <w:pPr>
              <w:spacing w:line="276" w:lineRule="auto"/>
              <w:jc w:val="both"/>
              <w:rPr>
                <w:rFonts w:ascii="Times New Roman" w:hAnsi="Times New Roman"/>
                <w:szCs w:val="22"/>
                <w:lang w:val="sq-AL"/>
              </w:rPr>
            </w:pPr>
            <w:r w:rsidRPr="0019234D">
              <w:rPr>
                <w:rFonts w:ascii="Times New Roman" w:hAnsi="Times New Roman"/>
                <w:szCs w:val="22"/>
                <w:lang w:val="sq-AL"/>
              </w:rPr>
              <w:t>(renditni të gjithë</w:t>
            </w:r>
          </w:p>
          <w:p w14:paraId="0B543146" w14:textId="77777777" w:rsidR="0019234D" w:rsidRPr="0019234D" w:rsidRDefault="0019234D" w:rsidP="0019234D">
            <w:pPr>
              <w:spacing w:line="276" w:lineRule="auto"/>
              <w:jc w:val="both"/>
              <w:rPr>
                <w:rFonts w:ascii="Times New Roman" w:hAnsi="Times New Roman"/>
                <w:szCs w:val="22"/>
                <w:lang w:val="sq-AL"/>
              </w:rPr>
            </w:pPr>
            <w:r w:rsidRPr="0019234D">
              <w:rPr>
                <w:rFonts w:ascii="Times New Roman" w:hAnsi="Times New Roman"/>
                <w:szCs w:val="22"/>
                <w:lang w:val="sq-AL"/>
              </w:rPr>
              <w:t>ata që adresuan</w:t>
            </w:r>
          </w:p>
          <w:p w14:paraId="37F30C71" w14:textId="77777777" w:rsidR="0019234D" w:rsidRPr="0019234D" w:rsidRDefault="0019234D" w:rsidP="0019234D">
            <w:pPr>
              <w:spacing w:line="276" w:lineRule="auto"/>
              <w:jc w:val="both"/>
              <w:rPr>
                <w:rFonts w:ascii="Times New Roman" w:hAnsi="Times New Roman"/>
                <w:szCs w:val="22"/>
                <w:lang w:val="sq-AL"/>
              </w:rPr>
            </w:pPr>
            <w:r w:rsidRPr="0019234D">
              <w:rPr>
                <w:rFonts w:ascii="Times New Roman" w:hAnsi="Times New Roman"/>
                <w:szCs w:val="22"/>
                <w:lang w:val="sq-AL"/>
              </w:rPr>
              <w:t>çështjen në mënyrë</w:t>
            </w:r>
          </w:p>
          <w:p w14:paraId="06E77508" w14:textId="023125DE" w:rsidR="0019234D" w:rsidRPr="0019234D" w:rsidRDefault="0019234D" w:rsidP="0019234D">
            <w:pPr>
              <w:jc w:val="both"/>
              <w:rPr>
                <w:rFonts w:ascii="Times New Roman" w:hAnsi="Times New Roman"/>
                <w:b/>
                <w:szCs w:val="22"/>
              </w:rPr>
            </w:pPr>
            <w:r w:rsidRPr="0019234D">
              <w:rPr>
                <w:rFonts w:ascii="Times New Roman" w:hAnsi="Times New Roman"/>
                <w:szCs w:val="22"/>
                <w:lang w:val="sq-AL"/>
              </w:rPr>
              <w:t>të ngjashme)</w:t>
            </w:r>
          </w:p>
        </w:tc>
        <w:tc>
          <w:tcPr>
            <w:tcW w:w="1276" w:type="dxa"/>
          </w:tcPr>
          <w:p w14:paraId="32866ED2" w14:textId="77777777" w:rsidR="0019234D" w:rsidRPr="0019234D" w:rsidRDefault="0019234D" w:rsidP="0019234D">
            <w:pPr>
              <w:spacing w:line="276" w:lineRule="auto"/>
              <w:jc w:val="both"/>
              <w:rPr>
                <w:rFonts w:ascii="Times New Roman" w:hAnsi="Times New Roman"/>
                <w:szCs w:val="22"/>
                <w:lang w:val="sq-AL"/>
              </w:rPr>
            </w:pPr>
            <w:r w:rsidRPr="0019234D">
              <w:rPr>
                <w:rFonts w:ascii="Times New Roman" w:hAnsi="Times New Roman"/>
                <w:szCs w:val="22"/>
                <w:lang w:val="sq-AL"/>
              </w:rPr>
              <w:t>Vendimi</w:t>
            </w:r>
          </w:p>
          <w:p w14:paraId="6A563878" w14:textId="77777777" w:rsidR="0019234D" w:rsidRPr="0019234D" w:rsidRDefault="0019234D" w:rsidP="0019234D">
            <w:pPr>
              <w:spacing w:line="276" w:lineRule="auto"/>
              <w:jc w:val="both"/>
              <w:rPr>
                <w:rFonts w:ascii="Times New Roman" w:hAnsi="Times New Roman"/>
                <w:szCs w:val="22"/>
                <w:lang w:val="sq-AL"/>
              </w:rPr>
            </w:pPr>
            <w:r w:rsidRPr="0019234D">
              <w:rPr>
                <w:rFonts w:ascii="Times New Roman" w:hAnsi="Times New Roman"/>
                <w:szCs w:val="22"/>
                <w:lang w:val="sq-AL"/>
              </w:rPr>
              <w:t>(i pranuar/i</w:t>
            </w:r>
          </w:p>
          <w:p w14:paraId="08C13DB2" w14:textId="77777777" w:rsidR="0019234D" w:rsidRPr="0019234D" w:rsidRDefault="0019234D" w:rsidP="0019234D">
            <w:pPr>
              <w:spacing w:line="276" w:lineRule="auto"/>
              <w:jc w:val="both"/>
              <w:rPr>
                <w:rFonts w:ascii="Times New Roman" w:hAnsi="Times New Roman"/>
                <w:szCs w:val="22"/>
                <w:lang w:val="sq-AL"/>
              </w:rPr>
            </w:pPr>
            <w:r w:rsidRPr="0019234D">
              <w:rPr>
                <w:rFonts w:ascii="Times New Roman" w:hAnsi="Times New Roman"/>
                <w:szCs w:val="22"/>
                <w:lang w:val="sq-AL"/>
              </w:rPr>
              <w:t>pranuar</w:t>
            </w:r>
          </w:p>
          <w:p w14:paraId="786890EE" w14:textId="77777777" w:rsidR="0019234D" w:rsidRPr="0019234D" w:rsidRDefault="0019234D" w:rsidP="0019234D">
            <w:pPr>
              <w:spacing w:line="276" w:lineRule="auto"/>
              <w:jc w:val="both"/>
              <w:rPr>
                <w:rFonts w:ascii="Times New Roman" w:hAnsi="Times New Roman"/>
                <w:szCs w:val="22"/>
                <w:lang w:val="sq-AL"/>
              </w:rPr>
            </w:pPr>
            <w:r w:rsidRPr="0019234D">
              <w:rPr>
                <w:rFonts w:ascii="Times New Roman" w:hAnsi="Times New Roman"/>
                <w:szCs w:val="22"/>
                <w:lang w:val="sq-AL"/>
              </w:rPr>
              <w:t>pjesërisht/i</w:t>
            </w:r>
          </w:p>
          <w:p w14:paraId="332D1C15" w14:textId="5E8CEE4C" w:rsidR="0019234D" w:rsidRPr="0019234D" w:rsidRDefault="0019234D" w:rsidP="0019234D">
            <w:pPr>
              <w:jc w:val="both"/>
              <w:rPr>
                <w:rFonts w:ascii="Times New Roman" w:hAnsi="Times New Roman"/>
                <w:b/>
                <w:szCs w:val="22"/>
              </w:rPr>
            </w:pPr>
            <w:r w:rsidRPr="0019234D">
              <w:rPr>
                <w:rFonts w:ascii="Times New Roman" w:hAnsi="Times New Roman"/>
                <w:szCs w:val="22"/>
                <w:lang w:val="sq-AL"/>
              </w:rPr>
              <w:t>refuzuar)</w:t>
            </w:r>
          </w:p>
        </w:tc>
        <w:tc>
          <w:tcPr>
            <w:tcW w:w="2580" w:type="dxa"/>
          </w:tcPr>
          <w:p w14:paraId="78816EDF" w14:textId="6B0E5E21" w:rsidR="0019234D" w:rsidRPr="0019234D" w:rsidRDefault="0019234D" w:rsidP="0019234D">
            <w:pPr>
              <w:jc w:val="both"/>
              <w:rPr>
                <w:rFonts w:ascii="Times New Roman" w:hAnsi="Times New Roman"/>
                <w:b/>
                <w:szCs w:val="22"/>
              </w:rPr>
            </w:pPr>
            <w:r w:rsidRPr="0019234D">
              <w:rPr>
                <w:rFonts w:ascii="Times New Roman" w:hAnsi="Times New Roman"/>
                <w:szCs w:val="22"/>
                <w:lang w:val="sq-AL"/>
              </w:rPr>
              <w:t>Justifikimi</w:t>
            </w:r>
          </w:p>
        </w:tc>
      </w:tr>
      <w:tr w:rsidR="0019234D" w:rsidRPr="00D72257" w14:paraId="03BC7F01" w14:textId="50D45797" w:rsidTr="0019234D">
        <w:trPr>
          <w:trHeight w:val="2155"/>
        </w:trPr>
        <w:tc>
          <w:tcPr>
            <w:tcW w:w="1843" w:type="dxa"/>
          </w:tcPr>
          <w:p w14:paraId="1C61700A" w14:textId="5EAF68F9" w:rsidR="0019234D" w:rsidRPr="00D72257" w:rsidRDefault="0019234D" w:rsidP="00084C8B">
            <w:pPr>
              <w:rPr>
                <w:rFonts w:ascii="Times New Roman" w:hAnsi="Times New Roman"/>
                <w:sz w:val="20"/>
              </w:rPr>
            </w:pPr>
            <w:r w:rsidRPr="00D72257">
              <w:rPr>
                <w:rFonts w:ascii="Times New Roman" w:hAnsi="Times New Roman"/>
                <w:sz w:val="20"/>
              </w:rPr>
              <w:t xml:space="preserve">Neni 1 – Shtohet përkufizimi “Financimi i armëve të shkatërrimit në masë” Analizë vlerësuese Përkufizimi është i qartë dhe në përputhje me standardet FATF. Megjithatë, përfshirja e shumë aktiviteteve mund të krijojë vështirësi në praktikë për monitorimin e fondeve të dyshimta. </w:t>
            </w:r>
          </w:p>
        </w:tc>
        <w:tc>
          <w:tcPr>
            <w:tcW w:w="2977" w:type="dxa"/>
          </w:tcPr>
          <w:p w14:paraId="6113E488" w14:textId="0A5B051B" w:rsidR="0019234D" w:rsidRPr="00D72257" w:rsidRDefault="0019234D" w:rsidP="00001AAF">
            <w:pPr>
              <w:rPr>
                <w:rFonts w:ascii="Times New Roman" w:hAnsi="Times New Roman"/>
                <w:sz w:val="20"/>
              </w:rPr>
            </w:pPr>
            <w:r w:rsidRPr="00D72257">
              <w:rPr>
                <w:rFonts w:ascii="Times New Roman" w:hAnsi="Times New Roman"/>
                <w:sz w:val="20"/>
              </w:rPr>
              <w:t>Të krijohen udhëzime praktike për autoritetet dhe subjektet raportuese mbi kategoritë specifike të aktiviteteve për të shmangur interpretimin e gjerë dhe arbitrar</w:t>
            </w:r>
          </w:p>
        </w:tc>
        <w:tc>
          <w:tcPr>
            <w:tcW w:w="1559" w:type="dxa"/>
          </w:tcPr>
          <w:p w14:paraId="53331863" w14:textId="356C8EC1" w:rsidR="0019234D" w:rsidRPr="00D72257" w:rsidRDefault="0019234D" w:rsidP="00001AAF">
            <w:pPr>
              <w:rPr>
                <w:rFonts w:ascii="Times New Roman" w:hAnsi="Times New Roman"/>
                <w:sz w:val="20"/>
              </w:rPr>
            </w:pPr>
            <w:r w:rsidRPr="00D72257">
              <w:rPr>
                <w:rFonts w:ascii="Times New Roman" w:hAnsi="Times New Roman"/>
                <w:color w:val="333333"/>
                <w:sz w:val="20"/>
                <w:shd w:val="clear" w:color="auto" w:fill="FFFFFF"/>
              </w:rPr>
              <w:t>AL-TAX</w:t>
            </w:r>
          </w:p>
        </w:tc>
        <w:tc>
          <w:tcPr>
            <w:tcW w:w="1276" w:type="dxa"/>
          </w:tcPr>
          <w:p w14:paraId="2D83C76D" w14:textId="6610A9A3" w:rsidR="0019234D" w:rsidRPr="0019234D" w:rsidRDefault="0019234D" w:rsidP="00001AAF">
            <w:pPr>
              <w:rPr>
                <w:rFonts w:ascii="Times New Roman" w:hAnsi="Times New Roman"/>
                <w:bCs/>
                <w:sz w:val="20"/>
              </w:rPr>
            </w:pPr>
            <w:r w:rsidRPr="0019234D">
              <w:rPr>
                <w:rFonts w:ascii="Times New Roman" w:hAnsi="Times New Roman"/>
                <w:bCs/>
                <w:sz w:val="20"/>
              </w:rPr>
              <w:t xml:space="preserve">Refuzuar </w:t>
            </w:r>
          </w:p>
        </w:tc>
        <w:tc>
          <w:tcPr>
            <w:tcW w:w="2693" w:type="dxa"/>
            <w:gridSpan w:val="2"/>
          </w:tcPr>
          <w:p w14:paraId="6A3B65C7" w14:textId="2848D079" w:rsidR="0019234D" w:rsidRPr="00D72257" w:rsidRDefault="0019234D" w:rsidP="00001AAF">
            <w:pPr>
              <w:rPr>
                <w:rFonts w:ascii="Times New Roman" w:hAnsi="Times New Roman"/>
                <w:sz w:val="20"/>
              </w:rPr>
            </w:pPr>
            <w:r w:rsidRPr="00D72257">
              <w:rPr>
                <w:rFonts w:ascii="Times New Roman" w:hAnsi="Times New Roman"/>
                <w:sz w:val="20"/>
              </w:rPr>
              <w:t>Përkufizimi është në përputhje me standardet FATF; vështirësitë praktike adresohen në udhëzime nënligjore dhe nuk kërkojnë ndryshim ligjor.</w:t>
            </w:r>
          </w:p>
        </w:tc>
      </w:tr>
      <w:tr w:rsidR="0019234D" w:rsidRPr="00D72257" w14:paraId="5913B115" w14:textId="60A3ED9E" w:rsidTr="0019234D">
        <w:tc>
          <w:tcPr>
            <w:tcW w:w="1843" w:type="dxa"/>
          </w:tcPr>
          <w:p w14:paraId="7160F891" w14:textId="07CF6CD9" w:rsidR="0019234D" w:rsidRPr="00D72257" w:rsidRDefault="0019234D" w:rsidP="00084C8B">
            <w:pPr>
              <w:rPr>
                <w:rFonts w:ascii="Times New Roman" w:hAnsi="Times New Roman"/>
                <w:sz w:val="20"/>
              </w:rPr>
            </w:pPr>
            <w:r w:rsidRPr="00D72257">
              <w:rPr>
                <w:rFonts w:ascii="Times New Roman" w:hAnsi="Times New Roman"/>
                <w:sz w:val="20"/>
              </w:rPr>
              <w:t xml:space="preserve">Neni 2 – Shtohet “ose financim të </w:t>
            </w:r>
            <w:r w:rsidRPr="00D72257">
              <w:rPr>
                <w:rFonts w:ascii="Times New Roman" w:hAnsi="Times New Roman"/>
                <w:sz w:val="20"/>
              </w:rPr>
              <w:lastRenderedPageBreak/>
              <w:t>armëve të shkatërrimit në masë” në nenin 4 Analizë vlerësuese Shtesa është teknike, por përmirëson qartësinë ligjore duke zgjeruar përgjegjësitë e subjekteve. Mund të krijojë ngarkesë administrative shtesë</w:t>
            </w:r>
          </w:p>
        </w:tc>
        <w:tc>
          <w:tcPr>
            <w:tcW w:w="2977" w:type="dxa"/>
          </w:tcPr>
          <w:p w14:paraId="302CBD26" w14:textId="289BE3E5" w:rsidR="0019234D" w:rsidRPr="00D72257" w:rsidRDefault="0019234D" w:rsidP="00001AAF">
            <w:pPr>
              <w:rPr>
                <w:rFonts w:ascii="Times New Roman" w:hAnsi="Times New Roman"/>
                <w:sz w:val="20"/>
              </w:rPr>
            </w:pPr>
            <w:r w:rsidRPr="00D72257">
              <w:rPr>
                <w:rFonts w:ascii="Times New Roman" w:hAnsi="Times New Roman"/>
                <w:sz w:val="20"/>
              </w:rPr>
              <w:lastRenderedPageBreak/>
              <w:t xml:space="preserve">Të sigurohet që udhëzimet nënligjore përcaktojnë qartë </w:t>
            </w:r>
            <w:r w:rsidRPr="00D72257">
              <w:rPr>
                <w:rFonts w:ascii="Times New Roman" w:hAnsi="Times New Roman"/>
                <w:sz w:val="20"/>
              </w:rPr>
              <w:lastRenderedPageBreak/>
              <w:t>mënyrën e raportimit dhe verifikimit</w:t>
            </w:r>
          </w:p>
        </w:tc>
        <w:tc>
          <w:tcPr>
            <w:tcW w:w="1559" w:type="dxa"/>
          </w:tcPr>
          <w:p w14:paraId="3F6138FD" w14:textId="38607A2C" w:rsidR="0019234D" w:rsidRPr="00D72257" w:rsidRDefault="0019234D" w:rsidP="00001AAF">
            <w:pPr>
              <w:rPr>
                <w:rFonts w:ascii="Times New Roman" w:hAnsi="Times New Roman"/>
                <w:sz w:val="20"/>
              </w:rPr>
            </w:pPr>
            <w:r w:rsidRPr="00D72257">
              <w:rPr>
                <w:rFonts w:ascii="Times New Roman" w:hAnsi="Times New Roman"/>
                <w:color w:val="333333"/>
                <w:sz w:val="20"/>
                <w:shd w:val="clear" w:color="auto" w:fill="FFFFFF"/>
              </w:rPr>
              <w:lastRenderedPageBreak/>
              <w:t>AL-TAX</w:t>
            </w:r>
          </w:p>
        </w:tc>
        <w:tc>
          <w:tcPr>
            <w:tcW w:w="1276" w:type="dxa"/>
          </w:tcPr>
          <w:p w14:paraId="46790A5D" w14:textId="69281DC6" w:rsidR="0019234D" w:rsidRPr="0019234D" w:rsidRDefault="0019234D" w:rsidP="00001AAF">
            <w:pPr>
              <w:rPr>
                <w:rFonts w:ascii="Times New Roman" w:hAnsi="Times New Roman"/>
                <w:bCs/>
                <w:sz w:val="20"/>
              </w:rPr>
            </w:pPr>
            <w:r w:rsidRPr="0019234D">
              <w:rPr>
                <w:rFonts w:ascii="Times New Roman" w:hAnsi="Times New Roman"/>
                <w:bCs/>
                <w:sz w:val="20"/>
              </w:rPr>
              <w:t xml:space="preserve">Refuzuar </w:t>
            </w:r>
          </w:p>
        </w:tc>
        <w:tc>
          <w:tcPr>
            <w:tcW w:w="2693" w:type="dxa"/>
            <w:gridSpan w:val="2"/>
          </w:tcPr>
          <w:p w14:paraId="0FD4281E" w14:textId="430B1B0F" w:rsidR="0019234D" w:rsidRPr="00D72257" w:rsidRDefault="0019234D" w:rsidP="00001AAF">
            <w:pPr>
              <w:rPr>
                <w:rFonts w:ascii="Times New Roman" w:hAnsi="Times New Roman"/>
                <w:sz w:val="20"/>
              </w:rPr>
            </w:pPr>
            <w:r w:rsidRPr="00D72257">
              <w:rPr>
                <w:rFonts w:ascii="Times New Roman" w:hAnsi="Times New Roman"/>
                <w:sz w:val="20"/>
              </w:rPr>
              <w:t xml:space="preserve">Shtesa është teknikisht e domosdoshme; mënyra e </w:t>
            </w:r>
            <w:r w:rsidRPr="00D72257">
              <w:rPr>
                <w:rFonts w:ascii="Times New Roman" w:hAnsi="Times New Roman"/>
                <w:sz w:val="20"/>
              </w:rPr>
              <w:lastRenderedPageBreak/>
              <w:t>raportimit dhe verifikimit rregullohet në akte nënligjore, jo në tekstin e ligjit.</w:t>
            </w:r>
          </w:p>
        </w:tc>
      </w:tr>
      <w:tr w:rsidR="0019234D" w:rsidRPr="00D72257" w14:paraId="4D35977B" w14:textId="1EA583BB" w:rsidTr="0019234D">
        <w:tc>
          <w:tcPr>
            <w:tcW w:w="1843" w:type="dxa"/>
          </w:tcPr>
          <w:p w14:paraId="637D5695" w14:textId="5EDD7784" w:rsidR="0019234D" w:rsidRPr="00D72257" w:rsidRDefault="0019234D" w:rsidP="00084C8B">
            <w:pPr>
              <w:rPr>
                <w:rFonts w:ascii="Times New Roman" w:hAnsi="Times New Roman"/>
                <w:sz w:val="20"/>
              </w:rPr>
            </w:pPr>
            <w:r w:rsidRPr="00D72257">
              <w:rPr>
                <w:rFonts w:ascii="Times New Roman" w:hAnsi="Times New Roman"/>
                <w:sz w:val="20"/>
              </w:rPr>
              <w:lastRenderedPageBreak/>
              <w:t>Neni 3 – Shtohet “dhe financimit të armëve të shkatërrimit në masë” në nenin 6 Analizë vlerësuese Përforcon koordinimin mes masave kundër financimit të terrorizmit dhe armëve të shkatërrimit. Sfida mund të jetë në përcaktimin praktik të rreziqeve</w:t>
            </w:r>
          </w:p>
        </w:tc>
        <w:tc>
          <w:tcPr>
            <w:tcW w:w="2977" w:type="dxa"/>
          </w:tcPr>
          <w:p w14:paraId="5A6F77CE" w14:textId="7B0DF149" w:rsidR="0019234D" w:rsidRPr="00D72257" w:rsidRDefault="0019234D" w:rsidP="00001AAF">
            <w:pPr>
              <w:rPr>
                <w:rFonts w:ascii="Times New Roman" w:hAnsi="Times New Roman"/>
                <w:sz w:val="20"/>
              </w:rPr>
            </w:pPr>
            <w:r w:rsidRPr="00D72257">
              <w:rPr>
                <w:rFonts w:ascii="Times New Roman" w:hAnsi="Times New Roman"/>
                <w:sz w:val="20"/>
              </w:rPr>
              <w:t>Të përdoret një qasje e bazuar në rrezik për të vlerësuar subjektet dhe aktivitetet më të ndjeshme</w:t>
            </w:r>
          </w:p>
        </w:tc>
        <w:tc>
          <w:tcPr>
            <w:tcW w:w="1559" w:type="dxa"/>
          </w:tcPr>
          <w:p w14:paraId="01540656" w14:textId="58AA73D8" w:rsidR="0019234D" w:rsidRPr="00D72257" w:rsidRDefault="0019234D" w:rsidP="00001AAF">
            <w:pPr>
              <w:rPr>
                <w:rFonts w:ascii="Times New Roman" w:hAnsi="Times New Roman"/>
                <w:sz w:val="20"/>
              </w:rPr>
            </w:pPr>
            <w:r w:rsidRPr="00D72257">
              <w:rPr>
                <w:rFonts w:ascii="Times New Roman" w:hAnsi="Times New Roman"/>
                <w:color w:val="333333"/>
                <w:sz w:val="20"/>
                <w:shd w:val="clear" w:color="auto" w:fill="FFFFFF"/>
              </w:rPr>
              <w:t>AL-TAX</w:t>
            </w:r>
          </w:p>
        </w:tc>
        <w:tc>
          <w:tcPr>
            <w:tcW w:w="1276" w:type="dxa"/>
          </w:tcPr>
          <w:p w14:paraId="149C70C0" w14:textId="26816C9F" w:rsidR="0019234D" w:rsidRDefault="0019234D" w:rsidP="00001AAF">
            <w:pPr>
              <w:rPr>
                <w:rFonts w:ascii="Times New Roman" w:hAnsi="Times New Roman"/>
                <w:b/>
                <w:sz w:val="20"/>
              </w:rPr>
            </w:pPr>
            <w:r w:rsidRPr="0019234D">
              <w:rPr>
                <w:rFonts w:ascii="Times New Roman" w:hAnsi="Times New Roman"/>
                <w:bCs/>
                <w:sz w:val="20"/>
              </w:rPr>
              <w:t>Refuzuar</w:t>
            </w:r>
          </w:p>
        </w:tc>
        <w:tc>
          <w:tcPr>
            <w:tcW w:w="2693" w:type="dxa"/>
            <w:gridSpan w:val="2"/>
          </w:tcPr>
          <w:p w14:paraId="0F83C552" w14:textId="4E30CEB3" w:rsidR="0019234D" w:rsidRPr="00D72257" w:rsidRDefault="0019234D" w:rsidP="00001AAF">
            <w:pPr>
              <w:rPr>
                <w:rFonts w:ascii="Times New Roman" w:hAnsi="Times New Roman"/>
                <w:sz w:val="20"/>
              </w:rPr>
            </w:pPr>
            <w:r w:rsidRPr="00D72257">
              <w:rPr>
                <w:rFonts w:ascii="Times New Roman" w:hAnsi="Times New Roman"/>
                <w:sz w:val="20"/>
              </w:rPr>
              <w:t>Qasja e bazuar në rrezik është parim themelor i FATF; sfidat praktike adresohen përmes udhëzimeve zbatimore.</w:t>
            </w:r>
          </w:p>
        </w:tc>
      </w:tr>
      <w:tr w:rsidR="0019234D" w:rsidRPr="00D72257" w14:paraId="26DEEA91" w14:textId="02BDE12F" w:rsidTr="0019234D">
        <w:tc>
          <w:tcPr>
            <w:tcW w:w="1843" w:type="dxa"/>
          </w:tcPr>
          <w:p w14:paraId="1C0133F9" w14:textId="602F5BD1" w:rsidR="0019234D" w:rsidRPr="00D72257" w:rsidRDefault="0019234D" w:rsidP="00084C8B">
            <w:pPr>
              <w:rPr>
                <w:rFonts w:ascii="Times New Roman" w:hAnsi="Times New Roman"/>
                <w:sz w:val="20"/>
              </w:rPr>
            </w:pPr>
            <w:r w:rsidRPr="00D72257">
              <w:rPr>
                <w:rFonts w:ascii="Times New Roman" w:hAnsi="Times New Roman"/>
                <w:sz w:val="20"/>
              </w:rPr>
              <w:t>Neni 4 – Organizatat jofitimprurëse “të konsideruara me rrezik të lartë” Analizë vlerësuese Shtesa synon parandalimin e keqpërdorimit, por nuk specifikohet kriteri objektiv i rrezikut. Mund të ndikojë negativisht në funksionimin normal të NVO-ve</w:t>
            </w:r>
          </w:p>
        </w:tc>
        <w:tc>
          <w:tcPr>
            <w:tcW w:w="2977" w:type="dxa"/>
          </w:tcPr>
          <w:p w14:paraId="75339100" w14:textId="1DE24426" w:rsidR="0019234D" w:rsidRPr="00D72257" w:rsidRDefault="0019234D" w:rsidP="00001AAF">
            <w:pPr>
              <w:rPr>
                <w:rFonts w:ascii="Times New Roman" w:hAnsi="Times New Roman"/>
                <w:sz w:val="20"/>
              </w:rPr>
            </w:pPr>
            <w:r w:rsidRPr="00D72257">
              <w:rPr>
                <w:rFonts w:ascii="Times New Roman" w:hAnsi="Times New Roman"/>
                <w:sz w:val="20"/>
              </w:rPr>
              <w:t>Të miratohen kritere të qarta dhe transparente për kategorizimin e rrezikut, dhe të ofrohet mbështetje për NVO-të e vogla ose komunitare</w:t>
            </w:r>
          </w:p>
        </w:tc>
        <w:tc>
          <w:tcPr>
            <w:tcW w:w="1559" w:type="dxa"/>
          </w:tcPr>
          <w:p w14:paraId="564E9A05" w14:textId="1AE4063D" w:rsidR="0019234D" w:rsidRPr="00D72257" w:rsidRDefault="0019234D" w:rsidP="00001AAF">
            <w:pPr>
              <w:rPr>
                <w:rFonts w:ascii="Times New Roman" w:hAnsi="Times New Roman"/>
                <w:sz w:val="20"/>
              </w:rPr>
            </w:pPr>
            <w:r w:rsidRPr="00D72257">
              <w:rPr>
                <w:rFonts w:ascii="Times New Roman" w:hAnsi="Times New Roman"/>
                <w:color w:val="333333"/>
                <w:sz w:val="20"/>
                <w:shd w:val="clear" w:color="auto" w:fill="FFFFFF"/>
              </w:rPr>
              <w:t>AL-TAX</w:t>
            </w:r>
          </w:p>
        </w:tc>
        <w:tc>
          <w:tcPr>
            <w:tcW w:w="1276" w:type="dxa"/>
          </w:tcPr>
          <w:p w14:paraId="5E38EC65" w14:textId="4176990C" w:rsidR="0019234D" w:rsidRDefault="0019234D" w:rsidP="00001AAF">
            <w:pPr>
              <w:rPr>
                <w:rFonts w:ascii="Times New Roman" w:hAnsi="Times New Roman"/>
                <w:b/>
                <w:sz w:val="20"/>
              </w:rPr>
            </w:pPr>
            <w:r w:rsidRPr="0019234D">
              <w:rPr>
                <w:rFonts w:ascii="Times New Roman" w:hAnsi="Times New Roman"/>
                <w:bCs/>
                <w:sz w:val="20"/>
              </w:rPr>
              <w:t>Refuzuar</w:t>
            </w:r>
          </w:p>
        </w:tc>
        <w:tc>
          <w:tcPr>
            <w:tcW w:w="2693" w:type="dxa"/>
            <w:gridSpan w:val="2"/>
          </w:tcPr>
          <w:p w14:paraId="207796BF" w14:textId="7DDA2A09" w:rsidR="0019234D" w:rsidRPr="00D72257" w:rsidRDefault="0019234D" w:rsidP="00001AAF">
            <w:pPr>
              <w:rPr>
                <w:rFonts w:ascii="Times New Roman" w:hAnsi="Times New Roman"/>
                <w:sz w:val="20"/>
              </w:rPr>
            </w:pPr>
            <w:r w:rsidRPr="00D72257">
              <w:rPr>
                <w:rFonts w:ascii="Times New Roman" w:hAnsi="Times New Roman"/>
                <w:sz w:val="20"/>
              </w:rPr>
              <w:t>Terminologjia është harmonizuar me Rekomandimin 8 të FATF; kriteret dhe metodologjia përcaktohen në NRA dhe akte nënligjore.</w:t>
            </w:r>
          </w:p>
        </w:tc>
      </w:tr>
      <w:tr w:rsidR="0019234D" w:rsidRPr="00D72257" w14:paraId="0F3F4284" w14:textId="1372B062" w:rsidTr="0019234D">
        <w:tc>
          <w:tcPr>
            <w:tcW w:w="1843" w:type="dxa"/>
          </w:tcPr>
          <w:p w14:paraId="50D97399" w14:textId="4EC05EBE" w:rsidR="0019234D" w:rsidRPr="00D72257" w:rsidRDefault="0019234D" w:rsidP="00084C8B">
            <w:pPr>
              <w:rPr>
                <w:rFonts w:ascii="Times New Roman" w:hAnsi="Times New Roman"/>
                <w:sz w:val="20"/>
              </w:rPr>
            </w:pPr>
            <w:r w:rsidRPr="00D72257">
              <w:rPr>
                <w:rFonts w:ascii="Times New Roman" w:hAnsi="Times New Roman"/>
                <w:sz w:val="20"/>
              </w:rPr>
              <w:t>Neni 5 – Shtesat dhe ndryshimet në nenin 11 (KYC, sistem i centralizuar) Analizë vlerësuese Riformulimi dhe shtesa e nënndarjes “vi” forcojnë monitorimin dhe qendërzimin e të dhënave, por kërkojnë burime dhe kapacitete teknologjike të larta</w:t>
            </w:r>
          </w:p>
        </w:tc>
        <w:tc>
          <w:tcPr>
            <w:tcW w:w="2977" w:type="dxa"/>
          </w:tcPr>
          <w:p w14:paraId="413493E4" w14:textId="2E806BB8" w:rsidR="0019234D" w:rsidRPr="00D72257" w:rsidRDefault="0019234D" w:rsidP="00001AAF">
            <w:pPr>
              <w:rPr>
                <w:rFonts w:ascii="Times New Roman" w:hAnsi="Times New Roman"/>
                <w:sz w:val="20"/>
              </w:rPr>
            </w:pPr>
            <w:r w:rsidRPr="00D72257">
              <w:rPr>
                <w:rFonts w:ascii="Times New Roman" w:hAnsi="Times New Roman"/>
                <w:sz w:val="20"/>
              </w:rPr>
              <w:t>Investim në sistemin elektronik të mbikëqyrjes, trajnime për personelin dhe udhëzime të qarta për subjekte raportuese</w:t>
            </w:r>
          </w:p>
        </w:tc>
        <w:tc>
          <w:tcPr>
            <w:tcW w:w="1559" w:type="dxa"/>
          </w:tcPr>
          <w:p w14:paraId="191A6D78" w14:textId="091A85BC" w:rsidR="0019234D" w:rsidRPr="00D72257" w:rsidRDefault="0019234D" w:rsidP="00001AAF">
            <w:pPr>
              <w:rPr>
                <w:rFonts w:ascii="Times New Roman" w:hAnsi="Times New Roman"/>
                <w:sz w:val="20"/>
              </w:rPr>
            </w:pPr>
            <w:r w:rsidRPr="00D72257">
              <w:rPr>
                <w:rFonts w:ascii="Times New Roman" w:hAnsi="Times New Roman"/>
                <w:color w:val="333333"/>
                <w:sz w:val="20"/>
                <w:shd w:val="clear" w:color="auto" w:fill="FFFFFF"/>
              </w:rPr>
              <w:t>AL-TAX</w:t>
            </w:r>
          </w:p>
        </w:tc>
        <w:tc>
          <w:tcPr>
            <w:tcW w:w="1276" w:type="dxa"/>
          </w:tcPr>
          <w:p w14:paraId="358C126F" w14:textId="358BA2D1" w:rsidR="0019234D" w:rsidRDefault="0019234D" w:rsidP="00001AAF">
            <w:pPr>
              <w:rPr>
                <w:rFonts w:ascii="Times New Roman" w:hAnsi="Times New Roman"/>
                <w:b/>
                <w:sz w:val="20"/>
              </w:rPr>
            </w:pPr>
            <w:r w:rsidRPr="0019234D">
              <w:rPr>
                <w:rFonts w:ascii="Times New Roman" w:hAnsi="Times New Roman"/>
                <w:bCs/>
                <w:sz w:val="20"/>
              </w:rPr>
              <w:t>Refuzuar</w:t>
            </w:r>
          </w:p>
        </w:tc>
        <w:tc>
          <w:tcPr>
            <w:tcW w:w="2693" w:type="dxa"/>
            <w:gridSpan w:val="2"/>
          </w:tcPr>
          <w:p w14:paraId="25E64DB1" w14:textId="48F1F608" w:rsidR="0019234D" w:rsidRPr="00D72257" w:rsidRDefault="0019234D" w:rsidP="00001AAF">
            <w:pPr>
              <w:rPr>
                <w:rFonts w:ascii="Times New Roman" w:hAnsi="Times New Roman"/>
                <w:sz w:val="20"/>
              </w:rPr>
            </w:pPr>
            <w:r w:rsidRPr="00D72257">
              <w:rPr>
                <w:rFonts w:ascii="Times New Roman" w:hAnsi="Times New Roman"/>
                <w:sz w:val="20"/>
              </w:rPr>
              <w:t xml:space="preserve">Ndryshimet synojnë forcimin e sistemit të centralizuar; </w:t>
            </w:r>
          </w:p>
        </w:tc>
      </w:tr>
      <w:tr w:rsidR="0019234D" w:rsidRPr="00D72257" w14:paraId="524CFD96" w14:textId="49402EF1" w:rsidTr="0019234D">
        <w:tc>
          <w:tcPr>
            <w:tcW w:w="1843" w:type="dxa"/>
          </w:tcPr>
          <w:p w14:paraId="08E772CF" w14:textId="1182E8DD" w:rsidR="0019234D" w:rsidRPr="00D72257" w:rsidRDefault="0019234D" w:rsidP="00084C8B">
            <w:pPr>
              <w:rPr>
                <w:rFonts w:ascii="Times New Roman" w:hAnsi="Times New Roman"/>
                <w:sz w:val="20"/>
              </w:rPr>
            </w:pPr>
            <w:r w:rsidRPr="00D72257">
              <w:rPr>
                <w:rFonts w:ascii="Times New Roman" w:hAnsi="Times New Roman"/>
                <w:sz w:val="20"/>
              </w:rPr>
              <w:lastRenderedPageBreak/>
              <w:t>Neni 6 – Shtesa në nenin 22 (bashkëpunim ndërkombëtar, analiza strategjike) Analizë vlerësuese Bashkëpunimi ndërkombëtar dhe analizat strategjike janë të rëndësishme, por nuk përcaktohet se si do të mbrohen të dhënat e ndjeshme</w:t>
            </w:r>
          </w:p>
        </w:tc>
        <w:tc>
          <w:tcPr>
            <w:tcW w:w="2977" w:type="dxa"/>
          </w:tcPr>
          <w:p w14:paraId="322C3329" w14:textId="30FBA7E6" w:rsidR="0019234D" w:rsidRPr="00D72257" w:rsidRDefault="0019234D" w:rsidP="00001AAF">
            <w:pPr>
              <w:rPr>
                <w:rFonts w:ascii="Times New Roman" w:hAnsi="Times New Roman"/>
                <w:sz w:val="20"/>
              </w:rPr>
            </w:pPr>
            <w:r w:rsidRPr="00D72257">
              <w:rPr>
                <w:rFonts w:ascii="Times New Roman" w:hAnsi="Times New Roman"/>
                <w:sz w:val="20"/>
              </w:rPr>
              <w:t>Të integrohen dispozita mbi mbrojtjen e të dhënave dhe përdorimin e tyre për analiza strategjike</w:t>
            </w:r>
          </w:p>
        </w:tc>
        <w:tc>
          <w:tcPr>
            <w:tcW w:w="1559" w:type="dxa"/>
          </w:tcPr>
          <w:p w14:paraId="64B37C11" w14:textId="59892B74" w:rsidR="0019234D" w:rsidRPr="00D72257" w:rsidRDefault="0019234D" w:rsidP="00001AAF">
            <w:pPr>
              <w:rPr>
                <w:rFonts w:ascii="Times New Roman" w:hAnsi="Times New Roman"/>
                <w:sz w:val="20"/>
              </w:rPr>
            </w:pPr>
            <w:r w:rsidRPr="00D72257">
              <w:rPr>
                <w:rFonts w:ascii="Times New Roman" w:hAnsi="Times New Roman"/>
                <w:color w:val="333333"/>
                <w:sz w:val="20"/>
                <w:shd w:val="clear" w:color="auto" w:fill="FFFFFF"/>
              </w:rPr>
              <w:t>AL-TAX</w:t>
            </w:r>
          </w:p>
        </w:tc>
        <w:tc>
          <w:tcPr>
            <w:tcW w:w="1276" w:type="dxa"/>
          </w:tcPr>
          <w:p w14:paraId="37194F12" w14:textId="05785D0A" w:rsidR="0019234D" w:rsidRPr="00BD0407" w:rsidRDefault="0019234D" w:rsidP="00001AAF">
            <w:pPr>
              <w:rPr>
                <w:rFonts w:ascii="Times New Roman" w:hAnsi="Times New Roman"/>
                <w:b/>
                <w:sz w:val="20"/>
              </w:rPr>
            </w:pPr>
            <w:r w:rsidRPr="0019234D">
              <w:rPr>
                <w:rFonts w:ascii="Times New Roman" w:hAnsi="Times New Roman"/>
                <w:bCs/>
                <w:sz w:val="20"/>
              </w:rPr>
              <w:t>Refuzuar</w:t>
            </w:r>
          </w:p>
        </w:tc>
        <w:tc>
          <w:tcPr>
            <w:tcW w:w="2693" w:type="dxa"/>
            <w:gridSpan w:val="2"/>
          </w:tcPr>
          <w:p w14:paraId="54AB7FA7" w14:textId="6D0218D8" w:rsidR="0019234D" w:rsidRPr="00D72257" w:rsidRDefault="0019234D" w:rsidP="00001AAF">
            <w:pPr>
              <w:rPr>
                <w:rFonts w:ascii="Times New Roman" w:hAnsi="Times New Roman"/>
                <w:sz w:val="20"/>
              </w:rPr>
            </w:pPr>
            <w:r w:rsidRPr="00D72257">
              <w:rPr>
                <w:rFonts w:ascii="Times New Roman" w:hAnsi="Times New Roman"/>
                <w:sz w:val="20"/>
              </w:rPr>
              <w:t>Dispozita është në përputhje me standardet ndërkombëtare; mbrojtja e të dhënave mbulohet nga legjislacioni ekzistues.</w:t>
            </w:r>
          </w:p>
        </w:tc>
      </w:tr>
      <w:tr w:rsidR="0019234D" w:rsidRPr="00D72257" w14:paraId="0698BA67" w14:textId="778ACB44" w:rsidTr="0019234D">
        <w:tc>
          <w:tcPr>
            <w:tcW w:w="1843" w:type="dxa"/>
          </w:tcPr>
          <w:p w14:paraId="6EA94E1D" w14:textId="54FDA138" w:rsidR="0019234D" w:rsidRPr="00D72257" w:rsidRDefault="0019234D" w:rsidP="00084C8B">
            <w:pPr>
              <w:rPr>
                <w:rFonts w:ascii="Times New Roman" w:hAnsi="Times New Roman"/>
                <w:sz w:val="20"/>
              </w:rPr>
            </w:pPr>
            <w:r w:rsidRPr="00D72257">
              <w:rPr>
                <w:rFonts w:ascii="Times New Roman" w:hAnsi="Times New Roman"/>
                <w:sz w:val="20"/>
              </w:rPr>
              <w:t>Neni 7 – Shtesa në nenin 23 për financimin e armëve të shkatërrimit Analizë vlerësuese Shtesat e përsëritura rritin qartësinë, por mund të krijojnë ngarkesë raportimi</w:t>
            </w:r>
          </w:p>
        </w:tc>
        <w:tc>
          <w:tcPr>
            <w:tcW w:w="2977" w:type="dxa"/>
          </w:tcPr>
          <w:p w14:paraId="70269A94" w14:textId="648F0105" w:rsidR="0019234D" w:rsidRPr="00D72257" w:rsidRDefault="0019234D" w:rsidP="00001AAF">
            <w:pPr>
              <w:rPr>
                <w:rFonts w:ascii="Times New Roman" w:hAnsi="Times New Roman"/>
                <w:sz w:val="20"/>
              </w:rPr>
            </w:pPr>
            <w:r w:rsidRPr="00D72257">
              <w:rPr>
                <w:rFonts w:ascii="Times New Roman" w:hAnsi="Times New Roman"/>
                <w:sz w:val="20"/>
              </w:rPr>
              <w:t>Të bëhet një udhëzues praktik për subjektet që përcakton mënyrën dhe format e raportimit për çdo pikë të nenit</w:t>
            </w:r>
          </w:p>
        </w:tc>
        <w:tc>
          <w:tcPr>
            <w:tcW w:w="1559" w:type="dxa"/>
          </w:tcPr>
          <w:p w14:paraId="14051D46" w14:textId="4276EC8F" w:rsidR="0019234D" w:rsidRPr="00D72257" w:rsidRDefault="0019234D" w:rsidP="00001AAF">
            <w:pPr>
              <w:rPr>
                <w:rFonts w:ascii="Times New Roman" w:hAnsi="Times New Roman"/>
                <w:sz w:val="20"/>
              </w:rPr>
            </w:pPr>
            <w:r w:rsidRPr="00D72257">
              <w:rPr>
                <w:rFonts w:ascii="Times New Roman" w:hAnsi="Times New Roman"/>
                <w:color w:val="333333"/>
                <w:sz w:val="20"/>
                <w:shd w:val="clear" w:color="auto" w:fill="FFFFFF"/>
              </w:rPr>
              <w:t>AL-TAX</w:t>
            </w:r>
          </w:p>
        </w:tc>
        <w:tc>
          <w:tcPr>
            <w:tcW w:w="1276" w:type="dxa"/>
          </w:tcPr>
          <w:p w14:paraId="1E6E23EF" w14:textId="7595EAB9" w:rsidR="0019234D" w:rsidRPr="00BD0407" w:rsidRDefault="0019234D" w:rsidP="00001AAF">
            <w:pPr>
              <w:rPr>
                <w:rFonts w:ascii="Times New Roman" w:hAnsi="Times New Roman"/>
                <w:b/>
                <w:sz w:val="20"/>
              </w:rPr>
            </w:pPr>
            <w:r w:rsidRPr="0019234D">
              <w:rPr>
                <w:rFonts w:ascii="Times New Roman" w:hAnsi="Times New Roman"/>
                <w:bCs/>
                <w:sz w:val="20"/>
              </w:rPr>
              <w:t>Refuzuar</w:t>
            </w:r>
          </w:p>
        </w:tc>
        <w:tc>
          <w:tcPr>
            <w:tcW w:w="2693" w:type="dxa"/>
            <w:gridSpan w:val="2"/>
          </w:tcPr>
          <w:p w14:paraId="2340C380" w14:textId="18CC3460" w:rsidR="0019234D" w:rsidRPr="00D72257" w:rsidRDefault="0019234D" w:rsidP="00001AAF">
            <w:pPr>
              <w:rPr>
                <w:rFonts w:ascii="Times New Roman" w:hAnsi="Times New Roman"/>
                <w:sz w:val="20"/>
              </w:rPr>
            </w:pPr>
            <w:r w:rsidRPr="00D72257">
              <w:rPr>
                <w:rFonts w:ascii="Times New Roman" w:hAnsi="Times New Roman"/>
                <w:sz w:val="20"/>
              </w:rPr>
              <w:t>Udhëzuesit praktikë janë instrument zbatimi dhe hartohen pas miratimit të ligjit; teksti ligjor mbetet korrekt.</w:t>
            </w:r>
          </w:p>
        </w:tc>
      </w:tr>
      <w:tr w:rsidR="0019234D" w:rsidRPr="00D72257" w14:paraId="3419C3AC" w14:textId="29E567DD" w:rsidTr="0019234D">
        <w:tc>
          <w:tcPr>
            <w:tcW w:w="1843" w:type="dxa"/>
          </w:tcPr>
          <w:p w14:paraId="2C33BE09" w14:textId="6B093C3B" w:rsidR="0019234D" w:rsidRPr="00D72257" w:rsidRDefault="0019234D" w:rsidP="00084C8B">
            <w:pPr>
              <w:rPr>
                <w:rFonts w:ascii="Times New Roman" w:hAnsi="Times New Roman"/>
                <w:sz w:val="20"/>
              </w:rPr>
            </w:pPr>
            <w:r w:rsidRPr="00D72257">
              <w:rPr>
                <w:rFonts w:ascii="Times New Roman" w:hAnsi="Times New Roman"/>
                <w:sz w:val="20"/>
              </w:rPr>
              <w:t>Neni 8 – Neni 23/1 – Vlerësimi Kombëtar i Rrezikut Analizë vlerësuese Parashikon një mekanizëm të domosdoshëm për përputhje me FATF, por nuk specifikon kapacitetet dhe resurset e nevojshme për zbatimin e efektiv.</w:t>
            </w:r>
          </w:p>
        </w:tc>
        <w:tc>
          <w:tcPr>
            <w:tcW w:w="2977" w:type="dxa"/>
          </w:tcPr>
          <w:p w14:paraId="580E3716" w14:textId="1DCE0DE1" w:rsidR="0019234D" w:rsidRPr="00D72257" w:rsidRDefault="0019234D" w:rsidP="00001AAF">
            <w:pPr>
              <w:rPr>
                <w:rFonts w:ascii="Times New Roman" w:hAnsi="Times New Roman"/>
                <w:sz w:val="20"/>
              </w:rPr>
            </w:pPr>
            <w:r w:rsidRPr="00D72257">
              <w:rPr>
                <w:rFonts w:ascii="Times New Roman" w:hAnsi="Times New Roman"/>
                <w:sz w:val="20"/>
              </w:rPr>
              <w:t>Të sigurohet një plan operacional dhe buxhetor për zbatimin e Vlerësimit Kombëtar të Rrezikut (NRA), si dhe përditësimi i bazave të të dhënave</w:t>
            </w:r>
          </w:p>
        </w:tc>
        <w:tc>
          <w:tcPr>
            <w:tcW w:w="1559" w:type="dxa"/>
          </w:tcPr>
          <w:p w14:paraId="34641C56" w14:textId="675DF45A" w:rsidR="0019234D" w:rsidRPr="00D72257" w:rsidRDefault="0019234D" w:rsidP="00001AAF">
            <w:pPr>
              <w:rPr>
                <w:rFonts w:ascii="Times New Roman" w:hAnsi="Times New Roman"/>
                <w:sz w:val="20"/>
              </w:rPr>
            </w:pPr>
            <w:r w:rsidRPr="00D72257">
              <w:rPr>
                <w:rFonts w:ascii="Times New Roman" w:hAnsi="Times New Roman"/>
                <w:color w:val="333333"/>
                <w:sz w:val="20"/>
                <w:shd w:val="clear" w:color="auto" w:fill="FFFFFF"/>
              </w:rPr>
              <w:t>AL-TAX</w:t>
            </w:r>
          </w:p>
        </w:tc>
        <w:tc>
          <w:tcPr>
            <w:tcW w:w="1276" w:type="dxa"/>
          </w:tcPr>
          <w:p w14:paraId="03E824E3" w14:textId="135AADDA" w:rsidR="0019234D" w:rsidRPr="00BD0407" w:rsidRDefault="0019234D" w:rsidP="00001AAF">
            <w:pPr>
              <w:rPr>
                <w:rFonts w:ascii="Times New Roman" w:hAnsi="Times New Roman"/>
                <w:b/>
                <w:sz w:val="20"/>
              </w:rPr>
            </w:pPr>
            <w:r w:rsidRPr="0019234D">
              <w:rPr>
                <w:rFonts w:ascii="Times New Roman" w:hAnsi="Times New Roman"/>
                <w:bCs/>
                <w:sz w:val="20"/>
              </w:rPr>
              <w:t>Refuzuar</w:t>
            </w:r>
          </w:p>
        </w:tc>
        <w:tc>
          <w:tcPr>
            <w:tcW w:w="2693" w:type="dxa"/>
            <w:gridSpan w:val="2"/>
          </w:tcPr>
          <w:p w14:paraId="7F9FE4CF" w14:textId="04800BBC" w:rsidR="0019234D" w:rsidRPr="00D72257" w:rsidRDefault="0019234D" w:rsidP="00001AAF">
            <w:pPr>
              <w:rPr>
                <w:rFonts w:ascii="Times New Roman" w:hAnsi="Times New Roman"/>
                <w:sz w:val="20"/>
              </w:rPr>
            </w:pPr>
            <w:r w:rsidRPr="00D72257">
              <w:rPr>
                <w:rFonts w:ascii="Times New Roman" w:hAnsi="Times New Roman"/>
                <w:sz w:val="20"/>
              </w:rPr>
              <w:t>Kuadri i NRA është i përcaktuar nga standardet FATF; aspektet operative rregullohen në plane institucionale.</w:t>
            </w:r>
          </w:p>
        </w:tc>
      </w:tr>
      <w:tr w:rsidR="0019234D" w:rsidRPr="00D72257" w14:paraId="02BCE9DE" w14:textId="66CC4AAB" w:rsidTr="0019234D">
        <w:tc>
          <w:tcPr>
            <w:tcW w:w="1843" w:type="dxa"/>
          </w:tcPr>
          <w:p w14:paraId="5B747BAB" w14:textId="3D4355D2" w:rsidR="0019234D" w:rsidRPr="00D72257" w:rsidRDefault="0019234D" w:rsidP="00084C8B">
            <w:pPr>
              <w:rPr>
                <w:rFonts w:ascii="Times New Roman" w:hAnsi="Times New Roman"/>
                <w:sz w:val="20"/>
              </w:rPr>
            </w:pPr>
            <w:r w:rsidRPr="00D72257">
              <w:rPr>
                <w:rFonts w:ascii="Times New Roman" w:hAnsi="Times New Roman"/>
                <w:sz w:val="20"/>
              </w:rPr>
              <w:t>Neni 9 – Hyrja në fuqi Analizë vlerësuese Afati 15-ditor mund të jetë i shkurtër për disa subjekte që duhet të përshtatin proceset dhe sistemet e tyre</w:t>
            </w:r>
          </w:p>
        </w:tc>
        <w:tc>
          <w:tcPr>
            <w:tcW w:w="2977" w:type="dxa"/>
          </w:tcPr>
          <w:p w14:paraId="1EB93553" w14:textId="0292537C" w:rsidR="0019234D" w:rsidRPr="00D72257" w:rsidRDefault="0019234D" w:rsidP="00001AAF">
            <w:pPr>
              <w:rPr>
                <w:rFonts w:ascii="Times New Roman" w:hAnsi="Times New Roman"/>
                <w:sz w:val="20"/>
              </w:rPr>
            </w:pPr>
            <w:r w:rsidRPr="00D72257">
              <w:rPr>
                <w:rFonts w:ascii="Times New Roman" w:hAnsi="Times New Roman"/>
                <w:sz w:val="20"/>
              </w:rPr>
              <w:t>Të shqyrtohet mundësia e një periudhe tranzitore të zgjatur për subjekte të mëdha dhe NVO-të, për të lehtësuar implementimin</w:t>
            </w:r>
          </w:p>
        </w:tc>
        <w:tc>
          <w:tcPr>
            <w:tcW w:w="1559" w:type="dxa"/>
          </w:tcPr>
          <w:p w14:paraId="423F81B3" w14:textId="1A7408B3" w:rsidR="0019234D" w:rsidRPr="00D72257" w:rsidRDefault="0019234D" w:rsidP="00001AAF">
            <w:pPr>
              <w:rPr>
                <w:rFonts w:ascii="Times New Roman" w:hAnsi="Times New Roman"/>
                <w:sz w:val="20"/>
              </w:rPr>
            </w:pPr>
            <w:r w:rsidRPr="00D72257">
              <w:rPr>
                <w:rFonts w:ascii="Times New Roman" w:hAnsi="Times New Roman"/>
                <w:color w:val="333333"/>
                <w:sz w:val="20"/>
                <w:shd w:val="clear" w:color="auto" w:fill="FFFFFF"/>
              </w:rPr>
              <w:t>AL-TAX</w:t>
            </w:r>
          </w:p>
        </w:tc>
        <w:tc>
          <w:tcPr>
            <w:tcW w:w="1276" w:type="dxa"/>
          </w:tcPr>
          <w:p w14:paraId="37FE1E4E" w14:textId="3F4EE91D" w:rsidR="0019234D" w:rsidRPr="00BD0407" w:rsidRDefault="0019234D" w:rsidP="00001AAF">
            <w:pPr>
              <w:rPr>
                <w:rFonts w:ascii="Times New Roman" w:hAnsi="Times New Roman"/>
                <w:b/>
                <w:sz w:val="20"/>
              </w:rPr>
            </w:pPr>
            <w:r w:rsidRPr="0019234D">
              <w:rPr>
                <w:rFonts w:ascii="Times New Roman" w:hAnsi="Times New Roman"/>
                <w:bCs/>
                <w:sz w:val="20"/>
              </w:rPr>
              <w:t>Refuzuar</w:t>
            </w:r>
          </w:p>
        </w:tc>
        <w:tc>
          <w:tcPr>
            <w:tcW w:w="2693" w:type="dxa"/>
            <w:gridSpan w:val="2"/>
          </w:tcPr>
          <w:p w14:paraId="195F93FC" w14:textId="5D178173" w:rsidR="0019234D" w:rsidRPr="00D72257" w:rsidRDefault="0019234D" w:rsidP="00001AAF">
            <w:pPr>
              <w:rPr>
                <w:rFonts w:ascii="Times New Roman" w:hAnsi="Times New Roman"/>
                <w:sz w:val="20"/>
              </w:rPr>
            </w:pPr>
            <w:r w:rsidRPr="00D72257">
              <w:rPr>
                <w:rFonts w:ascii="Times New Roman" w:hAnsi="Times New Roman"/>
                <w:sz w:val="20"/>
              </w:rPr>
              <w:t>Afati është në linjë me praktikën legjislative.</w:t>
            </w:r>
          </w:p>
        </w:tc>
      </w:tr>
      <w:tr w:rsidR="0019234D" w:rsidRPr="00D72257" w14:paraId="74E43035" w14:textId="7073F825" w:rsidTr="0019234D">
        <w:tc>
          <w:tcPr>
            <w:tcW w:w="1843" w:type="dxa"/>
          </w:tcPr>
          <w:p w14:paraId="2464896C" w14:textId="51F388A9" w:rsidR="0019234D" w:rsidRPr="00D72257" w:rsidRDefault="0019234D" w:rsidP="00084C8B">
            <w:pPr>
              <w:rPr>
                <w:rFonts w:ascii="Times New Roman" w:hAnsi="Times New Roman"/>
                <w:sz w:val="20"/>
              </w:rPr>
            </w:pPr>
            <w:r w:rsidRPr="00D72257">
              <w:rPr>
                <w:rFonts w:ascii="Times New Roman" w:hAnsi="Times New Roman"/>
                <w:sz w:val="20"/>
              </w:rPr>
              <w:t xml:space="preserve">Mbi ndryshimin në nenin 8, pika 3 të projektligjit “Për disa shtesa dhe ndryshime në Ligjin nr. 9917, datë 19.5.2008, “Për parandalimin e pastrimit të parave dhe financimin e terrorizmit”, të ndryshuar.” 1. Objekti i opinionit </w:t>
            </w:r>
            <w:r w:rsidRPr="00D72257">
              <w:rPr>
                <w:rFonts w:ascii="Times New Roman" w:hAnsi="Times New Roman"/>
                <w:sz w:val="20"/>
              </w:rPr>
              <w:lastRenderedPageBreak/>
              <w:t>Ky opinion ligjor ka për objekt vlerësimin e amendimit të propozuar në nenin 8, pika 3 të projektligjit, i cili parashikon që pas togfjalëshit “organizata jofitimprurëse” të shtohet fraza “të konsideruara me rrezik të lartë”. Kjo shtesë synon përputhjen me Rekomandimin 8 të Financial Action Task Force (FATF)</w:t>
            </w:r>
          </w:p>
        </w:tc>
        <w:tc>
          <w:tcPr>
            <w:tcW w:w="2977" w:type="dxa"/>
          </w:tcPr>
          <w:p w14:paraId="3FF8A850" w14:textId="0C8E48FE" w:rsidR="0019234D" w:rsidRPr="00D72257" w:rsidRDefault="0019234D" w:rsidP="00D72257">
            <w:pPr>
              <w:jc w:val="both"/>
              <w:rPr>
                <w:rFonts w:ascii="Times New Roman" w:hAnsi="Times New Roman"/>
                <w:sz w:val="20"/>
              </w:rPr>
            </w:pPr>
            <w:r w:rsidRPr="00D72257">
              <w:rPr>
                <w:rFonts w:ascii="Times New Roman" w:hAnsi="Times New Roman"/>
                <w:sz w:val="20"/>
              </w:rPr>
              <w:lastRenderedPageBreak/>
              <w:t>Rishikim i terminologjisë Të zëvendësohet fraza “të konsideruara me rrezik të lartë” me formulimin: “...organizata jofitimprurëse me potencial të lartë për t’u abuzuar për qëllime financimi terrorizmi, sipas rezultateve të vlerësimit kombëtar të rrezikut.” Ky version reflekton gjuhën e FATF, shmang konotacionet negative dhe ruan neutralitetin ligjor</w:t>
            </w:r>
          </w:p>
        </w:tc>
        <w:tc>
          <w:tcPr>
            <w:tcW w:w="1559" w:type="dxa"/>
          </w:tcPr>
          <w:p w14:paraId="415DD8C2" w14:textId="13B4E8C7" w:rsidR="0019234D" w:rsidRPr="00D72257" w:rsidRDefault="0019234D" w:rsidP="00652C10">
            <w:pPr>
              <w:rPr>
                <w:rFonts w:ascii="Times New Roman" w:hAnsi="Times New Roman"/>
                <w:sz w:val="20"/>
              </w:rPr>
            </w:pPr>
            <w:r w:rsidRPr="00D72257">
              <w:rPr>
                <w:rFonts w:ascii="Times New Roman" w:hAnsi="Times New Roman"/>
                <w:color w:val="333333"/>
                <w:sz w:val="20"/>
                <w:shd w:val="clear" w:color="auto" w:fill="FFFFFF"/>
              </w:rPr>
              <w:t>PARTNERET - SHQIPERI PER NDRYSHIM DHE ZHVILLIM</w:t>
            </w:r>
          </w:p>
        </w:tc>
        <w:tc>
          <w:tcPr>
            <w:tcW w:w="1276" w:type="dxa"/>
          </w:tcPr>
          <w:p w14:paraId="0D44B317" w14:textId="5151D1C1" w:rsidR="0019234D" w:rsidRPr="00BD0407" w:rsidRDefault="0019234D" w:rsidP="00652C10">
            <w:pPr>
              <w:rPr>
                <w:rFonts w:ascii="Times New Roman" w:hAnsi="Times New Roman"/>
                <w:b/>
                <w:sz w:val="20"/>
              </w:rPr>
            </w:pPr>
            <w:r w:rsidRPr="0019234D">
              <w:rPr>
                <w:rFonts w:ascii="Times New Roman" w:hAnsi="Times New Roman"/>
                <w:bCs/>
                <w:sz w:val="20"/>
              </w:rPr>
              <w:t>Refuzuar</w:t>
            </w:r>
          </w:p>
        </w:tc>
        <w:tc>
          <w:tcPr>
            <w:tcW w:w="2693" w:type="dxa"/>
            <w:gridSpan w:val="2"/>
          </w:tcPr>
          <w:p w14:paraId="48516032" w14:textId="4AE8B93F" w:rsidR="0019234D" w:rsidRPr="00D72257" w:rsidRDefault="0019234D" w:rsidP="00652C10">
            <w:pPr>
              <w:rPr>
                <w:rFonts w:ascii="Times New Roman" w:hAnsi="Times New Roman"/>
                <w:sz w:val="20"/>
              </w:rPr>
            </w:pPr>
            <w:r w:rsidRPr="00D72257">
              <w:rPr>
                <w:rFonts w:ascii="Times New Roman" w:hAnsi="Times New Roman"/>
                <w:sz w:val="20"/>
              </w:rPr>
              <w:t>Sugjerimet për terminologji, kritere, transparencë, garanci procedurale dhe pjesëmarrje janë çështje metodologjike dhe rregullohen në nivel nënligjor dhe në kuadrin e NRA. Teksti ligjor nuk ndryshohet, pasi synohet harmonia me standardet FATF dhe parimet e proporcionalitetit.</w:t>
            </w:r>
          </w:p>
        </w:tc>
      </w:tr>
      <w:tr w:rsidR="0019234D" w:rsidRPr="00D72257" w14:paraId="0AC665F6" w14:textId="1FDE02F8" w:rsidTr="0019234D">
        <w:tc>
          <w:tcPr>
            <w:tcW w:w="1843" w:type="dxa"/>
          </w:tcPr>
          <w:p w14:paraId="711A5D7B" w14:textId="294965A1" w:rsidR="0019234D" w:rsidRPr="00D72257" w:rsidRDefault="0019234D" w:rsidP="00084C8B">
            <w:pPr>
              <w:rPr>
                <w:rFonts w:ascii="Times New Roman" w:hAnsi="Times New Roman"/>
                <w:sz w:val="20"/>
              </w:rPr>
            </w:pPr>
            <w:r w:rsidRPr="00D72257">
              <w:rPr>
                <w:rFonts w:ascii="Times New Roman" w:hAnsi="Times New Roman"/>
                <w:sz w:val="20"/>
              </w:rPr>
              <w:t>Përcaktim i autoritetit përgjegjës dhe bazës metodologjike</w:t>
            </w:r>
          </w:p>
        </w:tc>
        <w:tc>
          <w:tcPr>
            <w:tcW w:w="2977" w:type="dxa"/>
          </w:tcPr>
          <w:p w14:paraId="1B813E2F" w14:textId="1DB7A533" w:rsidR="0019234D" w:rsidRPr="00D72257" w:rsidRDefault="0019234D" w:rsidP="00652C10">
            <w:pPr>
              <w:rPr>
                <w:rFonts w:ascii="Times New Roman" w:hAnsi="Times New Roman"/>
                <w:sz w:val="20"/>
              </w:rPr>
            </w:pPr>
            <w:r w:rsidRPr="00D72257">
              <w:rPr>
                <w:rFonts w:ascii="Times New Roman" w:hAnsi="Times New Roman"/>
                <w:sz w:val="20"/>
              </w:rPr>
              <w:t>Në ligj ose në një akt nënligjor të përcaktohet qartë se kush është organi kompetent që klasifikon OJF-të sipas rrezikut, dhe mbi cilat kritere të vlerësimit të rrezikut (në përputhje me Nenin 23/1 për Vlerësimin Kombëtar të Rrezikut në projekt-ligj).</w:t>
            </w:r>
          </w:p>
        </w:tc>
        <w:tc>
          <w:tcPr>
            <w:tcW w:w="1559" w:type="dxa"/>
          </w:tcPr>
          <w:p w14:paraId="483B4659" w14:textId="1E52C9A6" w:rsidR="0019234D" w:rsidRPr="00D72257" w:rsidRDefault="0019234D" w:rsidP="00652C10">
            <w:pPr>
              <w:rPr>
                <w:rFonts w:ascii="Times New Roman" w:hAnsi="Times New Roman"/>
                <w:sz w:val="20"/>
              </w:rPr>
            </w:pPr>
            <w:r w:rsidRPr="00D72257">
              <w:rPr>
                <w:rFonts w:ascii="Times New Roman" w:hAnsi="Times New Roman"/>
                <w:color w:val="333333"/>
                <w:sz w:val="20"/>
                <w:shd w:val="clear" w:color="auto" w:fill="FFFFFF"/>
              </w:rPr>
              <w:t>PARTNERET - SHQIPERI PER NDRYSHIM DHE ZHVILLIM</w:t>
            </w:r>
          </w:p>
        </w:tc>
        <w:tc>
          <w:tcPr>
            <w:tcW w:w="1276" w:type="dxa"/>
          </w:tcPr>
          <w:p w14:paraId="0709E8C2" w14:textId="69CDF144" w:rsidR="0019234D" w:rsidRPr="00BD0407" w:rsidRDefault="0019234D" w:rsidP="00652C10">
            <w:pPr>
              <w:rPr>
                <w:rFonts w:ascii="Times New Roman" w:hAnsi="Times New Roman"/>
                <w:b/>
                <w:sz w:val="20"/>
              </w:rPr>
            </w:pPr>
            <w:r w:rsidRPr="0019234D">
              <w:rPr>
                <w:rFonts w:ascii="Times New Roman" w:hAnsi="Times New Roman"/>
                <w:bCs/>
                <w:sz w:val="20"/>
              </w:rPr>
              <w:t>Refuzuar</w:t>
            </w:r>
          </w:p>
        </w:tc>
        <w:tc>
          <w:tcPr>
            <w:tcW w:w="2693" w:type="dxa"/>
            <w:gridSpan w:val="2"/>
          </w:tcPr>
          <w:p w14:paraId="2506A3CB" w14:textId="719AC509" w:rsidR="0019234D" w:rsidRPr="00D72257" w:rsidRDefault="0019234D" w:rsidP="00652C10">
            <w:pPr>
              <w:rPr>
                <w:rFonts w:ascii="Times New Roman" w:hAnsi="Times New Roman"/>
                <w:sz w:val="20"/>
              </w:rPr>
            </w:pPr>
            <w:r w:rsidRPr="00D72257">
              <w:rPr>
                <w:rFonts w:ascii="Times New Roman" w:hAnsi="Times New Roman"/>
                <w:sz w:val="20"/>
              </w:rPr>
              <w:t>Ligji përcakton vetëm parimet bazë. Autoritetet, kriteret dhe procedurat rregullohen në akte nënligjore dhe metodologjinë e NRA, në përputhje me strukturën e rekomanduar nga FATF.</w:t>
            </w:r>
          </w:p>
        </w:tc>
      </w:tr>
      <w:tr w:rsidR="0019234D" w:rsidRPr="00D72257" w14:paraId="6432F02A" w14:textId="4E6A271D" w:rsidTr="0019234D">
        <w:tc>
          <w:tcPr>
            <w:tcW w:w="1843" w:type="dxa"/>
          </w:tcPr>
          <w:p w14:paraId="78423F38" w14:textId="291A5C43" w:rsidR="0019234D" w:rsidRPr="00D72257" w:rsidRDefault="0019234D" w:rsidP="00084C8B">
            <w:pPr>
              <w:rPr>
                <w:rFonts w:ascii="Times New Roman" w:hAnsi="Times New Roman"/>
                <w:sz w:val="20"/>
              </w:rPr>
            </w:pPr>
            <w:r w:rsidRPr="00D72257">
              <w:rPr>
                <w:rFonts w:ascii="Times New Roman" w:hAnsi="Times New Roman"/>
                <w:sz w:val="20"/>
              </w:rPr>
              <w:t>Përcaktim i lidhjes eksplicite me Vlerësimin Kombëtar të Rrezikut (NRA</w:t>
            </w:r>
          </w:p>
        </w:tc>
        <w:tc>
          <w:tcPr>
            <w:tcW w:w="2977" w:type="dxa"/>
          </w:tcPr>
          <w:p w14:paraId="208031AB" w14:textId="735235E0" w:rsidR="0019234D" w:rsidRPr="00D72257" w:rsidRDefault="0019234D" w:rsidP="00652C10">
            <w:pPr>
              <w:rPr>
                <w:rFonts w:ascii="Times New Roman" w:hAnsi="Times New Roman"/>
                <w:sz w:val="20"/>
              </w:rPr>
            </w:pPr>
            <w:r w:rsidRPr="00D72257">
              <w:rPr>
                <w:rFonts w:ascii="Times New Roman" w:hAnsi="Times New Roman"/>
                <w:sz w:val="20"/>
              </w:rPr>
              <w:t>Teksti ligjor duhet të bëjë referencë të drejtpërdrejtë që kategorizimi i OJF-ve si “me potencial për abuzim” bazohet në rezultatet e NRA-së, në mënyrë që të shmanget subjektiviteti dhe të sigurohet koherencë ndërinstitucionale</w:t>
            </w:r>
          </w:p>
        </w:tc>
        <w:tc>
          <w:tcPr>
            <w:tcW w:w="1559" w:type="dxa"/>
          </w:tcPr>
          <w:p w14:paraId="70FE3D5E" w14:textId="690EB759" w:rsidR="0019234D" w:rsidRPr="00D72257" w:rsidRDefault="0019234D" w:rsidP="00652C10">
            <w:pPr>
              <w:rPr>
                <w:rFonts w:ascii="Times New Roman" w:hAnsi="Times New Roman"/>
                <w:sz w:val="20"/>
              </w:rPr>
            </w:pPr>
            <w:r w:rsidRPr="00D72257">
              <w:rPr>
                <w:rFonts w:ascii="Times New Roman" w:hAnsi="Times New Roman"/>
                <w:color w:val="333333"/>
                <w:sz w:val="20"/>
                <w:shd w:val="clear" w:color="auto" w:fill="FFFFFF"/>
              </w:rPr>
              <w:t>PARTNERET - SHQIPERI PER NDRYSHIM DHE ZHVILLIM</w:t>
            </w:r>
          </w:p>
        </w:tc>
        <w:tc>
          <w:tcPr>
            <w:tcW w:w="1276" w:type="dxa"/>
          </w:tcPr>
          <w:p w14:paraId="1E45FD50" w14:textId="1CADAB67" w:rsidR="0019234D" w:rsidRPr="00BD0407" w:rsidRDefault="0019234D" w:rsidP="00652C10">
            <w:pPr>
              <w:rPr>
                <w:rFonts w:ascii="Times New Roman" w:hAnsi="Times New Roman"/>
                <w:b/>
                <w:sz w:val="20"/>
              </w:rPr>
            </w:pPr>
            <w:r w:rsidRPr="0019234D">
              <w:rPr>
                <w:rFonts w:ascii="Times New Roman" w:hAnsi="Times New Roman"/>
                <w:bCs/>
                <w:sz w:val="20"/>
              </w:rPr>
              <w:t>Refuzuar</w:t>
            </w:r>
          </w:p>
        </w:tc>
        <w:tc>
          <w:tcPr>
            <w:tcW w:w="2693" w:type="dxa"/>
            <w:gridSpan w:val="2"/>
          </w:tcPr>
          <w:p w14:paraId="64852D97" w14:textId="6820F518" w:rsidR="0019234D" w:rsidRPr="00D72257" w:rsidRDefault="0019234D" w:rsidP="00652C10">
            <w:pPr>
              <w:rPr>
                <w:rFonts w:ascii="Times New Roman" w:hAnsi="Times New Roman"/>
                <w:sz w:val="20"/>
              </w:rPr>
            </w:pPr>
            <w:r w:rsidRPr="00D72257">
              <w:rPr>
                <w:rFonts w:ascii="Times New Roman" w:hAnsi="Times New Roman"/>
                <w:sz w:val="20"/>
              </w:rPr>
              <w:t>Ligji referon konceptualisht NRA-në si instrument bazë. Lidhjet teknike dhe metodologjike parashikohen në dokumentet zbatimore, jo në tekstin ligjor.</w:t>
            </w:r>
          </w:p>
        </w:tc>
      </w:tr>
      <w:tr w:rsidR="0019234D" w:rsidRPr="00D72257" w14:paraId="00A7F93F" w14:textId="09D83BCC" w:rsidTr="0019234D">
        <w:tc>
          <w:tcPr>
            <w:tcW w:w="1843" w:type="dxa"/>
          </w:tcPr>
          <w:p w14:paraId="11347432" w14:textId="6E2C8E57" w:rsidR="0019234D" w:rsidRPr="00D72257" w:rsidRDefault="0019234D" w:rsidP="00084C8B">
            <w:pPr>
              <w:rPr>
                <w:rFonts w:ascii="Times New Roman" w:hAnsi="Times New Roman"/>
                <w:sz w:val="20"/>
              </w:rPr>
            </w:pPr>
            <w:r w:rsidRPr="00D72257">
              <w:rPr>
                <w:rFonts w:ascii="Times New Roman" w:hAnsi="Times New Roman"/>
                <w:sz w:val="20"/>
              </w:rPr>
              <w:t>Krijimi i mekanizmave të transparencës dhe ankimit</w:t>
            </w:r>
          </w:p>
        </w:tc>
        <w:tc>
          <w:tcPr>
            <w:tcW w:w="2977" w:type="dxa"/>
          </w:tcPr>
          <w:p w14:paraId="245A5C16" w14:textId="09571E28" w:rsidR="0019234D" w:rsidRPr="00D72257" w:rsidRDefault="0019234D" w:rsidP="00652C10">
            <w:pPr>
              <w:rPr>
                <w:rFonts w:ascii="Times New Roman" w:hAnsi="Times New Roman"/>
                <w:sz w:val="20"/>
              </w:rPr>
            </w:pPr>
            <w:r w:rsidRPr="00D72257">
              <w:rPr>
                <w:rFonts w:ascii="Times New Roman" w:hAnsi="Times New Roman"/>
                <w:sz w:val="20"/>
              </w:rPr>
              <w:t>OJF-të duhet të kenë të drejtë të informohen mbi arsyet e klasifikimit të tyre dhe të kenë mundësi për ankim administrativ apo rishikim periodik të statusit</w:t>
            </w:r>
          </w:p>
        </w:tc>
        <w:tc>
          <w:tcPr>
            <w:tcW w:w="1559" w:type="dxa"/>
          </w:tcPr>
          <w:p w14:paraId="398B7B21" w14:textId="749CCD8F" w:rsidR="0019234D" w:rsidRPr="00D72257" w:rsidRDefault="0019234D" w:rsidP="00652C10">
            <w:pPr>
              <w:rPr>
                <w:rFonts w:ascii="Times New Roman" w:hAnsi="Times New Roman"/>
                <w:sz w:val="20"/>
              </w:rPr>
            </w:pPr>
            <w:r w:rsidRPr="00D72257">
              <w:rPr>
                <w:rFonts w:ascii="Times New Roman" w:hAnsi="Times New Roman"/>
                <w:color w:val="333333"/>
                <w:sz w:val="20"/>
                <w:shd w:val="clear" w:color="auto" w:fill="FFFFFF"/>
              </w:rPr>
              <w:t>PARTNERET - SHQIPERI PER NDRYSHIM DHE ZHVILLIM</w:t>
            </w:r>
          </w:p>
        </w:tc>
        <w:tc>
          <w:tcPr>
            <w:tcW w:w="1276" w:type="dxa"/>
          </w:tcPr>
          <w:p w14:paraId="5157D068" w14:textId="4D953EE5" w:rsidR="0019234D" w:rsidRPr="00BD0407" w:rsidRDefault="0019234D" w:rsidP="00652C10">
            <w:pPr>
              <w:rPr>
                <w:rFonts w:ascii="Times New Roman" w:hAnsi="Times New Roman"/>
                <w:b/>
                <w:sz w:val="20"/>
              </w:rPr>
            </w:pPr>
            <w:r w:rsidRPr="0019234D">
              <w:rPr>
                <w:rFonts w:ascii="Times New Roman" w:hAnsi="Times New Roman"/>
                <w:bCs/>
                <w:sz w:val="20"/>
              </w:rPr>
              <w:t>Refuzuar</w:t>
            </w:r>
          </w:p>
        </w:tc>
        <w:tc>
          <w:tcPr>
            <w:tcW w:w="2693" w:type="dxa"/>
            <w:gridSpan w:val="2"/>
          </w:tcPr>
          <w:p w14:paraId="36FF713D" w14:textId="5985CF0C" w:rsidR="0019234D" w:rsidRPr="00D72257" w:rsidRDefault="0019234D" w:rsidP="00652C10">
            <w:pPr>
              <w:rPr>
                <w:rFonts w:ascii="Times New Roman" w:hAnsi="Times New Roman"/>
                <w:sz w:val="20"/>
              </w:rPr>
            </w:pPr>
            <w:r w:rsidRPr="00D72257">
              <w:rPr>
                <w:rFonts w:ascii="Times New Roman" w:hAnsi="Times New Roman"/>
                <w:sz w:val="20"/>
              </w:rPr>
              <w:t>Ligji nuk rregullon mekanizma ankimi për klasifikimet e rrezikut. Këto procedura janë pjesë e akteve nënligjore dhe standardeve administrative</w:t>
            </w:r>
          </w:p>
        </w:tc>
      </w:tr>
      <w:tr w:rsidR="0019234D" w:rsidRPr="00D72257" w14:paraId="3C6B7C73" w14:textId="4926D366" w:rsidTr="0019234D">
        <w:tc>
          <w:tcPr>
            <w:tcW w:w="1843" w:type="dxa"/>
          </w:tcPr>
          <w:p w14:paraId="47118F52" w14:textId="4C5F199F" w:rsidR="0019234D" w:rsidRPr="00D72257" w:rsidRDefault="0019234D" w:rsidP="00084C8B">
            <w:pPr>
              <w:rPr>
                <w:rFonts w:ascii="Times New Roman" w:hAnsi="Times New Roman"/>
                <w:sz w:val="20"/>
              </w:rPr>
            </w:pPr>
            <w:r w:rsidRPr="00D72257">
              <w:rPr>
                <w:rFonts w:ascii="Times New Roman" w:hAnsi="Times New Roman"/>
                <w:sz w:val="20"/>
              </w:rPr>
              <w:t>Miratimi i akteve nënligjore shpjeguese dhe përdorimi i bazës ekzistuese metodologjike</w:t>
            </w:r>
          </w:p>
        </w:tc>
        <w:tc>
          <w:tcPr>
            <w:tcW w:w="2977" w:type="dxa"/>
          </w:tcPr>
          <w:p w14:paraId="07B427CB" w14:textId="0C02395B" w:rsidR="0019234D" w:rsidRPr="00D72257" w:rsidRDefault="0019234D" w:rsidP="00652C10">
            <w:pPr>
              <w:rPr>
                <w:rFonts w:ascii="Times New Roman" w:hAnsi="Times New Roman"/>
                <w:sz w:val="20"/>
              </w:rPr>
            </w:pPr>
            <w:r w:rsidRPr="00D72257">
              <w:rPr>
                <w:rFonts w:ascii="Times New Roman" w:hAnsi="Times New Roman"/>
                <w:sz w:val="20"/>
              </w:rPr>
              <w:t>Të parashikohet miratimi i një udhëzimi të posaçëm ose vendimi të Këshillit të Ministrave që saktëson kriteret e vlerësimit, procedurat e monitorimit dhe mënyrat e bashkëpunimit ndërmjet institucioneve mbikëqyrëse dhe sektorit jofitimprurës</w:t>
            </w:r>
          </w:p>
        </w:tc>
        <w:tc>
          <w:tcPr>
            <w:tcW w:w="1559" w:type="dxa"/>
          </w:tcPr>
          <w:p w14:paraId="25673E03" w14:textId="3E86ED4C" w:rsidR="0019234D" w:rsidRPr="00D72257" w:rsidRDefault="0019234D" w:rsidP="00652C10">
            <w:pPr>
              <w:rPr>
                <w:rFonts w:ascii="Times New Roman" w:hAnsi="Times New Roman"/>
                <w:sz w:val="20"/>
              </w:rPr>
            </w:pPr>
            <w:r w:rsidRPr="00D72257">
              <w:rPr>
                <w:rFonts w:ascii="Times New Roman" w:hAnsi="Times New Roman"/>
                <w:color w:val="333333"/>
                <w:sz w:val="20"/>
                <w:shd w:val="clear" w:color="auto" w:fill="FFFFFF"/>
              </w:rPr>
              <w:t>PARTNERET - SHQIPERI PER NDRYSHIM DHE ZHVILLIM</w:t>
            </w:r>
          </w:p>
        </w:tc>
        <w:tc>
          <w:tcPr>
            <w:tcW w:w="1276" w:type="dxa"/>
          </w:tcPr>
          <w:p w14:paraId="1163B231" w14:textId="59E017A4" w:rsidR="0019234D" w:rsidRPr="00BD0407" w:rsidRDefault="0019234D" w:rsidP="00652C10">
            <w:pPr>
              <w:rPr>
                <w:rFonts w:ascii="Times New Roman" w:hAnsi="Times New Roman"/>
                <w:b/>
                <w:sz w:val="20"/>
              </w:rPr>
            </w:pPr>
            <w:r w:rsidRPr="0019234D">
              <w:rPr>
                <w:rFonts w:ascii="Times New Roman" w:hAnsi="Times New Roman"/>
                <w:bCs/>
                <w:sz w:val="20"/>
              </w:rPr>
              <w:t>Refuzuar</w:t>
            </w:r>
          </w:p>
        </w:tc>
        <w:tc>
          <w:tcPr>
            <w:tcW w:w="2693" w:type="dxa"/>
            <w:gridSpan w:val="2"/>
          </w:tcPr>
          <w:p w14:paraId="04C2B377" w14:textId="7D64E509" w:rsidR="0019234D" w:rsidRPr="00D72257" w:rsidRDefault="0019234D" w:rsidP="00652C10">
            <w:pPr>
              <w:rPr>
                <w:rFonts w:ascii="Times New Roman" w:hAnsi="Times New Roman"/>
                <w:sz w:val="20"/>
              </w:rPr>
            </w:pPr>
            <w:r w:rsidRPr="00D72257">
              <w:rPr>
                <w:rFonts w:ascii="Times New Roman" w:hAnsi="Times New Roman"/>
                <w:sz w:val="20"/>
              </w:rPr>
              <w:t>Aktet nënligjore hartohen pas miratimit të ligjit dhe nuk mund të parapërcaktohen në tekstin ligjor.</w:t>
            </w:r>
          </w:p>
        </w:tc>
      </w:tr>
      <w:tr w:rsidR="0019234D" w:rsidRPr="00D72257" w14:paraId="414838EA" w14:textId="25D61D76" w:rsidTr="0019234D">
        <w:tc>
          <w:tcPr>
            <w:tcW w:w="1843" w:type="dxa"/>
          </w:tcPr>
          <w:p w14:paraId="029225AB" w14:textId="2351E1CA" w:rsidR="0019234D" w:rsidRPr="00D72257" w:rsidRDefault="0019234D" w:rsidP="00084C8B">
            <w:pPr>
              <w:rPr>
                <w:rFonts w:ascii="Times New Roman" w:hAnsi="Times New Roman"/>
                <w:sz w:val="20"/>
              </w:rPr>
            </w:pPr>
            <w:r w:rsidRPr="00D72257">
              <w:rPr>
                <w:rFonts w:ascii="Times New Roman" w:hAnsi="Times New Roman"/>
                <w:sz w:val="20"/>
              </w:rPr>
              <w:t>Sigurimi i proporcionalitetit dhe mbrojtjes së reputacionit të sektorit</w:t>
            </w:r>
          </w:p>
        </w:tc>
        <w:tc>
          <w:tcPr>
            <w:tcW w:w="2977" w:type="dxa"/>
          </w:tcPr>
          <w:p w14:paraId="3BBBB516" w14:textId="6F016378" w:rsidR="0019234D" w:rsidRPr="00D72257" w:rsidRDefault="0019234D" w:rsidP="00652C10">
            <w:pPr>
              <w:rPr>
                <w:rFonts w:ascii="Times New Roman" w:hAnsi="Times New Roman"/>
                <w:sz w:val="20"/>
              </w:rPr>
            </w:pPr>
            <w:r w:rsidRPr="00D72257">
              <w:rPr>
                <w:rFonts w:ascii="Times New Roman" w:hAnsi="Times New Roman"/>
                <w:sz w:val="20"/>
              </w:rPr>
              <w:t xml:space="preserve">Masa të tilla duhet të zbatohen vetëm në mënyrë proporcionale dhe me kujdes reputacional, për të mos ndikuar negativisht në besueshmërinë dhe misionin e organizatave me qëllime të ligjshme. </w:t>
            </w:r>
          </w:p>
        </w:tc>
        <w:tc>
          <w:tcPr>
            <w:tcW w:w="1559" w:type="dxa"/>
          </w:tcPr>
          <w:p w14:paraId="2B1EEE07" w14:textId="594A4A4F" w:rsidR="0019234D" w:rsidRPr="00D72257" w:rsidRDefault="0019234D" w:rsidP="00652C10">
            <w:pPr>
              <w:rPr>
                <w:rFonts w:ascii="Times New Roman" w:hAnsi="Times New Roman"/>
                <w:sz w:val="20"/>
              </w:rPr>
            </w:pPr>
            <w:r w:rsidRPr="00D72257">
              <w:rPr>
                <w:rFonts w:ascii="Times New Roman" w:hAnsi="Times New Roman"/>
                <w:color w:val="333333"/>
                <w:sz w:val="20"/>
                <w:shd w:val="clear" w:color="auto" w:fill="FFFFFF"/>
              </w:rPr>
              <w:t>PARTNERET - SHQIPERI PER NDRYSHIM DHE ZHVILLIM</w:t>
            </w:r>
          </w:p>
        </w:tc>
        <w:tc>
          <w:tcPr>
            <w:tcW w:w="1276" w:type="dxa"/>
          </w:tcPr>
          <w:p w14:paraId="7DA35494" w14:textId="04F7D1A3" w:rsidR="0019234D" w:rsidRPr="00BD0407" w:rsidRDefault="0019234D" w:rsidP="00652C10">
            <w:pPr>
              <w:rPr>
                <w:rFonts w:ascii="Times New Roman" w:hAnsi="Times New Roman"/>
                <w:b/>
                <w:sz w:val="20"/>
              </w:rPr>
            </w:pPr>
            <w:r w:rsidRPr="0019234D">
              <w:rPr>
                <w:rFonts w:ascii="Times New Roman" w:hAnsi="Times New Roman"/>
                <w:bCs/>
                <w:sz w:val="20"/>
              </w:rPr>
              <w:t>Refuzuar</w:t>
            </w:r>
          </w:p>
        </w:tc>
        <w:tc>
          <w:tcPr>
            <w:tcW w:w="2693" w:type="dxa"/>
            <w:gridSpan w:val="2"/>
          </w:tcPr>
          <w:p w14:paraId="5C9E55A3" w14:textId="22B376C5" w:rsidR="0019234D" w:rsidRPr="00D72257" w:rsidRDefault="0019234D" w:rsidP="00652C10">
            <w:pPr>
              <w:rPr>
                <w:rFonts w:ascii="Times New Roman" w:hAnsi="Times New Roman"/>
                <w:sz w:val="20"/>
              </w:rPr>
            </w:pPr>
            <w:r w:rsidRPr="00D72257">
              <w:rPr>
                <w:rFonts w:ascii="Times New Roman" w:hAnsi="Times New Roman"/>
                <w:sz w:val="20"/>
              </w:rPr>
              <w:t>Parimi i proporcionalitetit është i integruar në qasjen e bazuar në rrezik të FATF; praktikat zbatohen përmes udhëzimeve dhe jo ndryshimit të dispozitave ligjore.</w:t>
            </w:r>
          </w:p>
        </w:tc>
      </w:tr>
      <w:tr w:rsidR="0019234D" w:rsidRPr="00D72257" w14:paraId="5DDDF076" w14:textId="688DA314" w:rsidTr="0019234D">
        <w:tc>
          <w:tcPr>
            <w:tcW w:w="1843" w:type="dxa"/>
          </w:tcPr>
          <w:p w14:paraId="61F3410B" w14:textId="7EC605F2" w:rsidR="0019234D" w:rsidRPr="00D72257" w:rsidRDefault="0019234D" w:rsidP="00084C8B">
            <w:pPr>
              <w:rPr>
                <w:rFonts w:ascii="Times New Roman" w:hAnsi="Times New Roman"/>
                <w:sz w:val="20"/>
              </w:rPr>
            </w:pPr>
            <w:r w:rsidRPr="00D72257">
              <w:rPr>
                <w:rFonts w:ascii="Times New Roman" w:hAnsi="Times New Roman"/>
                <w:sz w:val="20"/>
              </w:rPr>
              <w:t xml:space="preserve">Rishikimi i terminologjisë dhe </w:t>
            </w:r>
            <w:r w:rsidRPr="00D72257">
              <w:rPr>
                <w:rFonts w:ascii="Times New Roman" w:hAnsi="Times New Roman"/>
                <w:sz w:val="20"/>
              </w:rPr>
              <w:lastRenderedPageBreak/>
              <w:t>saktësimi i përkufizimeve</w:t>
            </w:r>
          </w:p>
        </w:tc>
        <w:tc>
          <w:tcPr>
            <w:tcW w:w="2977" w:type="dxa"/>
          </w:tcPr>
          <w:p w14:paraId="4C13247A" w14:textId="7BEFAEB5" w:rsidR="0019234D" w:rsidRPr="00D72257" w:rsidRDefault="0019234D" w:rsidP="00652C10">
            <w:pPr>
              <w:rPr>
                <w:rFonts w:ascii="Times New Roman" w:hAnsi="Times New Roman"/>
                <w:sz w:val="20"/>
              </w:rPr>
            </w:pPr>
            <w:r w:rsidRPr="00D72257">
              <w:rPr>
                <w:rFonts w:ascii="Times New Roman" w:hAnsi="Times New Roman"/>
                <w:sz w:val="20"/>
              </w:rPr>
              <w:lastRenderedPageBreak/>
              <w:t xml:space="preserve">Rekomandojmë që formulimi “organizata jofitimprurëse të konsideruara me rrezik të lartë” të </w:t>
            </w:r>
            <w:r w:rsidRPr="00D72257">
              <w:rPr>
                <w:rFonts w:ascii="Times New Roman" w:hAnsi="Times New Roman"/>
                <w:sz w:val="20"/>
              </w:rPr>
              <w:lastRenderedPageBreak/>
              <w:t>rishikohet në drejtim të një qasjeje më neutrale dhe të përputhshme me gjuhën e përdorur nga FATF. Një terminologji alternative, e bazuar në standardet ndërkombëtare dhe në rezultatet e Vlerësimit Kombëtar të Rrezikut, mund të jetë më e përshtatshme për të shmangur keqkuptime ose etiketime të panevojshme. Përdorimi i termave që reflektojnë “cenueshmëri të mundshme ndaj abuzimit” është më i përputhshëm me frymën e Rekomandimit 8. Është e rëndësishme të përcaktohet qartë se cilat organizata hyjnë në fushën e rregullimit, duke përdorur përkufizimin e FATF për OJF-të, për të shmangur mbiregulimin e subjekteve që nuk bien natyrshëm brenda qëllimit të kësaj dispozite. Në këtë drejtim, është e rëndësishme që mbrojtjet procedurale të jenë në përputhje me udhëzimet e përditësuara të FATF (2024–2025) mbi parandalimin e pasojave të paqëllimshme ndaj organizatave jofitimprurëse, duke siguruar që masat AML/CFT të mos kufizojnë në mënyrë të panevojshme veprimtarinë e tyre legjitime.</w:t>
            </w:r>
          </w:p>
        </w:tc>
        <w:tc>
          <w:tcPr>
            <w:tcW w:w="1559" w:type="dxa"/>
          </w:tcPr>
          <w:p w14:paraId="156B423A" w14:textId="175D0731" w:rsidR="0019234D" w:rsidRPr="00D72257" w:rsidRDefault="0019234D" w:rsidP="00E366F9">
            <w:pPr>
              <w:tabs>
                <w:tab w:val="left" w:pos="7552"/>
              </w:tabs>
              <w:jc w:val="both"/>
              <w:rPr>
                <w:rFonts w:ascii="Times New Roman" w:hAnsi="Times New Roman"/>
                <w:sz w:val="20"/>
                <w:lang w:val="sq-AL"/>
              </w:rPr>
            </w:pPr>
            <w:r w:rsidRPr="00D72257">
              <w:rPr>
                <w:rFonts w:ascii="Times New Roman" w:hAnsi="Times New Roman"/>
                <w:sz w:val="20"/>
                <w:lang w:val="sq-AL"/>
              </w:rPr>
              <w:lastRenderedPageBreak/>
              <w:t>SCiDEV</w:t>
            </w:r>
          </w:p>
        </w:tc>
        <w:tc>
          <w:tcPr>
            <w:tcW w:w="1276" w:type="dxa"/>
          </w:tcPr>
          <w:p w14:paraId="15025331" w14:textId="323212A3" w:rsidR="0019234D" w:rsidRPr="00BD0407" w:rsidRDefault="0019234D" w:rsidP="00652C10">
            <w:pPr>
              <w:rPr>
                <w:rFonts w:ascii="Times New Roman" w:hAnsi="Times New Roman"/>
                <w:b/>
                <w:sz w:val="20"/>
              </w:rPr>
            </w:pPr>
            <w:r w:rsidRPr="0019234D">
              <w:rPr>
                <w:rFonts w:ascii="Times New Roman" w:hAnsi="Times New Roman"/>
                <w:bCs/>
                <w:sz w:val="20"/>
              </w:rPr>
              <w:t>Refuzuar</w:t>
            </w:r>
          </w:p>
        </w:tc>
        <w:tc>
          <w:tcPr>
            <w:tcW w:w="2693" w:type="dxa"/>
            <w:gridSpan w:val="2"/>
          </w:tcPr>
          <w:p w14:paraId="4ED85FBF" w14:textId="45C70E03" w:rsidR="0019234D" w:rsidRPr="00D72257" w:rsidRDefault="0019234D" w:rsidP="00652C10">
            <w:pPr>
              <w:rPr>
                <w:rFonts w:ascii="Times New Roman" w:hAnsi="Times New Roman"/>
                <w:sz w:val="20"/>
              </w:rPr>
            </w:pPr>
            <w:r w:rsidRPr="00D72257">
              <w:rPr>
                <w:rFonts w:ascii="Times New Roman" w:hAnsi="Times New Roman"/>
                <w:sz w:val="20"/>
              </w:rPr>
              <w:t xml:space="preserve">Termat e përdorur janë pjesë e standardizimit ndërkombëtar. Përkufizimet alternative janë </w:t>
            </w:r>
            <w:r w:rsidRPr="00D72257">
              <w:rPr>
                <w:rFonts w:ascii="Times New Roman" w:hAnsi="Times New Roman"/>
                <w:sz w:val="20"/>
              </w:rPr>
              <w:lastRenderedPageBreak/>
              <w:t>çështje e udhëzimeve zbatimore dhe jo e ndryshimit të tekstit ligjor.</w:t>
            </w:r>
          </w:p>
        </w:tc>
      </w:tr>
      <w:tr w:rsidR="0019234D" w:rsidRPr="00D72257" w14:paraId="0C058F99" w14:textId="147FB4D7" w:rsidTr="0019234D">
        <w:tc>
          <w:tcPr>
            <w:tcW w:w="1843" w:type="dxa"/>
          </w:tcPr>
          <w:p w14:paraId="27EF54A5" w14:textId="6A5B0E4F" w:rsidR="0019234D" w:rsidRPr="00D72257" w:rsidRDefault="0019234D" w:rsidP="00084C8B">
            <w:pPr>
              <w:rPr>
                <w:rFonts w:ascii="Times New Roman" w:hAnsi="Times New Roman"/>
                <w:sz w:val="20"/>
              </w:rPr>
            </w:pPr>
            <w:r w:rsidRPr="00D72257">
              <w:rPr>
                <w:rFonts w:ascii="Times New Roman" w:hAnsi="Times New Roman"/>
                <w:sz w:val="20"/>
              </w:rPr>
              <w:lastRenderedPageBreak/>
              <w:t>Përcaktimi i kritereve objektive dhe autoritetit përgjegjës</w:t>
            </w:r>
          </w:p>
        </w:tc>
        <w:tc>
          <w:tcPr>
            <w:tcW w:w="2977" w:type="dxa"/>
          </w:tcPr>
          <w:p w14:paraId="238EFF0E" w14:textId="3DD95943" w:rsidR="0019234D" w:rsidRPr="00D72257" w:rsidRDefault="0019234D" w:rsidP="00652C10">
            <w:pPr>
              <w:rPr>
                <w:rFonts w:ascii="Times New Roman" w:hAnsi="Times New Roman"/>
                <w:sz w:val="20"/>
              </w:rPr>
            </w:pPr>
            <w:r w:rsidRPr="00D72257">
              <w:rPr>
                <w:rFonts w:ascii="Times New Roman" w:hAnsi="Times New Roman"/>
                <w:sz w:val="20"/>
              </w:rPr>
              <w:t>Për të shmangur interpretime të ndryshme, sugjerojmë të përcaktohen në ligj ose në akt nënligjor të detajuar: • autoriteti përgjegjës për vlerësimin e rrezikut; • kriteret objektive, të bazuara në prova, mbi të cilat do të bazohet klasifikimi; • metodologjia e përdorur, duke u mbështetur te rezultatet e NRA-së; • detyrimi për dokumentim të procesit. Këto elemente do të sigurojnë transparencë, koherencë dhe parandalim të praktikave të paqëllimshme diskriminuese.</w:t>
            </w:r>
          </w:p>
        </w:tc>
        <w:tc>
          <w:tcPr>
            <w:tcW w:w="1559" w:type="dxa"/>
          </w:tcPr>
          <w:p w14:paraId="3FDB9002" w14:textId="3A422A49" w:rsidR="0019234D" w:rsidRPr="00D72257" w:rsidRDefault="0019234D" w:rsidP="00E366F9">
            <w:pPr>
              <w:tabs>
                <w:tab w:val="left" w:pos="7552"/>
              </w:tabs>
              <w:jc w:val="both"/>
              <w:rPr>
                <w:rFonts w:ascii="Times New Roman" w:hAnsi="Times New Roman"/>
                <w:sz w:val="20"/>
                <w:lang w:val="sq-AL"/>
              </w:rPr>
            </w:pPr>
            <w:r w:rsidRPr="00D72257">
              <w:rPr>
                <w:rFonts w:ascii="Times New Roman" w:hAnsi="Times New Roman"/>
                <w:sz w:val="20"/>
                <w:lang w:val="sq-AL"/>
              </w:rPr>
              <w:t>SCiDEV</w:t>
            </w:r>
          </w:p>
        </w:tc>
        <w:tc>
          <w:tcPr>
            <w:tcW w:w="1276" w:type="dxa"/>
          </w:tcPr>
          <w:p w14:paraId="0CC2AEFD" w14:textId="4601C870" w:rsidR="0019234D" w:rsidRPr="00BD0407" w:rsidRDefault="0019234D" w:rsidP="00652C10">
            <w:pPr>
              <w:rPr>
                <w:rFonts w:ascii="Times New Roman" w:hAnsi="Times New Roman"/>
                <w:b/>
                <w:sz w:val="20"/>
              </w:rPr>
            </w:pPr>
            <w:r w:rsidRPr="0019234D">
              <w:rPr>
                <w:rFonts w:ascii="Times New Roman" w:hAnsi="Times New Roman"/>
                <w:bCs/>
                <w:sz w:val="20"/>
              </w:rPr>
              <w:t>Refuzuar</w:t>
            </w:r>
          </w:p>
        </w:tc>
        <w:tc>
          <w:tcPr>
            <w:tcW w:w="2693" w:type="dxa"/>
            <w:gridSpan w:val="2"/>
          </w:tcPr>
          <w:p w14:paraId="653060FC" w14:textId="1ACB398F" w:rsidR="0019234D" w:rsidRPr="00D72257" w:rsidRDefault="0019234D" w:rsidP="00652C10">
            <w:pPr>
              <w:rPr>
                <w:rFonts w:ascii="Times New Roman" w:hAnsi="Times New Roman"/>
                <w:sz w:val="20"/>
              </w:rPr>
            </w:pPr>
            <w:r w:rsidRPr="00D72257">
              <w:rPr>
                <w:rFonts w:ascii="Times New Roman" w:hAnsi="Times New Roman"/>
                <w:sz w:val="20"/>
              </w:rPr>
              <w:t>Kriteret dhe metodologjia e vlerësimit të rrezikut përcaktohen në dokumente teknike të NRA-së, jo në nivel ligji. Ligji ruan fleksibilitetin institucional</w:t>
            </w:r>
          </w:p>
        </w:tc>
      </w:tr>
      <w:tr w:rsidR="0019234D" w:rsidRPr="00D72257" w14:paraId="227228F7" w14:textId="5122DCF0" w:rsidTr="0019234D">
        <w:tc>
          <w:tcPr>
            <w:tcW w:w="1843" w:type="dxa"/>
          </w:tcPr>
          <w:p w14:paraId="5E12A90D" w14:textId="356EE09D" w:rsidR="0019234D" w:rsidRPr="00D72257" w:rsidRDefault="0019234D" w:rsidP="00084C8B">
            <w:pPr>
              <w:rPr>
                <w:rFonts w:ascii="Times New Roman" w:hAnsi="Times New Roman"/>
                <w:sz w:val="20"/>
              </w:rPr>
            </w:pPr>
            <w:r w:rsidRPr="00D72257">
              <w:rPr>
                <w:rFonts w:ascii="Times New Roman" w:hAnsi="Times New Roman"/>
                <w:sz w:val="20"/>
              </w:rPr>
              <w:t>Vendosja e garancive procedurale dhe të drejtës së ankimit</w:t>
            </w:r>
          </w:p>
        </w:tc>
        <w:tc>
          <w:tcPr>
            <w:tcW w:w="2977" w:type="dxa"/>
          </w:tcPr>
          <w:p w14:paraId="0CEC4B44" w14:textId="331555DF" w:rsidR="0019234D" w:rsidRPr="00D72257" w:rsidRDefault="0019234D" w:rsidP="00652C10">
            <w:pPr>
              <w:rPr>
                <w:rFonts w:ascii="Times New Roman" w:hAnsi="Times New Roman"/>
                <w:sz w:val="20"/>
              </w:rPr>
            </w:pPr>
            <w:r w:rsidRPr="00D72257">
              <w:rPr>
                <w:rFonts w:ascii="Times New Roman" w:hAnsi="Times New Roman"/>
                <w:sz w:val="20"/>
              </w:rPr>
              <w:t xml:space="preserve">Për të mbrojtur të drejtat e organizatave, është e nevojshme që ligji të parashikojë: • njoftim paraprak për çdo vlerësim ose klasifikim; • të drejtën e organizatave për të paraqitur informacion shtesë ose kundërshtime të arsyetuara; • mekanizma të qartë ankimi pranë një organi të pavarur administrativ dhe gjithashtu në </w:t>
            </w:r>
            <w:r w:rsidRPr="00D72257">
              <w:rPr>
                <w:rFonts w:ascii="Times New Roman" w:hAnsi="Times New Roman"/>
                <w:sz w:val="20"/>
              </w:rPr>
              <w:lastRenderedPageBreak/>
              <w:t>gjykatë; • afate të arsyeshme për shqyrtimin e ankesave. Këto masa përputhen me standardet e proporcionalitetit dhe sigurojnë që çdo masë të jetë e balancuar dhe e drejtë.</w:t>
            </w:r>
          </w:p>
        </w:tc>
        <w:tc>
          <w:tcPr>
            <w:tcW w:w="1559" w:type="dxa"/>
          </w:tcPr>
          <w:p w14:paraId="601026A0" w14:textId="66E9A004" w:rsidR="0019234D" w:rsidRPr="00D72257" w:rsidRDefault="0019234D" w:rsidP="00E366F9">
            <w:pPr>
              <w:tabs>
                <w:tab w:val="left" w:pos="7552"/>
              </w:tabs>
              <w:jc w:val="both"/>
              <w:rPr>
                <w:rFonts w:ascii="Times New Roman" w:hAnsi="Times New Roman"/>
                <w:sz w:val="20"/>
                <w:lang w:val="sq-AL"/>
              </w:rPr>
            </w:pPr>
            <w:r w:rsidRPr="00D72257">
              <w:rPr>
                <w:rFonts w:ascii="Times New Roman" w:hAnsi="Times New Roman"/>
                <w:sz w:val="20"/>
                <w:lang w:val="sq-AL"/>
              </w:rPr>
              <w:lastRenderedPageBreak/>
              <w:t>SCiDEV</w:t>
            </w:r>
          </w:p>
        </w:tc>
        <w:tc>
          <w:tcPr>
            <w:tcW w:w="1276" w:type="dxa"/>
          </w:tcPr>
          <w:p w14:paraId="106B16A8" w14:textId="4D7346A1" w:rsidR="0019234D" w:rsidRPr="00BD0407" w:rsidRDefault="0019234D" w:rsidP="00652C10">
            <w:pPr>
              <w:rPr>
                <w:rFonts w:ascii="Times New Roman" w:hAnsi="Times New Roman"/>
                <w:b/>
                <w:sz w:val="20"/>
              </w:rPr>
            </w:pPr>
            <w:r w:rsidRPr="0019234D">
              <w:rPr>
                <w:rFonts w:ascii="Times New Roman" w:hAnsi="Times New Roman"/>
                <w:bCs/>
                <w:sz w:val="20"/>
              </w:rPr>
              <w:t>Refuzuar</w:t>
            </w:r>
          </w:p>
        </w:tc>
        <w:tc>
          <w:tcPr>
            <w:tcW w:w="2693" w:type="dxa"/>
            <w:gridSpan w:val="2"/>
          </w:tcPr>
          <w:p w14:paraId="66A6A76F" w14:textId="5A697570" w:rsidR="0019234D" w:rsidRPr="00D72257" w:rsidRDefault="0019234D" w:rsidP="00652C10">
            <w:pPr>
              <w:rPr>
                <w:rFonts w:ascii="Times New Roman" w:hAnsi="Times New Roman"/>
                <w:sz w:val="20"/>
              </w:rPr>
            </w:pPr>
            <w:r w:rsidRPr="00D72257">
              <w:rPr>
                <w:rFonts w:ascii="Times New Roman" w:hAnsi="Times New Roman"/>
                <w:sz w:val="20"/>
              </w:rPr>
              <w:t>Mekanizmat e ankimit dhe njoftimit janë elementë procedurorë që rregullohen me akte nënligjore, jo me dispozita ligjore substantiale</w:t>
            </w:r>
          </w:p>
        </w:tc>
      </w:tr>
      <w:tr w:rsidR="0019234D" w:rsidRPr="00D72257" w14:paraId="72A8C9FD" w14:textId="520D4206" w:rsidTr="0019234D">
        <w:tc>
          <w:tcPr>
            <w:tcW w:w="1843" w:type="dxa"/>
          </w:tcPr>
          <w:p w14:paraId="1EC88FC7" w14:textId="564DE95D" w:rsidR="0019234D" w:rsidRPr="00D72257" w:rsidRDefault="0019234D" w:rsidP="00084C8B">
            <w:pPr>
              <w:rPr>
                <w:rFonts w:ascii="Times New Roman" w:hAnsi="Times New Roman"/>
                <w:sz w:val="20"/>
              </w:rPr>
            </w:pPr>
            <w:r w:rsidRPr="00D72257">
              <w:rPr>
                <w:rFonts w:ascii="Times New Roman" w:hAnsi="Times New Roman"/>
                <w:sz w:val="20"/>
              </w:rPr>
              <w:t>Saktësimi i rregullave për regjistrin e centralizuar të të dhënave</w:t>
            </w:r>
          </w:p>
        </w:tc>
        <w:tc>
          <w:tcPr>
            <w:tcW w:w="2977" w:type="dxa"/>
          </w:tcPr>
          <w:p w14:paraId="0F407CAB" w14:textId="2B71C10A" w:rsidR="0019234D" w:rsidRPr="00D72257" w:rsidRDefault="0019234D" w:rsidP="00652C10">
            <w:pPr>
              <w:rPr>
                <w:rFonts w:ascii="Times New Roman" w:hAnsi="Times New Roman"/>
                <w:sz w:val="20"/>
              </w:rPr>
            </w:pPr>
            <w:r w:rsidRPr="00D72257">
              <w:rPr>
                <w:rFonts w:ascii="Times New Roman" w:hAnsi="Times New Roman"/>
                <w:sz w:val="20"/>
              </w:rPr>
              <w:t>Për të garantuar që sistemi i centralizuar i të dhënave të funksionojë në përputhje me parimet e mbrojtjes së të dhënave, sugjerojmë që të qartësohen: • kategoritë e të dhënave që mund të mblidhen; • qëllimet specifike dhe të kufizuara të përpunimit; • afatet e ruajtjes; • rregullat për aksesin dhe ndarjen e të dhënave me autoritete të tjera; • mbikëqyrja e rregullt nga Komisioneri për të Drejtën e Informimit dhe Mbrojtjen e të Dhënave Personale. Këto elemente janë të domosdoshme për të shmangur mbledhjen joproporcionale të të dhënave dhe për të garantuar përputhshmëri me praktikat e BE-së. Rekomandojmë, gjithashtu, që AIF të publikojë në baza vjetore statistika të përmbledhura mbi: (i) numrin e OJF-ve të vlerësuara si më të ekspozuara ndaj rrezikut, (ii) masat e marra ndaj tyre, dhe (iii) numrin dhe rezultatin e ankesave të trajtuara. Këto të dhëna, në formë të agreguar dhe jokonfidenciale, do të ndihmonin në rritjen e transparencës dhe besimit ndaj sistemit, pa cenuar informacionin e ndjeshëm operacional.</w:t>
            </w:r>
          </w:p>
        </w:tc>
        <w:tc>
          <w:tcPr>
            <w:tcW w:w="1559" w:type="dxa"/>
          </w:tcPr>
          <w:p w14:paraId="37FB6884" w14:textId="18E8BB69" w:rsidR="0019234D" w:rsidRPr="00D72257" w:rsidRDefault="0019234D" w:rsidP="00E366F9">
            <w:pPr>
              <w:tabs>
                <w:tab w:val="left" w:pos="7552"/>
              </w:tabs>
              <w:jc w:val="both"/>
              <w:rPr>
                <w:rFonts w:ascii="Times New Roman" w:hAnsi="Times New Roman"/>
                <w:sz w:val="20"/>
                <w:lang w:val="sq-AL"/>
              </w:rPr>
            </w:pPr>
            <w:r w:rsidRPr="00D72257">
              <w:rPr>
                <w:rFonts w:ascii="Times New Roman" w:hAnsi="Times New Roman"/>
                <w:sz w:val="20"/>
                <w:lang w:val="sq-AL"/>
              </w:rPr>
              <w:t>SCiDEV</w:t>
            </w:r>
          </w:p>
        </w:tc>
        <w:tc>
          <w:tcPr>
            <w:tcW w:w="1276" w:type="dxa"/>
          </w:tcPr>
          <w:p w14:paraId="782F47F6" w14:textId="016BDDB2" w:rsidR="0019234D" w:rsidRPr="00BD0407" w:rsidRDefault="0019234D" w:rsidP="00652C10">
            <w:pPr>
              <w:rPr>
                <w:rFonts w:ascii="Times New Roman" w:hAnsi="Times New Roman"/>
                <w:b/>
                <w:sz w:val="20"/>
              </w:rPr>
            </w:pPr>
            <w:r w:rsidRPr="0019234D">
              <w:rPr>
                <w:rFonts w:ascii="Times New Roman" w:hAnsi="Times New Roman"/>
                <w:bCs/>
                <w:sz w:val="20"/>
              </w:rPr>
              <w:t>Refuzuar</w:t>
            </w:r>
          </w:p>
        </w:tc>
        <w:tc>
          <w:tcPr>
            <w:tcW w:w="2693" w:type="dxa"/>
            <w:gridSpan w:val="2"/>
          </w:tcPr>
          <w:p w14:paraId="42E552DD" w14:textId="2224B8BA" w:rsidR="0019234D" w:rsidRPr="00D72257" w:rsidRDefault="0019234D" w:rsidP="00652C10">
            <w:pPr>
              <w:rPr>
                <w:rFonts w:ascii="Times New Roman" w:hAnsi="Times New Roman"/>
                <w:sz w:val="20"/>
              </w:rPr>
            </w:pPr>
            <w:r w:rsidRPr="00D72257">
              <w:rPr>
                <w:rFonts w:ascii="Times New Roman" w:hAnsi="Times New Roman"/>
                <w:sz w:val="20"/>
              </w:rPr>
              <w:t>Regjistri rregullohet nga ligji për mbrojtjen e të dhënave dhe aktet zbatimore specifike. Ligji nuk përfshin detaje teknike të përpunimit të të dhënave.</w:t>
            </w:r>
          </w:p>
        </w:tc>
      </w:tr>
      <w:tr w:rsidR="0019234D" w:rsidRPr="00D72257" w14:paraId="2E5A4EA6" w14:textId="6F9AAD5F" w:rsidTr="0019234D">
        <w:tc>
          <w:tcPr>
            <w:tcW w:w="1843" w:type="dxa"/>
          </w:tcPr>
          <w:p w14:paraId="36018BBB" w14:textId="2E8E9D57" w:rsidR="0019234D" w:rsidRPr="00D72257" w:rsidRDefault="0019234D" w:rsidP="00084C8B">
            <w:pPr>
              <w:rPr>
                <w:rFonts w:ascii="Times New Roman" w:hAnsi="Times New Roman"/>
                <w:sz w:val="20"/>
              </w:rPr>
            </w:pPr>
            <w:r w:rsidRPr="00D72257">
              <w:rPr>
                <w:rFonts w:ascii="Times New Roman" w:hAnsi="Times New Roman"/>
                <w:sz w:val="20"/>
              </w:rPr>
              <w:t>Formalizimi i pjesëmarrjes së shoqërisë civile në NRA</w:t>
            </w:r>
          </w:p>
        </w:tc>
        <w:tc>
          <w:tcPr>
            <w:tcW w:w="2977" w:type="dxa"/>
          </w:tcPr>
          <w:p w14:paraId="745A5C4C" w14:textId="7041F556" w:rsidR="0019234D" w:rsidRPr="00D72257" w:rsidRDefault="0019234D" w:rsidP="00652C10">
            <w:pPr>
              <w:rPr>
                <w:rFonts w:ascii="Times New Roman" w:hAnsi="Times New Roman"/>
                <w:sz w:val="20"/>
              </w:rPr>
            </w:pPr>
            <w:r w:rsidRPr="00D72257">
              <w:rPr>
                <w:rFonts w:ascii="Times New Roman" w:hAnsi="Times New Roman"/>
                <w:sz w:val="20"/>
              </w:rPr>
              <w:t xml:space="preserve">Rekomandojmë që në ligj ose në akt nënligjor të përfshihet: • një mekanizëm i qëndrueshëm konsultimi me organizatat e shoqërisë civile; • përfaqësim i organizatave në proceset e vlerësimit të rrezikut; • publikimi i rezultatet jo-konfidenciale të NRA-së në një format të qasshëm; • lidhja e qartë midis gjetjeve të NRA-së dhe masave politike që prekin sektorin jofitimprurës. Ky bashkëpunim do të sjellë një vlerësim më gjithëpërfshirës dhe pak më pranë realitetit të funksionimit të sektorit. Ky rol mund të formalizohet përmes krijimit të një Mekanizmi Këshillimor të Përhershëm të Shoqërisë Civile pranë AIF-së ose </w:t>
            </w:r>
            <w:r w:rsidRPr="00D72257">
              <w:rPr>
                <w:rFonts w:ascii="Times New Roman" w:hAnsi="Times New Roman"/>
                <w:sz w:val="20"/>
              </w:rPr>
              <w:lastRenderedPageBreak/>
              <w:t>strukturës përgjegjëse për NRA-në, me mandat të qartë dhe takime periodike.</w:t>
            </w:r>
          </w:p>
        </w:tc>
        <w:tc>
          <w:tcPr>
            <w:tcW w:w="1559" w:type="dxa"/>
          </w:tcPr>
          <w:p w14:paraId="4993C7DE" w14:textId="128BEDA3" w:rsidR="0019234D" w:rsidRPr="00D72257" w:rsidRDefault="0019234D" w:rsidP="00E366F9">
            <w:pPr>
              <w:tabs>
                <w:tab w:val="left" w:pos="7552"/>
              </w:tabs>
              <w:jc w:val="both"/>
              <w:rPr>
                <w:rFonts w:ascii="Times New Roman" w:hAnsi="Times New Roman"/>
                <w:sz w:val="20"/>
                <w:lang w:val="sq-AL"/>
              </w:rPr>
            </w:pPr>
            <w:r w:rsidRPr="00D72257">
              <w:rPr>
                <w:rFonts w:ascii="Times New Roman" w:hAnsi="Times New Roman"/>
                <w:sz w:val="20"/>
                <w:lang w:val="sq-AL"/>
              </w:rPr>
              <w:lastRenderedPageBreak/>
              <w:t>SCiDEV</w:t>
            </w:r>
          </w:p>
        </w:tc>
        <w:tc>
          <w:tcPr>
            <w:tcW w:w="1276" w:type="dxa"/>
          </w:tcPr>
          <w:p w14:paraId="1CBAE747" w14:textId="75CF80D9" w:rsidR="0019234D" w:rsidRPr="00BD0407" w:rsidRDefault="0019234D" w:rsidP="00652C10">
            <w:pPr>
              <w:rPr>
                <w:rFonts w:ascii="Times New Roman" w:hAnsi="Times New Roman"/>
                <w:b/>
                <w:sz w:val="20"/>
              </w:rPr>
            </w:pPr>
            <w:r w:rsidRPr="0019234D">
              <w:rPr>
                <w:rFonts w:ascii="Times New Roman" w:hAnsi="Times New Roman"/>
                <w:bCs/>
                <w:sz w:val="20"/>
              </w:rPr>
              <w:t>Refuzuar</w:t>
            </w:r>
          </w:p>
        </w:tc>
        <w:tc>
          <w:tcPr>
            <w:tcW w:w="2693" w:type="dxa"/>
            <w:gridSpan w:val="2"/>
          </w:tcPr>
          <w:p w14:paraId="45677E05" w14:textId="348F02E6" w:rsidR="0019234D" w:rsidRPr="00D72257" w:rsidRDefault="0019234D" w:rsidP="00652C10">
            <w:pPr>
              <w:rPr>
                <w:rFonts w:ascii="Times New Roman" w:hAnsi="Times New Roman"/>
                <w:sz w:val="20"/>
              </w:rPr>
            </w:pPr>
            <w:r w:rsidRPr="00D72257">
              <w:rPr>
                <w:rFonts w:ascii="Times New Roman" w:hAnsi="Times New Roman"/>
                <w:sz w:val="20"/>
              </w:rPr>
              <w:t>Pjesëmarrja në NRA përcaktohet nga metodologjia e procesit, jo nga ligji substantiv. Strukturat këshilluese krijohen me akte institucionale.</w:t>
            </w:r>
          </w:p>
        </w:tc>
      </w:tr>
      <w:tr w:rsidR="0019234D" w:rsidRPr="00D72257" w14:paraId="23FC5D2D" w14:textId="61EF585E" w:rsidTr="0019234D">
        <w:tc>
          <w:tcPr>
            <w:tcW w:w="1843" w:type="dxa"/>
          </w:tcPr>
          <w:p w14:paraId="4E51B326" w14:textId="34262231" w:rsidR="0019234D" w:rsidRPr="00D72257" w:rsidRDefault="0019234D" w:rsidP="00084C8B">
            <w:pPr>
              <w:rPr>
                <w:rFonts w:ascii="Times New Roman" w:hAnsi="Times New Roman"/>
                <w:sz w:val="20"/>
              </w:rPr>
            </w:pPr>
            <w:r w:rsidRPr="00D72257">
              <w:rPr>
                <w:rFonts w:ascii="Times New Roman" w:hAnsi="Times New Roman"/>
                <w:sz w:val="20"/>
              </w:rPr>
              <w:t>Udhëzime të standardizuara për institucionet financiare</w:t>
            </w:r>
          </w:p>
        </w:tc>
        <w:tc>
          <w:tcPr>
            <w:tcW w:w="2977" w:type="dxa"/>
          </w:tcPr>
          <w:p w14:paraId="2F52914C" w14:textId="61465F15" w:rsidR="0019234D" w:rsidRPr="00D72257" w:rsidRDefault="0019234D" w:rsidP="00652C10">
            <w:pPr>
              <w:rPr>
                <w:rFonts w:ascii="Times New Roman" w:hAnsi="Times New Roman"/>
                <w:sz w:val="20"/>
              </w:rPr>
            </w:pPr>
            <w:r w:rsidRPr="00D72257">
              <w:rPr>
                <w:rFonts w:ascii="Times New Roman" w:hAnsi="Times New Roman"/>
                <w:sz w:val="20"/>
              </w:rPr>
              <w:t>Për të shmangur praktikat e pabarabarta bankare ndaj organizatave, sugjerojmë që Banka e Shqipërisë dhe AIF të hartojnë së bashku udhëzime për institucionet financiare për zbatimin proporcional të detyrimeve të “kujdesit të duhur”. Këto udhëzime duhet të kërkojnë që: • çdo refuzim për hapje ose mbyllje llogarie të argumentohet me shkrim; • të shmanget qasja e përgjithshme e “de-risking”; • të vendoset monitorim periodik i praktikave bankare që prekin OJF-të. Kjo qasje do të sigurojë koherencë dhe transparencë në marrëdhëniet bankare.</w:t>
            </w:r>
          </w:p>
        </w:tc>
        <w:tc>
          <w:tcPr>
            <w:tcW w:w="1559" w:type="dxa"/>
          </w:tcPr>
          <w:p w14:paraId="0D9CD7F2" w14:textId="4A742F71" w:rsidR="0019234D" w:rsidRPr="00D72257" w:rsidRDefault="0019234D" w:rsidP="00E366F9">
            <w:pPr>
              <w:tabs>
                <w:tab w:val="left" w:pos="7552"/>
              </w:tabs>
              <w:jc w:val="both"/>
              <w:rPr>
                <w:rFonts w:ascii="Times New Roman" w:hAnsi="Times New Roman"/>
                <w:sz w:val="20"/>
                <w:lang w:val="sq-AL"/>
              </w:rPr>
            </w:pPr>
            <w:r w:rsidRPr="00D72257">
              <w:rPr>
                <w:rFonts w:ascii="Times New Roman" w:hAnsi="Times New Roman"/>
                <w:sz w:val="20"/>
                <w:lang w:val="sq-AL"/>
              </w:rPr>
              <w:t>SCiDEV</w:t>
            </w:r>
          </w:p>
        </w:tc>
        <w:tc>
          <w:tcPr>
            <w:tcW w:w="1276" w:type="dxa"/>
          </w:tcPr>
          <w:p w14:paraId="4E7B3A97" w14:textId="6D6F0FBD" w:rsidR="0019234D" w:rsidRPr="00BD0407" w:rsidRDefault="0019234D" w:rsidP="00652C10">
            <w:pPr>
              <w:rPr>
                <w:rFonts w:ascii="Times New Roman" w:hAnsi="Times New Roman"/>
                <w:b/>
                <w:sz w:val="20"/>
              </w:rPr>
            </w:pPr>
            <w:r w:rsidRPr="0019234D">
              <w:rPr>
                <w:rFonts w:ascii="Times New Roman" w:hAnsi="Times New Roman"/>
                <w:bCs/>
                <w:sz w:val="20"/>
              </w:rPr>
              <w:t>Refuzuar</w:t>
            </w:r>
          </w:p>
        </w:tc>
        <w:tc>
          <w:tcPr>
            <w:tcW w:w="2693" w:type="dxa"/>
            <w:gridSpan w:val="2"/>
          </w:tcPr>
          <w:p w14:paraId="55150F64" w14:textId="19C88856" w:rsidR="0019234D" w:rsidRPr="00D72257" w:rsidRDefault="0019234D" w:rsidP="00652C10">
            <w:pPr>
              <w:rPr>
                <w:rFonts w:ascii="Times New Roman" w:hAnsi="Times New Roman"/>
                <w:sz w:val="20"/>
              </w:rPr>
            </w:pPr>
            <w:r w:rsidRPr="00D72257">
              <w:rPr>
                <w:rFonts w:ascii="Times New Roman" w:hAnsi="Times New Roman"/>
                <w:sz w:val="20"/>
              </w:rPr>
              <w:t>Praktikat bankare rregullohen nga Banka e Shqipërisë dhe nga udhëzime të përbashkëta teknike, jo nga ky ligj.</w:t>
            </w:r>
          </w:p>
        </w:tc>
      </w:tr>
      <w:tr w:rsidR="0019234D" w:rsidRPr="00D72257" w14:paraId="6EF7D963" w14:textId="39BA88A3" w:rsidTr="0019234D">
        <w:tc>
          <w:tcPr>
            <w:tcW w:w="1843" w:type="dxa"/>
          </w:tcPr>
          <w:p w14:paraId="0E4E9111" w14:textId="4B083268" w:rsidR="0019234D" w:rsidRPr="00D72257" w:rsidRDefault="0019234D" w:rsidP="00084C8B">
            <w:pPr>
              <w:rPr>
                <w:rFonts w:ascii="Times New Roman" w:hAnsi="Times New Roman"/>
                <w:sz w:val="20"/>
              </w:rPr>
            </w:pPr>
            <w:r w:rsidRPr="00D72257">
              <w:rPr>
                <w:rFonts w:ascii="Times New Roman" w:hAnsi="Times New Roman"/>
                <w:sz w:val="20"/>
              </w:rPr>
              <w:t>Nevoja për një vlerësim të ndikimit rregullator</w:t>
            </w:r>
          </w:p>
        </w:tc>
        <w:tc>
          <w:tcPr>
            <w:tcW w:w="2977" w:type="dxa"/>
          </w:tcPr>
          <w:p w14:paraId="771FFAE3" w14:textId="0161836B" w:rsidR="0019234D" w:rsidRPr="00D72257" w:rsidRDefault="0019234D" w:rsidP="00652C10">
            <w:pPr>
              <w:rPr>
                <w:rFonts w:ascii="Times New Roman" w:hAnsi="Times New Roman"/>
                <w:sz w:val="20"/>
              </w:rPr>
            </w:pPr>
            <w:r w:rsidRPr="00D72257">
              <w:rPr>
                <w:rFonts w:ascii="Times New Roman" w:hAnsi="Times New Roman"/>
                <w:sz w:val="20"/>
              </w:rPr>
              <w:t>Përpara miratimit të projektligjit në formën përfundimtare, rekomandojmë zhvillimin e një vlerësimi të detajuar të ndikimit rregullator, i cili të analizojë: • kostot administrative për OJF-të; • efektet potenciale mbi kapacitetin e tyre për të ofruar shërbime; • ndikimet në organizatat me kapacitete më të kufizuara; • implikimet ekonomike, psikologjike dhe operacionale të ndryshimeve. Ky vlerësim është në përputhje me praktikat e mira të qeverisjes dhe kërkesat e ligjit për konsultim publik.</w:t>
            </w:r>
          </w:p>
        </w:tc>
        <w:tc>
          <w:tcPr>
            <w:tcW w:w="1559" w:type="dxa"/>
          </w:tcPr>
          <w:p w14:paraId="20E8BBC5" w14:textId="3066B86E" w:rsidR="0019234D" w:rsidRPr="00D72257" w:rsidRDefault="0019234D" w:rsidP="00E366F9">
            <w:pPr>
              <w:tabs>
                <w:tab w:val="left" w:pos="7552"/>
              </w:tabs>
              <w:jc w:val="both"/>
              <w:rPr>
                <w:rFonts w:ascii="Times New Roman" w:hAnsi="Times New Roman"/>
                <w:sz w:val="20"/>
                <w:lang w:val="sq-AL"/>
              </w:rPr>
            </w:pPr>
            <w:r w:rsidRPr="00D72257">
              <w:rPr>
                <w:rFonts w:ascii="Times New Roman" w:hAnsi="Times New Roman"/>
                <w:sz w:val="20"/>
                <w:lang w:val="sq-AL"/>
              </w:rPr>
              <w:t>SCiDEV</w:t>
            </w:r>
          </w:p>
        </w:tc>
        <w:tc>
          <w:tcPr>
            <w:tcW w:w="1276" w:type="dxa"/>
          </w:tcPr>
          <w:p w14:paraId="1AFE2BBA" w14:textId="58BBABDC" w:rsidR="0019234D" w:rsidRPr="00BD0407" w:rsidRDefault="0019234D" w:rsidP="00652C10">
            <w:pPr>
              <w:rPr>
                <w:rFonts w:ascii="Times New Roman" w:hAnsi="Times New Roman"/>
                <w:b/>
                <w:sz w:val="20"/>
              </w:rPr>
            </w:pPr>
            <w:r w:rsidRPr="0019234D">
              <w:rPr>
                <w:rFonts w:ascii="Times New Roman" w:hAnsi="Times New Roman"/>
                <w:bCs/>
                <w:sz w:val="20"/>
              </w:rPr>
              <w:t>Refuzuar</w:t>
            </w:r>
          </w:p>
        </w:tc>
        <w:tc>
          <w:tcPr>
            <w:tcW w:w="2693" w:type="dxa"/>
            <w:gridSpan w:val="2"/>
          </w:tcPr>
          <w:p w14:paraId="1B783E39" w14:textId="32BD0DD6" w:rsidR="0019234D" w:rsidRPr="00D72257" w:rsidRDefault="0019234D" w:rsidP="00652C10">
            <w:pPr>
              <w:rPr>
                <w:rFonts w:ascii="Times New Roman" w:hAnsi="Times New Roman"/>
                <w:sz w:val="20"/>
              </w:rPr>
            </w:pPr>
            <w:r w:rsidRPr="00D72257">
              <w:rPr>
                <w:rFonts w:ascii="Times New Roman" w:hAnsi="Times New Roman"/>
                <w:sz w:val="20"/>
              </w:rPr>
              <w:t>Vlerësimi i ndikimit kryhet nga institucionet përgjegjëse gjatë procesit të hartimit të ligjit dhe nuk është objekt i dispozitës ligjore vetë</w:t>
            </w:r>
          </w:p>
        </w:tc>
      </w:tr>
      <w:tr w:rsidR="0019234D" w:rsidRPr="00D72257" w14:paraId="7F6DB918" w14:textId="7F517CAA" w:rsidTr="0019234D">
        <w:tc>
          <w:tcPr>
            <w:tcW w:w="1843" w:type="dxa"/>
          </w:tcPr>
          <w:p w14:paraId="5122D8E3" w14:textId="55CC0BDD" w:rsidR="0019234D" w:rsidRPr="00D72257" w:rsidRDefault="0019234D" w:rsidP="00084C8B">
            <w:pPr>
              <w:rPr>
                <w:rFonts w:ascii="Times New Roman" w:hAnsi="Times New Roman"/>
                <w:sz w:val="20"/>
              </w:rPr>
            </w:pPr>
            <w:r w:rsidRPr="00D72257">
              <w:rPr>
                <w:rFonts w:ascii="Times New Roman" w:hAnsi="Times New Roman"/>
                <w:sz w:val="20"/>
              </w:rPr>
              <w:t>Konsultim i zgjeruar dhe gjithëpërfshirës</w:t>
            </w:r>
          </w:p>
        </w:tc>
        <w:tc>
          <w:tcPr>
            <w:tcW w:w="2977" w:type="dxa"/>
          </w:tcPr>
          <w:p w14:paraId="40E7558E" w14:textId="478BD22A" w:rsidR="0019234D" w:rsidRPr="00D72257" w:rsidRDefault="0019234D" w:rsidP="00652C10">
            <w:pPr>
              <w:rPr>
                <w:rFonts w:ascii="Times New Roman" w:hAnsi="Times New Roman"/>
                <w:sz w:val="20"/>
              </w:rPr>
            </w:pPr>
            <w:r w:rsidRPr="00D72257">
              <w:rPr>
                <w:rFonts w:ascii="Times New Roman" w:hAnsi="Times New Roman"/>
                <w:sz w:val="20"/>
              </w:rPr>
              <w:t>Rekomandojmë që procesi i konsultimit të zgjerohet duke përfshirë: • takime tematike me sektorin jofitimprurës; • konsultime me grupet më të prekura, si organizatat e mediave, të drejtave të njeriut, dhe OJFtë lokale; • publikimin e komenteve të marra dhe mënyrën e reflektimit të tyre. Kjo do të kontribuojë në formulimin e një kuadri më të balancuar dhe më të zbatueshëm në praktikë.</w:t>
            </w:r>
          </w:p>
        </w:tc>
        <w:tc>
          <w:tcPr>
            <w:tcW w:w="1559" w:type="dxa"/>
          </w:tcPr>
          <w:p w14:paraId="05CA014E" w14:textId="6FBE307F" w:rsidR="0019234D" w:rsidRPr="00D72257" w:rsidRDefault="0019234D" w:rsidP="00E366F9">
            <w:pPr>
              <w:tabs>
                <w:tab w:val="left" w:pos="7552"/>
              </w:tabs>
              <w:jc w:val="both"/>
              <w:rPr>
                <w:rFonts w:ascii="Times New Roman" w:hAnsi="Times New Roman"/>
                <w:sz w:val="20"/>
                <w:lang w:val="sq-AL"/>
              </w:rPr>
            </w:pPr>
            <w:r w:rsidRPr="00D72257">
              <w:rPr>
                <w:rFonts w:ascii="Times New Roman" w:hAnsi="Times New Roman"/>
                <w:sz w:val="20"/>
                <w:lang w:val="sq-AL"/>
              </w:rPr>
              <w:t>SCiDEV</w:t>
            </w:r>
          </w:p>
        </w:tc>
        <w:tc>
          <w:tcPr>
            <w:tcW w:w="1276" w:type="dxa"/>
          </w:tcPr>
          <w:p w14:paraId="6A0F71FD" w14:textId="3D230A8F" w:rsidR="0019234D" w:rsidRPr="00BD0407" w:rsidRDefault="0019234D" w:rsidP="00652C10">
            <w:pPr>
              <w:rPr>
                <w:rFonts w:ascii="Times New Roman" w:hAnsi="Times New Roman"/>
                <w:b/>
                <w:sz w:val="20"/>
              </w:rPr>
            </w:pPr>
            <w:r w:rsidRPr="0019234D">
              <w:rPr>
                <w:rFonts w:ascii="Times New Roman" w:hAnsi="Times New Roman"/>
                <w:bCs/>
                <w:sz w:val="20"/>
              </w:rPr>
              <w:t>Refuzuar</w:t>
            </w:r>
          </w:p>
        </w:tc>
        <w:tc>
          <w:tcPr>
            <w:tcW w:w="2693" w:type="dxa"/>
            <w:gridSpan w:val="2"/>
          </w:tcPr>
          <w:p w14:paraId="31A0C336" w14:textId="0458D616" w:rsidR="0019234D" w:rsidRPr="00D72257" w:rsidRDefault="0019234D" w:rsidP="00652C10">
            <w:pPr>
              <w:rPr>
                <w:rFonts w:ascii="Times New Roman" w:hAnsi="Times New Roman"/>
                <w:sz w:val="20"/>
              </w:rPr>
            </w:pPr>
            <w:r w:rsidRPr="00D72257">
              <w:rPr>
                <w:rFonts w:ascii="Times New Roman" w:hAnsi="Times New Roman"/>
                <w:sz w:val="20"/>
              </w:rPr>
              <w:t>Procesi i konsultimit publik rregullohet nga ligji për njoftimin dhe konsultimin publik, jo nga ky projektligj; sugjerimi nuk lidhet me përmbajtjen e dispozitës</w:t>
            </w:r>
          </w:p>
        </w:tc>
      </w:tr>
    </w:tbl>
    <w:p w14:paraId="4B7DFAFC" w14:textId="77777777" w:rsidR="005B6D2B" w:rsidRPr="002839C8" w:rsidRDefault="005B6D2B" w:rsidP="002342EA">
      <w:pPr>
        <w:rPr>
          <w:rFonts w:ascii="Times New Roman" w:hAnsi="Times New Roman"/>
          <w:szCs w:val="22"/>
          <w:lang w:val="sq-AL"/>
        </w:rPr>
      </w:pPr>
    </w:p>
    <w:sectPr w:rsidR="005B6D2B" w:rsidRPr="002839C8" w:rsidSect="006144C1">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10C2B" w14:textId="77777777" w:rsidR="0068316D" w:rsidRDefault="0068316D" w:rsidP="005B363D">
      <w:r>
        <w:separator/>
      </w:r>
    </w:p>
  </w:endnote>
  <w:endnote w:type="continuationSeparator" w:id="0">
    <w:p w14:paraId="14067B36" w14:textId="77777777" w:rsidR="0068316D" w:rsidRDefault="0068316D" w:rsidP="005B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538263"/>
      <w:docPartObj>
        <w:docPartGallery w:val="Page Numbers (Bottom of Page)"/>
        <w:docPartUnique/>
      </w:docPartObj>
    </w:sdtPr>
    <w:sdtEndPr>
      <w:rPr>
        <w:noProof/>
      </w:rPr>
    </w:sdtEndPr>
    <w:sdtContent>
      <w:p w14:paraId="43339588" w14:textId="0698B50E" w:rsidR="005B363D" w:rsidRDefault="005B363D">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67575591" w14:textId="77777777" w:rsidR="005B363D" w:rsidRDefault="005B3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F11F" w14:textId="77777777" w:rsidR="0068316D" w:rsidRDefault="0068316D" w:rsidP="005B363D">
      <w:r>
        <w:separator/>
      </w:r>
    </w:p>
  </w:footnote>
  <w:footnote w:type="continuationSeparator" w:id="0">
    <w:p w14:paraId="35B99088" w14:textId="77777777" w:rsidR="0068316D" w:rsidRDefault="0068316D" w:rsidP="005B3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502"/>
    <w:multiLevelType w:val="hybridMultilevel"/>
    <w:tmpl w:val="BABAF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345B2"/>
    <w:multiLevelType w:val="hybridMultilevel"/>
    <w:tmpl w:val="132E4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81126768">
    <w:abstractNumId w:val="0"/>
  </w:num>
  <w:num w:numId="2" w16cid:durableId="1400320128">
    <w:abstractNumId w:val="3"/>
  </w:num>
  <w:num w:numId="3" w16cid:durableId="898636251">
    <w:abstractNumId w:val="4"/>
  </w:num>
  <w:num w:numId="4" w16cid:durableId="187136195">
    <w:abstractNumId w:val="2"/>
  </w:num>
  <w:num w:numId="5" w16cid:durableId="755638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B"/>
    <w:rsid w:val="00001AAF"/>
    <w:rsid w:val="00032C26"/>
    <w:rsid w:val="0004166D"/>
    <w:rsid w:val="00084C8B"/>
    <w:rsid w:val="00103D08"/>
    <w:rsid w:val="00103F36"/>
    <w:rsid w:val="00115C27"/>
    <w:rsid w:val="0012438B"/>
    <w:rsid w:val="00142C72"/>
    <w:rsid w:val="0019234D"/>
    <w:rsid w:val="00196392"/>
    <w:rsid w:val="001C5AC9"/>
    <w:rsid w:val="00211779"/>
    <w:rsid w:val="002342EA"/>
    <w:rsid w:val="00251055"/>
    <w:rsid w:val="00260E60"/>
    <w:rsid w:val="002839C8"/>
    <w:rsid w:val="002B161B"/>
    <w:rsid w:val="0031608F"/>
    <w:rsid w:val="00317F32"/>
    <w:rsid w:val="003252C5"/>
    <w:rsid w:val="00332DB4"/>
    <w:rsid w:val="00435429"/>
    <w:rsid w:val="00445A41"/>
    <w:rsid w:val="00445CC3"/>
    <w:rsid w:val="004C711D"/>
    <w:rsid w:val="004E4C2D"/>
    <w:rsid w:val="00541554"/>
    <w:rsid w:val="005B1920"/>
    <w:rsid w:val="005B363D"/>
    <w:rsid w:val="005B6D2B"/>
    <w:rsid w:val="006355DA"/>
    <w:rsid w:val="00652C10"/>
    <w:rsid w:val="00656BB0"/>
    <w:rsid w:val="0068316D"/>
    <w:rsid w:val="006867DF"/>
    <w:rsid w:val="007419C1"/>
    <w:rsid w:val="00741C60"/>
    <w:rsid w:val="00765F3C"/>
    <w:rsid w:val="007755F2"/>
    <w:rsid w:val="00791C88"/>
    <w:rsid w:val="007B4FDA"/>
    <w:rsid w:val="007C39E4"/>
    <w:rsid w:val="00884A2E"/>
    <w:rsid w:val="008967AB"/>
    <w:rsid w:val="008A1E37"/>
    <w:rsid w:val="008B0269"/>
    <w:rsid w:val="008F44B1"/>
    <w:rsid w:val="0091093C"/>
    <w:rsid w:val="00963283"/>
    <w:rsid w:val="00965584"/>
    <w:rsid w:val="00997D95"/>
    <w:rsid w:val="009B0AB1"/>
    <w:rsid w:val="009B696C"/>
    <w:rsid w:val="009C2049"/>
    <w:rsid w:val="00A06DA1"/>
    <w:rsid w:val="00A11FF9"/>
    <w:rsid w:val="00A121AB"/>
    <w:rsid w:val="00A275E0"/>
    <w:rsid w:val="00A3438A"/>
    <w:rsid w:val="00A4020D"/>
    <w:rsid w:val="00AA6332"/>
    <w:rsid w:val="00AE4B81"/>
    <w:rsid w:val="00B33196"/>
    <w:rsid w:val="00B45AA5"/>
    <w:rsid w:val="00B46858"/>
    <w:rsid w:val="00B639BA"/>
    <w:rsid w:val="00B65F1E"/>
    <w:rsid w:val="00BD0407"/>
    <w:rsid w:val="00BF7776"/>
    <w:rsid w:val="00C20DD3"/>
    <w:rsid w:val="00C22C82"/>
    <w:rsid w:val="00CE170C"/>
    <w:rsid w:val="00D23673"/>
    <w:rsid w:val="00D603DE"/>
    <w:rsid w:val="00D72257"/>
    <w:rsid w:val="00DD5D4E"/>
    <w:rsid w:val="00DD5E48"/>
    <w:rsid w:val="00E20DD9"/>
    <w:rsid w:val="00E366F9"/>
    <w:rsid w:val="00E50A99"/>
    <w:rsid w:val="00E60450"/>
    <w:rsid w:val="00E6253C"/>
    <w:rsid w:val="00E906A3"/>
    <w:rsid w:val="00E946E9"/>
    <w:rsid w:val="00EF0386"/>
    <w:rsid w:val="00F03EFF"/>
    <w:rsid w:val="00F70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F0D7F"/>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6D2B"/>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character" w:styleId="Strong">
    <w:name w:val="Strong"/>
    <w:basedOn w:val="DefaultParagraphFont"/>
    <w:uiPriority w:val="22"/>
    <w:qFormat/>
    <w:rsid w:val="00251055"/>
    <w:rPr>
      <w:b/>
      <w:bCs/>
    </w:rPr>
  </w:style>
  <w:style w:type="paragraph" w:styleId="Header">
    <w:name w:val="header"/>
    <w:basedOn w:val="Normal"/>
    <w:link w:val="HeaderChar"/>
    <w:uiPriority w:val="99"/>
    <w:unhideWhenUsed/>
    <w:rsid w:val="005B363D"/>
    <w:pPr>
      <w:tabs>
        <w:tab w:val="center" w:pos="4513"/>
        <w:tab w:val="right" w:pos="9026"/>
      </w:tabs>
    </w:pPr>
  </w:style>
  <w:style w:type="character" w:customStyle="1" w:styleId="HeaderChar">
    <w:name w:val="Header Char"/>
    <w:basedOn w:val="DefaultParagraphFont"/>
    <w:link w:val="Header"/>
    <w:uiPriority w:val="99"/>
    <w:rsid w:val="005B363D"/>
    <w:rPr>
      <w:rFonts w:ascii="Arial" w:eastAsia="Times New Roman" w:hAnsi="Arial" w:cs="Times New Roman"/>
      <w:sz w:val="22"/>
      <w:szCs w:val="20"/>
      <w:lang w:val="en-GB"/>
    </w:rPr>
  </w:style>
  <w:style w:type="paragraph" w:styleId="Footer">
    <w:name w:val="footer"/>
    <w:basedOn w:val="Normal"/>
    <w:link w:val="FooterChar"/>
    <w:uiPriority w:val="99"/>
    <w:unhideWhenUsed/>
    <w:rsid w:val="005B363D"/>
    <w:pPr>
      <w:tabs>
        <w:tab w:val="center" w:pos="4513"/>
        <w:tab w:val="right" w:pos="9026"/>
      </w:tabs>
    </w:pPr>
  </w:style>
  <w:style w:type="character" w:customStyle="1" w:styleId="FooterChar">
    <w:name w:val="Footer Char"/>
    <w:basedOn w:val="DefaultParagraphFont"/>
    <w:link w:val="Footer"/>
    <w:uiPriority w:val="99"/>
    <w:rsid w:val="005B363D"/>
    <w:rPr>
      <w:rFonts w:ascii="Arial" w:eastAsia="Times New Roman" w:hAnsi="Arial"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7</Pages>
  <Words>2370</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Sofia Kaloshi</cp:lastModifiedBy>
  <cp:revision>19</cp:revision>
  <dcterms:created xsi:type="dcterms:W3CDTF">2025-12-04T07:45:00Z</dcterms:created>
  <dcterms:modified xsi:type="dcterms:W3CDTF">2025-12-23T11:42:00Z</dcterms:modified>
</cp:coreProperties>
</file>