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780" w14:textId="51633243" w:rsidR="00C758D3" w:rsidRPr="009D4C13" w:rsidRDefault="009D4C13" w:rsidP="009D4C13">
      <w:pPr>
        <w:rPr>
          <w:rFonts w:asciiTheme="minorHAnsi" w:hAnsiTheme="minorHAnsi"/>
          <w:b/>
          <w:bCs/>
          <w:iCs/>
          <w:sz w:val="2"/>
          <w:szCs w:val="2"/>
          <w:lang w:val="de-DE" w:bidi="en-GB"/>
        </w:rPr>
      </w:pPr>
      <w:r w:rsidRPr="009D4C13">
        <w:rPr>
          <w:rFonts w:ascii="Times New Roman" w:eastAsiaTheme="minorHAnsi" w:hAnsi="Times New Roman" w:cstheme="minorBidi"/>
          <w:noProof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55DFD958" wp14:editId="3514355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81700" cy="634365"/>
            <wp:effectExtent l="0" t="0" r="0" b="0"/>
            <wp:wrapSquare wrapText="bothSides"/>
            <wp:docPr id="4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183" cy="638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E57AE" w14:textId="28D36403" w:rsidR="009D4C13" w:rsidRPr="009D4C13" w:rsidRDefault="006E50DD" w:rsidP="006E50DD">
      <w:pPr>
        <w:tabs>
          <w:tab w:val="left" w:pos="2880"/>
        </w:tabs>
        <w:spacing w:line="276" w:lineRule="auto"/>
        <w:rPr>
          <w:rFonts w:ascii="Times New Roman" w:eastAsiaTheme="minorHAnsi" w:hAnsi="Times New Roman" w:cstheme="minorBidi"/>
          <w:b/>
          <w:szCs w:val="22"/>
          <w:lang w:val="en-US"/>
        </w:rPr>
      </w:pPr>
      <w:r>
        <w:rPr>
          <w:rFonts w:ascii="Times New Roman" w:eastAsiaTheme="minorHAnsi" w:hAnsi="Times New Roman" w:cstheme="minorBidi"/>
          <w:b/>
          <w:szCs w:val="22"/>
          <w:lang w:val="en-US"/>
        </w:rPr>
        <w:t xml:space="preserve">                                                          </w:t>
      </w:r>
      <w:r w:rsidR="009D4C13" w:rsidRPr="009D4C13">
        <w:rPr>
          <w:rFonts w:ascii="Times New Roman" w:eastAsiaTheme="minorHAnsi" w:hAnsi="Times New Roman" w:cstheme="minorBidi"/>
          <w:b/>
          <w:szCs w:val="22"/>
          <w:lang w:val="en-US"/>
        </w:rPr>
        <w:t>KËSHILLI I MINISTRAVE</w:t>
      </w:r>
    </w:p>
    <w:p w14:paraId="13B65B78" w14:textId="77777777" w:rsidR="009D4C13" w:rsidRPr="009D4C13" w:rsidRDefault="009D4C13" w:rsidP="009D4C13">
      <w:pPr>
        <w:tabs>
          <w:tab w:val="left" w:pos="2880"/>
        </w:tabs>
        <w:spacing w:line="276" w:lineRule="auto"/>
        <w:jc w:val="center"/>
        <w:rPr>
          <w:rFonts w:ascii="Times New Roman" w:eastAsiaTheme="minorHAnsi" w:hAnsi="Times New Roman" w:cstheme="minorBidi"/>
          <w:b/>
          <w:szCs w:val="22"/>
          <w:lang w:val="en-US"/>
        </w:rPr>
      </w:pPr>
      <w:r w:rsidRPr="009D4C13">
        <w:rPr>
          <w:rFonts w:ascii="Times New Roman" w:eastAsiaTheme="minorHAnsi" w:hAnsi="Times New Roman" w:cstheme="minorBidi"/>
          <w:b/>
          <w:szCs w:val="22"/>
          <w:lang w:val="en-US"/>
        </w:rPr>
        <w:t>AGJENCIA KOMBËTARE E SHOQËRISË SË INFORMACIONIT</w:t>
      </w:r>
    </w:p>
    <w:p w14:paraId="73896B52" w14:textId="77777777" w:rsidR="00C758D3" w:rsidRDefault="00C758D3" w:rsidP="00C758D3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79E7101D" w14:textId="77777777" w:rsidR="00C758D3" w:rsidRDefault="00C758D3" w:rsidP="00C758D3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306214F5" w14:textId="77777777" w:rsidR="00C758D3" w:rsidRDefault="00C758D3" w:rsidP="00C758D3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B103EA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</w:t>
      </w:r>
      <w:r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it</w:t>
      </w:r>
      <w:r w:rsidRPr="00B103EA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 xml:space="preserve"> publik</w:t>
      </w:r>
    </w:p>
    <w:p w14:paraId="3DCACE8D" w14:textId="77777777" w:rsidR="00C758D3" w:rsidRDefault="00C758D3" w:rsidP="00C758D3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</w:p>
    <w:p w14:paraId="2862BF01" w14:textId="77777777" w:rsidR="00C758D3" w:rsidRPr="00B237E2" w:rsidRDefault="00C758D3" w:rsidP="00C758D3">
      <w:pPr>
        <w:rPr>
          <w:rFonts w:ascii="Times New Roman" w:hAnsi="Times New Roman"/>
          <w:b/>
          <w:bCs/>
          <w:iCs/>
          <w:sz w:val="2"/>
          <w:szCs w:val="2"/>
          <w:lang w:val="de-DE" w:bidi="en-GB"/>
        </w:rPr>
      </w:pPr>
    </w:p>
    <w:p w14:paraId="6F4663A6" w14:textId="77777777" w:rsidR="00C758D3" w:rsidRPr="00B103EA" w:rsidRDefault="00C758D3" w:rsidP="00C758D3">
      <w:pPr>
        <w:rPr>
          <w:rFonts w:ascii="Times New Roman" w:hAnsi="Times New Roman"/>
          <w:sz w:val="24"/>
          <w:szCs w:val="24"/>
          <w:lang w:val="de-DE"/>
        </w:rPr>
      </w:pPr>
    </w:p>
    <w:p w14:paraId="7A69D2C9" w14:textId="77777777" w:rsidR="00C758D3" w:rsidRPr="00201457" w:rsidRDefault="00C758D3" w:rsidP="00C758D3">
      <w:pPr>
        <w:pStyle w:val="ListParagraph"/>
        <w:numPr>
          <w:ilvl w:val="0"/>
          <w:numId w:val="1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20145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201457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47B3ACE8" w14:textId="12BD14A6" w:rsidR="00C758D3" w:rsidRPr="00B237E2" w:rsidRDefault="003401D3" w:rsidP="00C758D3">
      <w:pPr>
        <w:ind w:left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Projektvendimi </w:t>
      </w:r>
      <w:r w:rsidRPr="00DD2004">
        <w:rPr>
          <w:rFonts w:ascii="Times New Roman" w:hAnsi="Times New Roman"/>
          <w:bCs/>
          <w:i/>
          <w:iCs/>
          <w:sz w:val="24"/>
          <w:szCs w:val="24"/>
          <w:lang w:val="sq-AL"/>
        </w:rPr>
        <w:t>“Për miratimin e Strategjisë Kombëtare të Inteligjencës Artificiale të Shqipërisë 2025–2030 dhe të Planit të Veprimit”</w:t>
      </w:r>
      <w:r>
        <w:rPr>
          <w:rFonts w:ascii="Times New Roman" w:hAnsi="Times New Roman"/>
          <w:bCs/>
          <w:i/>
          <w:iCs/>
          <w:sz w:val="24"/>
          <w:szCs w:val="24"/>
          <w:lang w:val="sq-AL"/>
        </w:rPr>
        <w:t>.</w:t>
      </w:r>
    </w:p>
    <w:p w14:paraId="52FD243C" w14:textId="77777777" w:rsidR="00C758D3" w:rsidRPr="00E60450" w:rsidRDefault="00C758D3" w:rsidP="00C758D3">
      <w:pPr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5463F779" w14:textId="77777777" w:rsidR="00C758D3" w:rsidRPr="00201457" w:rsidRDefault="00C758D3" w:rsidP="00C758D3">
      <w:pPr>
        <w:pStyle w:val="ListParagraph"/>
        <w:numPr>
          <w:ilvl w:val="0"/>
          <w:numId w:val="1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20145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1A19C975" w14:textId="2EF3E9DC" w:rsidR="00C758D3" w:rsidRPr="00B103EA" w:rsidRDefault="00C758D3" w:rsidP="00C758D3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03EA">
        <w:rPr>
          <w:rFonts w:ascii="Times New Roman" w:hAnsi="Times New Roman"/>
          <w:sz w:val="24"/>
          <w:szCs w:val="24"/>
        </w:rPr>
        <w:t>Kohëzgjatja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103EA">
        <w:rPr>
          <w:rFonts w:ascii="Times New Roman" w:hAnsi="Times New Roman"/>
          <w:sz w:val="24"/>
          <w:szCs w:val="24"/>
        </w:rPr>
        <w:t>konsultimit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sz w:val="24"/>
          <w:szCs w:val="24"/>
        </w:rPr>
        <w:t>publi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sz w:val="24"/>
          <w:szCs w:val="24"/>
        </w:rPr>
        <w:t>për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sz w:val="24"/>
          <w:szCs w:val="24"/>
        </w:rPr>
        <w:t>këtë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sz w:val="24"/>
          <w:szCs w:val="24"/>
        </w:rPr>
        <w:t>projektakt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sz w:val="24"/>
          <w:szCs w:val="24"/>
        </w:rPr>
        <w:t>ish</w:t>
      </w:r>
      <w:r>
        <w:rPr>
          <w:rFonts w:ascii="Times New Roman" w:hAnsi="Times New Roman"/>
          <w:sz w:val="24"/>
          <w:szCs w:val="24"/>
        </w:rPr>
        <w:t>t</w:t>
      </w:r>
      <w:r w:rsidRPr="00B103EA">
        <w:rPr>
          <w:rFonts w:ascii="Times New Roman" w:hAnsi="Times New Roman"/>
          <w:sz w:val="24"/>
          <w:szCs w:val="24"/>
        </w:rPr>
        <w:t>e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B103EA">
        <w:rPr>
          <w:rFonts w:ascii="Times New Roman" w:hAnsi="Times New Roman"/>
          <w:sz w:val="24"/>
          <w:szCs w:val="24"/>
        </w:rPr>
        <w:t>ditë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sz w:val="24"/>
          <w:szCs w:val="24"/>
        </w:rPr>
        <w:t>pune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(</w:t>
      </w:r>
      <w:r w:rsidR="00516D67" w:rsidRPr="00897E29">
        <w:rPr>
          <w:rFonts w:ascii="Times New Roman" w:hAnsi="Times New Roman"/>
          <w:color w:val="000000"/>
          <w:sz w:val="24"/>
          <w:szCs w:val="24"/>
          <w:lang w:val="it-IT"/>
        </w:rPr>
        <w:t>14.08.2025 –1</w:t>
      </w:r>
      <w:r w:rsidR="00516D67">
        <w:rPr>
          <w:rFonts w:ascii="Times New Roman" w:hAnsi="Times New Roman"/>
          <w:color w:val="000000"/>
          <w:sz w:val="24"/>
          <w:szCs w:val="24"/>
          <w:lang w:val="it-IT"/>
        </w:rPr>
        <w:t>1</w:t>
      </w:r>
      <w:r w:rsidR="00516D67" w:rsidRPr="00897E29">
        <w:rPr>
          <w:rFonts w:ascii="Times New Roman" w:hAnsi="Times New Roman"/>
          <w:color w:val="000000"/>
          <w:sz w:val="24"/>
          <w:szCs w:val="24"/>
          <w:lang w:val="it-IT"/>
        </w:rPr>
        <w:t>.09.2025</w:t>
      </w:r>
      <w:r w:rsidRPr="00B103EA">
        <w:rPr>
          <w:rFonts w:ascii="Times New Roman" w:hAnsi="Times New Roman"/>
          <w:sz w:val="24"/>
          <w:szCs w:val="24"/>
        </w:rPr>
        <w:t>).</w:t>
      </w:r>
    </w:p>
    <w:p w14:paraId="6A524194" w14:textId="77777777" w:rsidR="00C758D3" w:rsidRPr="00E60450" w:rsidRDefault="00C758D3" w:rsidP="00C758D3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70AAADD1" w14:textId="77777777" w:rsidR="00C758D3" w:rsidRPr="00B237E2" w:rsidRDefault="00C758D3" w:rsidP="00C758D3">
      <w:pPr>
        <w:ind w:left="360"/>
        <w:jc w:val="both"/>
        <w:rPr>
          <w:rFonts w:asciiTheme="minorHAnsi" w:hAnsiTheme="minorHAnsi" w:cstheme="minorHAnsi"/>
          <w:i/>
          <w:iCs/>
          <w:sz w:val="12"/>
          <w:szCs w:val="14"/>
        </w:rPr>
      </w:pPr>
    </w:p>
    <w:p w14:paraId="5EDB3012" w14:textId="77777777" w:rsidR="00C758D3" w:rsidRPr="00201457" w:rsidRDefault="00C758D3" w:rsidP="00C758D3">
      <w:pPr>
        <w:pStyle w:val="ListParagraph"/>
        <w:numPr>
          <w:ilvl w:val="0"/>
          <w:numId w:val="1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20145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9D01A34" w14:textId="77777777" w:rsidR="00C758D3" w:rsidRPr="00B103EA" w:rsidRDefault="00C758D3" w:rsidP="00C758D3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03EA">
        <w:rPr>
          <w:rFonts w:ascii="Times New Roman" w:hAnsi="Times New Roman"/>
          <w:sz w:val="24"/>
          <w:szCs w:val="24"/>
        </w:rPr>
        <w:t>Metodat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103EA">
        <w:rPr>
          <w:rFonts w:ascii="Times New Roman" w:hAnsi="Times New Roman"/>
          <w:sz w:val="24"/>
          <w:szCs w:val="24"/>
        </w:rPr>
        <w:t>përdorua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sz w:val="24"/>
          <w:szCs w:val="24"/>
        </w:rPr>
        <w:t>për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sz w:val="24"/>
          <w:szCs w:val="24"/>
        </w:rPr>
        <w:t>këtë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sz w:val="24"/>
          <w:szCs w:val="24"/>
        </w:rPr>
        <w:t>projektakt</w:t>
      </w:r>
      <w:proofErr w:type="spellEnd"/>
      <w:r w:rsidRPr="00B103EA">
        <w:rPr>
          <w:rFonts w:ascii="Times New Roman" w:hAnsi="Times New Roman"/>
          <w:sz w:val="24"/>
          <w:szCs w:val="24"/>
        </w:rPr>
        <w:t xml:space="preserve">: </w:t>
      </w:r>
    </w:p>
    <w:p w14:paraId="5F89F370" w14:textId="77777777" w:rsidR="00C758D3" w:rsidRPr="00B103EA" w:rsidRDefault="00C758D3" w:rsidP="00C758D3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4CF285" w14:textId="77777777" w:rsidR="00C758D3" w:rsidRPr="00B103EA" w:rsidRDefault="00C758D3" w:rsidP="00C758D3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103EA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B103EA">
        <w:rPr>
          <w:rFonts w:ascii="Times New Roman" w:hAnsi="Times New Roman"/>
          <w:i/>
          <w:iCs/>
          <w:sz w:val="24"/>
          <w:szCs w:val="24"/>
        </w:rPr>
        <w:t xml:space="preserve"> Elektronik</w:t>
      </w:r>
      <w:r>
        <w:rPr>
          <w:rFonts w:ascii="Times New Roman" w:hAnsi="Times New Roman"/>
          <w:i/>
          <w:iCs/>
          <w:sz w:val="24"/>
          <w:szCs w:val="24"/>
        </w:rPr>
        <w:t xml:space="preserve"> (RENJK)</w:t>
      </w:r>
    </w:p>
    <w:p w14:paraId="0500A233" w14:textId="77777777" w:rsidR="00C758D3" w:rsidRPr="00B103EA" w:rsidRDefault="00C758D3" w:rsidP="00C758D3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</w:t>
      </w:r>
      <w:r w:rsidRPr="00B103EA">
        <w:rPr>
          <w:rFonts w:ascii="Times New Roman" w:hAnsi="Times New Roman"/>
          <w:i/>
          <w:iCs/>
          <w:sz w:val="24"/>
          <w:szCs w:val="24"/>
        </w:rPr>
        <w:t xml:space="preserve">osta </w:t>
      </w:r>
      <w:proofErr w:type="spellStart"/>
      <w:r w:rsidRPr="00B103EA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</w:p>
    <w:p w14:paraId="3A29DB92" w14:textId="69D533F8" w:rsidR="00C758D3" w:rsidRPr="006B62E4" w:rsidRDefault="00C758D3" w:rsidP="00C758D3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Takime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240A8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="00D240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240A8">
        <w:rPr>
          <w:rFonts w:ascii="Times New Roman" w:hAnsi="Times New Roman"/>
          <w:i/>
          <w:iCs/>
          <w:sz w:val="24"/>
          <w:szCs w:val="24"/>
        </w:rPr>
        <w:t>fizike</w:t>
      </w:r>
      <w:proofErr w:type="spellEnd"/>
      <w:r w:rsidR="00D240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240A8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="00D240A8">
        <w:rPr>
          <w:rFonts w:ascii="Times New Roman" w:hAnsi="Times New Roman"/>
          <w:i/>
          <w:iCs/>
          <w:sz w:val="24"/>
          <w:szCs w:val="24"/>
        </w:rPr>
        <w:t xml:space="preserve"> online</w:t>
      </w:r>
    </w:p>
    <w:p w14:paraId="72D93B30" w14:textId="77777777" w:rsidR="00C758D3" w:rsidRPr="00B237E2" w:rsidRDefault="00C758D3" w:rsidP="00C758D3">
      <w:pPr>
        <w:ind w:left="360"/>
        <w:jc w:val="both"/>
        <w:rPr>
          <w:rFonts w:asciiTheme="minorHAnsi" w:hAnsiTheme="minorHAnsi" w:cstheme="minorHAnsi"/>
          <w:sz w:val="4"/>
          <w:szCs w:val="6"/>
          <w:lang w:val="de-DE"/>
        </w:rPr>
      </w:pPr>
    </w:p>
    <w:p w14:paraId="12C0A7C3" w14:textId="77777777" w:rsidR="00C758D3" w:rsidRPr="00E60450" w:rsidRDefault="00C758D3" w:rsidP="00C758D3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14:paraId="03F0991E" w14:textId="77777777" w:rsidR="00C758D3" w:rsidRPr="00201457" w:rsidRDefault="00C758D3" w:rsidP="00C758D3">
      <w:pPr>
        <w:pStyle w:val="ListParagraph"/>
        <w:numPr>
          <w:ilvl w:val="0"/>
          <w:numId w:val="1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20145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20145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20145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01457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402ECCFE" w14:textId="77777777" w:rsidR="00C758D3" w:rsidRDefault="00C758D3" w:rsidP="00C758D3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B103EA">
        <w:rPr>
          <w:rFonts w:ascii="Times New Roman" w:hAnsi="Times New Roman"/>
          <w:iCs/>
          <w:sz w:val="24"/>
          <w:szCs w:val="24"/>
        </w:rPr>
        <w:t>Palët</w:t>
      </w:r>
      <w:proofErr w:type="spellEnd"/>
      <w:r w:rsidRPr="00B103EA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B103EA">
        <w:rPr>
          <w:rFonts w:ascii="Times New Roman" w:hAnsi="Times New Roman"/>
          <w:iCs/>
          <w:sz w:val="24"/>
          <w:szCs w:val="24"/>
        </w:rPr>
        <w:t>përfshira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këtë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proces</w:t>
      </w:r>
      <w:proofErr w:type="spellEnd"/>
      <w:r w:rsidRPr="00B103E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ishin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iCs/>
          <w:sz w:val="24"/>
          <w:szCs w:val="24"/>
        </w:rPr>
        <w:t>institucione</w:t>
      </w:r>
      <w:r>
        <w:rPr>
          <w:rFonts w:ascii="Times New Roman" w:hAnsi="Times New Roman"/>
          <w:iCs/>
          <w:sz w:val="24"/>
          <w:szCs w:val="24"/>
        </w:rPr>
        <w:t>t</w:t>
      </w:r>
      <w:proofErr w:type="spellEnd"/>
      <w:r w:rsidRPr="00B103E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B103E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iCs/>
          <w:sz w:val="24"/>
          <w:szCs w:val="24"/>
        </w:rPr>
        <w:t>cilat</w:t>
      </w:r>
      <w:proofErr w:type="spellEnd"/>
      <w:r w:rsidRPr="00B103E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iCs/>
          <w:sz w:val="24"/>
          <w:szCs w:val="24"/>
        </w:rPr>
        <w:t>kanë</w:t>
      </w:r>
      <w:proofErr w:type="spellEnd"/>
      <w:r w:rsidRPr="00B103E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iCs/>
          <w:sz w:val="24"/>
          <w:szCs w:val="24"/>
        </w:rPr>
        <w:t>dhënë</w:t>
      </w:r>
      <w:proofErr w:type="spellEnd"/>
      <w:r w:rsidRPr="00B103E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103EA">
        <w:rPr>
          <w:rFonts w:ascii="Times New Roman" w:hAnsi="Times New Roman"/>
          <w:iCs/>
          <w:sz w:val="24"/>
          <w:szCs w:val="24"/>
        </w:rPr>
        <w:t>komentet</w:t>
      </w:r>
      <w:proofErr w:type="spellEnd"/>
      <w:r w:rsidRPr="00B103EA">
        <w:rPr>
          <w:rFonts w:ascii="Times New Roman" w:hAnsi="Times New Roman"/>
          <w:iCs/>
          <w:sz w:val="24"/>
          <w:szCs w:val="24"/>
        </w:rPr>
        <w:t xml:space="preserve">/ </w:t>
      </w:r>
      <w:proofErr w:type="spellStart"/>
      <w:r w:rsidRPr="00B103EA">
        <w:rPr>
          <w:rFonts w:ascii="Times New Roman" w:hAnsi="Times New Roman"/>
          <w:iCs/>
          <w:sz w:val="24"/>
          <w:szCs w:val="24"/>
        </w:rPr>
        <w:t>sugjerimet</w:t>
      </w:r>
      <w:proofErr w:type="spellEnd"/>
      <w:r w:rsidRPr="00B103EA">
        <w:rPr>
          <w:rFonts w:ascii="Times New Roman" w:hAnsi="Times New Roman"/>
          <w:iCs/>
          <w:sz w:val="24"/>
          <w:szCs w:val="24"/>
        </w:rPr>
        <w:t xml:space="preserve"> e tyre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shoqëria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civile.</w:t>
      </w:r>
    </w:p>
    <w:p w14:paraId="594D362A" w14:textId="77777777" w:rsidR="00AC0C54" w:rsidRDefault="00AC0C54" w:rsidP="00C758D3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6BA4B0F3" w14:textId="08E00517" w:rsidR="00F37E8B" w:rsidRDefault="00C758D3" w:rsidP="00F37E8B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8230BD">
        <w:rPr>
          <w:rFonts w:ascii="Times New Roman" w:hAnsi="Times New Roman"/>
          <w:iCs/>
          <w:sz w:val="24"/>
          <w:szCs w:val="24"/>
        </w:rPr>
        <w:t>Lidhur</w:t>
      </w:r>
      <w:proofErr w:type="spellEnd"/>
      <w:r w:rsidRPr="008230BD">
        <w:rPr>
          <w:rFonts w:ascii="Times New Roman" w:hAnsi="Times New Roman"/>
          <w:iCs/>
          <w:sz w:val="24"/>
          <w:szCs w:val="24"/>
        </w:rPr>
        <w:t xml:space="preserve"> me </w:t>
      </w:r>
      <w:proofErr w:type="spellStart"/>
      <w:r w:rsidRPr="008230BD">
        <w:rPr>
          <w:rFonts w:ascii="Times New Roman" w:hAnsi="Times New Roman"/>
          <w:iCs/>
          <w:sz w:val="24"/>
          <w:szCs w:val="24"/>
        </w:rPr>
        <w:t>këtë</w:t>
      </w:r>
      <w:proofErr w:type="spellEnd"/>
      <w:r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30BD">
        <w:rPr>
          <w:rFonts w:ascii="Times New Roman" w:hAnsi="Times New Roman"/>
          <w:iCs/>
          <w:sz w:val="24"/>
          <w:szCs w:val="24"/>
        </w:rPr>
        <w:t>projek</w:t>
      </w:r>
      <w:r w:rsidR="00075903" w:rsidRPr="008230BD">
        <w:rPr>
          <w:rFonts w:ascii="Times New Roman" w:hAnsi="Times New Roman"/>
          <w:iCs/>
          <w:sz w:val="24"/>
          <w:szCs w:val="24"/>
        </w:rPr>
        <w:t>vendim</w:t>
      </w:r>
      <w:proofErr w:type="spellEnd"/>
      <w:r w:rsidR="00075903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5903" w:rsidRPr="008230BD">
        <w:rPr>
          <w:rFonts w:ascii="Times New Roman" w:hAnsi="Times New Roman"/>
          <w:iCs/>
          <w:sz w:val="24"/>
          <w:szCs w:val="24"/>
        </w:rPr>
        <w:t>jan</w:t>
      </w:r>
      <w:r w:rsidR="0054278E" w:rsidRPr="008230BD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075903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5903" w:rsidRPr="008230BD">
        <w:rPr>
          <w:rFonts w:ascii="Times New Roman" w:hAnsi="Times New Roman"/>
          <w:iCs/>
          <w:sz w:val="24"/>
          <w:szCs w:val="24"/>
        </w:rPr>
        <w:t>zhvilluar</w:t>
      </w:r>
      <w:proofErr w:type="spellEnd"/>
      <w:r w:rsidR="00075903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5903" w:rsidRPr="008230BD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="00075903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5903" w:rsidRPr="008230BD">
        <w:rPr>
          <w:rFonts w:ascii="Times New Roman" w:hAnsi="Times New Roman"/>
          <w:iCs/>
          <w:sz w:val="24"/>
          <w:szCs w:val="24"/>
        </w:rPr>
        <w:t>takime</w:t>
      </w:r>
      <w:proofErr w:type="spellEnd"/>
      <w:r w:rsidR="00D454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454BD">
        <w:rPr>
          <w:rFonts w:ascii="Times New Roman" w:hAnsi="Times New Roman"/>
          <w:iCs/>
          <w:sz w:val="24"/>
          <w:szCs w:val="24"/>
        </w:rPr>
        <w:t>nj</w:t>
      </w:r>
      <w:r w:rsidR="008230BD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7D1DC0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D1DC0" w:rsidRPr="008230BD">
        <w:rPr>
          <w:rFonts w:ascii="Times New Roman" w:hAnsi="Times New Roman"/>
          <w:iCs/>
          <w:sz w:val="24"/>
          <w:szCs w:val="24"/>
        </w:rPr>
        <w:t>takim</w:t>
      </w:r>
      <w:proofErr w:type="spellEnd"/>
      <w:r w:rsidR="007D1DC0" w:rsidRPr="008230BD">
        <w:rPr>
          <w:rFonts w:ascii="Times New Roman" w:hAnsi="Times New Roman"/>
          <w:iCs/>
          <w:sz w:val="24"/>
          <w:szCs w:val="24"/>
        </w:rPr>
        <w:t xml:space="preserve"> online </w:t>
      </w:r>
      <w:proofErr w:type="spellStart"/>
      <w:r w:rsidR="007D1DC0" w:rsidRPr="008230BD">
        <w:rPr>
          <w:rFonts w:ascii="Times New Roman" w:hAnsi="Times New Roman"/>
          <w:iCs/>
          <w:sz w:val="24"/>
          <w:szCs w:val="24"/>
        </w:rPr>
        <w:t>t</w:t>
      </w:r>
      <w:r w:rsidR="008230BD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7D1DC0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D1DC0" w:rsidRPr="008230BD">
        <w:rPr>
          <w:rFonts w:ascii="Times New Roman" w:hAnsi="Times New Roman"/>
          <w:iCs/>
          <w:sz w:val="24"/>
          <w:szCs w:val="24"/>
        </w:rPr>
        <w:t>zhvilluar</w:t>
      </w:r>
      <w:proofErr w:type="spellEnd"/>
      <w:r w:rsidR="007D1DC0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D1DC0" w:rsidRPr="008230BD">
        <w:rPr>
          <w:rFonts w:ascii="Times New Roman" w:hAnsi="Times New Roman"/>
          <w:iCs/>
          <w:sz w:val="24"/>
          <w:szCs w:val="24"/>
        </w:rPr>
        <w:t>m</w:t>
      </w:r>
      <w:r w:rsidR="008230BD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7D1DC0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D1DC0" w:rsidRPr="008230BD">
        <w:rPr>
          <w:rFonts w:ascii="Times New Roman" w:hAnsi="Times New Roman"/>
          <w:iCs/>
          <w:sz w:val="24"/>
          <w:szCs w:val="24"/>
        </w:rPr>
        <w:t>dat</w:t>
      </w:r>
      <w:r w:rsidR="008230BD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7D1DC0" w:rsidRPr="008230BD">
        <w:rPr>
          <w:rFonts w:ascii="Times New Roman" w:hAnsi="Times New Roman"/>
          <w:iCs/>
          <w:sz w:val="24"/>
          <w:szCs w:val="24"/>
        </w:rPr>
        <w:t xml:space="preserve"> </w:t>
      </w:r>
      <w:r w:rsidR="00727E26" w:rsidRPr="008230BD">
        <w:rPr>
          <w:rFonts w:ascii="Times New Roman" w:hAnsi="Times New Roman"/>
          <w:iCs/>
          <w:sz w:val="24"/>
          <w:szCs w:val="24"/>
        </w:rPr>
        <w:t>28.08</w:t>
      </w:r>
      <w:r w:rsidR="00FA0858">
        <w:rPr>
          <w:rFonts w:ascii="Times New Roman" w:hAnsi="Times New Roman"/>
          <w:iCs/>
          <w:sz w:val="24"/>
          <w:szCs w:val="24"/>
        </w:rPr>
        <w:t>.</w:t>
      </w:r>
      <w:r w:rsidR="00727E26" w:rsidRPr="008230BD">
        <w:rPr>
          <w:rFonts w:ascii="Times New Roman" w:hAnsi="Times New Roman"/>
          <w:iCs/>
          <w:sz w:val="24"/>
          <w:szCs w:val="24"/>
        </w:rPr>
        <w:t xml:space="preserve">2025 </w:t>
      </w:r>
      <w:r w:rsidR="00F37E8B" w:rsidRPr="008230BD">
        <w:rPr>
          <w:rFonts w:ascii="Times New Roman" w:hAnsi="Times New Roman"/>
          <w:iCs/>
          <w:sz w:val="24"/>
          <w:szCs w:val="24"/>
        </w:rPr>
        <w:t xml:space="preserve">me </w:t>
      </w:r>
      <w:proofErr w:type="spellStart"/>
      <w:r w:rsidR="00F37E8B" w:rsidRPr="008230BD">
        <w:rPr>
          <w:rFonts w:ascii="Times New Roman" w:hAnsi="Times New Roman"/>
          <w:iCs/>
          <w:sz w:val="24"/>
          <w:szCs w:val="24"/>
        </w:rPr>
        <w:t>pjes</w:t>
      </w:r>
      <w:r w:rsidR="008230BD">
        <w:rPr>
          <w:rFonts w:ascii="Times New Roman" w:hAnsi="Times New Roman"/>
          <w:iCs/>
          <w:sz w:val="24"/>
          <w:szCs w:val="24"/>
        </w:rPr>
        <w:t>ë</w:t>
      </w:r>
      <w:r w:rsidR="00F37E8B" w:rsidRPr="008230BD">
        <w:rPr>
          <w:rFonts w:ascii="Times New Roman" w:hAnsi="Times New Roman"/>
          <w:iCs/>
          <w:sz w:val="24"/>
          <w:szCs w:val="24"/>
        </w:rPr>
        <w:t>marr</w:t>
      </w:r>
      <w:r w:rsidR="008230BD">
        <w:rPr>
          <w:rFonts w:ascii="Times New Roman" w:hAnsi="Times New Roman"/>
          <w:iCs/>
          <w:sz w:val="24"/>
          <w:szCs w:val="24"/>
        </w:rPr>
        <w:t>ë</w:t>
      </w:r>
      <w:r w:rsidR="00F37E8B" w:rsidRPr="008230BD">
        <w:rPr>
          <w:rFonts w:ascii="Times New Roman" w:hAnsi="Times New Roman"/>
          <w:iCs/>
          <w:sz w:val="24"/>
          <w:szCs w:val="24"/>
        </w:rPr>
        <w:t>s</w:t>
      </w:r>
      <w:proofErr w:type="spellEnd"/>
      <w:r w:rsidR="00F37E8B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37E8B" w:rsidRPr="008230BD">
        <w:rPr>
          <w:rFonts w:ascii="Times New Roman" w:hAnsi="Times New Roman"/>
          <w:iCs/>
          <w:sz w:val="24"/>
          <w:szCs w:val="24"/>
        </w:rPr>
        <w:t>nga</w:t>
      </w:r>
      <w:proofErr w:type="spellEnd"/>
      <w:r w:rsidR="00F37E8B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A0858">
        <w:rPr>
          <w:rFonts w:ascii="Times New Roman" w:hAnsi="Times New Roman"/>
          <w:iCs/>
          <w:sz w:val="24"/>
          <w:szCs w:val="24"/>
        </w:rPr>
        <w:t>akademia</w:t>
      </w:r>
      <w:proofErr w:type="spellEnd"/>
      <w:r w:rsidR="00F37E8B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37E8B" w:rsidRPr="008230BD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F37E8B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37E8B" w:rsidRPr="008230BD">
        <w:rPr>
          <w:rFonts w:ascii="Times New Roman" w:hAnsi="Times New Roman"/>
          <w:iCs/>
          <w:sz w:val="24"/>
          <w:szCs w:val="24"/>
        </w:rPr>
        <w:t>nga</w:t>
      </w:r>
      <w:proofErr w:type="spellEnd"/>
      <w:r w:rsidR="00F37E8B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37E8B" w:rsidRPr="008230BD">
        <w:rPr>
          <w:rFonts w:ascii="Times New Roman" w:hAnsi="Times New Roman"/>
          <w:iCs/>
          <w:sz w:val="24"/>
          <w:szCs w:val="24"/>
        </w:rPr>
        <w:t>sektori</w:t>
      </w:r>
      <w:proofErr w:type="spellEnd"/>
      <w:r w:rsidR="00F37E8B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37E8B" w:rsidRPr="008230BD">
        <w:rPr>
          <w:rFonts w:ascii="Times New Roman" w:hAnsi="Times New Roman"/>
          <w:iCs/>
          <w:sz w:val="24"/>
          <w:szCs w:val="24"/>
        </w:rPr>
        <w:t>privat</w:t>
      </w:r>
      <w:proofErr w:type="spellEnd"/>
      <w:r w:rsidR="00FA085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A0858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FA085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A0858">
        <w:rPr>
          <w:rFonts w:ascii="Times New Roman" w:hAnsi="Times New Roman"/>
          <w:iCs/>
          <w:sz w:val="24"/>
          <w:szCs w:val="24"/>
        </w:rPr>
        <w:t>një</w:t>
      </w:r>
      <w:proofErr w:type="spellEnd"/>
      <w:r w:rsidR="00FA085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A0858">
        <w:rPr>
          <w:rFonts w:ascii="Times New Roman" w:hAnsi="Times New Roman"/>
          <w:iCs/>
          <w:sz w:val="24"/>
          <w:szCs w:val="24"/>
        </w:rPr>
        <w:t>takim</w:t>
      </w:r>
      <w:proofErr w:type="spellEnd"/>
      <w:r w:rsidR="00FA085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A0858">
        <w:rPr>
          <w:rFonts w:ascii="Times New Roman" w:hAnsi="Times New Roman"/>
          <w:iCs/>
          <w:sz w:val="24"/>
          <w:szCs w:val="24"/>
        </w:rPr>
        <w:t>fizik</w:t>
      </w:r>
      <w:proofErr w:type="spellEnd"/>
      <w:r w:rsidR="00FA085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A0858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FA085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A0858">
        <w:rPr>
          <w:rFonts w:ascii="Times New Roman" w:hAnsi="Times New Roman"/>
          <w:iCs/>
          <w:sz w:val="24"/>
          <w:szCs w:val="24"/>
        </w:rPr>
        <w:t>zhvilluar</w:t>
      </w:r>
      <w:proofErr w:type="spellEnd"/>
      <w:r w:rsidR="00FA085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A0858">
        <w:rPr>
          <w:rFonts w:ascii="Times New Roman" w:hAnsi="Times New Roman"/>
          <w:iCs/>
          <w:sz w:val="24"/>
          <w:szCs w:val="24"/>
        </w:rPr>
        <w:t>m</w:t>
      </w:r>
      <w:r w:rsidR="00D454BD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FA085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A0858">
        <w:rPr>
          <w:rFonts w:ascii="Times New Roman" w:hAnsi="Times New Roman"/>
          <w:iCs/>
          <w:sz w:val="24"/>
          <w:szCs w:val="24"/>
        </w:rPr>
        <w:t>dat</w:t>
      </w:r>
      <w:r w:rsidR="00D454BD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FA0858">
        <w:rPr>
          <w:rFonts w:ascii="Times New Roman" w:hAnsi="Times New Roman"/>
          <w:iCs/>
          <w:sz w:val="24"/>
          <w:szCs w:val="24"/>
        </w:rPr>
        <w:t xml:space="preserve"> </w:t>
      </w:r>
      <w:r w:rsidR="00492FE3" w:rsidRPr="008230BD">
        <w:rPr>
          <w:rFonts w:ascii="Times New Roman" w:hAnsi="Times New Roman"/>
          <w:iCs/>
          <w:sz w:val="24"/>
          <w:szCs w:val="24"/>
        </w:rPr>
        <w:t xml:space="preserve">9.09.2025 </w:t>
      </w:r>
      <w:r w:rsidR="008230BD" w:rsidRPr="008230BD">
        <w:rPr>
          <w:rFonts w:ascii="Times New Roman" w:hAnsi="Times New Roman"/>
          <w:iCs/>
          <w:sz w:val="24"/>
          <w:szCs w:val="24"/>
        </w:rPr>
        <w:t xml:space="preserve">me </w:t>
      </w:r>
      <w:proofErr w:type="spellStart"/>
      <w:r w:rsidR="008230BD" w:rsidRPr="008230BD">
        <w:rPr>
          <w:rFonts w:ascii="Times New Roman" w:hAnsi="Times New Roman"/>
          <w:iCs/>
          <w:sz w:val="24"/>
          <w:szCs w:val="24"/>
        </w:rPr>
        <w:t>pjes</w:t>
      </w:r>
      <w:r w:rsidR="008230BD">
        <w:rPr>
          <w:rFonts w:ascii="Times New Roman" w:hAnsi="Times New Roman"/>
          <w:iCs/>
          <w:sz w:val="24"/>
          <w:szCs w:val="24"/>
        </w:rPr>
        <w:t>ë</w:t>
      </w:r>
      <w:r w:rsidR="008230BD" w:rsidRPr="008230BD">
        <w:rPr>
          <w:rFonts w:ascii="Times New Roman" w:hAnsi="Times New Roman"/>
          <w:iCs/>
          <w:sz w:val="24"/>
          <w:szCs w:val="24"/>
        </w:rPr>
        <w:t>marr</w:t>
      </w:r>
      <w:r w:rsidR="00FA0858">
        <w:rPr>
          <w:rFonts w:ascii="Times New Roman" w:hAnsi="Times New Roman"/>
          <w:iCs/>
          <w:sz w:val="24"/>
          <w:szCs w:val="24"/>
        </w:rPr>
        <w:t>ës</w:t>
      </w:r>
      <w:proofErr w:type="spellEnd"/>
      <w:r w:rsidR="00FA085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8230BD" w:rsidRPr="008230BD">
        <w:rPr>
          <w:rFonts w:ascii="Times New Roman" w:hAnsi="Times New Roman"/>
          <w:iCs/>
          <w:sz w:val="24"/>
          <w:szCs w:val="24"/>
        </w:rPr>
        <w:t>nga</w:t>
      </w:r>
      <w:proofErr w:type="spellEnd"/>
      <w:r w:rsidR="008230BD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8230BD" w:rsidRPr="008230BD">
        <w:rPr>
          <w:rFonts w:ascii="Times New Roman" w:hAnsi="Times New Roman"/>
          <w:iCs/>
          <w:sz w:val="24"/>
          <w:szCs w:val="24"/>
        </w:rPr>
        <w:t>sektori</w:t>
      </w:r>
      <w:proofErr w:type="spellEnd"/>
      <w:r w:rsidR="008230BD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8230BD" w:rsidRPr="008230BD">
        <w:rPr>
          <w:rFonts w:ascii="Times New Roman" w:hAnsi="Times New Roman"/>
          <w:iCs/>
          <w:sz w:val="24"/>
          <w:szCs w:val="24"/>
        </w:rPr>
        <w:t>privat</w:t>
      </w:r>
      <w:proofErr w:type="spellEnd"/>
      <w:r w:rsidR="008230BD" w:rsidRPr="008230BD">
        <w:rPr>
          <w:rFonts w:ascii="Times New Roman" w:hAnsi="Times New Roman"/>
          <w:iCs/>
          <w:sz w:val="24"/>
          <w:szCs w:val="24"/>
        </w:rPr>
        <w:t xml:space="preserve">, partner </w:t>
      </w:r>
      <w:proofErr w:type="spellStart"/>
      <w:r w:rsidR="008230BD" w:rsidRPr="008230BD">
        <w:rPr>
          <w:rFonts w:ascii="Times New Roman" w:hAnsi="Times New Roman"/>
          <w:iCs/>
          <w:sz w:val="24"/>
          <w:szCs w:val="24"/>
        </w:rPr>
        <w:t>nd</w:t>
      </w:r>
      <w:r w:rsidR="008230BD">
        <w:rPr>
          <w:rFonts w:ascii="Times New Roman" w:hAnsi="Times New Roman"/>
          <w:iCs/>
          <w:sz w:val="24"/>
          <w:szCs w:val="24"/>
        </w:rPr>
        <w:t>ë</w:t>
      </w:r>
      <w:r w:rsidR="008230BD" w:rsidRPr="008230BD">
        <w:rPr>
          <w:rFonts w:ascii="Times New Roman" w:hAnsi="Times New Roman"/>
          <w:iCs/>
          <w:sz w:val="24"/>
          <w:szCs w:val="24"/>
        </w:rPr>
        <w:t>rkomb</w:t>
      </w:r>
      <w:r w:rsidR="008230BD">
        <w:rPr>
          <w:rFonts w:ascii="Times New Roman" w:hAnsi="Times New Roman"/>
          <w:iCs/>
          <w:sz w:val="24"/>
          <w:szCs w:val="24"/>
        </w:rPr>
        <w:t>ë</w:t>
      </w:r>
      <w:r w:rsidR="008230BD" w:rsidRPr="008230BD">
        <w:rPr>
          <w:rFonts w:ascii="Times New Roman" w:hAnsi="Times New Roman"/>
          <w:iCs/>
          <w:sz w:val="24"/>
          <w:szCs w:val="24"/>
        </w:rPr>
        <w:t>tare</w:t>
      </w:r>
      <w:proofErr w:type="spellEnd"/>
      <w:r w:rsidR="008230BD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8230BD" w:rsidRPr="008230BD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8230BD" w:rsidRPr="008230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8230BD" w:rsidRPr="008230BD">
        <w:rPr>
          <w:rFonts w:ascii="Times New Roman" w:hAnsi="Times New Roman"/>
          <w:iCs/>
          <w:sz w:val="24"/>
          <w:szCs w:val="24"/>
        </w:rPr>
        <w:t>akademia</w:t>
      </w:r>
      <w:proofErr w:type="spellEnd"/>
      <w:r w:rsidR="008230BD" w:rsidRPr="008230BD">
        <w:rPr>
          <w:rFonts w:ascii="Times New Roman" w:hAnsi="Times New Roman"/>
          <w:iCs/>
          <w:sz w:val="24"/>
          <w:szCs w:val="24"/>
        </w:rPr>
        <w:t>.</w:t>
      </w:r>
      <w:r w:rsidR="008230BD">
        <w:rPr>
          <w:rFonts w:ascii="Times New Roman" w:hAnsi="Times New Roman"/>
          <w:iCs/>
          <w:sz w:val="24"/>
          <w:szCs w:val="24"/>
        </w:rPr>
        <w:t xml:space="preserve"> </w:t>
      </w:r>
    </w:p>
    <w:p w14:paraId="71B9EB99" w14:textId="77777777" w:rsidR="008230BD" w:rsidRDefault="008230BD" w:rsidP="00F37E8B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6E559FAE" w14:textId="54EDC828" w:rsidR="00C758D3" w:rsidRPr="000963E9" w:rsidRDefault="00C758D3" w:rsidP="007D1DC0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0963E9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0963E9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0963E9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0963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0963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0963E9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0963E9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0963E9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0963E9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0963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0963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0963E9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0963E9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65DBCCBF" w14:textId="77777777" w:rsidR="00C758D3" w:rsidRPr="000963E9" w:rsidRDefault="00C758D3" w:rsidP="00C758D3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propozimet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>;</w:t>
      </w:r>
    </w:p>
    <w:p w14:paraId="3C4AA303" w14:textId="77777777" w:rsidR="00C758D3" w:rsidRPr="000963E9" w:rsidRDefault="00C758D3" w:rsidP="00C758D3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>;</w:t>
      </w:r>
    </w:p>
    <w:p w14:paraId="165C8BF3" w14:textId="77777777" w:rsidR="00C758D3" w:rsidRPr="000963E9" w:rsidRDefault="00C758D3" w:rsidP="00C758D3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963E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0963E9">
        <w:rPr>
          <w:rFonts w:ascii="Times New Roman" w:hAnsi="Times New Roman"/>
          <w:i/>
          <w:iCs/>
          <w:sz w:val="24"/>
          <w:szCs w:val="24"/>
        </w:rPr>
        <w:t>.</w:t>
      </w:r>
    </w:p>
    <w:p w14:paraId="7771A54B" w14:textId="77777777" w:rsidR="00C758D3" w:rsidRPr="00E60450" w:rsidRDefault="00C758D3" w:rsidP="00C758D3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tbl>
      <w:tblPr>
        <w:tblStyle w:val="TableGrid"/>
        <w:tblW w:w="101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469"/>
        <w:gridCol w:w="3301"/>
        <w:gridCol w:w="1260"/>
        <w:gridCol w:w="1170"/>
        <w:gridCol w:w="2970"/>
      </w:tblGrid>
      <w:tr w:rsidR="003B055B" w:rsidRPr="00E60450" w14:paraId="203886C2" w14:textId="77777777" w:rsidTr="0067729F">
        <w:tc>
          <w:tcPr>
            <w:tcW w:w="1469" w:type="dxa"/>
            <w:hideMark/>
          </w:tcPr>
          <w:p w14:paraId="5DDF1B0A" w14:textId="77777777" w:rsidR="00C758D3" w:rsidRPr="00345585" w:rsidRDefault="00C758D3" w:rsidP="007267A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585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34558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45585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</w:p>
          <w:p w14:paraId="531D44F2" w14:textId="77777777" w:rsidR="00C758D3" w:rsidRPr="00345585" w:rsidRDefault="00C758D3" w:rsidP="007267A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55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rregullimi</w:t>
            </w:r>
            <w:proofErr w:type="spell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345585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3301" w:type="dxa"/>
            <w:hideMark/>
          </w:tcPr>
          <w:p w14:paraId="24EACA7D" w14:textId="77777777" w:rsidR="00C758D3" w:rsidRPr="00345585" w:rsidRDefault="00C758D3" w:rsidP="007267A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585">
              <w:rPr>
                <w:rFonts w:ascii="Times New Roman" w:hAnsi="Times New Roman"/>
                <w:sz w:val="24"/>
                <w:szCs w:val="24"/>
              </w:rPr>
              <w:lastRenderedPageBreak/>
              <w:t>Komenti</w:t>
            </w:r>
            <w:proofErr w:type="spellEnd"/>
          </w:p>
          <w:p w14:paraId="5E66D754" w14:textId="77777777" w:rsidR="00C758D3" w:rsidRPr="00345585" w:rsidRDefault="00C758D3" w:rsidP="007267A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260" w:type="dxa"/>
            <w:hideMark/>
          </w:tcPr>
          <w:p w14:paraId="2A5F9B04" w14:textId="77777777" w:rsidR="00C758D3" w:rsidRPr="00345585" w:rsidRDefault="00C758D3" w:rsidP="007267A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585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34558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45585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345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të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345585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70" w:type="dxa"/>
            <w:hideMark/>
          </w:tcPr>
          <w:p w14:paraId="30CAB8B4" w14:textId="77777777" w:rsidR="00C758D3" w:rsidRPr="00345585" w:rsidRDefault="00C758D3" w:rsidP="007267A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585">
              <w:rPr>
                <w:rFonts w:ascii="Times New Roman" w:hAnsi="Times New Roman"/>
                <w:sz w:val="24"/>
                <w:szCs w:val="24"/>
              </w:rPr>
              <w:lastRenderedPageBreak/>
              <w:t>Vendimi</w:t>
            </w:r>
            <w:proofErr w:type="spellEnd"/>
            <w:r w:rsidRPr="00345585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345585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345585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345585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345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585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345585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345585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3455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0" w:type="dxa"/>
            <w:hideMark/>
          </w:tcPr>
          <w:p w14:paraId="6C1C9978" w14:textId="77777777" w:rsidR="00C758D3" w:rsidRPr="00345585" w:rsidRDefault="00C758D3" w:rsidP="007267A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85">
              <w:rPr>
                <w:rFonts w:ascii="Times New Roman" w:hAnsi="Times New Roman"/>
                <w:sz w:val="24"/>
                <w:szCs w:val="24"/>
              </w:rPr>
              <w:t>Justifikimi</w:t>
            </w:r>
          </w:p>
        </w:tc>
      </w:tr>
      <w:tr w:rsidR="003B055B" w:rsidRPr="00E60450" w14:paraId="1FA9F20E" w14:textId="77777777" w:rsidTr="0067729F">
        <w:tc>
          <w:tcPr>
            <w:tcW w:w="1469" w:type="dxa"/>
          </w:tcPr>
          <w:p w14:paraId="33968530" w14:textId="0C92BDA4" w:rsidR="00C758D3" w:rsidRPr="00093AF5" w:rsidRDefault="00266982" w:rsidP="00283AC7">
            <w:pPr>
              <w:pStyle w:val="NormalWeb"/>
              <w:jc w:val="both"/>
            </w:pPr>
            <w:proofErr w:type="spellStart"/>
            <w:r>
              <w:t>Rregullim</w:t>
            </w:r>
            <w:proofErr w:type="spellEnd"/>
            <w:r>
              <w:t xml:space="preserve"> </w:t>
            </w:r>
            <w:proofErr w:type="spellStart"/>
            <w:r w:rsidR="002B53D8">
              <w:t>n</w:t>
            </w:r>
            <w:r w:rsidR="008230BD">
              <w:t>ë</w:t>
            </w:r>
            <w:proofErr w:type="spellEnd"/>
            <w:r w:rsidR="002B53D8">
              <w:t xml:space="preserve"> </w:t>
            </w:r>
            <w:proofErr w:type="spellStart"/>
            <w:r w:rsidR="002B53D8">
              <w:t>ndarjen</w:t>
            </w:r>
            <w:proofErr w:type="spellEnd"/>
            <w:r w:rsidR="002B53D8">
              <w:t xml:space="preserve"> e </w:t>
            </w:r>
            <w:proofErr w:type="spellStart"/>
            <w:r w:rsidR="002B53D8">
              <w:t>kapitujve</w:t>
            </w:r>
            <w:proofErr w:type="spellEnd"/>
            <w:r w:rsidR="002B53D8">
              <w:t>,</w:t>
            </w:r>
            <w:r w:rsidR="001512E8">
              <w:t xml:space="preserve"> </w:t>
            </w:r>
            <w:proofErr w:type="spellStart"/>
            <w:r w:rsidR="001512E8">
              <w:t>shtim</w:t>
            </w:r>
            <w:proofErr w:type="spellEnd"/>
            <w:r w:rsidR="001512E8">
              <w:t xml:space="preserve"> </w:t>
            </w:r>
            <w:proofErr w:type="spellStart"/>
            <w:r w:rsidR="001512E8">
              <w:t>objektivash</w:t>
            </w:r>
            <w:proofErr w:type="spellEnd"/>
            <w:r w:rsidR="001512E8">
              <w:t xml:space="preserve"> </w:t>
            </w:r>
          </w:p>
        </w:tc>
        <w:tc>
          <w:tcPr>
            <w:tcW w:w="3301" w:type="dxa"/>
          </w:tcPr>
          <w:p w14:paraId="44DFDE4E" w14:textId="485720C7" w:rsidR="00C758D3" w:rsidRPr="00E60450" w:rsidRDefault="00283AC7" w:rsidP="00891317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91317">
              <w:rPr>
                <w:rStyle w:val="Strong"/>
                <w:b w:val="0"/>
                <w:bCs w:val="0"/>
                <w:lang w:val="it-IT"/>
              </w:rPr>
              <w:t xml:space="preserve">Komentet e Bankës Botërore u fokusuan kryesisht te rëndësia e të dhënave si bazë për zhvillimin e inteligjencës artificiale. U theksua nevoja për prioritizimin e dataset-eve të gatshme për IA, standardet e cilësisë dhe rolet e qarta për menaxhimin e tyre. </w:t>
            </w:r>
          </w:p>
        </w:tc>
        <w:tc>
          <w:tcPr>
            <w:tcW w:w="1260" w:type="dxa"/>
          </w:tcPr>
          <w:p w14:paraId="17CFBF1D" w14:textId="74658CB6" w:rsidR="004B4A6E" w:rsidRPr="00A673F4" w:rsidRDefault="004B4A6E" w:rsidP="004B4A6E">
            <w:pPr>
              <w:pStyle w:val="NormalWeb"/>
              <w:jc w:val="both"/>
              <w:rPr>
                <w:rStyle w:val="Strong"/>
                <w:lang w:val="it-IT"/>
              </w:rPr>
            </w:pPr>
            <w:r w:rsidRPr="00A673F4">
              <w:rPr>
                <w:rStyle w:val="Strong"/>
                <w:lang w:val="it-IT"/>
              </w:rPr>
              <w:t>Banka Botërore (</w:t>
            </w:r>
            <w:r w:rsidR="00511E71">
              <w:rPr>
                <w:rStyle w:val="Strong"/>
                <w:lang w:val="it-IT"/>
              </w:rPr>
              <w:t>W</w:t>
            </w:r>
            <w:r w:rsidRPr="00A673F4">
              <w:rPr>
                <w:rStyle w:val="Strong"/>
                <w:lang w:val="it-IT"/>
              </w:rPr>
              <w:t>BG)</w:t>
            </w:r>
          </w:p>
          <w:p w14:paraId="5B602E00" w14:textId="2C504D3B" w:rsidR="00C758D3" w:rsidRPr="00093AF5" w:rsidRDefault="00C758D3" w:rsidP="007267A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D1A3C6" w14:textId="23CD60BA" w:rsidR="00C758D3" w:rsidRPr="00093AF5" w:rsidRDefault="0083531E" w:rsidP="007267A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proofErr w:type="spellEnd"/>
            <w:r w:rsidR="004E3A5A" w:rsidRPr="00A673F4">
              <w:rPr>
                <w:rStyle w:val="Strong"/>
                <w:b w:val="0"/>
                <w:bCs w:val="0"/>
                <w:lang w:val="it-IT"/>
              </w:rPr>
              <w:t>ë</w:t>
            </w:r>
            <w:r w:rsidR="004E3A5A">
              <w:rPr>
                <w:rStyle w:val="Strong"/>
                <w:b w:val="0"/>
                <w:bCs w:val="0"/>
                <w:lang w:val="it-IT"/>
              </w:rPr>
              <w:t>risht</w:t>
            </w:r>
          </w:p>
        </w:tc>
        <w:tc>
          <w:tcPr>
            <w:tcW w:w="2970" w:type="dxa"/>
          </w:tcPr>
          <w:p w14:paraId="663A69C4" w14:textId="43E1EDC7" w:rsidR="007015DB" w:rsidRPr="00A673F4" w:rsidRDefault="007015DB" w:rsidP="007015DB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A673F4">
              <w:rPr>
                <w:rStyle w:val="Strong"/>
                <w:b w:val="0"/>
                <w:bCs w:val="0"/>
                <w:lang w:val="it-IT"/>
              </w:rPr>
              <w:t xml:space="preserve">Sugjerimi për përfshirjen e Shqipërisë në AI </w:t>
            </w:r>
            <w:r w:rsidR="00511E71">
              <w:rPr>
                <w:rStyle w:val="Strong"/>
                <w:b w:val="0"/>
                <w:bCs w:val="0"/>
                <w:lang w:val="it-IT"/>
              </w:rPr>
              <w:t>W</w:t>
            </w:r>
            <w:r w:rsidRPr="00A673F4">
              <w:rPr>
                <w:rStyle w:val="Strong"/>
                <w:b w:val="0"/>
                <w:bCs w:val="0"/>
                <w:lang w:val="it-IT"/>
              </w:rPr>
              <w:t>orking Group nuk është reflektuar, pasi kërkon vendim politik dhe resurse shtesë. Komenti për financimin e ambicies është reflektuar, duke u shtuar një kapitull mbi buxhetimin shumëvjeçar. Vërejtja për strukturën jo homogjene të kapitujve është marrë në konsideratë dhe dokumenti është ristrukturuar. Për fushën e edukimit, rekomandimi për objektiva të matshme mbi numrin e të trajnuarve është reflektuar me shtimin e një objektivi konkret për trajnimin e mësuesve dhe studentëve deri në vitin 2030.</w:t>
            </w:r>
          </w:p>
          <w:p w14:paraId="10CCE640" w14:textId="77777777" w:rsidR="00C758D3" w:rsidRPr="00E60450" w:rsidRDefault="00C758D3" w:rsidP="007267A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B055B" w:rsidRPr="00E60450" w14:paraId="02FC431F" w14:textId="77777777" w:rsidTr="00B55B7E">
        <w:tc>
          <w:tcPr>
            <w:tcW w:w="1469" w:type="dxa"/>
          </w:tcPr>
          <w:p w14:paraId="55B7C908" w14:textId="38E40D21" w:rsidR="00C758D3" w:rsidRPr="00447FD8" w:rsidRDefault="008E4274" w:rsidP="007267A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Krijimi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11E7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</w:t>
            </w:r>
            <w:r w:rsidR="008230BD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kornize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monitorimi</w:t>
            </w:r>
            <w:proofErr w:type="spellEnd"/>
          </w:p>
        </w:tc>
        <w:tc>
          <w:tcPr>
            <w:tcW w:w="3301" w:type="dxa"/>
          </w:tcPr>
          <w:p w14:paraId="498B4DA5" w14:textId="0AD16823" w:rsidR="00B55B7E" w:rsidRPr="00B55B7E" w:rsidRDefault="00B55B7E" w:rsidP="00B55B7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B7E">
              <w:rPr>
                <w:rFonts w:ascii="Times New Roman" w:hAnsi="Times New Roman"/>
                <w:sz w:val="24"/>
                <w:szCs w:val="24"/>
              </w:rPr>
              <w:t xml:space="preserve">UNDP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vlerësoi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fokusin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strategjisë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modernizimin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administratës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harmonizimin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kuadrin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ligjor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BE-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sugjeroi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fusha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Sugjerojw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krijimin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kornize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monitorimi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vlerësimi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projektet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pilot,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konsolidimin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asistentëve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digjitalë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5B7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integrimin</w:t>
            </w:r>
            <w:proofErr w:type="spellEnd"/>
            <w:proofErr w:type="gram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matricës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riskut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sektorët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ndjeshëm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shëndetësia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B7E">
              <w:rPr>
                <w:rFonts w:ascii="Times New Roman" w:hAnsi="Times New Roman"/>
                <w:sz w:val="24"/>
                <w:szCs w:val="24"/>
              </w:rPr>
              <w:t>drejtësia</w:t>
            </w:r>
            <w:proofErr w:type="spellEnd"/>
            <w:r w:rsidRPr="00B55B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2E7D0D" w14:textId="77777777" w:rsidR="00B55B7E" w:rsidRDefault="00B55B7E" w:rsidP="00B55B7E">
            <w:pPr>
              <w:rPr>
                <w:b/>
                <w:bCs/>
                <w:szCs w:val="22"/>
              </w:rPr>
            </w:pPr>
          </w:p>
          <w:p w14:paraId="38C6DFBD" w14:textId="4107CA9C" w:rsidR="00C758D3" w:rsidRPr="00447FD8" w:rsidRDefault="00C758D3" w:rsidP="00644B4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5985EB" w14:textId="77777777" w:rsidR="00644B42" w:rsidRPr="00A673F4" w:rsidRDefault="00644B42" w:rsidP="00644B42">
            <w:pPr>
              <w:pStyle w:val="NormalWeb"/>
              <w:jc w:val="both"/>
              <w:rPr>
                <w:rStyle w:val="Strong"/>
                <w:lang w:val="it-IT"/>
              </w:rPr>
            </w:pPr>
            <w:r w:rsidRPr="00A673F4">
              <w:rPr>
                <w:rStyle w:val="Strong"/>
                <w:lang w:val="it-IT"/>
              </w:rPr>
              <w:t>Programi i Kombeve të Bashkuara për Zhvillim (UNDP)</w:t>
            </w:r>
          </w:p>
          <w:p w14:paraId="40822CBA" w14:textId="24DBC677" w:rsidR="00C758D3" w:rsidRPr="00447FD8" w:rsidRDefault="00C758D3" w:rsidP="007267A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FAB7F5" w14:textId="7DE22146" w:rsidR="00C758D3" w:rsidRPr="00E60450" w:rsidRDefault="004E3A5A" w:rsidP="007267A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970" w:type="dxa"/>
          </w:tcPr>
          <w:p w14:paraId="549D523D" w14:textId="7D92A095" w:rsidR="00570B59" w:rsidRPr="00A673F4" w:rsidRDefault="00570B59" w:rsidP="00570B59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A673F4">
              <w:rPr>
                <w:rStyle w:val="Strong"/>
                <w:b w:val="0"/>
                <w:bCs w:val="0"/>
                <w:lang w:val="it-IT"/>
              </w:rPr>
              <w:t>Komenti për krijimin e një kornize monitorimi dhe vlerësimi për projektet pilot është reflektuar, duke u shtuar mekanizma të qartë për feedback dhe skalim. Sugjerimi për konsolidimin e asistentëve digjitalë nuk është reflektuar, pasi disa institucione kanë zhvillime të pavarura, por është lënë për fazën e implementimit. Rekomandimi për analizë kosto-përfitim mbi iniciativat e mëdha është reflektuar, ashtu si edhe qartësimi i mandatit të “AI Factories”. Po ashtu, është reflektuar komenti për integrimin e matricës së riskut në sektorët e ndjeshëm si shëndetësia dhe drejtësia.</w:t>
            </w:r>
          </w:p>
          <w:p w14:paraId="667A758B" w14:textId="77777777" w:rsidR="00C758D3" w:rsidRPr="00A673F4" w:rsidRDefault="00C758D3" w:rsidP="007267A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C357F" w:rsidRPr="00E60450" w14:paraId="1044F247" w14:textId="77777777" w:rsidTr="00677E1F">
        <w:tc>
          <w:tcPr>
            <w:tcW w:w="1469" w:type="dxa"/>
          </w:tcPr>
          <w:p w14:paraId="5499F05A" w14:textId="71F6FF89" w:rsidR="00EC357F" w:rsidRPr="00447FD8" w:rsidRDefault="00EC357F" w:rsidP="00EC357F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Perkurfizime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shtjellim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narrativës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301" w:type="dxa"/>
          </w:tcPr>
          <w:p w14:paraId="7EF4AD40" w14:textId="6353AF71" w:rsidR="00677E1F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A673F4">
              <w:rPr>
                <w:rStyle w:val="Strong"/>
                <w:b w:val="0"/>
                <w:bCs w:val="0"/>
                <w:lang w:val="it-IT"/>
              </w:rPr>
              <w:t xml:space="preserve">TBI vlerësoi vizionin e qartë të strategjisë dhe sugjeroi forcimin e narrativës “citizen-first”. </w:t>
            </w:r>
            <w:r w:rsidR="00D179B2">
              <w:rPr>
                <w:rStyle w:val="Strong"/>
                <w:b w:val="0"/>
                <w:bCs w:val="0"/>
                <w:lang w:val="it-IT"/>
              </w:rPr>
              <w:t>Sugjeroj</w:t>
            </w:r>
            <w:r w:rsidR="00677E1F">
              <w:rPr>
                <w:rStyle w:val="Strong"/>
                <w:b w:val="0"/>
                <w:bCs w:val="0"/>
                <w:lang w:val="it-IT"/>
              </w:rPr>
              <w:t>ë</w:t>
            </w:r>
            <w:r w:rsidRPr="00A673F4">
              <w:rPr>
                <w:rStyle w:val="Strong"/>
                <w:b w:val="0"/>
                <w:bCs w:val="0"/>
                <w:lang w:val="it-IT"/>
              </w:rPr>
              <w:t xml:space="preserve"> strukturimin e arritjeve dhe objektivave në tema të qarta </w:t>
            </w:r>
            <w:r w:rsidR="00D179B2">
              <w:rPr>
                <w:rStyle w:val="Strong"/>
                <w:b w:val="0"/>
                <w:bCs w:val="0"/>
                <w:lang w:val="it-IT"/>
              </w:rPr>
              <w:t>sakt</w:t>
            </w:r>
            <w:r w:rsidR="00677E1F">
              <w:rPr>
                <w:rStyle w:val="Strong"/>
                <w:b w:val="0"/>
                <w:bCs w:val="0"/>
                <w:lang w:val="it-IT"/>
              </w:rPr>
              <w:t>ë</w:t>
            </w:r>
            <w:r w:rsidR="00D179B2">
              <w:rPr>
                <w:rStyle w:val="Strong"/>
                <w:b w:val="0"/>
                <w:bCs w:val="0"/>
                <w:lang w:val="it-IT"/>
              </w:rPr>
              <w:t xml:space="preserve">simine </w:t>
            </w:r>
            <w:r w:rsidRPr="00A673F4">
              <w:rPr>
                <w:rStyle w:val="Strong"/>
                <w:b w:val="0"/>
                <w:bCs w:val="0"/>
                <w:lang w:val="it-IT"/>
              </w:rPr>
              <w:t>terminologji</w:t>
            </w:r>
            <w:r w:rsidR="00D179B2">
              <w:rPr>
                <w:rStyle w:val="Strong"/>
                <w:b w:val="0"/>
                <w:bCs w:val="0"/>
                <w:lang w:val="it-IT"/>
              </w:rPr>
              <w:t>s</w:t>
            </w:r>
            <w:r w:rsidR="00677E1F">
              <w:rPr>
                <w:rStyle w:val="Strong"/>
                <w:b w:val="0"/>
                <w:bCs w:val="0"/>
                <w:lang w:val="it-IT"/>
              </w:rPr>
              <w:t>ë</w:t>
            </w:r>
            <w:r w:rsidRPr="00A673F4">
              <w:rPr>
                <w:rStyle w:val="Strong"/>
                <w:b w:val="0"/>
                <w:bCs w:val="0"/>
                <w:lang w:val="it-IT"/>
              </w:rPr>
              <w:t xml:space="preserve"> “Legal Frame</w:t>
            </w:r>
            <w:r w:rsidR="00D179B2">
              <w:rPr>
                <w:rStyle w:val="Strong"/>
                <w:b w:val="0"/>
                <w:bCs w:val="0"/>
                <w:lang w:val="it-IT"/>
              </w:rPr>
              <w:t>w</w:t>
            </w:r>
            <w:r w:rsidRPr="00A673F4">
              <w:rPr>
                <w:rStyle w:val="Strong"/>
                <w:b w:val="0"/>
                <w:bCs w:val="0"/>
                <w:lang w:val="it-IT"/>
              </w:rPr>
              <w:t xml:space="preserve">ork” </w:t>
            </w:r>
          </w:p>
          <w:p w14:paraId="30A69466" w14:textId="6E3AC09B" w:rsidR="00EC357F" w:rsidRPr="00447FD8" w:rsidRDefault="00677E1F" w:rsidP="00677E1F">
            <w:pPr>
              <w:pStyle w:val="NormalWeb"/>
              <w:jc w:val="both"/>
            </w:pPr>
            <w:r>
              <w:rPr>
                <w:rStyle w:val="Strong"/>
                <w:b w:val="0"/>
                <w:bCs w:val="0"/>
                <w:lang w:val="it-IT"/>
              </w:rPr>
              <w:t xml:space="preserve">Gjithashtu është sugjeruar </w:t>
            </w:r>
            <w:r w:rsidR="00EC357F" w:rsidRPr="00A673F4">
              <w:rPr>
                <w:rStyle w:val="Strong"/>
                <w:b w:val="0"/>
                <w:bCs w:val="0"/>
                <w:lang w:val="it-IT"/>
              </w:rPr>
              <w:t>përfshirj</w:t>
            </w:r>
            <w:r>
              <w:rPr>
                <w:rStyle w:val="Strong"/>
                <w:b w:val="0"/>
                <w:bCs w:val="0"/>
                <w:lang w:val="it-IT"/>
              </w:rPr>
              <w:t>a</w:t>
            </w:r>
            <w:r w:rsidR="00EC357F" w:rsidRPr="00A673F4">
              <w:rPr>
                <w:rStyle w:val="Strong"/>
                <w:b w:val="0"/>
                <w:bCs w:val="0"/>
                <w:lang w:val="it-IT"/>
              </w:rPr>
              <w:t xml:space="preserve"> e kërkimit dhe inovacionit si shtyllë e veçantë</w:t>
            </w:r>
            <w:r>
              <w:rPr>
                <w:rStyle w:val="Strong"/>
                <w:b w:val="0"/>
                <w:bCs w:val="0"/>
                <w:lang w:val="it-IT"/>
              </w:rPr>
              <w:t>.</w:t>
            </w:r>
          </w:p>
        </w:tc>
        <w:tc>
          <w:tcPr>
            <w:tcW w:w="1260" w:type="dxa"/>
          </w:tcPr>
          <w:p w14:paraId="13B21FE9" w14:textId="77777777" w:rsidR="00EC357F" w:rsidRPr="00D60E7C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D60E7C">
              <w:rPr>
                <w:rStyle w:val="Strong"/>
                <w:lang w:val="it-IT"/>
              </w:rPr>
              <w:t>Tony Blair Institute (TBI)</w:t>
            </w:r>
          </w:p>
          <w:p w14:paraId="0197CF85" w14:textId="77777777" w:rsidR="00EC357F" w:rsidRPr="00D60E7C" w:rsidRDefault="00EC357F" w:rsidP="00EC357F">
            <w:pPr>
              <w:pStyle w:val="NormalWeb"/>
              <w:jc w:val="both"/>
              <w:rPr>
                <w:rStyle w:val="Strong"/>
                <w:lang w:val="it-IT"/>
              </w:rPr>
            </w:pPr>
          </w:p>
        </w:tc>
        <w:tc>
          <w:tcPr>
            <w:tcW w:w="1170" w:type="dxa"/>
          </w:tcPr>
          <w:p w14:paraId="3800D937" w14:textId="0B58AE9E" w:rsidR="00EC357F" w:rsidRPr="00093AF5" w:rsidRDefault="004E3A5A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970" w:type="dxa"/>
          </w:tcPr>
          <w:p w14:paraId="0F32B3D7" w14:textId="02509627" w:rsidR="00EC357F" w:rsidRPr="00A673F4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A673F4">
              <w:rPr>
                <w:rStyle w:val="Strong"/>
                <w:b w:val="0"/>
                <w:bCs w:val="0"/>
                <w:lang w:val="it-IT"/>
              </w:rPr>
              <w:t>TBI vlerësoi vizionin e qartë të strategjisë dhe sugjeroi forcimin e narrativës “citizen-first”. Ky koment është marrë në konsideratë dhe reflektuar, duke u riformuluar hyrja dhe vizioni. Rekomandimi për strukturimin e arritjeve dhe objektivave në tema të qarta është reflektuar. Po ashtu, terminologjia “Legal Frame</w:t>
            </w:r>
            <w:r w:rsidR="00677E1F">
              <w:rPr>
                <w:rStyle w:val="Strong"/>
                <w:b w:val="0"/>
                <w:bCs w:val="0"/>
                <w:lang w:val="it-IT"/>
              </w:rPr>
              <w:t>w</w:t>
            </w:r>
            <w:r w:rsidRPr="00A673F4">
              <w:rPr>
                <w:rStyle w:val="Strong"/>
                <w:b w:val="0"/>
                <w:bCs w:val="0"/>
                <w:lang w:val="it-IT"/>
              </w:rPr>
              <w:t>ork” është ndryshuar në “Governance, Legal &amp; Ethical Frame</w:t>
            </w:r>
            <w:r>
              <w:rPr>
                <w:rStyle w:val="Strong"/>
                <w:b w:val="0"/>
                <w:bCs w:val="0"/>
                <w:lang w:val="it-IT"/>
              </w:rPr>
              <w:t>w</w:t>
            </w:r>
            <w:r w:rsidRPr="00A673F4">
              <w:rPr>
                <w:rStyle w:val="Strong"/>
                <w:b w:val="0"/>
                <w:bCs w:val="0"/>
                <w:lang w:val="it-IT"/>
              </w:rPr>
              <w:t>ork”. Komenti për përfshirjen e kërkimit dhe inovacionit si shtyllë e veçantë është reflektuar, duke u shtuar kapitulli për “Research &amp; Innovation”. Terminologjia për “regulatory sandbox” është harmonizuar me kuadrin e BE-së. Të gjitha komentet kryesore të TBI janë reflektuar.</w:t>
            </w:r>
          </w:p>
          <w:p w14:paraId="1399D9CB" w14:textId="77777777" w:rsidR="00EC357F" w:rsidRPr="00A673F4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</w:p>
        </w:tc>
      </w:tr>
      <w:tr w:rsidR="00EC357F" w:rsidRPr="00E60450" w14:paraId="167EADCD" w14:textId="77777777" w:rsidTr="0067729F">
        <w:tc>
          <w:tcPr>
            <w:tcW w:w="1469" w:type="dxa"/>
          </w:tcPr>
          <w:p w14:paraId="400F43BE" w14:textId="7C953185" w:rsidR="00EC357F" w:rsidRPr="00447FD8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Perfshirja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kufijve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përdorimin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IA-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krijimi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Autoriteti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Kombëtar</w:t>
            </w:r>
            <w:proofErr w:type="spellEnd"/>
          </w:p>
        </w:tc>
        <w:tc>
          <w:tcPr>
            <w:tcW w:w="3301" w:type="dxa"/>
          </w:tcPr>
          <w:p w14:paraId="7F79C8CE" w14:textId="77777777" w:rsidR="00EC357F" w:rsidRPr="009666F5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Nisma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Strategjinë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IA 2030 apo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rregullorja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aktuale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hapa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pozitive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drejt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përqafimit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teknologjive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inteligjente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rang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kapilar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aktiviteteve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shoqërisë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pse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jemi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vend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vogël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kemi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mundësi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integrojmë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IA-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dimensione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IA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relativizon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diferencat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aktuale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ekonomike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mes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vendeve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iu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rikrijuar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herë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mundësi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konkurrencë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intelektuale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fundit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vjen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rrjedhojë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clirimit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talenteve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kufijtë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kostove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teknologjike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deritanishme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Ky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avantazh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parë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Nisur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avantazh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duhen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eksploruar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zonat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‘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errëta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’ apo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vijat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kuqe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nevojiten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targete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kufij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drejt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rruge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lastRenderedPageBreak/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kujdesshme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petkun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botës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akademike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shqetësohem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ndikimin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IA-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mësimdhënie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qasjen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universitetet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përqafojnë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sot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orientuar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burimet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drejt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tregjeve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fluide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Si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anëtare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IASEAI,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organizatë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qendër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USA,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interesohem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aplikimin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plotë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linjë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zhvillimet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vendet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zhvilluara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aspekteve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etike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IA-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shkruar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nxitur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thirrja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juaj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konsultim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public do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propozoja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pika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poshtë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E469D6" w14:textId="77777777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cilësohen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ndalohen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përdoren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sistemet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IA,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atëherë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atëherë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09EB9F4" w14:textId="645076A4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Manipulojnë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mashtrojnë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sjelljen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teknika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nën-ndërgjegjese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dëmtuar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rëndë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individët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0524B64" w14:textId="20232DBF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Shfrytëzojnë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cenojnë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individin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moshës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aftësisë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gjendjes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socio-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ekonomike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shkaktuar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dëm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rëndë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1E91502" w14:textId="75D7BBF3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Bëjnë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vlerësim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social apo social-scoring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individëve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grupeve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4A7B012" w14:textId="401A7436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Parashikojnë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rrezikun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krimit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profilizimi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ceke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pseudo-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psikologjike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93525E0" w14:textId="36FAF577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Grumbullojnë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databaza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fytyrash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“scraping”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pa-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synuar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(internet/CCTV). </w:t>
            </w:r>
          </w:p>
          <w:p w14:paraId="7BDE3F4C" w14:textId="182F49F6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Nxjerrin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emocione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shkolla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vende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pune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përveç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arsyeve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mjekësore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sigurie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09BFAD82" w14:textId="197014E4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Kategorizojnë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biometrikisht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atribute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ndjeshme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(p.sh.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bindjet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politike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orientimi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seksual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22D35525" w14:textId="1DF98DBF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8)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Identifikimi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biometrik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reale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hapësira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lastRenderedPageBreak/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rendin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lejuar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autorizim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raste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rrepta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justifikuara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. 9)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Qasja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sistemeve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IA-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fëmijëve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trajtuar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studiuar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raporte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psikologjike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Pavarësisht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përdorimit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ndalohen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sistemet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agentët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demonstrojnë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synojnë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Vetë-riprodhim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përmirësim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pakontrolluar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Sjellje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pushtet-kërkuese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(p.sh.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anashkalim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kontrollit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njerëzor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671AFA" w14:textId="29BBC077" w:rsidR="00EC357F" w:rsidRPr="009666F5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Mashtim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/Deception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qëllimshëm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Sulme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kibernetike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autonome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Ndihmë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zhvillimin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modelet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përdorim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përgjithshëm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(GPAI)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veçanërisht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arrijnë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rrezik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sistemik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vendosen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detyrime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posaçme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përmbledhjes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dhënave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trajnimit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përputhshmëri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drejtat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autorit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Vlerësime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modelit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testim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adversarial,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raportim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incidentesh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serioze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masa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sigurie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kibernetike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Ndalesë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vendosjes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treg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zhvillimit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pragu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rrezikut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kalon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kriteret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pranueshmërisë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19EDD6" w14:textId="467F24DF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zbatim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pikave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mësipërme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lind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nevoja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kornize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ligjore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institucionale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B929F57" w14:textId="77777777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Autoritet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kombëtar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IA-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(AI Office):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pranon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njoftime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mban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Kombëtar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IAsë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Rrezik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Lartë,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autorizon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përjashtimet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ligjore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koordinon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inspektime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sanksione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5AFE770" w14:textId="77777777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2) Barra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provës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zhvilluesi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përdorime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afër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vijave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kuqe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leja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jepet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paraqitet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“safety case”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verifikueshëm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3400347" w14:textId="77777777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Metodologjinë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lastRenderedPageBreak/>
              <w:t>kombëtare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politika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dokumentimi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menaxhimi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rrezikut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trajnimi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detyrueshme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shërbejnë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bazë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vijave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kuqe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Shteti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krijon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Laborator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Kombëtar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Sigurisë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IA-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ofron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Infrastrukturë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sigurt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vlerësimi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(sandbox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akses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kontrolluar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modele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5E24032" w14:textId="684E69DC" w:rsidR="00EC357F" w:rsidRPr="009666F5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 xml:space="preserve"> - Suita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auditimi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bençmarke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përfshirë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kapacitete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rrezikshme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humbje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kontrolli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metrologji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) - Red-teaming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pavarur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monitorim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vendosjes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incidentet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abuzimet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dezinformimi</w:t>
            </w:r>
            <w:proofErr w:type="spellEnd"/>
          </w:p>
          <w:p w14:paraId="09DDA1E8" w14:textId="77777777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Përputhja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instrumentet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ndërkombëtare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4A6A179" w14:textId="69CA72E9" w:rsidR="00EC357F" w:rsidRPr="009666F5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6F5">
              <w:rPr>
                <w:rFonts w:ascii="Times New Roman" w:hAnsi="Times New Roman"/>
                <w:sz w:val="24"/>
                <w:szCs w:val="24"/>
              </w:rPr>
              <w:t>- EU/AI act (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neni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5):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aneks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pasqyron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ndalimet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proceset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shoqëruese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. - GPAI/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rrezik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sistemik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përafrim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detyrimet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BE-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vlerësime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testim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raportim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incidentesh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Konsensusi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Singaporit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prioritet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auditime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bençmarke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infrastrukturë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vlerësimi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monitorim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ekosistemi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Vijat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kuqe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globale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(Future Society/IDAIS):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ndalime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vetë-riprodhimin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pushtet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kërkimin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mashtrimin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sulmet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kibernetike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armët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moszbatim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vendosen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sanksione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: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Ndalim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menjëhershëm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heqje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shërbimi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operatorëve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shkelje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vijave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kuqe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Gjobitje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ndalim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pjesëmarrjeje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prokurime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operatorët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Raportim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incidentesh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afateve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publikim</w:t>
            </w:r>
            <w:proofErr w:type="spellEnd"/>
            <w:r w:rsidRPr="0096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6F5">
              <w:rPr>
                <w:rFonts w:ascii="Times New Roman" w:hAnsi="Times New Roman"/>
                <w:sz w:val="24"/>
                <w:szCs w:val="24"/>
              </w:rPr>
              <w:t>përmbledhjes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74F3EA74" w14:textId="77777777" w:rsidR="00EC357F" w:rsidRPr="00D60E7C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D60E7C">
              <w:rPr>
                <w:rStyle w:val="Strong"/>
                <w:lang w:val="it-IT"/>
              </w:rPr>
              <w:lastRenderedPageBreak/>
              <w:t>Institucionet Akademike (p.sh. FEUT)</w:t>
            </w:r>
          </w:p>
          <w:p w14:paraId="278D6371" w14:textId="77777777" w:rsidR="00EC357F" w:rsidRPr="00D60E7C" w:rsidRDefault="00EC357F" w:rsidP="00EC357F">
            <w:pPr>
              <w:pStyle w:val="NormalWeb"/>
              <w:jc w:val="both"/>
              <w:rPr>
                <w:rStyle w:val="Strong"/>
                <w:lang w:val="it-IT"/>
              </w:rPr>
            </w:pPr>
          </w:p>
        </w:tc>
        <w:tc>
          <w:tcPr>
            <w:tcW w:w="1170" w:type="dxa"/>
          </w:tcPr>
          <w:p w14:paraId="762CC0A3" w14:textId="402777B7" w:rsidR="00EC357F" w:rsidRPr="00093AF5" w:rsidRDefault="004E3A5A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C357F">
              <w:rPr>
                <w:rFonts w:ascii="Times New Roman" w:hAnsi="Times New Roman"/>
                <w:sz w:val="24"/>
                <w:szCs w:val="24"/>
              </w:rPr>
              <w:t>ranuar</w:t>
            </w:r>
            <w:proofErr w:type="spellEnd"/>
            <w:r w:rsidR="00EC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357F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</w:p>
        </w:tc>
        <w:tc>
          <w:tcPr>
            <w:tcW w:w="2970" w:type="dxa"/>
          </w:tcPr>
          <w:p w14:paraId="2EF3DFB9" w14:textId="77777777" w:rsidR="00EC357F" w:rsidRPr="00A673F4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A673F4">
              <w:rPr>
                <w:rStyle w:val="Strong"/>
                <w:b w:val="0"/>
                <w:bCs w:val="0"/>
                <w:lang w:val="it-IT"/>
              </w:rPr>
              <w:t>Universiteti i Tiranës sugjeroi përfshirjen e “vijave të kuqe” për përdorimin e IA-së, krijimin e një Autoriteti Kombëtar të IA-së dhe një Laboratori Kombëtar të Sigurisë së IA-së. Komenti për vijat e kuqe është reflektuar në kapitullin e etikës. Krijimi i Autoritetit Kombëtar nuk është reflektuar, pasi kërkon ligj të veçantë dhe vendim politik. Po ashtu, laboratori i sigurisë nuk është reflektuar për shkak të kostos së lartë, por është lënë si opsion afatgjatë.</w:t>
            </w:r>
          </w:p>
          <w:p w14:paraId="2DE71E35" w14:textId="77777777" w:rsidR="00EC357F" w:rsidRPr="00A673F4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</w:p>
        </w:tc>
      </w:tr>
      <w:tr w:rsidR="00EC357F" w:rsidRPr="00E60450" w14:paraId="47FCCCCB" w14:textId="77777777" w:rsidTr="0067729F">
        <w:tc>
          <w:tcPr>
            <w:tcW w:w="1469" w:type="dxa"/>
          </w:tcPr>
          <w:p w14:paraId="14DE3D15" w14:textId="5835F182" w:rsidR="00EC357F" w:rsidRPr="00447FD8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Përkufizime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insitucioni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zbatues</w:t>
            </w:r>
            <w:proofErr w:type="spellEnd"/>
          </w:p>
        </w:tc>
        <w:tc>
          <w:tcPr>
            <w:tcW w:w="3301" w:type="dxa"/>
          </w:tcPr>
          <w:p w14:paraId="2CDA1D88" w14:textId="77777777" w:rsidR="00EC357F" w:rsidRPr="00447FD8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121618" w14:textId="77777777" w:rsidR="00EC357F" w:rsidRPr="00D60E7C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D60E7C">
              <w:rPr>
                <w:rStyle w:val="Strong"/>
                <w:lang w:val="it-IT"/>
              </w:rPr>
              <w:t>Agjencia e Inovacionit dhe Ekselencë</w:t>
            </w:r>
            <w:r w:rsidRPr="00D60E7C">
              <w:rPr>
                <w:rStyle w:val="Strong"/>
                <w:lang w:val="it-IT"/>
              </w:rPr>
              <w:lastRenderedPageBreak/>
              <w:t>s (AIE)</w:t>
            </w:r>
          </w:p>
          <w:p w14:paraId="46ABA826" w14:textId="77777777" w:rsidR="00EC357F" w:rsidRPr="00D60E7C" w:rsidRDefault="00EC357F" w:rsidP="00EC357F">
            <w:pPr>
              <w:pStyle w:val="NormalWeb"/>
              <w:jc w:val="both"/>
              <w:rPr>
                <w:rStyle w:val="Strong"/>
                <w:lang w:val="it-IT"/>
              </w:rPr>
            </w:pPr>
          </w:p>
        </w:tc>
        <w:tc>
          <w:tcPr>
            <w:tcW w:w="1170" w:type="dxa"/>
          </w:tcPr>
          <w:p w14:paraId="425E870E" w14:textId="4BB5B40D" w:rsidR="00EC357F" w:rsidRPr="00093AF5" w:rsidRDefault="004E3A5A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EC357F">
              <w:rPr>
                <w:rFonts w:ascii="Times New Roman" w:hAnsi="Times New Roman"/>
                <w:sz w:val="24"/>
                <w:szCs w:val="24"/>
              </w:rPr>
              <w:t>ranuar</w:t>
            </w:r>
            <w:proofErr w:type="spellEnd"/>
            <w:r w:rsidR="00EC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01B63650" w14:textId="77777777" w:rsidR="00EC357F" w:rsidRPr="00A673F4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A673F4">
              <w:rPr>
                <w:rStyle w:val="Strong"/>
                <w:b w:val="0"/>
                <w:bCs w:val="0"/>
                <w:lang w:val="it-IT"/>
              </w:rPr>
              <w:t xml:space="preserve">AIE sugjeroi përfshirjen e saj si institucion përgjegjës dhe rishikimin e emërtimit të institucioneve në dokument. Të dyja </w:t>
            </w:r>
            <w:r w:rsidRPr="00A673F4">
              <w:rPr>
                <w:rStyle w:val="Strong"/>
                <w:b w:val="0"/>
                <w:bCs w:val="0"/>
                <w:lang w:val="it-IT"/>
              </w:rPr>
              <w:lastRenderedPageBreak/>
              <w:t>komentet janë marrë në konsideratë dhe reflektuar, duke u korrigjuar terminologjia dhe duke u shtuar AIE në listën e institucioneve zbatuese.</w:t>
            </w:r>
          </w:p>
          <w:p w14:paraId="3F700857" w14:textId="77777777" w:rsidR="00EC357F" w:rsidRPr="00A673F4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</w:p>
        </w:tc>
      </w:tr>
      <w:tr w:rsidR="00EC357F" w:rsidRPr="00E60450" w14:paraId="3F3DFAC9" w14:textId="77777777" w:rsidTr="0067729F">
        <w:tc>
          <w:tcPr>
            <w:tcW w:w="1469" w:type="dxa"/>
          </w:tcPr>
          <w:p w14:paraId="34EEFA87" w14:textId="3FD065BE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Përfshirja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fëmijëve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prioritar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301" w:type="dxa"/>
          </w:tcPr>
          <w:p w14:paraId="4F0DCB62" w14:textId="3D54EA36" w:rsidR="00EC357F" w:rsidRPr="006513E0" w:rsidRDefault="007014A4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Qendra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Drejtat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Fëmijëve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sugjeroi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përfshirjen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fëmijëve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rinjve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prioritar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edukimin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digjital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3E0">
              <w:rPr>
                <w:rFonts w:ascii="Times New Roman" w:hAnsi="Times New Roman"/>
                <w:sz w:val="24"/>
                <w:szCs w:val="24"/>
              </w:rPr>
              <w:t>sigurinë</w:t>
            </w:r>
            <w:proofErr w:type="spellEnd"/>
            <w:r w:rsidRPr="006513E0">
              <w:rPr>
                <w:rFonts w:ascii="Times New Roman" w:hAnsi="Times New Roman"/>
                <w:sz w:val="24"/>
                <w:szCs w:val="24"/>
              </w:rPr>
              <w:t xml:space="preserve"> online</w:t>
            </w:r>
            <w:r w:rsidR="006513E0" w:rsidRPr="006513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412BCDAC" w14:textId="77777777" w:rsidR="00EC357F" w:rsidRPr="00D60E7C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D60E7C">
              <w:rPr>
                <w:rStyle w:val="Strong"/>
                <w:lang w:val="it-IT"/>
              </w:rPr>
              <w:t>CRCA Shqipëri</w:t>
            </w:r>
          </w:p>
          <w:p w14:paraId="5F404D3C" w14:textId="77777777" w:rsidR="00EC357F" w:rsidRPr="00D60E7C" w:rsidRDefault="00EC357F" w:rsidP="00EC357F">
            <w:pPr>
              <w:pStyle w:val="NormalWeb"/>
              <w:jc w:val="both"/>
              <w:rPr>
                <w:rStyle w:val="Strong"/>
                <w:lang w:val="it-IT"/>
              </w:rPr>
            </w:pPr>
          </w:p>
        </w:tc>
        <w:tc>
          <w:tcPr>
            <w:tcW w:w="1170" w:type="dxa"/>
          </w:tcPr>
          <w:p w14:paraId="40DFE072" w14:textId="5D640BE0" w:rsidR="00EC357F" w:rsidRPr="00093AF5" w:rsidRDefault="004E3A5A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C357F">
              <w:rPr>
                <w:rFonts w:ascii="Times New Roman" w:hAnsi="Times New Roman"/>
                <w:sz w:val="24"/>
                <w:szCs w:val="24"/>
              </w:rPr>
              <w:t>ranuar</w:t>
            </w:r>
            <w:proofErr w:type="spellEnd"/>
            <w:r w:rsidR="00EC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26FD3D1D" w14:textId="77777777" w:rsidR="00EC357F" w:rsidRPr="00A673F4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A673F4">
              <w:rPr>
                <w:rStyle w:val="Strong"/>
                <w:b w:val="0"/>
                <w:bCs w:val="0"/>
                <w:lang w:val="it-IT"/>
              </w:rPr>
              <w:t>Qendra për të Drejtat e Fëmijëve sugjeroi përfshirjen e fëmijëve dhe të rinjve si grup prioritar, edukimin digjital dhe sigurinë online. Të gjitha komentet janë marrë në konsideratë dhe reflektuar, duke u shtuar kapitull për “AI për fëmijët dhe të rinjtë”, masa për edukimin digjital, internship-et dhe startup-et rinore, si dhe mekanizma mbrojtjeje për sigurinë online.</w:t>
            </w:r>
          </w:p>
          <w:p w14:paraId="67B25399" w14:textId="77777777" w:rsidR="00EC357F" w:rsidRPr="00A673F4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</w:p>
        </w:tc>
      </w:tr>
      <w:tr w:rsidR="00EC357F" w:rsidRPr="00E60450" w14:paraId="6D12EA47" w14:textId="77777777" w:rsidTr="0067729F">
        <w:tc>
          <w:tcPr>
            <w:tcW w:w="1469" w:type="dxa"/>
          </w:tcPr>
          <w:p w14:paraId="47CAC191" w14:textId="77777777" w:rsidR="00EC357F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582E95AC" w14:textId="77777777" w:rsidR="00EC357F" w:rsidRPr="003B055B" w:rsidRDefault="00EC357F" w:rsidP="00EC357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Versioni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paraprak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Kombëtare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Inteligjencën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Artificiale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2030 (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referuar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vijim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)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është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politikë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ambicioze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potencial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lartë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çuar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përpara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mirëqenien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sociale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Shqipëri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Ajo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mbështetet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parimet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barazisë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drejtësisë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mosdiskriminimit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angazhohet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siguruar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se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sistemet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IA-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do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respektojnë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drejtat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njeriut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dinjitetin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ndërsa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trajtojnë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paragjykimin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diskriminimin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dhëna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algoritme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ose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aplikacione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Megjithatë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këto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angazhime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paraqiten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kryesisht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formë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deklarative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pa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pasqyruar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apo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analizuar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boshllëqet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ekzistuese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mundësitë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integrimin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barazisë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trajtimin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nevojave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grupeve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disavantazhuara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.</w:t>
            </w:r>
          </w:p>
          <w:p w14:paraId="0E30D9AE" w14:textId="77777777" w:rsidR="00EC357F" w:rsidRPr="003B055B" w:rsidRDefault="00EC357F" w:rsidP="00EC3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</w:p>
          <w:p w14:paraId="031B94CC" w14:textId="77777777" w:rsidR="00EC357F" w:rsidRPr="003B055B" w:rsidRDefault="00EC357F" w:rsidP="00EC3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veçanti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mungon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perspektiva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ose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lastRenderedPageBreak/>
              <w:t>"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integrimi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",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është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procesi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vlerësimit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implikimeve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veprimet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planifikuara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përfshirë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politikat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legjislacionin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programet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buxhetet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gjitha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fushat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gjitha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nivelet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qeverisjes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Integrimi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përbën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detyrim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sipas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Ligjit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aktual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barazinë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(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Ligji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nr. 9970/2008)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Shqipëri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synohet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forcohet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tej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nëpërmjet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Ligji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cili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është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proces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miratimi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nga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Kuvendi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Integrimi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barazisë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kuadrot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kombëtarë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ligjorë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politikave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është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gjithashtu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detyrim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parashikuar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Planin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Veprimit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Bashkimit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Evropian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Barazinë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III 2021-2027 (PVBGJ III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BE-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),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cili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synon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promovojë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barazinë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fuqizimin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grave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marrëdhëniet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jashtme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BE-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BE-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Barazinë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(2020-2025),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përfaqëson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politikën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brendshme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BE-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barazinë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cila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do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pasohet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nga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re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po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hartohet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</w:p>
          <w:p w14:paraId="54280C82" w14:textId="77777777" w:rsidR="00EC357F" w:rsidRPr="003B055B" w:rsidRDefault="00EC357F" w:rsidP="00EC3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2065A6" w14:textId="77777777" w:rsidR="00EC357F" w:rsidRPr="003B055B" w:rsidRDefault="00EC357F" w:rsidP="00EC357F">
            <w:pPr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Përmbledhjen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Ekzekutive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/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ose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Kuadrin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Rregullator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dokumenti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theksojë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se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zbatimi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do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kryhet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përputhje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angazhimet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ndërkombëtare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Shqipërisë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kuadër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drejtave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njeriut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Si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pikë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reference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mund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përdoret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Konventa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Kuadër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Këshillit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Evropës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Inteligjencën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Artificiale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Drejtat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Njeriut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Demokracinë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Shtetin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Drejtës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miratuar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rishtas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(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nëntor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2024),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është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traktati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ndërkombëtar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parashikon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lastRenderedPageBreak/>
              <w:t>detyrime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ligjore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këtë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fushë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Shqipëria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pritet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ta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nënshkruajë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ratifikojë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.</w:t>
            </w:r>
          </w:p>
          <w:p w14:paraId="05E87FC1" w14:textId="77777777" w:rsidR="00EC357F" w:rsidRPr="003B055B" w:rsidRDefault="00EC357F" w:rsidP="00EC357F">
            <w:pPr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listën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politikave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tjera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kombëtare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rëndësi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përfshihet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referencë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ndaj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Kombëtare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Barazinë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2021-2030,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cila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parashtron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masa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aksesin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grave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STEM,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aftësitë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tyre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digjitale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pjesëmarrjen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barabartë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ekonominë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digjitale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siguruar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koherencën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politikave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IA-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(</w:t>
            </w:r>
            <w:proofErr w:type="spellStart"/>
            <w:r w:rsidRPr="003B055B">
              <w:rPr>
                <w:rFonts w:ascii="Times New Roman" w:hAnsi="Times New Roman"/>
                <w:i/>
                <w:sz w:val="24"/>
                <w:szCs w:val="24"/>
                <w:lang w:bidi="sq-AL"/>
              </w:rPr>
              <w:t>shihni</w:t>
            </w:r>
            <w:proofErr w:type="spellEnd"/>
            <w:r w:rsidRPr="003B055B">
              <w:rPr>
                <w:rFonts w:ascii="Times New Roman" w:hAnsi="Times New Roman"/>
                <w:i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i/>
                <w:sz w:val="24"/>
                <w:szCs w:val="24"/>
                <w:lang w:bidi="sq-AL"/>
              </w:rPr>
              <w:t>tekstin</w:t>
            </w:r>
            <w:proofErr w:type="spellEnd"/>
            <w:r w:rsidRPr="003B055B">
              <w:rPr>
                <w:rFonts w:ascii="Times New Roman" w:hAnsi="Times New Roman"/>
                <w:i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i/>
                <w:sz w:val="24"/>
                <w:szCs w:val="24"/>
                <w:lang w:bidi="sq-AL"/>
              </w:rPr>
              <w:t>sugjeruar</w:t>
            </w:r>
            <w:proofErr w:type="spellEnd"/>
            <w:r w:rsidRPr="003B055B">
              <w:rPr>
                <w:rFonts w:ascii="Times New Roman" w:hAnsi="Times New Roman"/>
                <w:i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i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i/>
                <w:sz w:val="24"/>
                <w:szCs w:val="24"/>
                <w:lang w:bidi="sq-AL"/>
              </w:rPr>
              <w:t xml:space="preserve"> track changes</w:t>
            </w:r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).</w:t>
            </w:r>
          </w:p>
          <w:p w14:paraId="4379B88C" w14:textId="20838E93" w:rsidR="00EC357F" w:rsidRPr="003B055B" w:rsidRDefault="00EC357F" w:rsidP="00EC357F">
            <w:pPr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seksionin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analizës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bidi="sq-AL"/>
              </w:rPr>
              <w:t>Ë</w:t>
            </w:r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OT,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:</w:t>
            </w:r>
          </w:p>
          <w:p w14:paraId="5E873D87" w14:textId="3BEF66B7" w:rsidR="00EC357F" w:rsidRPr="003B055B" w:rsidRDefault="00EC357F" w:rsidP="00EC357F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sq-AL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t’i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japë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përparësi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madhe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trajtimit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aksesit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përdorimit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pabarabartë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teknologjive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digjitale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ndërmjet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grave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burrave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Megjithëse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përdorimi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internetit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është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lartë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(2024: 85,8%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88,5% burra, INSTAT),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ende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hasen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hendeqe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veprimtaritë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digjitale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përparuara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përdorimi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bankës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internet,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shërbimeve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digjitale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programeve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kompjuterike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Burimet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ekzistuese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duke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përfshirë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hyperlink r:id="rId8" w:history="1"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Udhëzuesin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e UN </w:t>
              </w:r>
              <w:proofErr w:type="spellStart"/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Ë</w:t>
              </w:r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omen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për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Integrimin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Gjinor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-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Digjitalizimi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dhe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Teknologjia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e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Informacionit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dhe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Komunikimit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(2022)</w:t>
              </w:r>
            </w:hyperlink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kanë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nxjerrë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pah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sfidat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propozojnë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masa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konkrete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lidhura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procesin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integrimit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lastRenderedPageBreak/>
              <w:t>Shqipërisë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BE.</w:t>
            </w:r>
          </w:p>
          <w:p w14:paraId="05504D05" w14:textId="2FF3AFFF" w:rsidR="00EC357F" w:rsidRPr="003B055B" w:rsidRDefault="00EC357F" w:rsidP="00EC357F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31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trajtojë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ndarjen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digjitale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prek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grupet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disavantazhuara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Shqipëri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dhënat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statistikore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gjithëpërfshirëse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mungojnë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por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raport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fundit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nga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hyperlink r:id="rId9" w:history="1"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Avokati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i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Popullit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(2024)</w:t>
              </w:r>
            </w:hyperlink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nxjerr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pah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barrierat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kryesore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ato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teknologjike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ekonomike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lidhura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aftësitë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identifikon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grupet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prekura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: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moshuarit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personat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aftësi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kufizuara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komuniteti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rom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egjiptian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individët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ardhura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ulëta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fëmijët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rinjtë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zona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rurale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fakt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32,3%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personave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moshës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65-74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vjeç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nuk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kanë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përdorur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asnjëherë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internetin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.</w:t>
            </w:r>
          </w:p>
          <w:p w14:paraId="74A77EA6" w14:textId="77777777" w:rsidR="00EC357F" w:rsidRPr="003B055B" w:rsidRDefault="00EC357F" w:rsidP="00EC357F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fushën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Shëndetësisë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theksojë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nevojën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grupe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dhënash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kategorizuara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sipas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seksit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parandaluar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paragjykimin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diagnostikimin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trajtimin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pacientëve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shembull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mund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kërkohen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dhëna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shëndetësore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kategorizuara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sipas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seksit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t'u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jepet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prioritet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çështjeve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shëndetit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grave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modelet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IA-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(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shëndeti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nënës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kanceri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gjirit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/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qafës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mitrës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).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Programet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pilot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telemjekësisë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synojnë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moshuarit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jenë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aksesueshme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personat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aftësi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kufizuara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.</w:t>
            </w:r>
          </w:p>
          <w:p w14:paraId="58B28B3B" w14:textId="77777777" w:rsidR="00EC357F" w:rsidRPr="003B055B" w:rsidRDefault="00EC357F" w:rsidP="00EC357F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316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fushën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Arsimit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lastRenderedPageBreak/>
              <w:t>t'i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jepet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prioritet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shmangies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thellimit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pabarazive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zvogëlimit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boshllëqeve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ekzistuese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përket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aksesueshmërisë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përballueshmërisë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cilësisë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sistemit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arsimor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nivel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vendi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t’i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japë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prioritet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shpërndarjes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drejtë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infrastrukturës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IA-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shkolla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duke u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dhënë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përparësi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NJQV-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mungesë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shërbimesh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rajoneve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rurale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trajtojë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ndarjen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sigurinë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tek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aftësitë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digjitale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vetjake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Pavarësisht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se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përbënin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58,4%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gjithë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regjistruarve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arsimin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lartë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vitin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2023,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vetëm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4,9% e grave (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kundrejt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11,5%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burrave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)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ndiqnin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studimet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TIK,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krahasim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mesataren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BE-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prej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16,7%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vajzat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</w:p>
          <w:p w14:paraId="54944A0C" w14:textId="59B72738" w:rsidR="00EC357F" w:rsidRPr="003B055B" w:rsidRDefault="00EC357F" w:rsidP="00EC357F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Bujqësia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Shqipëri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punëson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kryesisht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(53,3%),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por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vitin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2023,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vetëm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8%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përfituesve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shërbimit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ekstensionit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duke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përfshirë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mbështetjen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teknologji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ishin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ta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përdorë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IA-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mundësi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t'u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dhënë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prioritet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zgjidhjeve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fermat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vogla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familjet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kryefamiljare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shumë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informacion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mund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t’i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referoheni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hyperlink r:id="rId10" w:history="1"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Dokumentit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udhëzues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të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UN </w:t>
              </w:r>
              <w:proofErr w:type="spellStart"/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Ë</w:t>
              </w:r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omen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për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Integrimin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Gjinor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në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Bujqësi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dhe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  <w:proofErr w:type="spellStart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>Zhvillimin</w:t>
              </w:r>
              <w:proofErr w:type="spellEnd"/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Rural</w:t>
              </w:r>
            </w:hyperlink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.</w:t>
            </w:r>
            <w:hyperlink r:id="rId11" w:history="1">
              <w:r w:rsidRPr="003B055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bidi="sq-AL"/>
                </w:rPr>
                <w:t xml:space="preserve"> </w:t>
              </w:r>
            </w:hyperlink>
          </w:p>
          <w:p w14:paraId="57E9929D" w14:textId="77777777" w:rsidR="00EC357F" w:rsidRPr="003B055B" w:rsidRDefault="00EC357F" w:rsidP="00EC357F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226" w:hanging="2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Masat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propozuara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lastRenderedPageBreak/>
              <w:t>seksionin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Transportin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shkojnë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përtej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efikasitetit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inovacionit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trajtuar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nevojat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ndryshme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mobilitet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grave,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moshuarve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personave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aftësi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kufizuara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grupeve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ardhura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ulëta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Inteligjenca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artificiale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transport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integrojë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sigurinë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aksesueshmërinë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përballueshmërinë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përdorin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shumë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transportin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publik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shpesh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persona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varësi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</w:p>
          <w:p w14:paraId="36AA6C39" w14:textId="77777777" w:rsidR="00EC357F" w:rsidRPr="003B055B" w:rsidRDefault="00EC357F" w:rsidP="00EC357F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21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Përdorimi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IA-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shërbimet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publike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angazhimi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qytetar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ndihmojnë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trajtimin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pabarazive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ekonomike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përmirësimin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aksesit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përfitime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Gjithashtu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, IA-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mund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zvogëlojë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boshllëqet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masat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varfërinë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nivel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familjeje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fshehin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përvojat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grave (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vendimmarrje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kufizuar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kujdes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papaguar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ekspozim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ndaj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dhunës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),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janë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veçanërisht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theksuara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zonat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rurale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rome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egjiptiane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moshuara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aftësi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kufizuara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LBT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ato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migrante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.</w:t>
            </w:r>
          </w:p>
          <w:p w14:paraId="1A75F3DC" w14:textId="164E8E89" w:rsidR="00EC357F" w:rsidRPr="003B055B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bidi="sq-AL"/>
              </w:rPr>
            </w:pPr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Sa u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përket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nismave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zhvillim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Qyteteve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Inteligjente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t'i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japë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prioritet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sigurisë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grave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vajzave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hapësirat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publike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Studimet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sq-AL"/>
              </w:rPr>
              <w:t>Ë</w:t>
            </w:r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omen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lidhur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Qytetet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Sigurta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tregojnë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se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gratë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rinjtë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vijojnë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përjetojnë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ngacmim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dhunë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ndërsa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provat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faktorët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riskut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nivel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lastRenderedPageBreak/>
              <w:t>komuniteti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vijojnë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jenë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kufizuara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raportet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sq-AL"/>
              </w:rPr>
              <w:t>Ë</w:t>
            </w:r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omen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Shqipëri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sigurinë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grave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vajzave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cilat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megjithëse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janë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hartuar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vite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vijojnë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jenë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vlefshme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mund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gjeni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rekomandime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.</w:t>
            </w:r>
          </w:p>
          <w:p w14:paraId="45F5B246" w14:textId="77777777" w:rsidR="00EC357F" w:rsidRPr="003B055B" w:rsidRDefault="00EC357F" w:rsidP="00EC357F">
            <w:pPr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Sa u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përket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dhënave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lehtësues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strategjik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pavarësisht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se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Shqipëria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ka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përparuar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lidhje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dhënat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kategorizuara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sipas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seksit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boshllëqet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janë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ende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pranishme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veçanërisht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digjitalizim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çka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kufizon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politikëbërjen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bazuar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provat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monitorimin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rezultateve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lidhura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drejtësinë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Strategjia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duhet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theksojë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përdorimin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IA-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nxjerrë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tregues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me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ndjeshmëri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gjinore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(STEM, TIK,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sipërmarrje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digjitale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shëndetësi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arsim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shërbime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sociale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)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nga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anketat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INSTAT-it,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kategorizimin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mëtejshëm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dhënave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sipas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moshës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gjeografisë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aftësisë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kufizuar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ose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faktorëve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tjerë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Koordinimi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përmirësuar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shkëmbimi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sistematik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dhënave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ndërmjet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INSTAT-it, AKSHI-t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e-Albania-s do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jenë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thelbësorë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.</w:t>
            </w:r>
          </w:p>
          <w:p w14:paraId="7DC513FF" w14:textId="77777777" w:rsidR="00EC357F" w:rsidRPr="003B055B" w:rsidRDefault="00EC357F" w:rsidP="00EC357F">
            <w:pPr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fundi,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angazhimi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shoqërisë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civile, duke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përfshirë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organizatat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drejtat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grave,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Qeverisje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Mbikëqyrje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është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thelbësore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mbikëqyrjen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efektive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llogaridhënien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inteligjencës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artificiale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.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Pjesëmarrja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tyre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shërben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për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siguruar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se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zgjidhjet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bazuara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tek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inteligjenca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artificiale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do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lastRenderedPageBreak/>
              <w:t>trajtojnë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nevojat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grave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grupeve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disavantazhuara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,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ndërsa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do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të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rrisin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transparencën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dhe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besimin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 xml:space="preserve"> e </w:t>
            </w:r>
            <w:proofErr w:type="spellStart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publikut</w:t>
            </w:r>
            <w:proofErr w:type="spellEnd"/>
            <w:r w:rsidRPr="003B055B">
              <w:rPr>
                <w:rFonts w:ascii="Times New Roman" w:hAnsi="Times New Roman"/>
                <w:sz w:val="24"/>
                <w:szCs w:val="24"/>
                <w:lang w:bidi="sq-AL"/>
              </w:rPr>
              <w:t>.</w:t>
            </w:r>
          </w:p>
          <w:p w14:paraId="4870BBA1" w14:textId="2FEFB148" w:rsidR="00EC357F" w:rsidRPr="003B055B" w:rsidRDefault="00EC357F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C7F280" w14:textId="4FA58EE8" w:rsidR="00EC357F" w:rsidRPr="00D60E7C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D60E7C">
              <w:rPr>
                <w:rStyle w:val="Strong"/>
                <w:lang w:val="it-IT"/>
              </w:rPr>
              <w:lastRenderedPageBreak/>
              <w:t xml:space="preserve">UN </w:t>
            </w:r>
            <w:r w:rsidR="006475BF">
              <w:rPr>
                <w:rStyle w:val="Strong"/>
                <w:lang w:val="it-IT"/>
              </w:rPr>
              <w:t>W</w:t>
            </w:r>
            <w:r w:rsidRPr="00D60E7C">
              <w:rPr>
                <w:rStyle w:val="Strong"/>
                <w:lang w:val="it-IT"/>
              </w:rPr>
              <w:t>omen</w:t>
            </w:r>
          </w:p>
          <w:p w14:paraId="27DAF52B" w14:textId="77777777" w:rsidR="00EC357F" w:rsidRPr="00D60E7C" w:rsidRDefault="00EC357F" w:rsidP="00EC357F">
            <w:pPr>
              <w:pStyle w:val="NormalWeb"/>
              <w:jc w:val="both"/>
              <w:rPr>
                <w:rStyle w:val="Strong"/>
                <w:lang w:val="it-IT"/>
              </w:rPr>
            </w:pPr>
          </w:p>
        </w:tc>
        <w:tc>
          <w:tcPr>
            <w:tcW w:w="1170" w:type="dxa"/>
          </w:tcPr>
          <w:p w14:paraId="15FC38C2" w14:textId="71E7B5B5" w:rsidR="00EC357F" w:rsidRPr="00093AF5" w:rsidRDefault="004E3A5A" w:rsidP="00EC357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970" w:type="dxa"/>
          </w:tcPr>
          <w:p w14:paraId="081A1E8E" w14:textId="5B0E4430" w:rsidR="00EC357F" w:rsidRPr="00A673F4" w:rsidRDefault="00EC357F" w:rsidP="00EC357F">
            <w:pPr>
              <w:pStyle w:val="NormalWeb"/>
              <w:jc w:val="both"/>
              <w:rPr>
                <w:rStyle w:val="Strong"/>
                <w:b w:val="0"/>
                <w:bCs w:val="0"/>
                <w:lang w:val="it-IT"/>
              </w:rPr>
            </w:pPr>
            <w:r w:rsidRPr="00A673F4">
              <w:rPr>
                <w:rStyle w:val="Strong"/>
                <w:b w:val="0"/>
                <w:bCs w:val="0"/>
                <w:lang w:val="it-IT"/>
              </w:rPr>
              <w:t xml:space="preserve">Komentet e UN </w:t>
            </w:r>
            <w:r>
              <w:rPr>
                <w:rStyle w:val="Strong"/>
                <w:b w:val="0"/>
                <w:bCs w:val="0"/>
                <w:lang w:val="it-IT"/>
              </w:rPr>
              <w:t>Ë</w:t>
            </w:r>
            <w:r w:rsidRPr="00A673F4">
              <w:rPr>
                <w:rStyle w:val="Strong"/>
                <w:b w:val="0"/>
                <w:bCs w:val="0"/>
                <w:lang w:val="it-IT"/>
              </w:rPr>
              <w:t xml:space="preserve">omen janë marrë në konsideratë dhe pjesërisht janë reflektuar në versionin e rishikuar të Strategjisë Kombëtare për Inteligjencën Artificiale. Konkretisht, është përfshirë referenca ndaj Konventës Kuadër të Këshillit të Evropës për Inteligjencën Artificiale dhe të Drejtat e Njeriut, Demokracinë dhe Shtetin e së Drejtës; është integruar përfshirja e shoqërisë civile në mekanizmat e qeverisjes dhe mbikëqyrjes; si dhe është reflektuar rekomandimi për programet pilot të telemjekësisë, duke u orientuar drejt të moshuarve dhe personave me aftësi të kufizuara. Pjesa tjetër e komenteve, që lidhet me ndarjen gjinore të të dhënave dhe objektiva të detajuara për barazinë gjinore, nuk është </w:t>
            </w:r>
            <w:r w:rsidRPr="00A673F4">
              <w:rPr>
                <w:rStyle w:val="Strong"/>
                <w:b w:val="0"/>
                <w:bCs w:val="0"/>
                <w:lang w:val="it-IT"/>
              </w:rPr>
              <w:lastRenderedPageBreak/>
              <w:t>reflektuar, pasi nuk përputhet me praktikat e vendeve të zhvilluara si Anglia, Australia dhe Singapori, të cilat nuk i adresojnë këto çështje në strategjitë e tyre kombëtare për IA. Strategjia shqiptare ka ruajtur fokusin te zhvillimi teknologjik, qeverisja e të dhënave dhe aplikimet publike, duke ndjekur një qasje të krahasueshme me modelet ndërkombëtare</w:t>
            </w:r>
          </w:p>
        </w:tc>
      </w:tr>
    </w:tbl>
    <w:p w14:paraId="4B863156" w14:textId="77777777" w:rsidR="00E57380" w:rsidRDefault="00E57380" w:rsidP="00C758D3">
      <w:pPr>
        <w:jc w:val="both"/>
        <w:rPr>
          <w:rFonts w:ascii="Times New Roman" w:hAnsi="Times New Roman"/>
          <w:iCs/>
          <w:sz w:val="24"/>
          <w:szCs w:val="24"/>
        </w:rPr>
      </w:pPr>
    </w:p>
    <w:p w14:paraId="06531FA0" w14:textId="77777777" w:rsidR="00C758D3" w:rsidRPr="00E60450" w:rsidRDefault="00C758D3" w:rsidP="00C758D3">
      <w:pPr>
        <w:rPr>
          <w:rFonts w:asciiTheme="minorHAnsi" w:hAnsiTheme="minorHAnsi"/>
          <w:szCs w:val="24"/>
        </w:rPr>
      </w:pPr>
    </w:p>
    <w:p w14:paraId="1B889CAB" w14:textId="77777777" w:rsidR="003F53CA" w:rsidRDefault="003F53CA"/>
    <w:sectPr w:rsidR="003F53CA" w:rsidSect="00C758D3">
      <w:pgSz w:w="11900" w:h="16840"/>
      <w:pgMar w:top="900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6538" w14:textId="77777777" w:rsidR="0020758F" w:rsidRDefault="0020758F" w:rsidP="00280DC3">
      <w:r>
        <w:separator/>
      </w:r>
    </w:p>
  </w:endnote>
  <w:endnote w:type="continuationSeparator" w:id="0">
    <w:p w14:paraId="53CD1666" w14:textId="77777777" w:rsidR="0020758F" w:rsidRDefault="0020758F" w:rsidP="0028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5C60" w14:textId="77777777" w:rsidR="0020758F" w:rsidRDefault="0020758F" w:rsidP="00280DC3">
      <w:r>
        <w:separator/>
      </w:r>
    </w:p>
  </w:footnote>
  <w:footnote w:type="continuationSeparator" w:id="0">
    <w:p w14:paraId="1B3356B5" w14:textId="77777777" w:rsidR="0020758F" w:rsidRDefault="0020758F" w:rsidP="0028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502"/>
    <w:multiLevelType w:val="hybridMultilevel"/>
    <w:tmpl w:val="2940D196"/>
    <w:lvl w:ilvl="0" w:tplc="1F509608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284E"/>
    <w:multiLevelType w:val="hybridMultilevel"/>
    <w:tmpl w:val="FD02DABA"/>
    <w:lvl w:ilvl="0" w:tplc="255A31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45BC"/>
    <w:multiLevelType w:val="hybridMultilevel"/>
    <w:tmpl w:val="23C6A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504F62"/>
    <w:multiLevelType w:val="hybridMultilevel"/>
    <w:tmpl w:val="8D80E474"/>
    <w:lvl w:ilvl="0" w:tplc="632C2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47F33"/>
    <w:multiLevelType w:val="hybridMultilevel"/>
    <w:tmpl w:val="A01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433293">
    <w:abstractNumId w:val="0"/>
  </w:num>
  <w:num w:numId="2" w16cid:durableId="46495571">
    <w:abstractNumId w:val="4"/>
  </w:num>
  <w:num w:numId="3" w16cid:durableId="1300306147">
    <w:abstractNumId w:val="1"/>
  </w:num>
  <w:num w:numId="4" w16cid:durableId="1145271581">
    <w:abstractNumId w:val="3"/>
  </w:num>
  <w:num w:numId="5" w16cid:durableId="194117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3"/>
    <w:rsid w:val="00003D69"/>
    <w:rsid w:val="000121D6"/>
    <w:rsid w:val="00032B34"/>
    <w:rsid w:val="00075903"/>
    <w:rsid w:val="000B66D9"/>
    <w:rsid w:val="000E3BB9"/>
    <w:rsid w:val="000F0E3F"/>
    <w:rsid w:val="001512E8"/>
    <w:rsid w:val="0020758F"/>
    <w:rsid w:val="00243681"/>
    <w:rsid w:val="00266982"/>
    <w:rsid w:val="00280DC3"/>
    <w:rsid w:val="00283AC7"/>
    <w:rsid w:val="002B53D8"/>
    <w:rsid w:val="003401D3"/>
    <w:rsid w:val="003446C0"/>
    <w:rsid w:val="00363817"/>
    <w:rsid w:val="003B055B"/>
    <w:rsid w:val="003C158A"/>
    <w:rsid w:val="003E1B02"/>
    <w:rsid w:val="003F53CA"/>
    <w:rsid w:val="00492FE3"/>
    <w:rsid w:val="004B4A6E"/>
    <w:rsid w:val="004B75E2"/>
    <w:rsid w:val="004B77E5"/>
    <w:rsid w:val="004E2828"/>
    <w:rsid w:val="004E3A5A"/>
    <w:rsid w:val="00511E71"/>
    <w:rsid w:val="00516D67"/>
    <w:rsid w:val="005342A5"/>
    <w:rsid w:val="0054278E"/>
    <w:rsid w:val="00564DDF"/>
    <w:rsid w:val="00565FC8"/>
    <w:rsid w:val="00570B59"/>
    <w:rsid w:val="005C4655"/>
    <w:rsid w:val="0060003C"/>
    <w:rsid w:val="00623000"/>
    <w:rsid w:val="00625A62"/>
    <w:rsid w:val="00644B42"/>
    <w:rsid w:val="006475BF"/>
    <w:rsid w:val="006513E0"/>
    <w:rsid w:val="0067729F"/>
    <w:rsid w:val="00677E1F"/>
    <w:rsid w:val="00690AB6"/>
    <w:rsid w:val="00691AFA"/>
    <w:rsid w:val="006E50DD"/>
    <w:rsid w:val="006E6B2B"/>
    <w:rsid w:val="006F16C5"/>
    <w:rsid w:val="007014A4"/>
    <w:rsid w:val="007015DB"/>
    <w:rsid w:val="0070466E"/>
    <w:rsid w:val="0072199B"/>
    <w:rsid w:val="00727E26"/>
    <w:rsid w:val="00784A4C"/>
    <w:rsid w:val="007965D9"/>
    <w:rsid w:val="007A7965"/>
    <w:rsid w:val="007D1DC0"/>
    <w:rsid w:val="007F7BF9"/>
    <w:rsid w:val="00806680"/>
    <w:rsid w:val="008230BD"/>
    <w:rsid w:val="0083531E"/>
    <w:rsid w:val="00844ACB"/>
    <w:rsid w:val="00891317"/>
    <w:rsid w:val="008E4274"/>
    <w:rsid w:val="009666F5"/>
    <w:rsid w:val="00976866"/>
    <w:rsid w:val="009A7FE0"/>
    <w:rsid w:val="009D4C13"/>
    <w:rsid w:val="009D5420"/>
    <w:rsid w:val="009F314E"/>
    <w:rsid w:val="00A06F54"/>
    <w:rsid w:val="00A673F4"/>
    <w:rsid w:val="00AC0C54"/>
    <w:rsid w:val="00AD5B3D"/>
    <w:rsid w:val="00AF2FB3"/>
    <w:rsid w:val="00B25A9F"/>
    <w:rsid w:val="00B55B7E"/>
    <w:rsid w:val="00B74C48"/>
    <w:rsid w:val="00C758D3"/>
    <w:rsid w:val="00D179B2"/>
    <w:rsid w:val="00D240A8"/>
    <w:rsid w:val="00D454BD"/>
    <w:rsid w:val="00D504CE"/>
    <w:rsid w:val="00DC7161"/>
    <w:rsid w:val="00DD0EC3"/>
    <w:rsid w:val="00DF4C5C"/>
    <w:rsid w:val="00E5210A"/>
    <w:rsid w:val="00E57380"/>
    <w:rsid w:val="00EC357F"/>
    <w:rsid w:val="00ED2EDF"/>
    <w:rsid w:val="00ED3E3D"/>
    <w:rsid w:val="00ED5F87"/>
    <w:rsid w:val="00EE0743"/>
    <w:rsid w:val="00EE098E"/>
    <w:rsid w:val="00F0274B"/>
    <w:rsid w:val="00F37E8B"/>
    <w:rsid w:val="00F65730"/>
    <w:rsid w:val="00FA0858"/>
    <w:rsid w:val="00F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D175"/>
  <w15:docId w15:val="{A0A65674-2BB1-4021-8024-042D082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58D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7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743"/>
    <w:rPr>
      <w:rFonts w:ascii="Arial" w:eastAsiaTheme="majorEastAsia" w:hAnsi="Arial" w:cstheme="majorBidi"/>
      <w:i/>
      <w:iCs/>
      <w:color w:val="595959" w:themeColor="text1" w:themeTint="A6"/>
      <w:kern w:val="0"/>
      <w:sz w:val="22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743"/>
    <w:rPr>
      <w:rFonts w:ascii="Arial" w:eastAsiaTheme="majorEastAsia" w:hAnsi="Arial" w:cstheme="majorBidi"/>
      <w:color w:val="595959" w:themeColor="text1" w:themeTint="A6"/>
      <w:kern w:val="0"/>
      <w:sz w:val="22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743"/>
    <w:rPr>
      <w:rFonts w:ascii="Arial" w:eastAsiaTheme="majorEastAsia" w:hAnsi="Arial" w:cstheme="majorBidi"/>
      <w:i/>
      <w:iCs/>
      <w:color w:val="272727" w:themeColor="text1" w:themeTint="D8"/>
      <w:kern w:val="0"/>
      <w:sz w:val="22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743"/>
    <w:rPr>
      <w:rFonts w:ascii="Arial" w:eastAsiaTheme="majorEastAsia" w:hAnsi="Arial" w:cstheme="majorBidi"/>
      <w:color w:val="272727" w:themeColor="text1" w:themeTint="D8"/>
      <w:kern w:val="0"/>
      <w:sz w:val="22"/>
      <w:szCs w:val="20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E0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74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743"/>
    <w:rPr>
      <w:i/>
      <w:iCs/>
      <w:color w:val="404040" w:themeColor="text1" w:themeTint="BF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EE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74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58D3"/>
  </w:style>
  <w:style w:type="paragraph" w:styleId="BodyText">
    <w:name w:val="Body Text"/>
    <w:basedOn w:val="Normal"/>
    <w:link w:val="BodyTextChar"/>
    <w:uiPriority w:val="99"/>
    <w:unhideWhenUsed/>
    <w:qFormat/>
    <w:rsid w:val="00C758D3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58D3"/>
    <w:rPr>
      <w:rFonts w:ascii="Calibri" w:eastAsia="Times New Roman" w:hAnsi="Calibri" w:cs="Times New Roman"/>
      <w:kern w:val="0"/>
      <w:sz w:val="22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C758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64DDF"/>
    <w:rPr>
      <w:b/>
      <w:bCs/>
    </w:rPr>
  </w:style>
  <w:style w:type="paragraph" w:styleId="NormalWeb">
    <w:name w:val="Normal (Web)"/>
    <w:basedOn w:val="Normal"/>
    <w:uiPriority w:val="99"/>
    <w:unhideWhenUsed/>
    <w:rsid w:val="00564D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84A4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5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F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F87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F87"/>
    <w:rPr>
      <w:rFonts w:ascii="Arial" w:eastAsia="Times New Roman" w:hAnsi="Arial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bania.unwomen.org/sites/default/files/2023-10/digitalization_and_ict_web_2109202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bania.unwomen.org/sites/default/files/2024-05/ard_web_final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lbania.unwomen.org/sites/default/files/2024-05/ard_web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okatipopullit.gov.al/media/manager/website/reports/03%20Raporti%20Shqip%20Digjitalizimi%20i%20sh&#235;rbimeve%20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3029</Words>
  <Characters>17481</Characters>
  <Application>Microsoft Office Word</Application>
  <DocSecurity>0</DocSecurity>
  <Lines>874</Lines>
  <Paragraphs>109</Paragraphs>
  <ScaleCrop>false</ScaleCrop>
  <Company/>
  <LinksUpToDate>false</LinksUpToDate>
  <CharactersWithSpaces>20401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Gledis Peza</dc:creator>
  <cp:keywords/>
  <dc:description/>
  <cp:lastModifiedBy>Gledis Peza</cp:lastModifiedBy>
  <cp:revision>2</cp:revision>
  <dcterms:created xsi:type="dcterms:W3CDTF">2025-12-22T08:38:00Z</dcterms:created>
  <dcterms:modified xsi:type="dcterms:W3CDTF">2025-12-22T08:38:00Z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06ba1b8c-027d-49e5-8aae-89f3035d5c05</vt:lpwstr>
  </property>
</Properties>
</file>