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5070"/>
        <w:gridCol w:w="4645"/>
      </w:tblGrid>
      <w:tr w:rsidRPr="00E75562" w:rsidR="000D5974" w:rsidTr="65600A46" w14:paraId="1B7E1C9C"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0D5974" w:rsidR="000D5974" w:rsidP="00B17990" w:rsidRDefault="000D5974" w14:paraId="321645BC" w14:textId="77777777">
            <w:pPr>
              <w:spacing w:line="276" w:lineRule="auto"/>
              <w:rPr>
                <w:b/>
                <w:szCs w:val="24"/>
              </w:rPr>
            </w:pPr>
            <w:bookmarkStart w:name="_Hlk506916825" w:id="0"/>
            <w:bookmarkEnd w:id="0"/>
            <w:r w:rsidRPr="000D5974">
              <w:rPr>
                <w:b/>
                <w:szCs w:val="24"/>
              </w:rPr>
              <w:t>RAPORTI I VLERËSIMIT TË NDIKIMIT</w:t>
            </w:r>
          </w:p>
        </w:tc>
      </w:tr>
      <w:tr w:rsidRPr="00E75562" w:rsidR="00C84F64" w:rsidTr="65600A46" w14:paraId="6F51B135"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CA40EE" w:rsidP="007B6556" w:rsidRDefault="00CA40EE" w14:paraId="501C41F2" w14:textId="77777777">
            <w:pPr>
              <w:spacing w:line="276" w:lineRule="auto"/>
              <w:rPr>
                <w:b/>
                <w:szCs w:val="24"/>
              </w:rPr>
            </w:pPr>
            <w:r w:rsidRPr="00325A1F">
              <w:rPr>
                <w:b/>
                <w:szCs w:val="24"/>
              </w:rPr>
              <w:t xml:space="preserve">EMËRTIMI I PROPOZIMIT TË POLITIKËS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7509DC" w:rsidR="00852318" w:rsidP="4BC2FF46" w:rsidRDefault="00CA40EE" w14:paraId="671AC05F" w14:textId="4333329E">
            <w:pPr>
              <w:jc w:val="center"/>
              <w:rPr>
                <w:b/>
                <w:bCs/>
                <w:color w:val="000000"/>
              </w:rPr>
            </w:pPr>
            <w:r w:rsidRPr="6DFCD129">
              <w:t>Projekt</w:t>
            </w:r>
            <w:r w:rsidR="7CA39270">
              <w:t>ligj</w:t>
            </w:r>
            <w:r w:rsidR="002005F1">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Pr="007509DC" w:rsidR="001155AF">
              <w:rPr>
                <w:rStyle w:val="IASOIChar"/>
                <w:rFonts w:ascii="Times New Roman" w:hAnsi="Times New Roman"/>
                <w:b w:val="0"/>
                <w:sz w:val="24"/>
                <w:szCs w:val="24"/>
                <w:lang w:val="sq-AL"/>
              </w:rPr>
              <w:instrText xml:space="preserve"> FORMDROPDOWN </w:instrText>
            </w:r>
            <w:r w:rsidR="002005F1">
              <w:rPr>
                <w:rStyle w:val="IASOIChar"/>
                <w:rFonts w:ascii="Times New Roman" w:hAnsi="Times New Roman"/>
                <w:b w:val="0"/>
                <w:sz w:val="24"/>
                <w:szCs w:val="24"/>
              </w:rPr>
            </w:r>
            <w:r w:rsidR="002005F1">
              <w:rPr>
                <w:rStyle w:val="IASOIChar"/>
                <w:rFonts w:ascii="Times New Roman" w:hAnsi="Times New Roman"/>
                <w:b w:val="0"/>
                <w:sz w:val="24"/>
                <w:szCs w:val="24"/>
              </w:rPr>
              <w:fldChar w:fldCharType="separate"/>
            </w:r>
            <w:r w:rsidR="002005F1">
              <w:rPr>
                <w:rStyle w:val="IASOIChar"/>
                <w:rFonts w:ascii="Times New Roman" w:hAnsi="Times New Roman"/>
                <w:b w:val="0"/>
                <w:sz w:val="24"/>
                <w:szCs w:val="24"/>
              </w:rPr>
              <w:fldChar w:fldCharType="end"/>
            </w:r>
            <w:r w:rsidRPr="00325A1F" w:rsidR="002A33A0">
              <w:rPr>
                <w:szCs w:val="24"/>
              </w:rPr>
              <w:t xml:space="preserve"> </w:t>
            </w:r>
            <w:r w:rsidRPr="4BC2FF46" w:rsidR="001D2A5A">
              <w:t>“P</w:t>
            </w:r>
            <w:r w:rsidRPr="4BC2FF46" w:rsidR="004E2DD2">
              <w:t>ë</w:t>
            </w:r>
            <w:r w:rsidRPr="4BC2FF46" w:rsidR="001D2A5A">
              <w:t xml:space="preserve">r </w:t>
            </w:r>
            <w:r w:rsidRPr="4BC2FF46" w:rsidR="007A7F62">
              <w:t>shnd</w:t>
            </w:r>
            <w:r w:rsidRPr="4BC2FF46" w:rsidR="00E75562">
              <w:t>ë</w:t>
            </w:r>
            <w:r w:rsidRPr="4BC2FF46" w:rsidR="007A7F62">
              <w:t>rrimet, bashkimet dhe ndarjet nd</w:t>
            </w:r>
            <w:r w:rsidRPr="4BC2FF46" w:rsidR="00E75562">
              <w:t>ë</w:t>
            </w:r>
            <w:r w:rsidRPr="4BC2FF46" w:rsidR="007A7F62">
              <w:t>rkufitare t</w:t>
            </w:r>
            <w:r w:rsidRPr="4BC2FF46" w:rsidR="00E75562">
              <w:t>ë</w:t>
            </w:r>
            <w:r w:rsidRPr="4BC2FF46" w:rsidR="007A7F62">
              <w:t xml:space="preserve"> shoq</w:t>
            </w:r>
            <w:r w:rsidRPr="4BC2FF46" w:rsidR="00E75562">
              <w:t>ë</w:t>
            </w:r>
            <w:r w:rsidRPr="4BC2FF46" w:rsidR="007A7F62">
              <w:t>rive tregtare”</w:t>
            </w:r>
          </w:p>
          <w:p w:rsidRPr="00325A1F" w:rsidR="00CA40EE" w:rsidP="00B17990" w:rsidRDefault="00CA40EE" w14:paraId="0852E617" w14:textId="77777777">
            <w:pPr>
              <w:spacing w:line="276" w:lineRule="auto"/>
              <w:rPr>
                <w:b/>
                <w:szCs w:val="24"/>
              </w:rPr>
            </w:pPr>
          </w:p>
        </w:tc>
      </w:tr>
      <w:tr w:rsidRPr="00E75562" w:rsidR="00C84F64" w:rsidTr="65600A46" w14:paraId="18670F89"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CA40EE" w:rsidP="007B6556" w:rsidRDefault="00CA40EE" w14:paraId="2C082894" w14:textId="77777777">
            <w:pPr>
              <w:spacing w:line="276" w:lineRule="auto"/>
              <w:rPr>
                <w:b/>
                <w:szCs w:val="24"/>
              </w:rPr>
            </w:pPr>
            <w:r w:rsidRPr="00325A1F">
              <w:rPr>
                <w:b/>
                <w:szCs w:val="24"/>
              </w:rPr>
              <w:t xml:space="preserve">MINISTRIA UDHËHEQËSE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CA40EE" w:rsidP="00444DC8" w:rsidRDefault="00444DC8" w14:paraId="50098603" w14:textId="73B1590A">
            <w:pPr>
              <w:spacing w:line="276" w:lineRule="auto"/>
            </w:pPr>
            <w:r w:rsidRPr="4BC2FF46">
              <w:t xml:space="preserve">Ministria </w:t>
            </w:r>
            <w:r w:rsidRPr="00325A1F" w:rsidR="002A66D3">
              <w:rPr>
                <w:szCs w:val="24"/>
              </w:rPr>
              <w:t xml:space="preserve"> </w:t>
            </w:r>
            <w:r w:rsidRPr="4BC2FF46" w:rsidR="00852318">
              <w:t>e Ekonomis</w:t>
            </w:r>
            <w:r w:rsidRPr="4BC2FF46" w:rsidR="0071541B">
              <w:t>ë</w:t>
            </w:r>
            <w:r w:rsidRPr="4BC2FF46" w:rsidR="00ED2D6D">
              <w:t xml:space="preserve"> dhe Inovacionit</w:t>
            </w:r>
            <w:r w:rsidR="00F94202">
              <w:rPr>
                <w:szCs w:val="24"/>
              </w:rPr>
              <w:t xml:space="preserve"> </w:t>
            </w:r>
            <w:r w:rsidR="002005F1">
              <w:rPr>
                <w:rStyle w:val="IASOIChar"/>
                <w:rFonts w:ascii="Times New Roman" w:hAnsi="Times New Roman"/>
                <w:b w:val="0"/>
                <w:sz w:val="24"/>
                <w:szCs w:val="24"/>
              </w:rPr>
              <w:fldChar w:fldCharType="begin">
                <w:ffData>
                  <w:name w:val="MInistria"/>
                  <w:enabled/>
                  <w:calcOnExit w:val="0"/>
                  <w:ddLis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name="MInistria" w:id="1"/>
            <w:r w:rsidRPr="00DE53BA">
              <w:rPr>
                <w:rStyle w:val="IASOIChar"/>
                <w:rFonts w:ascii="Times New Roman" w:hAnsi="Times New Roman"/>
                <w:b w:val="0"/>
                <w:sz w:val="24"/>
                <w:szCs w:val="24"/>
                <w:lang w:val="it-IT"/>
              </w:rPr>
              <w:instrText xml:space="preserve"> FORMDROPDOWN </w:instrText>
            </w:r>
            <w:r w:rsidR="002005F1">
              <w:rPr>
                <w:rStyle w:val="IASOIChar"/>
                <w:rFonts w:ascii="Times New Roman" w:hAnsi="Times New Roman"/>
                <w:b w:val="0"/>
                <w:sz w:val="24"/>
                <w:szCs w:val="24"/>
              </w:rPr>
            </w:r>
            <w:r w:rsidR="002005F1">
              <w:rPr>
                <w:rStyle w:val="IASOIChar"/>
                <w:rFonts w:ascii="Times New Roman" w:hAnsi="Times New Roman"/>
                <w:b w:val="0"/>
                <w:sz w:val="24"/>
                <w:szCs w:val="24"/>
              </w:rPr>
              <w:fldChar w:fldCharType="separate"/>
            </w:r>
            <w:r w:rsidR="002005F1">
              <w:rPr>
                <w:rStyle w:val="IASOIChar"/>
                <w:rFonts w:ascii="Times New Roman" w:hAnsi="Times New Roman"/>
                <w:b w:val="0"/>
                <w:sz w:val="24"/>
                <w:szCs w:val="24"/>
              </w:rPr>
              <w:fldChar w:fldCharType="end"/>
            </w:r>
            <w:bookmarkEnd w:id="1"/>
            <w:r w:rsidR="00CA40EE">
              <w:t xml:space="preserve"> </w:t>
            </w:r>
          </w:p>
        </w:tc>
      </w:tr>
      <w:tr w:rsidRPr="00325A1F" w:rsidR="00C84F64" w:rsidTr="65600A46" w14:paraId="495E3A02"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CA40EE" w:rsidP="007B6556" w:rsidRDefault="00CA40EE" w14:paraId="44CBCA91" w14:textId="77777777">
            <w:pPr>
              <w:spacing w:line="276" w:lineRule="auto"/>
              <w:rPr>
                <w:b/>
                <w:szCs w:val="24"/>
              </w:rPr>
            </w:pPr>
            <w:r w:rsidRPr="00325A1F">
              <w:rPr>
                <w:b/>
                <w:szCs w:val="24"/>
              </w:rPr>
              <w:t>FAZA E POLITIKËS/VLERËSIMIT TË NDIKIMIT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CA40EE" w:rsidP="007B6556" w:rsidRDefault="002151A9" w14:paraId="592707AC" w14:textId="552C186B">
            <w:pPr>
              <w:spacing w:line="276" w:lineRule="auto"/>
              <w:rPr>
                <w:szCs w:val="24"/>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4E4889">
                  <w:rPr>
                    <w:rStyle w:val="BodyTextChar"/>
                    <w:rFonts w:ascii="Times New Roman" w:hAnsi="Times New Roman"/>
                    <w:sz w:val="24"/>
                    <w:szCs w:val="24"/>
                  </w:rPr>
                  <w:t>Finale</w:t>
                </w:r>
              </w:sdtContent>
            </w:sdt>
          </w:p>
        </w:tc>
      </w:tr>
      <w:tr w:rsidRPr="00325A1F" w:rsidR="00C84F64" w:rsidTr="65600A46" w14:paraId="76B353F6"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CA40EE" w:rsidP="007B6556" w:rsidRDefault="00CA40EE" w14:paraId="3EE4477A" w14:textId="77777777">
            <w:pPr>
              <w:spacing w:line="276" w:lineRule="auto"/>
              <w:rPr>
                <w:b/>
                <w:szCs w:val="24"/>
              </w:rPr>
            </w:pPr>
            <w:r w:rsidRPr="00325A1F">
              <w:rPr>
                <w:b/>
                <w:szCs w:val="24"/>
              </w:rPr>
              <w:t>BURIMI I PROPOZIMIT TË POLITIKËS</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CA40EE" w:rsidP="007B6556" w:rsidRDefault="7CF120C1" w14:paraId="5696EA9C" w14:textId="5DF08882">
            <w:pPr>
              <w:spacing w:line="276" w:lineRule="auto"/>
              <w:jc w:val="both"/>
            </w:pPr>
            <w:r>
              <w:t>I brendshëm</w:t>
            </w:r>
          </w:p>
        </w:tc>
      </w:tr>
      <w:tr w:rsidRPr="00E75562" w:rsidR="00C84F64" w:rsidTr="65600A46" w14:paraId="48CF2708" w14:textId="77777777">
        <w:trPr>
          <w:trHeight w:val="557"/>
        </w:trPr>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0DA9" w:rsidR="00CA40EE" w:rsidP="007B6556" w:rsidRDefault="00CA40EE" w14:paraId="58A8F6C8" w14:textId="77777777">
            <w:pPr>
              <w:spacing w:line="276" w:lineRule="auto"/>
              <w:rPr>
                <w:b/>
                <w:szCs w:val="24"/>
              </w:rPr>
            </w:pPr>
            <w:r w:rsidRPr="006D0DA9">
              <w:rPr>
                <w:b/>
                <w:szCs w:val="24"/>
              </w:rPr>
              <w:t xml:space="preserve">DIREKTIVË/RREGULLORE E BE-së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6D0DA9" w:rsidR="00525217" w:rsidP="0000379A" w:rsidRDefault="00525217" w14:paraId="69C9385A" w14:textId="7215E4F7">
            <w:pPr>
              <w:pStyle w:val="ListParagraph"/>
              <w:numPr>
                <w:ilvl w:val="0"/>
                <w:numId w:val="17"/>
              </w:numPr>
              <w:spacing w:line="276" w:lineRule="auto"/>
              <w:rPr>
                <w:rFonts w:ascii="Times New Roman" w:hAnsi="Times New Roman"/>
                <w:bCs/>
                <w:sz w:val="24"/>
                <w:szCs w:val="24"/>
              </w:rPr>
            </w:pPr>
            <w:r w:rsidRPr="006D0DA9">
              <w:rPr>
                <w:rFonts w:ascii="Times New Roman" w:hAnsi="Times New Roman"/>
                <w:b/>
                <w:sz w:val="24"/>
                <w:szCs w:val="24"/>
              </w:rPr>
              <w:t>Direktiva (BE) 2017/1132</w:t>
            </w:r>
            <w:r w:rsidRPr="006D0DA9">
              <w:rPr>
                <w:rFonts w:ascii="Times New Roman" w:hAnsi="Times New Roman"/>
                <w:bCs/>
                <w:sz w:val="24"/>
                <w:szCs w:val="24"/>
              </w:rPr>
              <w:t xml:space="preserve"> e Parlamentit Evropian dhe e Këshillit e 14 qershorit 2017 lidhur me disa aspekte të së drejtës së shoqërive tregtare (kodifikim), FZ L 169, 30.6.2017, f. 46–127, </w:t>
            </w:r>
            <w:r w:rsidRPr="006D0DA9" w:rsidR="00E75562">
              <w:rPr>
                <w:rFonts w:ascii="Times New Roman" w:hAnsi="Times New Roman"/>
                <w:bCs/>
                <w:sz w:val="24"/>
                <w:szCs w:val="24"/>
              </w:rPr>
              <w:t>ndryshuar</w:t>
            </w:r>
            <w:r w:rsidRPr="006D0DA9">
              <w:rPr>
                <w:rFonts w:ascii="Times New Roman" w:hAnsi="Times New Roman"/>
                <w:bCs/>
                <w:sz w:val="24"/>
                <w:szCs w:val="24"/>
              </w:rPr>
              <w:t xml:space="preserve"> kryesisht</w:t>
            </w:r>
            <w:r w:rsidRPr="006D0DA9" w:rsidR="009B44D5">
              <w:rPr>
                <w:rFonts w:ascii="Times New Roman" w:hAnsi="Times New Roman"/>
                <w:bCs/>
                <w:sz w:val="24"/>
                <w:szCs w:val="24"/>
              </w:rPr>
              <w:t xml:space="preserve"> nga </w:t>
            </w:r>
          </w:p>
          <w:p w:rsidRPr="006D0DA9" w:rsidR="00584C71" w:rsidP="0000379A" w:rsidRDefault="00525217" w14:paraId="17748279" w14:textId="3977859F">
            <w:pPr>
              <w:pStyle w:val="ListParagraph"/>
              <w:numPr>
                <w:ilvl w:val="0"/>
                <w:numId w:val="16"/>
              </w:numPr>
              <w:spacing w:line="276" w:lineRule="auto"/>
              <w:rPr>
                <w:rFonts w:ascii="Times New Roman" w:hAnsi="Times New Roman"/>
                <w:bCs/>
                <w:sz w:val="24"/>
                <w:szCs w:val="24"/>
              </w:rPr>
            </w:pPr>
            <w:r w:rsidRPr="006D0DA9">
              <w:rPr>
                <w:rFonts w:ascii="Times New Roman" w:hAnsi="Times New Roman"/>
                <w:b/>
                <w:sz w:val="24"/>
                <w:szCs w:val="24"/>
              </w:rPr>
              <w:t>Direktiva (BE) 2019/1151</w:t>
            </w:r>
            <w:r w:rsidRPr="006D0DA9">
              <w:rPr>
                <w:rFonts w:ascii="Times New Roman" w:hAnsi="Times New Roman"/>
                <w:bCs/>
                <w:sz w:val="24"/>
                <w:szCs w:val="24"/>
              </w:rPr>
              <w:t xml:space="preserve"> e Parlamentit Evropian dhe e Këshillit e 20 qershorit 2019, që ndryshon </w:t>
            </w:r>
            <w:r w:rsidRPr="006D0DA9" w:rsidR="00E75562">
              <w:rPr>
                <w:rFonts w:ascii="Times New Roman" w:hAnsi="Times New Roman"/>
                <w:bCs/>
                <w:sz w:val="24"/>
                <w:szCs w:val="24"/>
              </w:rPr>
              <w:t>Direktivën</w:t>
            </w:r>
            <w:r w:rsidRPr="006D0DA9">
              <w:rPr>
                <w:rFonts w:ascii="Times New Roman" w:hAnsi="Times New Roman"/>
                <w:bCs/>
                <w:sz w:val="24"/>
                <w:szCs w:val="24"/>
              </w:rPr>
              <w:t xml:space="preserve"> (BE) 2017/1132 sa i përket përdorimit të mjeteve dhe proceseve di</w:t>
            </w:r>
            <w:r w:rsidR="00E75562">
              <w:rPr>
                <w:rFonts w:ascii="Times New Roman" w:hAnsi="Times New Roman"/>
                <w:bCs/>
                <w:sz w:val="24"/>
                <w:szCs w:val="24"/>
              </w:rPr>
              <w:t>gj</w:t>
            </w:r>
            <w:r w:rsidRPr="006D0DA9">
              <w:rPr>
                <w:rFonts w:ascii="Times New Roman" w:hAnsi="Times New Roman"/>
                <w:bCs/>
                <w:sz w:val="24"/>
                <w:szCs w:val="24"/>
              </w:rPr>
              <w:t>itale në të drejtën e shoqërive tregtare, PE/25/2019/REV/1, FZ L 186, 11.7.2019, f. 80–104</w:t>
            </w:r>
          </w:p>
          <w:p w:rsidRPr="006D0DA9" w:rsidR="00525217" w:rsidP="0000379A" w:rsidRDefault="00525217" w14:paraId="3B3DB17F" w14:textId="3F0A37C0">
            <w:pPr>
              <w:pStyle w:val="ListParagraph"/>
              <w:numPr>
                <w:ilvl w:val="0"/>
                <w:numId w:val="16"/>
              </w:numPr>
              <w:spacing w:line="276" w:lineRule="auto"/>
              <w:rPr>
                <w:rFonts w:ascii="Times New Roman" w:hAnsi="Times New Roman"/>
                <w:bCs/>
                <w:sz w:val="24"/>
                <w:szCs w:val="24"/>
              </w:rPr>
            </w:pPr>
            <w:r w:rsidRPr="006D0DA9">
              <w:rPr>
                <w:rFonts w:ascii="Times New Roman" w:hAnsi="Times New Roman"/>
                <w:b/>
                <w:sz w:val="24"/>
                <w:szCs w:val="24"/>
              </w:rPr>
              <w:t>Direktiva (BE) 2019/2121</w:t>
            </w:r>
            <w:r w:rsidRPr="006D0DA9">
              <w:rPr>
                <w:rFonts w:ascii="Times New Roman" w:hAnsi="Times New Roman"/>
                <w:bCs/>
                <w:sz w:val="24"/>
                <w:szCs w:val="24"/>
              </w:rPr>
              <w:t xml:space="preserve"> e Parlamentit Evropian dhe e Këshillit e 27 nëntorit 2019, që ndryshon </w:t>
            </w:r>
            <w:r w:rsidRPr="006D0DA9" w:rsidR="00E75562">
              <w:rPr>
                <w:rFonts w:ascii="Times New Roman" w:hAnsi="Times New Roman"/>
                <w:bCs/>
                <w:sz w:val="24"/>
                <w:szCs w:val="24"/>
              </w:rPr>
              <w:t>Direktivën</w:t>
            </w:r>
            <w:r w:rsidRPr="006D0DA9">
              <w:rPr>
                <w:rFonts w:ascii="Times New Roman" w:hAnsi="Times New Roman"/>
                <w:bCs/>
                <w:sz w:val="24"/>
                <w:szCs w:val="24"/>
              </w:rPr>
              <w:t xml:space="preserve"> (BE) 2017/1132 sa i përket shndërrimeve, bashkimeve dhe ndarjeve ndërkufitare, PE/84/2019/REV/1, OJ L 321, 12.12.2019, f. 1–44</w:t>
            </w:r>
          </w:p>
        </w:tc>
      </w:tr>
      <w:tr w:rsidRPr="00E75562" w:rsidR="00B5039C" w:rsidTr="65600A46" w14:paraId="316140FE" w14:textId="77777777">
        <w:trPr>
          <w:trHeight w:val="980"/>
        </w:trPr>
        <w:tc>
          <w:tcPr>
            <w:tcW w:w="5070" w:type="dxa"/>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tcMar/>
            <w:vAlign w:val="center"/>
          </w:tcPr>
          <w:p w:rsidRPr="00325A1F" w:rsidR="00B5039C" w:rsidP="00B5039C" w:rsidRDefault="00B5039C" w14:paraId="4E194C33" w14:textId="77777777">
            <w:pPr>
              <w:spacing w:line="276" w:lineRule="auto"/>
              <w:rPr>
                <w:b/>
                <w:szCs w:val="24"/>
              </w:rPr>
            </w:pPr>
            <w:r w:rsidRPr="00325A1F">
              <w:rPr>
                <w:b/>
                <w:szCs w:val="24"/>
              </w:rPr>
              <w:t>PUBLIKIMET DHE STRATEGJITË E LIDHURA</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12C42" w:rsidR="00B5039C" w:rsidP="00B5039C" w:rsidRDefault="00621EE1" w14:paraId="14EE3C1D" w14:textId="4261BEA5">
            <w:pPr>
              <w:spacing w:line="276" w:lineRule="auto"/>
              <w:rPr>
                <w:rStyle w:val="IASOIChar"/>
                <w:rFonts w:ascii="Times New Roman" w:hAnsi="Times New Roman"/>
                <w:b w:val="0"/>
                <w:sz w:val="24"/>
                <w:szCs w:val="24"/>
                <w:lang w:val="sq-AL"/>
              </w:rPr>
            </w:pPr>
            <w:r w:rsidRPr="4BC2FF46">
              <w:rPr>
                <w:rStyle w:val="IASOIChar"/>
                <w:rFonts w:ascii="Times New Roman" w:hAnsi="Times New Roman"/>
                <w:b w:val="0"/>
                <w:sz w:val="24"/>
                <w:szCs w:val="24"/>
                <w:lang w:val="sq-AL"/>
              </w:rPr>
              <w:t xml:space="preserve">Plani Kombëtar për Integrimin Evropian </w:t>
            </w:r>
            <w:r w:rsidRPr="4BC2FF46" w:rsidR="00525217">
              <w:rPr>
                <w:rStyle w:val="IASOIChar"/>
                <w:rFonts w:ascii="Times New Roman" w:hAnsi="Times New Roman"/>
                <w:b w:val="0"/>
                <w:sz w:val="24"/>
                <w:szCs w:val="24"/>
                <w:lang w:val="sq-AL"/>
              </w:rPr>
              <w:t>(PKIE) 2025-2027</w:t>
            </w:r>
          </w:p>
          <w:p w:rsidR="4BC2FF46" w:rsidP="4BC2FF46" w:rsidRDefault="4BC2FF46" w14:paraId="43E2DF65" w14:textId="60214B95">
            <w:pPr>
              <w:spacing w:line="276" w:lineRule="auto"/>
              <w:rPr>
                <w:rStyle w:val="IASOIChar"/>
                <w:rFonts w:ascii="Times New Roman" w:hAnsi="Times New Roman"/>
                <w:b w:val="0"/>
                <w:sz w:val="24"/>
                <w:szCs w:val="24"/>
                <w:lang w:val="sq-AL"/>
              </w:rPr>
            </w:pPr>
          </w:p>
          <w:p w:rsidRPr="004E4889" w:rsidR="004E4889" w:rsidP="4BC2FF46" w:rsidRDefault="004E4889" w14:paraId="10EE25F7" w14:textId="19E79E08">
            <w:pPr>
              <w:spacing w:line="276" w:lineRule="auto"/>
              <w:rPr>
                <w:rStyle w:val="IASOIChar"/>
                <w:rFonts w:ascii="Times New Roman" w:hAnsi="Times New Roman"/>
                <w:b w:val="0"/>
                <w:sz w:val="24"/>
                <w:szCs w:val="24"/>
                <w:lang w:val="sq-AL"/>
              </w:rPr>
            </w:pPr>
            <w:r w:rsidRPr="4BC2FF46">
              <w:rPr>
                <w:rStyle w:val="IASOIChar"/>
                <w:rFonts w:ascii="Times New Roman" w:hAnsi="Times New Roman"/>
                <w:b w:val="0"/>
                <w:sz w:val="24"/>
                <w:szCs w:val="24"/>
                <w:lang w:val="sq-AL"/>
              </w:rPr>
              <w:t>Strategjia Kombëtare për Zhvillim dhe Integrim 2022 - 2030 ;</w:t>
            </w:r>
          </w:p>
          <w:p w:rsidR="4BC2FF46" w:rsidP="4BC2FF46" w:rsidRDefault="4BC2FF46" w14:paraId="7B60D1C9" w14:textId="2667EC9A">
            <w:pPr>
              <w:spacing w:line="276" w:lineRule="auto"/>
              <w:rPr>
                <w:rStyle w:val="IASOIChar"/>
                <w:rFonts w:ascii="Times New Roman" w:hAnsi="Times New Roman"/>
                <w:b w:val="0"/>
                <w:sz w:val="24"/>
                <w:szCs w:val="24"/>
                <w:lang w:val="sq-AL"/>
              </w:rPr>
            </w:pPr>
          </w:p>
          <w:p w:rsidRPr="00112C42" w:rsidR="004E4889" w:rsidP="004E4889" w:rsidRDefault="004E4889" w14:paraId="7738F335" w14:textId="1B333EC3">
            <w:pPr>
              <w:spacing w:line="276" w:lineRule="auto"/>
              <w:rPr>
                <w:rStyle w:val="IASOIChar"/>
                <w:rFonts w:ascii="Times New Roman" w:hAnsi="Times New Roman"/>
                <w:b w:val="0"/>
                <w:sz w:val="24"/>
                <w:szCs w:val="24"/>
                <w:lang w:val="sq-AL"/>
              </w:rPr>
            </w:pPr>
            <w:r w:rsidRPr="004E4889">
              <w:rPr>
                <w:rStyle w:val="IASOIChar"/>
                <w:rFonts w:ascii="Times New Roman" w:hAnsi="Times New Roman"/>
                <w:b w:val="0"/>
                <w:sz w:val="24"/>
                <w:szCs w:val="24"/>
                <w:lang w:val="sq-AL"/>
              </w:rPr>
              <w:t>Strategjia e Zhvillimit të Biznesit dhe Investimeve 2021-2027.</w:t>
            </w:r>
          </w:p>
          <w:p w:rsidRPr="00325A1F" w:rsidR="00B5039C" w:rsidP="00B5039C" w:rsidRDefault="00B5039C" w14:paraId="3B8D28C1" w14:textId="1B8CCED5">
            <w:pPr>
              <w:spacing w:line="276" w:lineRule="auto"/>
              <w:jc w:val="both"/>
              <w:rPr>
                <w:szCs w:val="24"/>
              </w:rPr>
            </w:pPr>
            <w:r w:rsidRPr="00112C42">
              <w:rPr>
                <w:rStyle w:val="IASOIChar"/>
                <w:rFonts w:ascii="Times New Roman" w:hAnsi="Times New Roman"/>
                <w:b w:val="0"/>
                <w:sz w:val="24"/>
                <w:szCs w:val="24"/>
                <w:lang w:val="sq-AL"/>
              </w:rPr>
              <w:t xml:space="preserve">  </w:t>
            </w:r>
          </w:p>
        </w:tc>
      </w:tr>
      <w:tr w:rsidRPr="00325A1F" w:rsidR="00B5039C" w:rsidTr="65600A46" w14:paraId="47842E49"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B5039C" w:rsidP="00B5039C" w:rsidRDefault="00B5039C" w14:paraId="7B0711AF" w14:textId="77777777">
            <w:pPr>
              <w:spacing w:line="276" w:lineRule="auto"/>
              <w:rPr>
                <w:b/>
                <w:szCs w:val="24"/>
              </w:rPr>
            </w:pPr>
            <w:r w:rsidRPr="00325A1F">
              <w:rPr>
                <w:b/>
                <w:szCs w:val="24"/>
              </w:rPr>
              <w:t>DATA E KONSULTIMIT PUBLIK</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B5039C" w:rsidP="00A32E1F" w:rsidRDefault="002151A9" w14:paraId="593E565E" w14:textId="2C61D912">
            <w:pPr>
              <w:tabs>
                <w:tab w:val="center" w:pos="2207"/>
              </w:tabs>
              <w:spacing w:line="276" w:lineRule="auto"/>
              <w:rPr>
                <w:szCs w:val="24"/>
              </w:rPr>
            </w:pPr>
            <w:sdt>
              <w:sdtPr>
                <w:rPr>
                  <w:szCs w:val="24"/>
                  <w:lang w:val="en-US"/>
                </w:rPr>
                <w:alias w:val="Data/Asnjë konsultim publik"/>
                <w:tag w:val="Data/Asnjë konsultim publik"/>
                <w:id w:val="2012326733"/>
                <w:placeholder>
                  <w:docPart w:val="38C4388889164EF79F2F36295DAF2652"/>
                </w:placeholder>
                <w:date w:fullDate="2025-08-11T00:00:00Z">
                  <w:dateFormat w:val="dd/MM/yyyy"/>
                  <w:lid w:val="en-US"/>
                  <w:storeMappedDataAs w:val="dateTime"/>
                  <w:calendar w:val="gregorian"/>
                </w:date>
              </w:sdtPr>
              <w:sdtContent>
                <w:r w:rsidR="006A3FAE">
                  <w:rPr>
                    <w:szCs w:val="24"/>
                    <w:lang w:val="en-US"/>
                  </w:rPr>
                  <w:t>11/08/2025</w:t>
                </w:r>
              </w:sdtContent>
            </w:sdt>
            <w:r w:rsidR="006A3FAE">
              <w:rPr>
                <w:szCs w:val="24"/>
                <w:lang w:val="en-US"/>
              </w:rPr>
              <w:tab/>
            </w:r>
            <w:r w:rsidR="006A3FAE">
              <w:rPr>
                <w:szCs w:val="24"/>
                <w:lang w:val="en-US"/>
              </w:rPr>
              <w:t>- 08/09/2025</w:t>
            </w:r>
          </w:p>
        </w:tc>
      </w:tr>
      <w:tr w:rsidRPr="00E75562" w:rsidR="00B5039C" w:rsidTr="65600A46" w14:paraId="50680A5A"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B5039C" w:rsidP="00B5039C" w:rsidRDefault="00B5039C" w14:paraId="34F09411" w14:textId="77777777">
            <w:pPr>
              <w:spacing w:line="276" w:lineRule="auto"/>
              <w:rPr>
                <w:b/>
                <w:szCs w:val="24"/>
              </w:rPr>
            </w:pPr>
            <w:r w:rsidRPr="00325A1F">
              <w:rPr>
                <w:b/>
                <w:szCs w:val="24"/>
              </w:rPr>
              <w:t xml:space="preserve">DATA E VLERËSIMIT TË NDIKIMIT </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B5039C" w:rsidP="00B5039C" w:rsidRDefault="002151A9" w14:paraId="0C6D1916" w14:textId="390E788F">
            <w:pPr>
              <w:spacing w:line="276" w:lineRule="auto"/>
              <w:jc w:val="both"/>
              <w:rPr>
                <w:szCs w:val="24"/>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0D4FAF7B9A8E4D57B2B5C5E1F1170ACB"/>
                </w:placeholder>
                <w:date w:fullDate="2025-12-15T00:00:00Z">
                  <w:dateFormat w:val="dd/MM/yyyy"/>
                  <w:lid w:val="en-US"/>
                  <w:storeMappedDataAs w:val="dateTime"/>
                  <w:calendar w:val="gregorian"/>
                </w:date>
              </w:sdtPr>
              <w:sdtContent>
                <w:r w:rsidR="00D12108">
                  <w:rPr>
                    <w:szCs w:val="24"/>
                    <w:lang w:val="en-US"/>
                  </w:rPr>
                  <w:t>15/12/2025</w:t>
                </w:r>
              </w:sdtContent>
            </w:sdt>
          </w:p>
        </w:tc>
      </w:tr>
      <w:tr w:rsidRPr="00325A1F" w:rsidR="00B5039C" w:rsidTr="65600A46" w14:paraId="7061BFBA" w14:textId="77777777">
        <w:tc>
          <w:tcPr>
            <w:tcW w:w="5070"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B5039C" w:rsidP="00B5039C" w:rsidRDefault="00B5039C" w14:paraId="426202BA" w14:textId="77777777">
            <w:pPr>
              <w:spacing w:line="276" w:lineRule="auto"/>
              <w:rPr>
                <w:b/>
                <w:szCs w:val="24"/>
              </w:rPr>
            </w:pPr>
            <w:r w:rsidRPr="00325A1F">
              <w:rPr>
                <w:b/>
                <w:szCs w:val="24"/>
              </w:rPr>
              <w:t xml:space="preserve">A E KA SHQYRTUAR KRYEMINISTRIA VLERËSIMIN E NDIKIMIT? </w:t>
            </w:r>
          </w:p>
          <w:p w:rsidRPr="00325A1F" w:rsidR="00B5039C" w:rsidP="00B5039C" w:rsidRDefault="00B5039C" w14:paraId="450F5FDA" w14:textId="77777777">
            <w:pPr>
              <w:spacing w:line="276" w:lineRule="auto"/>
              <w:rPr>
                <w:b/>
                <w:szCs w:val="24"/>
              </w:rPr>
            </w:pPr>
            <w:r w:rsidRPr="00325A1F">
              <w:rPr>
                <w:b/>
                <w:szCs w:val="24"/>
              </w:rPr>
              <w:t>NËSE PO, JEPNI DATËN E SHQYRTIMIT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B5039C" w:rsidP="00B5039C" w:rsidRDefault="006A3FAE" w14:paraId="79DD1691" w14:textId="49A749AC">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Po,</w:t>
            </w:r>
          </w:p>
          <w:p w:rsidRPr="00325A1F" w:rsidR="00B5039C" w:rsidP="004E4889" w:rsidRDefault="002151A9" w14:paraId="31B7B9DA" w14:textId="2773CF15">
            <w:pPr>
              <w:tabs>
                <w:tab w:val="left" w:pos="795"/>
              </w:tabs>
              <w:spacing w:line="276" w:lineRule="auto"/>
              <w:jc w:val="both"/>
              <w:rPr>
                <w:szCs w:val="24"/>
              </w:rPr>
            </w:pPr>
            <w:sdt>
              <w:sdtPr>
                <w:rPr>
                  <w:rStyle w:val="Heading1Char"/>
                  <w:rFonts w:ascii="SimSun" w:hAnsi="SimSun" w:eastAsia="SimSun"/>
                  <w:color w:val="000000"/>
                  <w:spacing w:val="-5"/>
                  <w:sz w:val="22"/>
                  <w:szCs w:val="24"/>
                  <w:lang w:val="en-GB" w:eastAsia="zh-CN"/>
                </w:rPr>
                <w:alias w:val="Data e shqyrtimit nga Kryeministria"/>
                <w:tag w:val="Data e shqyrtimit nga Kryeministria"/>
                <w:id w:val="-1285451"/>
                <w:placeholder>
                  <w:docPart w:val="F0F12F16F9DC497B85B62E325CC72A54"/>
                </w:placeholder>
                <w:date w:fullDate="2025-11-08T00:00:00Z">
                  <w:dateFormat w:val="dd/MM/yyyy"/>
                  <w:lid w:val="en-US"/>
                  <w:storeMappedDataAs w:val="dateTime"/>
                  <w:calendar w:val="gregorian"/>
                </w:date>
              </w:sdtPr>
              <w:sdtContent>
                <w:r w:rsidR="004E4889">
                  <w:rPr>
                    <w:rStyle w:val="Heading1Char"/>
                    <w:rFonts w:ascii="SimSun" w:hAnsi="SimSun" w:eastAsia="SimSun"/>
                    <w:color w:val="000000"/>
                    <w:spacing w:val="-5"/>
                    <w:sz w:val="22"/>
                    <w:szCs w:val="24"/>
                    <w:lang w:val="en-US" w:eastAsia="zh-CN"/>
                  </w:rPr>
                  <w:t>08/11/2025</w:t>
                </w:r>
              </w:sdtContent>
            </w:sdt>
          </w:p>
        </w:tc>
      </w:tr>
      <w:tr w:rsidRPr="00525217" w:rsidR="00B5039C" w:rsidTr="65600A46" w14:paraId="1D857501"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B5039C" w:rsidP="00B5039C" w:rsidRDefault="00B5039C" w14:paraId="7105331C" w14:textId="77777777">
            <w:pPr>
              <w:spacing w:line="276" w:lineRule="auto"/>
              <w:rPr>
                <w:b/>
                <w:szCs w:val="24"/>
              </w:rPr>
            </w:pPr>
            <w:r w:rsidRPr="00325A1F">
              <w:rPr>
                <w:b/>
                <w:szCs w:val="24"/>
              </w:rPr>
              <w:t>NUMRI I VLERËSIMIT TË NDIKIMIT</w:t>
            </w:r>
          </w:p>
        </w:tc>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B5039C" w:rsidP="00B5039C" w:rsidRDefault="006A3FAE" w14:paraId="6F86B2C7" w14:textId="4EEF3C4F">
            <w:pPr>
              <w:spacing w:line="276" w:lineRule="auto"/>
              <w:rPr>
                <w:szCs w:val="24"/>
              </w:rPr>
            </w:pPr>
            <w:r>
              <w:rPr>
                <w:szCs w:val="24"/>
              </w:rPr>
              <w:t>2025 – MEI – Nr. 11</w:t>
            </w:r>
          </w:p>
        </w:tc>
      </w:tr>
      <w:tr w:rsidRPr="00325A1F" w:rsidR="00B5039C" w:rsidTr="65600A46" w14:paraId="133E3AB0" w14:textId="77777777">
        <w:tc>
          <w:tcPr>
            <w:tcW w:w="5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25A1F" w:rsidR="00B5039C" w:rsidP="00B5039C" w:rsidRDefault="00B5039C" w14:paraId="23E672D1" w14:textId="77777777">
            <w:pPr>
              <w:spacing w:line="276" w:lineRule="auto"/>
              <w:rPr>
                <w:b/>
                <w:szCs w:val="24"/>
              </w:rPr>
            </w:pPr>
            <w:r w:rsidRPr="00325A1F">
              <w:rPr>
                <w:b/>
                <w:szCs w:val="24"/>
              </w:rPr>
              <w:t xml:space="preserve">TE DHËNA KONTAKTI </w:t>
            </w:r>
          </w:p>
          <w:p w:rsidRPr="00325A1F" w:rsidR="00B5039C" w:rsidP="00B5039C" w:rsidRDefault="00B5039C" w14:paraId="5ACF9264" w14:textId="77777777">
            <w:pPr>
              <w:spacing w:line="276" w:lineRule="auto"/>
              <w:rPr>
                <w:b/>
                <w:szCs w:val="24"/>
              </w:rPr>
            </w:pPr>
            <w:r w:rsidRPr="00325A1F">
              <w:rPr>
                <w:b/>
                <w:szCs w:val="24"/>
              </w:rPr>
              <w:t>(EMRI, E-MAIL, NUMRI I TELEFONIT TË PERSONIT TË KONTAKTIT)</w:t>
            </w:r>
          </w:p>
        </w:tc>
        <w:sdt>
          <w:sdtPr>
            <w:rPr>
              <w:szCs w:val="24"/>
            </w:rPr>
            <w:id w:val="1361013490"/>
            <w:placeholder>
              <w:docPart w:val="44A516C976744553A16103A31B359EBF"/>
            </w:placeholder>
          </w:sdtPr>
          <w:sdtContent>
            <w:tc>
              <w:tcPr>
                <w:tcW w:w="4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B5039C" w:rsidP="00B5039C" w:rsidRDefault="00B5039C" w14:paraId="682FF7B1" w14:textId="506572F7">
                <w:pPr>
                  <w:spacing w:line="276" w:lineRule="auto"/>
                  <w:jc w:val="both"/>
                  <w:rPr>
                    <w:szCs w:val="24"/>
                  </w:rPr>
                </w:pPr>
                <w:r>
                  <w:rPr>
                    <w:szCs w:val="24"/>
                  </w:rPr>
                  <w:t xml:space="preserve"> </w:t>
                </w:r>
                <w:r w:rsidRPr="009D2060" w:rsidR="004E4889">
                  <w:rPr>
                    <w:szCs w:val="24"/>
                  </w:rPr>
                  <w:t xml:space="preserve"> Arsiola Dyrmishi​ </w:t>
                </w:r>
              </w:p>
            </w:tc>
          </w:sdtContent>
        </w:sdt>
      </w:tr>
      <w:tr w:rsidRPr="00325A1F" w:rsidR="00B5039C" w:rsidTr="65600A46" w14:paraId="1949941C" w14:textId="77777777">
        <w:trPr>
          <w:trHeight w:val="162"/>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25A1F" w:rsidR="00B5039C" w:rsidP="00B5039C" w:rsidRDefault="00B5039C" w14:paraId="555E2F4E" w14:textId="77777777">
            <w:pPr>
              <w:spacing w:line="276" w:lineRule="auto"/>
              <w:jc w:val="both"/>
              <w:rPr>
                <w:b/>
                <w:szCs w:val="24"/>
              </w:rPr>
            </w:pPr>
          </w:p>
        </w:tc>
      </w:tr>
      <w:tr w:rsidRPr="00325A1F" w:rsidR="00B5039C" w:rsidTr="65600A46" w14:paraId="0FF62170" w14:textId="77777777">
        <w:trPr>
          <w:trHeight w:val="353"/>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325A1F" w:rsidR="00B5039C" w:rsidP="00B5039C" w:rsidRDefault="00B5039C" w14:paraId="36C3C8AB" w14:textId="77777777">
            <w:pPr>
              <w:spacing w:line="276" w:lineRule="auto"/>
              <w:jc w:val="both"/>
              <w:rPr>
                <w:b/>
                <w:szCs w:val="24"/>
              </w:rPr>
            </w:pPr>
            <w:r w:rsidRPr="00325A1F">
              <w:rPr>
                <w:b/>
                <w:szCs w:val="24"/>
              </w:rPr>
              <w:t xml:space="preserve">PJESA 1: PËRMBLEDHJE EKZEKUTIVE </w:t>
            </w:r>
            <w:r>
              <w:rPr>
                <w:b/>
                <w:szCs w:val="24"/>
              </w:rPr>
              <w:t>(maksimumi 2 faqe)</w:t>
            </w:r>
          </w:p>
        </w:tc>
      </w:tr>
      <w:tr w:rsidRPr="00E75562" w:rsidR="00B5039C" w:rsidTr="65600A46" w14:paraId="12A16548" w14:textId="77777777">
        <w:trPr>
          <w:trHeight w:val="552"/>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25A1F" w:rsidR="00B5039C" w:rsidP="00B5039C" w:rsidRDefault="00B5039C" w14:paraId="706D8CF1" w14:textId="77777777">
            <w:pPr>
              <w:spacing w:line="276" w:lineRule="auto"/>
              <w:jc w:val="both"/>
              <w:rPr>
                <w:b/>
                <w:szCs w:val="24"/>
              </w:rPr>
            </w:pPr>
            <w:r w:rsidRPr="00325A1F">
              <w:rPr>
                <w:b/>
                <w:szCs w:val="24"/>
              </w:rPr>
              <w:t>PËRKUFIZIMI I PROBLEMIT</w:t>
            </w:r>
          </w:p>
          <w:p w:rsidRPr="00112C42" w:rsidR="00B5039C" w:rsidP="00B5039C" w:rsidRDefault="00B5039C" w14:paraId="35C4EFCA" w14:textId="77777777">
            <w:pPr>
              <w:spacing w:line="276" w:lineRule="auto"/>
              <w:jc w:val="both"/>
              <w:rPr>
                <w:i/>
                <w:szCs w:val="24"/>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name="PerkufizimProblemi" w:id="2"/>
            <w:r w:rsidRPr="000D5974">
              <w:rPr>
                <w:i/>
                <w:szCs w:val="24"/>
              </w:rPr>
              <w:instrText xml:space="preserve"> FORMTEXT </w:instrText>
            </w:r>
            <w:r>
              <w:rPr>
                <w:i/>
                <w:szCs w:val="24"/>
              </w:rPr>
            </w:r>
            <w:r>
              <w:rPr>
                <w:i/>
                <w:szCs w:val="24"/>
              </w:rPr>
              <w:fldChar w:fldCharType="separate"/>
            </w:r>
            <w:r w:rsidRPr="000D5974">
              <w:rPr>
                <w:i/>
                <w:noProof/>
                <w:szCs w:val="24"/>
              </w:rPr>
              <w:t xml:space="preserve">Cili është problemi në shqyrtim dhe cilat janë shkaqet e tij? Jepni arsyet e nevojës së ndërhyrjes së qeverisë. (jo më shumë se 10 rreshta) </w:t>
            </w:r>
            <w:r>
              <w:rPr>
                <w:i/>
                <w:szCs w:val="24"/>
              </w:rPr>
              <w:fldChar w:fldCharType="end"/>
            </w:r>
            <w:bookmarkEnd w:id="2"/>
          </w:p>
          <w:p w:rsidRPr="00112C42" w:rsidR="00B40F73" w:rsidP="00B5039C" w:rsidRDefault="00B40F73" w14:paraId="56F58F19" w14:textId="77777777">
            <w:pPr>
              <w:spacing w:line="276" w:lineRule="auto"/>
              <w:jc w:val="both"/>
              <w:rPr>
                <w:i/>
                <w:szCs w:val="24"/>
              </w:rPr>
            </w:pPr>
          </w:p>
          <w:p w:rsidRPr="00A32E1F" w:rsidR="004E4889" w:rsidP="004E4889" w:rsidRDefault="004E4889" w14:paraId="717FE6F9" w14:textId="1F936637">
            <w:pPr>
              <w:spacing w:line="276" w:lineRule="auto"/>
              <w:jc w:val="both"/>
              <w:rPr>
                <w:iCs/>
                <w:szCs w:val="24"/>
              </w:rPr>
            </w:pPr>
            <w:r w:rsidRPr="006F5F76">
              <w:rPr>
                <w:iCs/>
                <w:szCs w:val="24"/>
              </w:rPr>
              <w:t xml:space="preserve">Legjislacioni shqiptar </w:t>
            </w:r>
            <w:r>
              <w:rPr>
                <w:iCs/>
                <w:szCs w:val="24"/>
              </w:rPr>
              <w:t>përballet me</w:t>
            </w:r>
            <w:r w:rsidRPr="00A32E1F">
              <w:rPr>
                <w:iCs/>
                <w:szCs w:val="24"/>
              </w:rPr>
              <w:t xml:space="preserve"> mungesën e përputhshmërisë së legjislacionit shqiptar me Direktivën (BE) 2017/1132 dhe ndryshimet e saj të mëvonshme, duke krijuar boshllëqe ligjore në shndërrimet, bashkimet dhe ndarjet ndërkufitare të shoqërive tregtare. Ligji aktual nr. 110/2012 rregullon vetëm pjesërisht bashkimet ndërkufitare dhe nuk trajton shndërrimet dhe ndarjet, duke krijuar pasiguri juridike për bizneset. Kjo pengon aftësinë e shoqërive për të kryer transaksione ndërkufitare, kufizon fleksibilitetin strategjik dhe redukton mundësitë për investime të huaja.</w:t>
            </w:r>
          </w:p>
          <w:p w:rsidRPr="00A32E1F" w:rsidR="004E4889" w:rsidP="004E4889" w:rsidRDefault="004E4889" w14:paraId="52CCDB70" w14:textId="77777777">
            <w:pPr>
              <w:spacing w:line="276" w:lineRule="auto"/>
              <w:jc w:val="both"/>
              <w:rPr>
                <w:iCs/>
                <w:szCs w:val="24"/>
              </w:rPr>
            </w:pPr>
            <w:r w:rsidRPr="00A32E1F">
              <w:rPr>
                <w:iCs/>
                <w:szCs w:val="24"/>
              </w:rPr>
              <w:t>Mungesa e procedurave të standardizuara dhe të ndërveprueshme me regjistrat e BE-së (BRIS) shton barrën administrative dhe rrit rrezikun fiskal nga penalitetet për mosrespektim të rregullave të konkurrencës. Kapacitetet institucionale, përfshirë QKB-në, gjykatat dhe noterët, nuk janë të përgatitura për zbatim efektiv dhe monitorim të procedurave ndërkufitare. Po ashtu, mungesa e udhëzimeve, protokolleve dhe strukturës së qartë procedurale pengon kontrollin e ligjshmërisë dhe mbrojtjen e palëve të treta.</w:t>
            </w:r>
          </w:p>
          <w:p w:rsidR="006A3FAE" w:rsidP="00053C0A" w:rsidRDefault="006A3FAE" w14:paraId="22CE1ECC" w14:textId="4FA11258">
            <w:pPr>
              <w:spacing w:line="276" w:lineRule="auto"/>
              <w:jc w:val="both"/>
              <w:rPr>
                <w:iCs/>
                <w:szCs w:val="24"/>
              </w:rPr>
            </w:pPr>
            <w:r>
              <w:rPr>
                <w:iCs/>
                <w:szCs w:val="24"/>
              </w:rPr>
              <w:t>Problematikat e identifikuara janw:</w:t>
            </w:r>
          </w:p>
          <w:p w:rsidRPr="006A3FAE" w:rsidR="006A3FAE" w:rsidP="006A3FAE" w:rsidRDefault="006A3FAE" w14:paraId="0CC430CC" w14:textId="77777777">
            <w:pPr>
              <w:spacing w:line="276" w:lineRule="auto"/>
              <w:jc w:val="both"/>
              <w:rPr>
                <w:b/>
                <w:bCs/>
                <w:iCs/>
                <w:szCs w:val="24"/>
                <w:lang w:val="en-US"/>
              </w:rPr>
            </w:pPr>
            <w:r w:rsidRPr="006A3FAE">
              <w:rPr>
                <w:b/>
                <w:bCs/>
                <w:iCs/>
                <w:szCs w:val="24"/>
                <w:lang w:val="en-US"/>
              </w:rPr>
              <w:t>Problemet</w:t>
            </w:r>
          </w:p>
          <w:p w:rsidRPr="006A3FAE" w:rsidR="006A3FAE" w:rsidRDefault="006A3FAE" w14:paraId="5D90CA57" w14:textId="77777777">
            <w:pPr>
              <w:numPr>
                <w:ilvl w:val="0"/>
                <w:numId w:val="53"/>
              </w:numPr>
              <w:spacing w:line="276" w:lineRule="auto"/>
              <w:jc w:val="both"/>
              <w:rPr>
                <w:iCs/>
                <w:szCs w:val="24"/>
                <w:lang w:val="en-US"/>
              </w:rPr>
            </w:pPr>
            <w:r w:rsidRPr="006A3FAE">
              <w:rPr>
                <w:b/>
                <w:bCs/>
                <w:iCs/>
                <w:szCs w:val="24"/>
                <w:lang w:val="en-US"/>
              </w:rPr>
              <w:t>Mospërputhja ligjore me Direktivën e BE-së 2017/1132 dhe ndryshimet e mëvonshme (2019/1151 dhe 2019/2121):</w:t>
            </w:r>
            <w:r w:rsidRPr="006A3FAE">
              <w:rPr>
                <w:iCs/>
                <w:szCs w:val="24"/>
                <w:lang w:val="en-US"/>
              </w:rPr>
              <w:t xml:space="preserve"> Legjislacioni shqiptar nuk harmonizohet plotësisht me kërkesat për shndërrime, bashkime dhe ndarje ndërkufitare. Bashkimet ndërkufitare janë vetëm pjesërisht të harmonizuara, ndërsa shndërrimet dhe ndarjet ndërkufitare nuk janë të transpozuara.</w:t>
            </w:r>
          </w:p>
          <w:p w:rsidRPr="006A3FAE" w:rsidR="006A3FAE" w:rsidRDefault="006A3FAE" w14:paraId="16AF4958" w14:textId="77777777">
            <w:pPr>
              <w:numPr>
                <w:ilvl w:val="0"/>
                <w:numId w:val="53"/>
              </w:numPr>
              <w:spacing w:line="276" w:lineRule="auto"/>
              <w:jc w:val="both"/>
              <w:rPr>
                <w:iCs/>
                <w:szCs w:val="24"/>
                <w:lang w:val="en-US"/>
              </w:rPr>
            </w:pPr>
            <w:r w:rsidRPr="006A3FAE">
              <w:rPr>
                <w:b/>
                <w:bCs/>
                <w:iCs/>
                <w:szCs w:val="24"/>
                <w:lang w:val="en-US"/>
              </w:rPr>
              <w:t>Pasiguri ligjore për bizneset dhe investitorët:</w:t>
            </w:r>
            <w:r w:rsidRPr="006A3FAE">
              <w:rPr>
                <w:iCs/>
                <w:szCs w:val="24"/>
                <w:lang w:val="en-US"/>
              </w:rPr>
              <w:t xml:space="preserve"> Boshllëqet ligjore kufizojnë aftësinë e shoqërive shqiptare për të operuar lirshëm në tregun e brendshëm dhe ndërkombëtar. Procedurat janë të fragmentuara dhe jo të qarta, duke rritur rrezikun për abuzime, shmangie fiskale dhe mosrespektim të të drejtave të aksionarëve dhe kreditorëve.</w:t>
            </w:r>
          </w:p>
          <w:p w:rsidRPr="006A3FAE" w:rsidR="006A3FAE" w:rsidRDefault="006A3FAE" w14:paraId="5D9D715C" w14:textId="77777777">
            <w:pPr>
              <w:numPr>
                <w:ilvl w:val="0"/>
                <w:numId w:val="53"/>
              </w:numPr>
              <w:spacing w:line="276" w:lineRule="auto"/>
              <w:jc w:val="both"/>
              <w:rPr>
                <w:iCs/>
                <w:szCs w:val="24"/>
                <w:lang w:val="en-US"/>
              </w:rPr>
            </w:pPr>
            <w:r w:rsidRPr="006A3FAE">
              <w:rPr>
                <w:b/>
                <w:bCs/>
                <w:iCs/>
                <w:szCs w:val="24"/>
                <w:lang w:val="en-US"/>
              </w:rPr>
              <w:t>Vonesa procedurale dhe kosto shtesë:</w:t>
            </w:r>
            <w:r w:rsidRPr="006A3FAE">
              <w:rPr>
                <w:iCs/>
                <w:szCs w:val="24"/>
                <w:lang w:val="en-US"/>
              </w:rPr>
              <w:t xml:space="preserve"> Pa dispozita të standardizuara, procedurat ndërkufitare bëhen më të gjata dhe më të kushtueshme. Mungesa e shkëmbimit elektronik të të dhënave dhe ndërveprimit me sistemet e BE-së (BRIS) ngadalëson proceset dhe zvogëlon atraktivitetin për investime.</w:t>
            </w:r>
          </w:p>
          <w:p w:rsidRPr="006A3FAE" w:rsidR="006A3FAE" w:rsidRDefault="006A3FAE" w14:paraId="7C12BFB1" w14:textId="77777777">
            <w:pPr>
              <w:numPr>
                <w:ilvl w:val="0"/>
                <w:numId w:val="53"/>
              </w:numPr>
              <w:spacing w:line="276" w:lineRule="auto"/>
              <w:jc w:val="both"/>
              <w:rPr>
                <w:iCs/>
                <w:szCs w:val="24"/>
                <w:lang w:val="en-US"/>
              </w:rPr>
            </w:pPr>
            <w:r w:rsidRPr="006A3FAE">
              <w:rPr>
                <w:b/>
                <w:bCs/>
                <w:iCs/>
                <w:szCs w:val="24"/>
                <w:lang w:val="en-US"/>
              </w:rPr>
              <w:t>Mbrojtja e punonjësve e pamjaftueshme:</w:t>
            </w:r>
            <w:r w:rsidRPr="006A3FAE">
              <w:rPr>
                <w:iCs/>
                <w:szCs w:val="24"/>
                <w:lang w:val="en-US"/>
              </w:rPr>
              <w:t xml:space="preserve"> Nuk ekzistojnë rregulla të harmonizuara për pjesëmarrjen dhe informimin e punonjësve gjatë transformimeve ndërkufitare, duke krijuar praktika të pabarabarta dhe cenim të të drejtave të tyre.</w:t>
            </w:r>
          </w:p>
          <w:p w:rsidRPr="006A3FAE" w:rsidR="006A3FAE" w:rsidRDefault="006A3FAE" w14:paraId="7650F15E" w14:textId="77777777">
            <w:pPr>
              <w:numPr>
                <w:ilvl w:val="0"/>
                <w:numId w:val="53"/>
              </w:numPr>
              <w:spacing w:line="276" w:lineRule="auto"/>
              <w:jc w:val="both"/>
              <w:rPr>
                <w:iCs/>
                <w:szCs w:val="24"/>
                <w:lang w:val="en-US"/>
              </w:rPr>
            </w:pPr>
            <w:r w:rsidRPr="006A3FAE">
              <w:rPr>
                <w:b/>
                <w:bCs/>
                <w:iCs/>
                <w:szCs w:val="24"/>
                <w:lang w:val="en-US"/>
              </w:rPr>
              <w:t>Kufizim i integrimit në tregun e brendshëm të BE-së:</w:t>
            </w:r>
            <w:r w:rsidRPr="006A3FAE">
              <w:rPr>
                <w:iCs/>
                <w:szCs w:val="24"/>
                <w:lang w:val="en-US"/>
              </w:rPr>
              <w:t xml:space="preserve"> Pa harmonizim të plotë, Shqipëria nuk mund të garantojë standarde të krahasueshme me shtetet anëtare, duke penguar konkurrueshmërinë dhe integrimin ekonomik.</w:t>
            </w:r>
          </w:p>
          <w:p w:rsidRPr="00A32E1F" w:rsidR="006A3FAE" w:rsidP="00053C0A" w:rsidRDefault="006A3FAE" w14:paraId="6BD32A6C" w14:textId="77777777">
            <w:pPr>
              <w:spacing w:line="276" w:lineRule="auto"/>
              <w:jc w:val="both"/>
              <w:rPr>
                <w:iCs/>
                <w:szCs w:val="24"/>
                <w:lang w:val="en-US"/>
              </w:rPr>
            </w:pPr>
          </w:p>
          <w:p w:rsidR="00530C1B" w:rsidP="00053C0A" w:rsidRDefault="00530C1B" w14:paraId="3B2F41CB" w14:textId="77777777">
            <w:pPr>
              <w:spacing w:line="276" w:lineRule="auto"/>
              <w:jc w:val="both"/>
              <w:rPr>
                <w:iCs/>
                <w:szCs w:val="24"/>
              </w:rPr>
            </w:pPr>
          </w:p>
          <w:p w:rsidRPr="00530C1B" w:rsidR="00530C1B" w:rsidP="00053C0A" w:rsidRDefault="00530C1B" w14:paraId="13306528" w14:textId="714866B3">
            <w:pPr>
              <w:spacing w:line="276" w:lineRule="auto"/>
              <w:jc w:val="both"/>
              <w:rPr>
                <w:b/>
                <w:bCs/>
                <w:iCs/>
                <w:szCs w:val="24"/>
              </w:rPr>
            </w:pPr>
            <w:r w:rsidRPr="00530C1B">
              <w:rPr>
                <w:b/>
                <w:bCs/>
                <w:iCs/>
                <w:szCs w:val="24"/>
              </w:rPr>
              <w:t>Shkaqet kryesore t</w:t>
            </w:r>
            <w:r>
              <w:rPr>
                <w:b/>
                <w:bCs/>
                <w:iCs/>
                <w:szCs w:val="24"/>
              </w:rPr>
              <w:t>ë</w:t>
            </w:r>
            <w:r w:rsidRPr="00530C1B">
              <w:rPr>
                <w:b/>
                <w:bCs/>
                <w:iCs/>
                <w:szCs w:val="24"/>
              </w:rPr>
              <w:t xml:space="preserve"> problemit:</w:t>
            </w:r>
          </w:p>
          <w:p w:rsidR="00530C1B" w:rsidP="00053C0A" w:rsidRDefault="00530C1B" w14:paraId="13EB3924" w14:textId="77777777">
            <w:pPr>
              <w:spacing w:line="276" w:lineRule="auto"/>
              <w:jc w:val="both"/>
              <w:rPr>
                <w:iCs/>
                <w:szCs w:val="24"/>
              </w:rPr>
            </w:pPr>
          </w:p>
          <w:p w:rsidRPr="00A32E1F" w:rsidR="00530C1B" w:rsidP="00530C1B" w:rsidRDefault="00530C1B" w14:paraId="14C4373F" w14:textId="3EBDB4A3">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Mungesa e harmonizimit të legjislacionit shqiptar me Direktivën (BE) 2017/1132 dhe ndryshimet e saj (2019/1151 dhe 2019/2121) – Ligji ekzistues nuk mbulon të gjitha kërkesat për shndërrime, ndarje dhe bashkime ndërkufitare.</w:t>
            </w:r>
          </w:p>
          <w:p w:rsidRPr="00A32E1F" w:rsidR="00530C1B" w:rsidP="00530C1B" w:rsidRDefault="00530C1B" w14:paraId="46881C5E" w14:textId="195077B4">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Shndërrimet ndërkufitare të paadresuara – Ligji shqiptar nuk transpozon dispozitat e Direktivës për shndërrimet ndërkufitare, duke krijuar boshllëqe ligjore.</w:t>
            </w:r>
          </w:p>
          <w:p w:rsidRPr="00A32E1F" w:rsidR="00530C1B" w:rsidP="00530C1B" w:rsidRDefault="00530C1B" w14:paraId="6EB509A1" w14:textId="4C1E8FB0">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Bashkimet ndërkufitare pjesërisht të harmonizuara – Ligji nr. 110/2012 përfshin vetëm disa aspekte, duke lënë pa adresuar plotësisht procedurat dhe mbrojtjen e aksionarëve.</w:t>
            </w:r>
          </w:p>
          <w:p w:rsidRPr="00A32E1F" w:rsidR="00530C1B" w:rsidP="00530C1B" w:rsidRDefault="00530C1B" w14:paraId="323F4A45" w14:textId="6555F405">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Ndarjet ndërkufitare të pambuluara – Ligji nuk përfshin rregullime për ndarjet ndërkufitare, duke krijuar pasiguri për bizneset dhe investitorët.</w:t>
            </w:r>
          </w:p>
          <w:p w:rsidRPr="00A32E1F" w:rsidR="00530C1B" w:rsidP="00530C1B" w:rsidRDefault="00530C1B" w14:paraId="4110F862" w14:textId="282E5B95">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Kuadër ligjor i fragmentuar dhe i vjetruar – Dispozitat aktuale janë të papërditësuara me acquis-in e BE-së dhe nuk sigurojnë një bazë të qëndrueshme ligjore për operacionet ndërkufitare.</w:t>
            </w:r>
          </w:p>
          <w:p w:rsidRPr="00A32E1F" w:rsidR="00530C1B" w:rsidP="00530C1B" w:rsidRDefault="00530C1B" w14:paraId="43158DBC" w14:textId="37C7C6FB">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Mungesa e një instrumenti të plotë ligjor për të gjitha format e transformimeve – Ligji ekzistues rregullon vetëm bashkimet, duke lënë shndërrimet dhe ndarjet pa rregulla.</w:t>
            </w:r>
          </w:p>
          <w:p w:rsidRPr="00A32E1F" w:rsidR="00530C1B" w:rsidP="00530C1B" w:rsidRDefault="00530C1B" w14:paraId="2CEB3FBD" w14:textId="3DB7CF84">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Pasiguri juridike për shoqëritë tregtare – Boshllëqet ligjore kufizojnë aftësinë për të kryer ndryshime të strukturës apo transferime ndërkufitare në mënyrë transparente dhe të ligjshme.</w:t>
            </w:r>
          </w:p>
          <w:p w:rsidRPr="00A32E1F" w:rsidR="00530C1B" w:rsidP="00530C1B" w:rsidRDefault="00530C1B" w14:paraId="57F8F25A" w14:textId="70B4EABD">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Pengesa për integrimin në tregun e brendshëm të BE-së – Mungesa e përafrimit rrit rrezikun e mosarritjes së objektivave të anëtarësimit në BE dhe pengon përfitimin nga fleksibiliteti i tregut evropian.</w:t>
            </w:r>
          </w:p>
          <w:p w:rsidRPr="00A32E1F" w:rsidR="00530C1B" w:rsidP="00530C1B" w:rsidRDefault="00530C1B" w14:paraId="0476457C" w14:textId="04321718">
            <w:pPr>
              <w:pStyle w:val="ListParagraph"/>
              <w:numPr>
                <w:ilvl w:val="0"/>
                <w:numId w:val="17"/>
              </w:numPr>
              <w:spacing w:line="276" w:lineRule="auto"/>
              <w:jc w:val="both"/>
              <w:rPr>
                <w:rFonts w:ascii="Times New Roman" w:hAnsi="Times New Roman"/>
                <w:iCs/>
                <w:sz w:val="24"/>
                <w:szCs w:val="24"/>
              </w:rPr>
            </w:pPr>
            <w:r w:rsidRPr="00A32E1F">
              <w:rPr>
                <w:rFonts w:ascii="Times New Roman" w:hAnsi="Times New Roman"/>
                <w:iCs/>
                <w:sz w:val="24"/>
                <w:szCs w:val="24"/>
              </w:rPr>
              <w:t>Mungesa e koordinimit institucional – Nuk ka alokim të qartë përgjegjësish dhe koordinim mes institucioneve përgjegjëse për transpozimin dhe zbatimin e rregullave të BE-së.</w:t>
            </w:r>
          </w:p>
          <w:p w:rsidRPr="006A3FAE" w:rsidR="006A3FAE" w:rsidP="006A3FAE" w:rsidRDefault="006A3FAE" w14:paraId="202E690E" w14:textId="77777777">
            <w:pPr>
              <w:spacing w:line="276" w:lineRule="auto"/>
              <w:jc w:val="both"/>
              <w:rPr>
                <w:b/>
                <w:bCs/>
                <w:iCs/>
                <w:szCs w:val="24"/>
                <w:lang w:val="en-US"/>
              </w:rPr>
            </w:pPr>
            <w:r w:rsidRPr="006A3FAE">
              <w:rPr>
                <w:b/>
                <w:bCs/>
                <w:iCs/>
                <w:szCs w:val="24"/>
                <w:lang w:val="en-US"/>
              </w:rPr>
              <w:t>Grupet e prekura</w:t>
            </w:r>
          </w:p>
          <w:p w:rsidRPr="006A3FAE" w:rsidR="006A3FAE" w:rsidRDefault="006A3FAE" w14:paraId="2F80FD54" w14:textId="77777777">
            <w:pPr>
              <w:numPr>
                <w:ilvl w:val="0"/>
                <w:numId w:val="54"/>
              </w:numPr>
              <w:spacing w:line="276" w:lineRule="auto"/>
              <w:jc w:val="both"/>
              <w:rPr>
                <w:iCs/>
                <w:szCs w:val="24"/>
                <w:lang w:val="en-US"/>
              </w:rPr>
            </w:pPr>
            <w:r w:rsidRPr="006A3FAE">
              <w:rPr>
                <w:b/>
                <w:bCs/>
                <w:iCs/>
                <w:szCs w:val="24"/>
                <w:lang w:val="en-US"/>
              </w:rPr>
              <w:t>Institucionet shtetërore:</w:t>
            </w:r>
          </w:p>
          <w:p w:rsidRPr="00A32E1F" w:rsidR="006A3FAE" w:rsidRDefault="006A3FAE" w14:paraId="02833EAF" w14:textId="77777777">
            <w:pPr>
              <w:numPr>
                <w:ilvl w:val="1"/>
                <w:numId w:val="54"/>
              </w:numPr>
              <w:tabs>
                <w:tab w:val="num" w:pos="1440"/>
              </w:tabs>
              <w:spacing w:line="276" w:lineRule="auto"/>
              <w:jc w:val="both"/>
              <w:rPr>
                <w:iCs/>
                <w:szCs w:val="24"/>
                <w:lang w:val="it-IT"/>
              </w:rPr>
            </w:pPr>
            <w:r w:rsidRPr="00A32E1F">
              <w:rPr>
                <w:iCs/>
                <w:szCs w:val="24"/>
                <w:lang w:val="it-IT"/>
              </w:rPr>
              <w:t>Ministria përgjegjëse për Ekonominë, QKB, Dhoma e Noterisë, Ministria e Drejtësisë, gjykatat.</w:t>
            </w:r>
          </w:p>
          <w:p w:rsidRPr="00A32E1F" w:rsidR="006A3FAE" w:rsidRDefault="006A3FAE" w14:paraId="000877C6" w14:textId="77777777">
            <w:pPr>
              <w:numPr>
                <w:ilvl w:val="1"/>
                <w:numId w:val="54"/>
              </w:numPr>
              <w:tabs>
                <w:tab w:val="num" w:pos="1440"/>
              </w:tabs>
              <w:spacing w:line="276" w:lineRule="auto"/>
              <w:jc w:val="both"/>
              <w:rPr>
                <w:iCs/>
                <w:szCs w:val="24"/>
                <w:lang w:val="it-IT"/>
              </w:rPr>
            </w:pPr>
            <w:r w:rsidRPr="00A32E1F">
              <w:rPr>
                <w:iCs/>
                <w:szCs w:val="24"/>
                <w:lang w:val="it-IT"/>
              </w:rPr>
              <w:t>Duhet të përditësojnë sistemet digjitale, të krijojnë lista noterësh të certifikuar dhe të pajisen me kompetenca për vlerësimin e kërkesave të kreditorëve dhe aksionarëve.</w:t>
            </w:r>
          </w:p>
          <w:p w:rsidRPr="006A3FAE" w:rsidR="006A3FAE" w:rsidRDefault="006A3FAE" w14:paraId="5FE7A33F" w14:textId="77777777">
            <w:pPr>
              <w:numPr>
                <w:ilvl w:val="0"/>
                <w:numId w:val="54"/>
              </w:numPr>
              <w:spacing w:line="276" w:lineRule="auto"/>
              <w:jc w:val="both"/>
              <w:rPr>
                <w:iCs/>
                <w:szCs w:val="24"/>
                <w:lang w:val="en-US"/>
              </w:rPr>
            </w:pPr>
            <w:r w:rsidRPr="006A3FAE">
              <w:rPr>
                <w:b/>
                <w:bCs/>
                <w:iCs/>
                <w:szCs w:val="24"/>
                <w:lang w:val="en-US"/>
              </w:rPr>
              <w:t>Shoqëritë tregtare:</w:t>
            </w:r>
          </w:p>
          <w:p w:rsidRPr="006A3FAE" w:rsidR="006A3FAE" w:rsidRDefault="006A3FAE" w14:paraId="546EA130" w14:textId="77777777">
            <w:pPr>
              <w:numPr>
                <w:ilvl w:val="1"/>
                <w:numId w:val="54"/>
              </w:numPr>
              <w:tabs>
                <w:tab w:val="num" w:pos="1440"/>
              </w:tabs>
              <w:spacing w:line="276" w:lineRule="auto"/>
              <w:jc w:val="both"/>
              <w:rPr>
                <w:iCs/>
                <w:szCs w:val="24"/>
                <w:lang w:val="en-US"/>
              </w:rPr>
            </w:pPr>
            <w:r w:rsidRPr="006A3FAE">
              <w:rPr>
                <w:iCs/>
                <w:szCs w:val="24"/>
                <w:lang w:val="en-US"/>
              </w:rPr>
              <w:t>Veçanërisht ato me operacione ndërkufitare ose investime të huaja.</w:t>
            </w:r>
          </w:p>
          <w:p w:rsidRPr="006A3FAE" w:rsidR="006A3FAE" w:rsidRDefault="006A3FAE" w14:paraId="332AA0A1" w14:textId="77777777">
            <w:pPr>
              <w:numPr>
                <w:ilvl w:val="1"/>
                <w:numId w:val="54"/>
              </w:numPr>
              <w:tabs>
                <w:tab w:val="num" w:pos="1440"/>
              </w:tabs>
              <w:spacing w:line="276" w:lineRule="auto"/>
              <w:jc w:val="both"/>
              <w:rPr>
                <w:iCs/>
                <w:szCs w:val="24"/>
                <w:lang w:val="en-US"/>
              </w:rPr>
            </w:pPr>
            <w:r w:rsidRPr="006A3FAE">
              <w:rPr>
                <w:iCs/>
                <w:szCs w:val="24"/>
                <w:lang w:val="en-US"/>
              </w:rPr>
              <w:t>Mungesa e rregullave të qarta ndalon ose ngadalëson shndërrimet, bashkimet dhe ndarjet strategjike.</w:t>
            </w:r>
          </w:p>
          <w:p w:rsidRPr="006A3FAE" w:rsidR="006A3FAE" w:rsidRDefault="006A3FAE" w14:paraId="05611370" w14:textId="77777777">
            <w:pPr>
              <w:numPr>
                <w:ilvl w:val="0"/>
                <w:numId w:val="54"/>
              </w:numPr>
              <w:spacing w:line="276" w:lineRule="auto"/>
              <w:jc w:val="both"/>
              <w:rPr>
                <w:iCs/>
                <w:szCs w:val="24"/>
                <w:lang w:val="en-US"/>
              </w:rPr>
            </w:pPr>
            <w:r w:rsidRPr="006A3FAE">
              <w:rPr>
                <w:b/>
                <w:bCs/>
                <w:iCs/>
                <w:szCs w:val="24"/>
                <w:lang w:val="en-US"/>
              </w:rPr>
              <w:t>NVM-të:</w:t>
            </w:r>
          </w:p>
          <w:p w:rsidRPr="006A3FAE" w:rsidR="006A3FAE" w:rsidRDefault="006A3FAE" w14:paraId="78336615" w14:textId="77777777">
            <w:pPr>
              <w:numPr>
                <w:ilvl w:val="1"/>
                <w:numId w:val="54"/>
              </w:numPr>
              <w:tabs>
                <w:tab w:val="num" w:pos="1440"/>
              </w:tabs>
              <w:spacing w:line="276" w:lineRule="auto"/>
              <w:jc w:val="both"/>
              <w:rPr>
                <w:iCs/>
                <w:szCs w:val="24"/>
                <w:lang w:val="en-US"/>
              </w:rPr>
            </w:pPr>
            <w:r w:rsidRPr="006A3FAE">
              <w:rPr>
                <w:iCs/>
                <w:szCs w:val="24"/>
                <w:lang w:val="en-US"/>
              </w:rPr>
              <w:t>Përbëjnë pjesën më të madhe të ekonomisë (86.2%) dhe vuajnë nga kosto shtesë dhe mungesa e qartësisë për partneritete ndërkombëtare.</w:t>
            </w:r>
          </w:p>
          <w:p w:rsidRPr="006A3FAE" w:rsidR="006A3FAE" w:rsidRDefault="006A3FAE" w14:paraId="66E02EE2" w14:textId="77777777">
            <w:pPr>
              <w:numPr>
                <w:ilvl w:val="0"/>
                <w:numId w:val="54"/>
              </w:numPr>
              <w:spacing w:line="276" w:lineRule="auto"/>
              <w:jc w:val="both"/>
              <w:rPr>
                <w:iCs/>
                <w:szCs w:val="24"/>
                <w:lang w:val="en-US"/>
              </w:rPr>
            </w:pPr>
            <w:r w:rsidRPr="006A3FAE">
              <w:rPr>
                <w:b/>
                <w:bCs/>
                <w:iCs/>
                <w:szCs w:val="24"/>
                <w:lang w:val="en-US"/>
              </w:rPr>
              <w:t>Noterët:</w:t>
            </w:r>
          </w:p>
          <w:p w:rsidRPr="006A3FAE" w:rsidR="006A3FAE" w:rsidRDefault="006A3FAE" w14:paraId="41738CA9" w14:textId="77777777">
            <w:pPr>
              <w:numPr>
                <w:ilvl w:val="1"/>
                <w:numId w:val="54"/>
              </w:numPr>
              <w:tabs>
                <w:tab w:val="num" w:pos="1440"/>
              </w:tabs>
              <w:spacing w:line="276" w:lineRule="auto"/>
              <w:jc w:val="both"/>
              <w:rPr>
                <w:iCs/>
                <w:szCs w:val="24"/>
                <w:lang w:val="en-US"/>
              </w:rPr>
            </w:pPr>
            <w:r w:rsidRPr="006A3FAE">
              <w:rPr>
                <w:iCs/>
                <w:szCs w:val="24"/>
                <w:lang w:val="en-US"/>
              </w:rPr>
              <w:t>Përballen me detyrën për të siguruar përputhshmërinë ligjore, dokumentacionin dhe certifikimin e operacioneve ndërkufitare.</w:t>
            </w:r>
          </w:p>
          <w:p w:rsidRPr="006A3FAE" w:rsidR="006A3FAE" w:rsidRDefault="006A3FAE" w14:paraId="08E81334" w14:textId="77777777">
            <w:pPr>
              <w:numPr>
                <w:ilvl w:val="1"/>
                <w:numId w:val="54"/>
              </w:numPr>
              <w:tabs>
                <w:tab w:val="num" w:pos="1440"/>
              </w:tabs>
              <w:spacing w:line="276" w:lineRule="auto"/>
              <w:jc w:val="both"/>
              <w:rPr>
                <w:iCs/>
                <w:szCs w:val="24"/>
                <w:lang w:val="en-US"/>
              </w:rPr>
            </w:pPr>
            <w:r w:rsidRPr="006A3FAE">
              <w:rPr>
                <w:iCs/>
                <w:szCs w:val="24"/>
                <w:lang w:val="en-US"/>
              </w:rPr>
              <w:t>Duhet të përshtaten me sistemet digjitale të regjistrave të BE-së.</w:t>
            </w:r>
          </w:p>
          <w:p w:rsidRPr="006A3FAE" w:rsidR="006A3FAE" w:rsidRDefault="006A3FAE" w14:paraId="4A356345" w14:textId="77777777">
            <w:pPr>
              <w:numPr>
                <w:ilvl w:val="0"/>
                <w:numId w:val="54"/>
              </w:numPr>
              <w:spacing w:line="276" w:lineRule="auto"/>
              <w:jc w:val="both"/>
              <w:rPr>
                <w:iCs/>
                <w:szCs w:val="24"/>
                <w:lang w:val="en-US"/>
              </w:rPr>
            </w:pPr>
            <w:r w:rsidRPr="006A3FAE">
              <w:rPr>
                <w:b/>
                <w:bCs/>
                <w:iCs/>
                <w:szCs w:val="24"/>
                <w:lang w:val="en-US"/>
              </w:rPr>
              <w:t>Autoriteti i Konkurrencës:</w:t>
            </w:r>
          </w:p>
          <w:p w:rsidRPr="006A3FAE" w:rsidR="006A3FAE" w:rsidRDefault="006A3FAE" w14:paraId="7D2E1C70" w14:textId="77777777">
            <w:pPr>
              <w:numPr>
                <w:ilvl w:val="1"/>
                <w:numId w:val="54"/>
              </w:numPr>
              <w:tabs>
                <w:tab w:val="num" w:pos="1440"/>
              </w:tabs>
              <w:spacing w:line="276" w:lineRule="auto"/>
              <w:jc w:val="both"/>
              <w:rPr>
                <w:iCs/>
                <w:szCs w:val="24"/>
                <w:lang w:val="en-US"/>
              </w:rPr>
            </w:pPr>
            <w:r w:rsidRPr="006A3FAE">
              <w:rPr>
                <w:iCs/>
                <w:szCs w:val="24"/>
                <w:lang w:val="en-US"/>
              </w:rPr>
              <w:t>Duhet të monitorojë ndikimin e bashkimeve ndërkufitare në konkurrencë dhe të sigurojë respektimin e rregullave të BE-së.</w:t>
            </w:r>
          </w:p>
          <w:p w:rsidRPr="00A32E1F" w:rsidR="006A3FAE" w:rsidRDefault="006A3FAE" w14:paraId="6D05F4BD" w14:textId="77777777">
            <w:pPr>
              <w:numPr>
                <w:ilvl w:val="0"/>
                <w:numId w:val="54"/>
              </w:numPr>
              <w:spacing w:line="276" w:lineRule="auto"/>
              <w:jc w:val="both"/>
              <w:rPr>
                <w:iCs/>
                <w:szCs w:val="24"/>
                <w:lang w:val="it-IT"/>
              </w:rPr>
            </w:pPr>
            <w:r w:rsidRPr="00A32E1F">
              <w:rPr>
                <w:b/>
                <w:bCs/>
                <w:iCs/>
                <w:szCs w:val="24"/>
                <w:lang w:val="it-IT"/>
              </w:rPr>
              <w:t>Qytetarët dhe sipërmarrësit e rinj:</w:t>
            </w:r>
          </w:p>
          <w:p w:rsidRPr="00A32E1F" w:rsidR="006A3FAE" w:rsidRDefault="006A3FAE" w14:paraId="188AE0D6" w14:textId="77777777">
            <w:pPr>
              <w:numPr>
                <w:ilvl w:val="1"/>
                <w:numId w:val="54"/>
              </w:numPr>
              <w:tabs>
                <w:tab w:val="num" w:pos="1440"/>
              </w:tabs>
              <w:spacing w:line="276" w:lineRule="auto"/>
              <w:jc w:val="both"/>
              <w:rPr>
                <w:iCs/>
                <w:szCs w:val="24"/>
                <w:lang w:val="it-IT"/>
              </w:rPr>
            </w:pPr>
            <w:r w:rsidRPr="00A32E1F">
              <w:rPr>
                <w:iCs/>
                <w:szCs w:val="24"/>
                <w:lang w:val="it-IT"/>
              </w:rPr>
              <w:t>Preken nga kufizimi i mundësive për ndërkombëtarizim dhe mungesa e informacionit të standardizuar.</w:t>
            </w:r>
          </w:p>
          <w:p w:rsidRPr="00A32E1F" w:rsidR="006A3FAE" w:rsidRDefault="006A3FAE" w14:paraId="22E0340E" w14:textId="77777777">
            <w:pPr>
              <w:numPr>
                <w:ilvl w:val="0"/>
                <w:numId w:val="54"/>
              </w:numPr>
              <w:spacing w:line="276" w:lineRule="auto"/>
              <w:jc w:val="both"/>
              <w:rPr>
                <w:iCs/>
                <w:szCs w:val="24"/>
                <w:lang w:val="it-IT"/>
              </w:rPr>
            </w:pPr>
            <w:r w:rsidRPr="00A32E1F">
              <w:rPr>
                <w:b/>
                <w:bCs/>
                <w:iCs/>
                <w:szCs w:val="24"/>
                <w:lang w:val="it-IT"/>
              </w:rPr>
              <w:t>Shoqatat e biznesit dhe shoqëria civile:</w:t>
            </w:r>
          </w:p>
          <w:p w:rsidRPr="00A32E1F" w:rsidR="006A3FAE" w:rsidRDefault="006A3FAE" w14:paraId="0E39CD6A" w14:textId="77777777">
            <w:pPr>
              <w:numPr>
                <w:ilvl w:val="1"/>
                <w:numId w:val="54"/>
              </w:numPr>
              <w:tabs>
                <w:tab w:val="num" w:pos="1440"/>
              </w:tabs>
              <w:spacing w:line="276" w:lineRule="auto"/>
              <w:jc w:val="both"/>
              <w:rPr>
                <w:iCs/>
                <w:szCs w:val="24"/>
                <w:lang w:val="it-IT"/>
              </w:rPr>
            </w:pPr>
            <w:r w:rsidRPr="00A32E1F">
              <w:rPr>
                <w:iCs/>
                <w:szCs w:val="24"/>
                <w:lang w:val="it-IT"/>
              </w:rPr>
              <w:t>Nuk mund të ndërmjetësojnë dhe mbështesin bizneset në mënyrë efektive për shkak të mungesës së një baze ligjore të harmonizuar.</w:t>
            </w:r>
          </w:p>
          <w:p w:rsidRPr="00A32E1F" w:rsidR="006A3FAE" w:rsidRDefault="006A3FAE" w14:paraId="5A8A0431" w14:textId="77777777">
            <w:pPr>
              <w:numPr>
                <w:ilvl w:val="0"/>
                <w:numId w:val="54"/>
              </w:numPr>
              <w:spacing w:line="276" w:lineRule="auto"/>
              <w:jc w:val="both"/>
              <w:rPr>
                <w:iCs/>
                <w:szCs w:val="24"/>
                <w:lang w:val="it-IT"/>
              </w:rPr>
            </w:pPr>
            <w:r w:rsidRPr="00A32E1F">
              <w:rPr>
                <w:b/>
                <w:bCs/>
                <w:iCs/>
                <w:szCs w:val="24"/>
                <w:lang w:val="it-IT"/>
              </w:rPr>
              <w:t>Ndërmarrjet me kapital të huaj dhe të përbashkëta:</w:t>
            </w:r>
          </w:p>
          <w:p w:rsidRPr="00A32E1F" w:rsidR="006A3FAE" w:rsidRDefault="006A3FAE" w14:paraId="7BCFBDD7" w14:textId="77777777">
            <w:pPr>
              <w:numPr>
                <w:ilvl w:val="1"/>
                <w:numId w:val="54"/>
              </w:numPr>
              <w:tabs>
                <w:tab w:val="num" w:pos="1440"/>
              </w:tabs>
              <w:spacing w:line="276" w:lineRule="auto"/>
              <w:jc w:val="both"/>
              <w:rPr>
                <w:iCs/>
                <w:szCs w:val="24"/>
                <w:lang w:val="it-IT"/>
              </w:rPr>
            </w:pPr>
            <w:r w:rsidRPr="00A32E1F">
              <w:rPr>
                <w:iCs/>
                <w:szCs w:val="24"/>
                <w:lang w:val="it-IT"/>
              </w:rPr>
              <w:t>Përbëjnë 5.3% të ndërmarrjeve aktive, kryesisht të përqendruara në Tiranë, Durrës dhe Vlorë, dhe përballen me pengesa në transaksionet ndërkufitare.</w:t>
            </w:r>
          </w:p>
          <w:p w:rsidR="00530C1B" w:rsidP="00053C0A" w:rsidRDefault="00530C1B" w14:paraId="31DE637D" w14:textId="77777777">
            <w:pPr>
              <w:spacing w:line="276" w:lineRule="auto"/>
              <w:jc w:val="both"/>
              <w:rPr>
                <w:iCs/>
                <w:szCs w:val="24"/>
              </w:rPr>
            </w:pPr>
          </w:p>
          <w:p w:rsidRPr="00053C0A" w:rsidR="00B5039C" w:rsidP="00053C0A" w:rsidRDefault="00B5039C" w14:paraId="4CAFE2EC" w14:textId="13E238EF">
            <w:pPr>
              <w:spacing w:line="276" w:lineRule="auto"/>
              <w:jc w:val="both"/>
              <w:rPr>
                <w:iCs/>
                <w:szCs w:val="24"/>
              </w:rPr>
            </w:pPr>
          </w:p>
        </w:tc>
      </w:tr>
      <w:tr w:rsidRPr="00BB5F74" w:rsidR="00B5039C" w:rsidTr="65600A46" w14:paraId="52EDADDC" w14:textId="77777777">
        <w:trPr>
          <w:trHeight w:val="543"/>
        </w:trPr>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25A1F" w:rsidR="00B5039C" w:rsidP="00B5039C" w:rsidRDefault="00B5039C" w14:paraId="54B7440F" w14:textId="77777777">
            <w:pPr>
              <w:spacing w:line="276" w:lineRule="auto"/>
              <w:jc w:val="both"/>
              <w:rPr>
                <w:b/>
                <w:i/>
                <w:szCs w:val="24"/>
              </w:rPr>
            </w:pPr>
            <w:r w:rsidRPr="00325A1F">
              <w:rPr>
                <w:b/>
                <w:szCs w:val="24"/>
              </w:rPr>
              <w:t>OBJEKTIVAT</w:t>
            </w:r>
          </w:p>
          <w:p w:rsidRPr="003C264A" w:rsidR="00B5039C" w:rsidP="00B5039C" w:rsidRDefault="00B5039C" w14:paraId="15BAE98A" w14:textId="77777777">
            <w:pPr>
              <w:spacing w:line="276" w:lineRule="auto"/>
              <w:jc w:val="both"/>
              <w:rPr>
                <w:i/>
                <w:szCs w:val="24"/>
              </w:rPr>
            </w:pPr>
            <w:r w:rsidRPr="003C264A">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name="Objektivat" w:id="3"/>
            <w:r w:rsidRPr="003C264A">
              <w:rPr>
                <w:i/>
                <w:szCs w:val="24"/>
              </w:rPr>
              <w:instrText xml:space="preserve"> FORMTEXT </w:instrText>
            </w:r>
            <w:r w:rsidRPr="003C264A">
              <w:rPr>
                <w:i/>
                <w:szCs w:val="24"/>
              </w:rPr>
            </w:r>
            <w:r w:rsidRPr="003C264A">
              <w:rPr>
                <w:i/>
                <w:szCs w:val="24"/>
              </w:rPr>
              <w:fldChar w:fldCharType="separate"/>
            </w:r>
            <w:r w:rsidRPr="003C264A">
              <w:rPr>
                <w:i/>
                <w:noProof/>
                <w:szCs w:val="24"/>
              </w:rPr>
              <w:t>Cilat janë objektivat dhe rezultatet e synuara të propozimit? (jo më shumë se 7  rreshta)</w:t>
            </w:r>
            <w:r w:rsidRPr="003C264A">
              <w:rPr>
                <w:i/>
                <w:szCs w:val="24"/>
              </w:rPr>
              <w:fldChar w:fldCharType="end"/>
            </w:r>
            <w:bookmarkEnd w:id="3"/>
          </w:p>
          <w:p w:rsidRPr="003C264A" w:rsidR="00B5039C" w:rsidP="00B5039C" w:rsidRDefault="00B5039C" w14:paraId="3E9E10CD" w14:textId="77777777">
            <w:pPr>
              <w:jc w:val="both"/>
              <w:rPr>
                <w:szCs w:val="24"/>
              </w:rPr>
            </w:pPr>
            <w:r w:rsidRPr="003C264A">
              <w:fldChar w:fldCharType="begin">
                <w:ffData>
                  <w:name w:val=""/>
                  <w:enabled/>
                  <w:calcOnExit w:val="0"/>
                  <w:textInput>
                    <w:maxLength w:val="546"/>
                  </w:textInput>
                </w:ffData>
              </w:fldChar>
            </w:r>
            <w:r w:rsidRPr="003C264A">
              <w:instrText xml:space="preserve"> FORMTEXT </w:instrText>
            </w:r>
            <w:r w:rsidRPr="003C264A">
              <w:fldChar w:fldCharType="separate"/>
            </w:r>
            <w:r w:rsidRPr="003C264A">
              <w:rPr>
                <w:noProof/>
              </w:rPr>
              <w:t> </w:t>
            </w:r>
            <w:r w:rsidRPr="003C264A">
              <w:rPr>
                <w:noProof/>
              </w:rPr>
              <w:t> </w:t>
            </w:r>
            <w:r w:rsidRPr="003C264A">
              <w:rPr>
                <w:noProof/>
              </w:rPr>
              <w:t> </w:t>
            </w:r>
            <w:r w:rsidRPr="003C264A">
              <w:rPr>
                <w:noProof/>
              </w:rPr>
              <w:t> </w:t>
            </w:r>
            <w:r w:rsidRPr="003C264A">
              <w:rPr>
                <w:noProof/>
              </w:rPr>
              <w:t> </w:t>
            </w:r>
            <w:r w:rsidRPr="003C264A">
              <w:fldChar w:fldCharType="end"/>
            </w:r>
          </w:p>
          <w:p w:rsidRPr="00EC124D" w:rsidR="008D6A2B" w:rsidP="008D6A2B" w:rsidRDefault="008D6A2B" w14:paraId="366B86D1" w14:textId="77777777">
            <w:pPr>
              <w:spacing w:after="160" w:line="259" w:lineRule="auto"/>
              <w:jc w:val="both"/>
            </w:pPr>
            <w:r w:rsidRPr="00EC124D">
              <w:t>Objektivi themelor i kësaj ndërhyrjeje është krijimi i një kuadri të ri ligjor të posaçëm i cili siguron transpozimin e plotë, të qartë dhe të zbatueshëm të dispozitave të Direktivës (BE) 2019/2121 në lidhje me shndërrimet, bashkimet dhe ndarjet ndërkufitare të shoqërive tregtare. Qëllimi është të përmbushet angazhimi i Shqipërisë për harmonizim të plotë me acquis-in e BE-së në fushën e të drejtës së shoqërive, në kuadër të mbylljes së negociatave për Kapitullin 6 brenda vitit 2027 dhe integrimit në tregun e përbashkët evropian deri në vitin 2030, siç parashikohet në dokumentet kombëtare strategjike dhe pozicionet negociuese zyrtare.</w:t>
            </w:r>
          </w:p>
          <w:p w:rsidRPr="00EC124D" w:rsidR="008D6A2B" w:rsidP="008D6A2B" w:rsidRDefault="008D6A2B" w14:paraId="561FE1A2" w14:textId="77777777">
            <w:pPr>
              <w:spacing w:after="160" w:line="259" w:lineRule="auto"/>
              <w:jc w:val="both"/>
            </w:pPr>
            <w:r w:rsidRPr="00EC124D">
              <w:t>Ky objektiv mbështet transformimin e kuadrit normativ shqiptar nga një sistem i pjesshëm dhe i fragmentuar në një arkitekturë të integruar, të përputhshme dhe funksionale, që i mundëson shoqërive shqiptare të kryejnë operacione ndërkufitare me të njëjtat garanci dhe standarde ligjore si shoqëritë në shtetet anëtare të BE-së. Në mënyrë të veçantë, ky objektiv përfshin:</w:t>
            </w:r>
          </w:p>
          <w:p w:rsidRPr="00F14EE4" w:rsidR="008D6A2B" w:rsidP="008D6A2B" w:rsidRDefault="008D6A2B" w14:paraId="201FD84C" w14:textId="77777777">
            <w:pPr>
              <w:spacing w:after="160" w:line="259" w:lineRule="auto"/>
              <w:jc w:val="both"/>
              <w:rPr>
                <w:szCs w:val="24"/>
              </w:rPr>
            </w:pPr>
          </w:p>
          <w:p w:rsidRPr="00F73E80" w:rsidR="008D6A2B" w:rsidP="008D6A2B" w:rsidRDefault="008D6A2B" w14:paraId="00B9AA4A" w14:textId="77777777">
            <w:pPr>
              <w:pStyle w:val="ListParagraph"/>
              <w:numPr>
                <w:ilvl w:val="0"/>
                <w:numId w:val="17"/>
              </w:numPr>
              <w:spacing w:after="160" w:line="259" w:lineRule="auto"/>
              <w:jc w:val="both"/>
              <w:rPr>
                <w:szCs w:val="24"/>
              </w:rPr>
            </w:pPr>
            <w:r w:rsidRPr="00E75562">
              <w:rPr>
                <w:rFonts w:ascii="Times New Roman" w:hAnsi="Times New Roman"/>
                <w:sz w:val="24"/>
                <w:szCs w:val="24"/>
              </w:rPr>
              <w:t xml:space="preserve">Krijimi </w:t>
            </w:r>
            <w:r>
              <w:rPr>
                <w:rFonts w:ascii="Times New Roman" w:hAnsi="Times New Roman"/>
                <w:sz w:val="24"/>
                <w:szCs w:val="24"/>
              </w:rPr>
              <w:t>i</w:t>
            </w:r>
            <w:r w:rsidRPr="00E75562">
              <w:rPr>
                <w:rFonts w:ascii="Times New Roman" w:hAnsi="Times New Roman"/>
                <w:sz w:val="24"/>
                <w:szCs w:val="24"/>
              </w:rPr>
              <w:t xml:space="preserve"> një baze procedurale për shndërrimet, bashkimet dhe ndarjet ndërkufitare, përfshirë rregulla të detajuara për planifikimin, transparencën, mbrojtjen e palëve të treta dhe përfundimin e procedurës me efekt juridik të drejtpërdrejtë në regjistrin kombëtar</w:t>
            </w:r>
            <w:r>
              <w:rPr>
                <w:rFonts w:ascii="Times New Roman" w:hAnsi="Times New Roman"/>
                <w:sz w:val="24"/>
                <w:szCs w:val="24"/>
              </w:rPr>
              <w:t>, brenda vitit 2026</w:t>
            </w:r>
            <w:r w:rsidRPr="00E75562">
              <w:rPr>
                <w:rFonts w:ascii="Times New Roman" w:hAnsi="Times New Roman"/>
                <w:sz w:val="24"/>
                <w:szCs w:val="24"/>
              </w:rPr>
              <w:t>;</w:t>
            </w:r>
          </w:p>
          <w:p w:rsidRPr="00F73E80" w:rsidR="008D6A2B" w:rsidP="008D6A2B" w:rsidRDefault="008D6A2B" w14:paraId="6DC681B7" w14:textId="77777777">
            <w:pPr>
              <w:pStyle w:val="ListParagraph"/>
              <w:numPr>
                <w:ilvl w:val="0"/>
                <w:numId w:val="17"/>
              </w:numPr>
              <w:spacing w:after="160" w:line="259" w:lineRule="auto"/>
              <w:jc w:val="both"/>
              <w:rPr>
                <w:szCs w:val="24"/>
              </w:rPr>
            </w:pPr>
            <w:r w:rsidRPr="00E75562">
              <w:rPr>
                <w:rFonts w:ascii="Times New Roman" w:hAnsi="Times New Roman"/>
                <w:sz w:val="24"/>
                <w:szCs w:val="24"/>
              </w:rPr>
              <w:t xml:space="preserve">Garantimi </w:t>
            </w:r>
            <w:r>
              <w:rPr>
                <w:rFonts w:ascii="Times New Roman" w:hAnsi="Times New Roman"/>
                <w:sz w:val="24"/>
                <w:szCs w:val="24"/>
              </w:rPr>
              <w:t>i</w:t>
            </w:r>
            <w:r w:rsidRPr="00E75562">
              <w:rPr>
                <w:rFonts w:ascii="Times New Roman" w:hAnsi="Times New Roman"/>
                <w:sz w:val="24"/>
                <w:szCs w:val="24"/>
              </w:rPr>
              <w:t xml:space="preserve"> të drejtave të kreditorëve, punëmarrësve dhe aksionarëve të pakicës, duke siguruar që çdo transformim të mos shkelë parimet e barazisë, përfaqësimit dhe aksesit në drejtësi;</w:t>
            </w:r>
          </w:p>
          <w:p w:rsidRPr="00E75562" w:rsidR="008D6A2B" w:rsidP="008D6A2B" w:rsidRDefault="008D6A2B" w14:paraId="736B4975" w14:textId="77777777">
            <w:pPr>
              <w:pStyle w:val="ListParagraph"/>
              <w:numPr>
                <w:ilvl w:val="0"/>
                <w:numId w:val="17"/>
              </w:numPr>
              <w:spacing w:after="160" w:line="259" w:lineRule="auto"/>
              <w:jc w:val="both"/>
              <w:rPr>
                <w:rFonts w:ascii="Times New Roman" w:hAnsi="Times New Roman"/>
                <w:sz w:val="24"/>
                <w:szCs w:val="24"/>
              </w:rPr>
            </w:pPr>
            <w:r w:rsidRPr="00E75562">
              <w:rPr>
                <w:rFonts w:ascii="Times New Roman" w:hAnsi="Times New Roman"/>
                <w:sz w:val="24"/>
                <w:szCs w:val="24"/>
              </w:rPr>
              <w:t xml:space="preserve">Zbatimi </w:t>
            </w:r>
            <w:r>
              <w:rPr>
                <w:rFonts w:ascii="Times New Roman" w:hAnsi="Times New Roman"/>
                <w:sz w:val="24"/>
                <w:szCs w:val="24"/>
              </w:rPr>
              <w:t>i</w:t>
            </w:r>
            <w:r w:rsidRPr="00E75562">
              <w:rPr>
                <w:rFonts w:ascii="Times New Roman" w:hAnsi="Times New Roman"/>
                <w:sz w:val="24"/>
                <w:szCs w:val="24"/>
              </w:rPr>
              <w:t xml:space="preserve"> rolit të autoritetit të kontrollit të ligjshmërisë (p.sh. noterit ose një organi tjetër të caktuar), si parakusht për lëshimin e certifikatës së miratimit për transformimet ndërkufitare</w:t>
            </w:r>
            <w:r>
              <w:rPr>
                <w:rFonts w:ascii="Times New Roman" w:hAnsi="Times New Roman"/>
                <w:sz w:val="24"/>
                <w:szCs w:val="24"/>
              </w:rPr>
              <w:t>, brenda vitit 2026</w:t>
            </w:r>
            <w:r w:rsidRPr="00E75562">
              <w:rPr>
                <w:rFonts w:ascii="Times New Roman" w:hAnsi="Times New Roman"/>
                <w:sz w:val="24"/>
                <w:szCs w:val="24"/>
              </w:rPr>
              <w:t>;</w:t>
            </w:r>
          </w:p>
          <w:p w:rsidR="008D6A2B" w:rsidP="008D6A2B" w:rsidRDefault="008D6A2B" w14:paraId="75EDFC2C" w14:textId="77777777">
            <w:pPr>
              <w:spacing w:after="160" w:line="259" w:lineRule="auto"/>
              <w:jc w:val="both"/>
            </w:pPr>
            <w:r w:rsidRPr="00F73E80">
              <w:rPr>
                <w:szCs w:val="24"/>
              </w:rPr>
              <w:t>Përmirësimin e ndërveprueshmërisë ndërmjet regjistrave tregtarë, përmes krijimit të kushteve për zbatimin e standardeve teknike të BRIS (në përputhje me Rregulloren e Zbatimit të Komisionit (BE) 2021/1042), me qëllim që të mundësohet verifikimi, shkëmbimi dhe regjistrimi ndërkufitar në mënyrë të sigurt dhe të sinkronizuar</w:t>
            </w:r>
            <w:r w:rsidRPr="00F14EE4">
              <w:t>.</w:t>
            </w:r>
          </w:p>
          <w:p w:rsidR="008D6A2B" w:rsidP="008D6A2B" w:rsidRDefault="008D6A2B" w14:paraId="45F008C3" w14:textId="77777777">
            <w:pPr>
              <w:spacing w:after="160" w:line="259" w:lineRule="auto"/>
              <w:jc w:val="both"/>
              <w:rPr>
                <w:u w:val="single"/>
              </w:rPr>
            </w:pPr>
            <w:r w:rsidRPr="003A4286">
              <w:rPr>
                <w:u w:val="single"/>
              </w:rPr>
              <w:t>Sigurimi që objektivat janë specifikë, të matshëm, të arritshëm, realë dhe në kohë</w:t>
            </w:r>
          </w:p>
          <w:p w:rsidRPr="00E75562" w:rsidR="008D6A2B" w:rsidP="008D6A2B" w:rsidRDefault="008D6A2B" w14:paraId="248D0685" w14:textId="77777777">
            <w:pPr>
              <w:spacing w:after="160" w:line="259" w:lineRule="auto"/>
              <w:jc w:val="both"/>
            </w:pPr>
            <w:r w:rsidRPr="00E75562">
              <w:t>Në zbatim të qëllimit të përgjithshëm të ndërhyrjes, politikë bërja synon arritjen e objektivave të mëposhtëm deri në fund të vitit 2027:</w:t>
            </w:r>
          </w:p>
          <w:p w:rsidRPr="00E75562" w:rsidR="008D6A2B" w:rsidP="008D6A2B" w:rsidRDefault="008D6A2B" w14:paraId="513FE273" w14:textId="77777777">
            <w:pPr>
              <w:numPr>
                <w:ilvl w:val="0"/>
                <w:numId w:val="20"/>
              </w:numPr>
              <w:spacing w:after="160" w:line="259" w:lineRule="auto"/>
              <w:jc w:val="both"/>
            </w:pPr>
            <w:r w:rsidRPr="00E75562">
              <w:t xml:space="preserve">Transpozimi integral dhe i drejtpërdrejtë i Direktivës (BE) </w:t>
            </w:r>
            <w:r w:rsidRPr="006A1F7A">
              <w:t>2019/212</w:t>
            </w:r>
            <w:r w:rsidRPr="00E75562">
              <w:t>, përmes një ligji të ri të posaçëm, i cili zëvendëson Ligjin nr. 110/2012 dhe unifikon procedurat e shndërrimeve, bashkimeve dhe ndarjeve ndërkufitare në një instrument të vetëm juridik</w:t>
            </w:r>
            <w:r>
              <w:t>, brenda vitit 2026</w:t>
            </w:r>
            <w:r w:rsidRPr="00E75562">
              <w:t>.</w:t>
            </w:r>
          </w:p>
          <w:p w:rsidRPr="008D6A2B" w:rsidR="008D6A2B" w:rsidP="008D6A2B" w:rsidRDefault="008D6A2B" w14:paraId="1ADF3038" w14:textId="77777777">
            <w:pPr>
              <w:numPr>
                <w:ilvl w:val="0"/>
                <w:numId w:val="20"/>
              </w:numPr>
              <w:spacing w:after="160" w:line="259" w:lineRule="auto"/>
              <w:jc w:val="both"/>
            </w:pPr>
            <w:r w:rsidRPr="00A836ED">
              <w:t>Aktivizimi i autoritetit të kontrollit të ligjshmërisë</w:t>
            </w:r>
            <w:r w:rsidRPr="008D6A2B">
              <w:t>, përmes përcaktimit dhe funksionalizimit të noterëve të specializuar (ose një autoriteti tjetër të përzgjedhur), si organ përgjegjës për verifikimin e ligjshmërisë së operacioneve ndërkufitare brenda vitit 2026.</w:t>
            </w:r>
          </w:p>
          <w:p w:rsidRPr="008D6A2B" w:rsidR="008D6A2B" w:rsidP="008D6A2B" w:rsidRDefault="008D6A2B" w14:paraId="7F499108" w14:textId="77777777">
            <w:pPr>
              <w:numPr>
                <w:ilvl w:val="0"/>
                <w:numId w:val="20"/>
              </w:numPr>
              <w:spacing w:after="160" w:line="259" w:lineRule="auto"/>
              <w:jc w:val="both"/>
            </w:pPr>
            <w:r w:rsidRPr="00A836ED">
              <w:t>Krijimi i regjistrit të autorizimeve dhe trajnimeve profesionale</w:t>
            </w:r>
            <w:r w:rsidRPr="008D6A2B">
              <w:t xml:space="preserve"> për autoritetin e kontrollit të ligjshmërisë deri në fund të vitit 2026, në bashkëpunim me Dhomën Kombëtare të Noterisë dhe Ministrinë e Drejtësisë.</w:t>
            </w:r>
          </w:p>
          <w:p w:rsidRPr="00E75562" w:rsidR="008D6A2B" w:rsidP="008D6A2B" w:rsidRDefault="008D6A2B" w14:paraId="26C3EDB2" w14:textId="3DCF0484">
            <w:pPr>
              <w:numPr>
                <w:ilvl w:val="0"/>
                <w:numId w:val="20"/>
              </w:numPr>
              <w:spacing w:after="160" w:line="259" w:lineRule="auto"/>
              <w:jc w:val="both"/>
              <w:rPr/>
            </w:pPr>
            <w:r w:rsidR="008D6A2B">
              <w:rPr/>
              <w:t>Sigurimi i një kuadri të plotë procedural dhe standardizues për operacionet ndërkufitare</w:t>
            </w:r>
            <w:r w:rsidR="008D6A2B">
              <w:rPr/>
              <w:t>,</w:t>
            </w:r>
            <w:r w:rsidR="008D6A2B">
              <w:rPr/>
              <w:t xml:space="preserve"> përfshirë modelet e planeve të transformimit, format standarde të raporteve të administratorëve, rregullat e njoftimit dhe afatet e kundërshtimit</w:t>
            </w:r>
            <w:r w:rsidR="008D6A2B">
              <w:rPr/>
              <w:t>,</w:t>
            </w:r>
            <w:r w:rsidR="008D6A2B">
              <w:rPr/>
              <w:t xml:space="preserve"> </w:t>
            </w:r>
            <w:r w:rsidR="008D6A2B">
              <w:rPr/>
              <w:t>brenda</w:t>
            </w:r>
            <w:r w:rsidR="008D6A2B">
              <w:rPr/>
              <w:t xml:space="preserve"> vitit 2026.</w:t>
            </w:r>
          </w:p>
          <w:p w:rsidRPr="00E75562" w:rsidR="008D6A2B" w:rsidP="008D6A2B" w:rsidRDefault="008D6A2B" w14:paraId="444DE50E" w14:textId="4324178B">
            <w:pPr>
              <w:numPr>
                <w:ilvl w:val="0"/>
                <w:numId w:val="20"/>
              </w:numPr>
              <w:spacing w:after="160" w:line="259" w:lineRule="auto"/>
              <w:jc w:val="both"/>
              <w:rPr/>
            </w:pPr>
            <w:r w:rsidR="19EDCC1D">
              <w:rPr/>
              <w:t>N</w:t>
            </w:r>
            <w:r w:rsidR="008D6A2B">
              <w:rPr/>
              <w:t xml:space="preserve">dërtimi i </w:t>
            </w:r>
            <w:r w:rsidR="008D6A2B">
              <w:rPr/>
              <w:t>ndërveprueshmërisë</w:t>
            </w:r>
            <w:r w:rsidR="008D6A2B">
              <w:rPr/>
              <w:t xml:space="preserve"> teknike me BRIS, përmes përafrimit të sistemit të Qendrës Kombëtare të Biznesit me standardet e Rregullores së Zbatimit (BE) 2021/1042, për të mundësuar komunikimin </w:t>
            </w:r>
            <w:r w:rsidR="008D6A2B">
              <w:rPr/>
              <w:t>midis regjistrave</w:t>
            </w:r>
            <w:r w:rsidR="008D6A2B">
              <w:rPr/>
              <w:t xml:space="preserve"> dhe ndarjen e të dhënave për operacionet ndërkufitare brenda vitit 2027.</w:t>
            </w:r>
          </w:p>
          <w:p w:rsidRPr="00E75562" w:rsidR="008D6A2B" w:rsidP="008D6A2B" w:rsidRDefault="008D6A2B" w14:paraId="7B591B61" w14:textId="77777777">
            <w:pPr>
              <w:numPr>
                <w:ilvl w:val="0"/>
                <w:numId w:val="20"/>
              </w:numPr>
              <w:spacing w:after="160" w:line="259" w:lineRule="auto"/>
              <w:jc w:val="both"/>
            </w:pPr>
            <w:r w:rsidRPr="00E75562">
              <w:t>Krijimi i moduleve të posaçme digjitale në QKB, që lejojnë gjurmueshmërinë e operacioneve ndërkufitare dhe depozitimin online të dokumentacionit shoqërues, në përputhje me kërkesat e direktivës dhe praktikat e shteteve anëtare.</w:t>
            </w:r>
          </w:p>
          <w:p w:rsidRPr="00E75562" w:rsidR="008D6A2B" w:rsidP="008D6A2B" w:rsidRDefault="008D6A2B" w14:paraId="247C5B84" w14:textId="77777777">
            <w:pPr>
              <w:numPr>
                <w:ilvl w:val="0"/>
                <w:numId w:val="20"/>
              </w:numPr>
              <w:spacing w:after="160" w:line="259" w:lineRule="auto"/>
              <w:jc w:val="both"/>
            </w:pPr>
            <w:r w:rsidRPr="00E75562">
              <w:t>Rritja e transparencës dhe e aksesit publik në informacion, duke siguruar që të gjitha certifikatat e miratimit, dokumentet e transformimit dhe aktet e regjistrimit të jenë të publikuara në mënyrë të hapur dhe të aksesueshme në format elektronik, jo më vonë se fundi i vitit 2026.</w:t>
            </w:r>
          </w:p>
          <w:p w:rsidRPr="00AC168C" w:rsidR="008D6A2B" w:rsidP="008D6A2B" w:rsidRDefault="008D6A2B" w14:paraId="51CF936B" w14:textId="77777777">
            <w:pPr>
              <w:spacing w:after="160" w:line="259" w:lineRule="auto"/>
              <w:jc w:val="both"/>
            </w:pPr>
          </w:p>
          <w:p w:rsidRPr="00E75562" w:rsidR="008D6A2B" w:rsidP="008D6A2B" w:rsidRDefault="008D6A2B" w14:paraId="2357601E" w14:textId="77777777">
            <w:pPr>
              <w:spacing w:after="160" w:line="259" w:lineRule="auto"/>
              <w:jc w:val="both"/>
              <w:rPr>
                <w:lang w:val="it-IT"/>
              </w:rPr>
            </w:pPr>
            <w:r w:rsidRPr="00E75562">
              <w:rPr>
                <w:lang w:val="it-IT"/>
              </w:rPr>
              <w:t>Objektiva të lidhura me rezultatet afatgjata</w:t>
            </w:r>
          </w:p>
          <w:p w:rsidRPr="00E75562" w:rsidR="008D6A2B" w:rsidP="008D6A2B" w:rsidRDefault="008D6A2B" w14:paraId="6A0F161E" w14:textId="77777777">
            <w:pPr>
              <w:numPr>
                <w:ilvl w:val="0"/>
                <w:numId w:val="21"/>
              </w:numPr>
              <w:spacing w:after="160" w:line="259" w:lineRule="auto"/>
              <w:jc w:val="both"/>
              <w:rPr>
                <w:lang w:val="it-IT"/>
              </w:rPr>
            </w:pPr>
            <w:r w:rsidRPr="00E75562">
              <w:rPr>
                <w:lang w:val="it-IT"/>
              </w:rPr>
              <w:t>Lehtësimi i integrimit të shoqërive shqiptare në tregun e brendshëm të BE-së, përmes rregullave që shmangin pasigurinë juridike dhe abuzimet procedurale (në përputhje me Recitalin 6 të Direktivës).</w:t>
            </w:r>
          </w:p>
          <w:p w:rsidRPr="00E75562" w:rsidR="008D6A2B" w:rsidP="008D6A2B" w:rsidRDefault="008D6A2B" w14:paraId="5FD07814" w14:textId="77777777">
            <w:pPr>
              <w:numPr>
                <w:ilvl w:val="0"/>
                <w:numId w:val="21"/>
              </w:numPr>
              <w:spacing w:after="160" w:line="259" w:lineRule="auto"/>
              <w:jc w:val="both"/>
              <w:rPr>
                <w:lang w:val="it-IT"/>
              </w:rPr>
            </w:pPr>
            <w:r w:rsidRPr="00E75562">
              <w:rPr>
                <w:lang w:val="it-IT"/>
              </w:rPr>
              <w:t>Përmirësimi i mjedisit të biznesit dhe rritja e atraktivitetit për investimet e huaja, përmes garantimit të lëvizjes së lirë të kapitalit dhe strukturave të korporatave ndërkufitare.</w:t>
            </w:r>
          </w:p>
          <w:p w:rsidR="00492BF0" w:rsidP="001F6F17" w:rsidRDefault="00492BF0" w14:paraId="73995AA5" w14:textId="77777777">
            <w:pPr>
              <w:pBdr>
                <w:bar w:val="nil"/>
              </w:pBdr>
              <w:spacing w:line="276" w:lineRule="auto"/>
              <w:ind w:right="20"/>
              <w:jc w:val="both"/>
              <w:rPr>
                <w:szCs w:val="24"/>
              </w:rPr>
            </w:pPr>
          </w:p>
          <w:p w:rsidR="00492BF0" w:rsidP="001F6F17" w:rsidRDefault="00492BF0" w14:paraId="6CCD2101" w14:textId="77777777">
            <w:pPr>
              <w:pBdr>
                <w:bar w:val="nil"/>
              </w:pBdr>
              <w:spacing w:line="276" w:lineRule="auto"/>
              <w:ind w:right="20"/>
              <w:jc w:val="both"/>
              <w:rPr>
                <w:szCs w:val="24"/>
              </w:rPr>
            </w:pPr>
          </w:p>
          <w:p w:rsidRPr="00E75562" w:rsidR="003178E7" w:rsidP="001F6F17" w:rsidRDefault="003178E7" w14:paraId="12C01B99" w14:textId="518FC53D">
            <w:pPr>
              <w:pBdr>
                <w:bar w:val="nil"/>
              </w:pBdr>
              <w:spacing w:line="276" w:lineRule="auto"/>
              <w:ind w:right="20"/>
              <w:jc w:val="both"/>
              <w:rPr>
                <w:szCs w:val="24"/>
              </w:rPr>
            </w:pPr>
          </w:p>
          <w:p w:rsidRPr="00AE6BED" w:rsidR="003178E7" w:rsidP="00D85A49" w:rsidRDefault="003178E7" w14:paraId="09F33966" w14:textId="1741D552">
            <w:pPr>
              <w:pBdr>
                <w:bar w:val="nil"/>
              </w:pBdr>
              <w:spacing w:line="276" w:lineRule="auto"/>
              <w:ind w:right="20"/>
              <w:jc w:val="both"/>
              <w:rPr>
                <w:szCs w:val="24"/>
              </w:rPr>
            </w:pPr>
          </w:p>
        </w:tc>
      </w:tr>
      <w:tr w:rsidRPr="00E75562" w:rsidR="00B5039C" w:rsidTr="65600A46" w14:paraId="55591B23"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F434C" w:rsidR="00B5039C" w:rsidP="00B5039C" w:rsidRDefault="00B5039C" w14:paraId="6F841403" w14:textId="77777777">
            <w:pPr>
              <w:spacing w:line="276" w:lineRule="auto"/>
              <w:jc w:val="both"/>
              <w:rPr>
                <w:b/>
                <w:szCs w:val="24"/>
              </w:rPr>
            </w:pPr>
            <w:r w:rsidRPr="009F434C">
              <w:rPr>
                <w:b/>
                <w:szCs w:val="24"/>
              </w:rPr>
              <w:t>OPSIONET E POLITIKAVE</w:t>
            </w:r>
          </w:p>
          <w:p w:rsidRPr="006D0DA9" w:rsidR="00B5039C" w:rsidP="00B5039C" w:rsidRDefault="00B5039C" w14:paraId="39009953" w14:textId="77777777">
            <w:pPr>
              <w:spacing w:line="276" w:lineRule="auto"/>
              <w:jc w:val="both"/>
              <w:rPr>
                <w:i/>
                <w:szCs w:val="24"/>
                <w:lang w:val="it-IT"/>
              </w:rPr>
            </w:pPr>
            <w:r w:rsidRPr="009F434C">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6D0DA9">
              <w:rPr>
                <w:i/>
                <w:szCs w:val="24"/>
                <w:lang w:val="it-IT"/>
              </w:rPr>
              <w:instrText xml:space="preserve"> FORMTEXT </w:instrText>
            </w:r>
            <w:r w:rsidRPr="009F434C">
              <w:rPr>
                <w:i/>
                <w:szCs w:val="24"/>
              </w:rPr>
            </w:r>
            <w:r w:rsidRPr="009F434C">
              <w:rPr>
                <w:i/>
                <w:szCs w:val="24"/>
              </w:rPr>
              <w:fldChar w:fldCharType="separate"/>
            </w:r>
            <w:r w:rsidRPr="006D0DA9">
              <w:rPr>
                <w:i/>
                <w:szCs w:val="24"/>
                <w:lang w:val="it-IT"/>
              </w:rPr>
              <w:t xml:space="preserve">Cilat janë opsionet kryesore të politikave? Duhet të bëni krahasimin e avantazheve/përfitimeve kryesore dhe të dizavantazheve/kostove të opsioneve të mundshme.  </w:t>
            </w:r>
            <w:r w:rsidRPr="006D0DA9">
              <w:rPr>
                <w:i/>
                <w:noProof/>
                <w:szCs w:val="24"/>
                <w:lang w:val="it-IT"/>
              </w:rPr>
              <w:t>(jo më shumë se 7 rreshta)</w:t>
            </w:r>
            <w:r w:rsidRPr="009F434C">
              <w:rPr>
                <w:i/>
                <w:szCs w:val="24"/>
              </w:rPr>
              <w:fldChar w:fldCharType="end"/>
            </w:r>
          </w:p>
          <w:p w:rsidRPr="006D0DA9" w:rsidR="00B5039C" w:rsidP="00B5039C" w:rsidRDefault="00B5039C" w14:paraId="6706D4A6" w14:textId="77777777">
            <w:pPr>
              <w:jc w:val="both"/>
              <w:rPr>
                <w:szCs w:val="24"/>
                <w:lang w:val="it-IT"/>
              </w:rPr>
            </w:pPr>
          </w:p>
          <w:p w:rsidRPr="00E204A0" w:rsidR="00E204A0" w:rsidP="00E204A0" w:rsidRDefault="00E204A0" w14:paraId="429FD40C" w14:textId="77777777">
            <w:pPr>
              <w:jc w:val="both"/>
              <w:rPr>
                <w:szCs w:val="24"/>
              </w:rPr>
            </w:pPr>
            <w:r w:rsidRPr="00E204A0">
              <w:rPr>
                <w:szCs w:val="24"/>
              </w:rPr>
              <w:t>Opsionet e mëposhtme janë vlerësuar në funksion të arritjes së objektivave të politikave:</w:t>
            </w:r>
          </w:p>
          <w:p w:rsidRPr="00E204A0" w:rsidR="00E204A0" w:rsidP="00E204A0" w:rsidRDefault="00E204A0" w14:paraId="08969D9D" w14:textId="77777777">
            <w:pPr>
              <w:jc w:val="both"/>
              <w:rPr>
                <w:szCs w:val="24"/>
              </w:rPr>
            </w:pPr>
          </w:p>
          <w:p w:rsidRPr="00E204A0" w:rsidR="00E204A0" w:rsidP="00E204A0" w:rsidRDefault="00E204A0" w14:paraId="15294DEE" w14:textId="183A526D">
            <w:pPr>
              <w:jc w:val="both"/>
              <w:rPr>
                <w:szCs w:val="24"/>
              </w:rPr>
            </w:pPr>
            <w:r w:rsidRPr="00E204A0">
              <w:rPr>
                <w:b/>
                <w:bCs/>
                <w:color w:val="000000"/>
                <w:szCs w:val="24"/>
              </w:rPr>
              <w:t xml:space="preserve">Opsioni 0  (status quo)- </w:t>
            </w:r>
            <w:r w:rsidRPr="00E204A0">
              <w:rPr>
                <w:bCs/>
                <w:color w:val="000000"/>
                <w:szCs w:val="24"/>
              </w:rPr>
              <w:t>nënkupton</w:t>
            </w:r>
            <w:r w:rsidRPr="00E204A0">
              <w:rPr>
                <w:b/>
                <w:bCs/>
                <w:color w:val="000000"/>
                <w:szCs w:val="24"/>
              </w:rPr>
              <w:t xml:space="preserve"> </w:t>
            </w:r>
            <w:r w:rsidRPr="00E204A0">
              <w:rPr>
                <w:szCs w:val="24"/>
              </w:rPr>
              <w:t>vijimin me kuadrin ligjor aktual. Ky nuk është një opsion i përshtatshëm për t’u zbatuar sepse</w:t>
            </w:r>
            <w:r w:rsidRPr="00E204A0">
              <w:t xml:space="preserve"> </w:t>
            </w:r>
            <w:r w:rsidRPr="00E204A0">
              <w:rPr>
                <w:szCs w:val="24"/>
              </w:rPr>
              <w:t xml:space="preserve">mbajtja e kuadrit ligjor aktual do të çonte në mos përputhshmëri </w:t>
            </w:r>
            <w:r w:rsidR="00464B36">
              <w:rPr>
                <w:szCs w:val="24"/>
              </w:rPr>
              <w:t>totale me k</w:t>
            </w:r>
            <w:r w:rsidR="00E75562">
              <w:rPr>
                <w:szCs w:val="24"/>
              </w:rPr>
              <w:t>ë</w:t>
            </w:r>
            <w:r w:rsidR="00464B36">
              <w:rPr>
                <w:szCs w:val="24"/>
              </w:rPr>
              <w:t>rkesat p</w:t>
            </w:r>
            <w:r w:rsidR="00E75562">
              <w:rPr>
                <w:szCs w:val="24"/>
              </w:rPr>
              <w:t>ë</w:t>
            </w:r>
            <w:r w:rsidR="00464B36">
              <w:rPr>
                <w:szCs w:val="24"/>
              </w:rPr>
              <w:t>r shnd</w:t>
            </w:r>
            <w:r w:rsidR="00E75562">
              <w:rPr>
                <w:szCs w:val="24"/>
              </w:rPr>
              <w:t>ë</w:t>
            </w:r>
            <w:r w:rsidR="00464B36">
              <w:rPr>
                <w:szCs w:val="24"/>
              </w:rPr>
              <w:t>rrimet dhe ndarjet nd</w:t>
            </w:r>
            <w:r w:rsidR="00E75562">
              <w:rPr>
                <w:szCs w:val="24"/>
              </w:rPr>
              <w:t>ë</w:t>
            </w:r>
            <w:r w:rsidR="00464B36">
              <w:rPr>
                <w:szCs w:val="24"/>
              </w:rPr>
              <w:t>rkufitare dhe mosp</w:t>
            </w:r>
            <w:r w:rsidR="00E75562">
              <w:rPr>
                <w:szCs w:val="24"/>
              </w:rPr>
              <w:t>ë</w:t>
            </w:r>
            <w:r w:rsidR="00464B36">
              <w:rPr>
                <w:szCs w:val="24"/>
              </w:rPr>
              <w:t>rputhje t</w:t>
            </w:r>
            <w:r w:rsidR="00E75562">
              <w:rPr>
                <w:szCs w:val="24"/>
              </w:rPr>
              <w:t>ë</w:t>
            </w:r>
            <w:r w:rsidR="00464B36">
              <w:rPr>
                <w:szCs w:val="24"/>
              </w:rPr>
              <w:t xml:space="preserve"> pjesshme me bashkimet nd</w:t>
            </w:r>
            <w:r w:rsidR="00E75562">
              <w:rPr>
                <w:szCs w:val="24"/>
              </w:rPr>
              <w:t>ë</w:t>
            </w:r>
            <w:r w:rsidR="00464B36">
              <w:rPr>
                <w:szCs w:val="24"/>
              </w:rPr>
              <w:t>rkufitare</w:t>
            </w:r>
            <w:r w:rsidRPr="00E204A0">
              <w:rPr>
                <w:szCs w:val="24"/>
              </w:rPr>
              <w:t xml:space="preserve">. </w:t>
            </w:r>
          </w:p>
          <w:p w:rsidRPr="00E204A0" w:rsidR="00E204A0" w:rsidP="00E204A0" w:rsidRDefault="00E204A0" w14:paraId="380AC488" w14:textId="77777777">
            <w:pPr>
              <w:jc w:val="both"/>
              <w:rPr>
                <w:b/>
                <w:bCs/>
                <w:szCs w:val="24"/>
              </w:rPr>
            </w:pPr>
          </w:p>
          <w:p w:rsidRPr="00E204A0" w:rsidR="00E204A0" w:rsidP="00E204A0" w:rsidRDefault="00E204A0" w14:paraId="10227159" w14:textId="3B302A15">
            <w:pPr>
              <w:jc w:val="both"/>
              <w:rPr>
                <w:szCs w:val="24"/>
              </w:rPr>
            </w:pPr>
            <w:r w:rsidRPr="00E204A0">
              <w:rPr>
                <w:b/>
                <w:bCs/>
                <w:szCs w:val="24"/>
              </w:rPr>
              <w:t>Opsioni 1 (</w:t>
            </w:r>
            <w:r w:rsidR="007774DD">
              <w:rPr>
                <w:b/>
                <w:bCs/>
                <w:szCs w:val="24"/>
              </w:rPr>
              <w:t>Miratimi i nj</w:t>
            </w:r>
            <w:r w:rsidR="00E75562">
              <w:rPr>
                <w:b/>
                <w:bCs/>
                <w:szCs w:val="24"/>
              </w:rPr>
              <w:t>ë</w:t>
            </w:r>
            <w:r w:rsidR="007774DD">
              <w:rPr>
                <w:b/>
                <w:bCs/>
                <w:szCs w:val="24"/>
              </w:rPr>
              <w:t xml:space="preserve"> ligji t</w:t>
            </w:r>
            <w:r w:rsidR="00E75562">
              <w:rPr>
                <w:b/>
                <w:bCs/>
                <w:szCs w:val="24"/>
              </w:rPr>
              <w:t>ë</w:t>
            </w:r>
            <w:r w:rsidR="007774DD">
              <w:rPr>
                <w:b/>
                <w:bCs/>
                <w:szCs w:val="24"/>
              </w:rPr>
              <w:t xml:space="preserve"> ri p</w:t>
            </w:r>
            <w:r w:rsidR="00E75562">
              <w:rPr>
                <w:b/>
                <w:bCs/>
                <w:szCs w:val="24"/>
              </w:rPr>
              <w:t>ë</w:t>
            </w:r>
            <w:r w:rsidR="007774DD">
              <w:rPr>
                <w:b/>
                <w:bCs/>
                <w:szCs w:val="24"/>
              </w:rPr>
              <w:t>r shnd</w:t>
            </w:r>
            <w:r w:rsidR="00E75562">
              <w:rPr>
                <w:b/>
                <w:bCs/>
                <w:szCs w:val="24"/>
              </w:rPr>
              <w:t>ë</w:t>
            </w:r>
            <w:r w:rsidR="007774DD">
              <w:rPr>
                <w:b/>
                <w:bCs/>
                <w:szCs w:val="24"/>
              </w:rPr>
              <w:t>rrimet, bashkimet dhe ndarjet nd</w:t>
            </w:r>
            <w:r w:rsidR="00E75562">
              <w:rPr>
                <w:b/>
                <w:bCs/>
                <w:szCs w:val="24"/>
              </w:rPr>
              <w:t>ë</w:t>
            </w:r>
            <w:r w:rsidR="007774DD">
              <w:rPr>
                <w:b/>
                <w:bCs/>
                <w:szCs w:val="24"/>
              </w:rPr>
              <w:t>rkufitare</w:t>
            </w:r>
            <w:r w:rsidR="00CF2DF6">
              <w:rPr>
                <w:b/>
                <w:bCs/>
                <w:szCs w:val="24"/>
              </w:rPr>
              <w:t xml:space="preserve"> t</w:t>
            </w:r>
            <w:r w:rsidR="00E75562">
              <w:rPr>
                <w:b/>
                <w:bCs/>
                <w:szCs w:val="24"/>
              </w:rPr>
              <w:t>ë</w:t>
            </w:r>
            <w:r w:rsidR="00CF2DF6">
              <w:rPr>
                <w:b/>
                <w:bCs/>
                <w:szCs w:val="24"/>
              </w:rPr>
              <w:t xml:space="preserve"> shoq</w:t>
            </w:r>
            <w:r w:rsidR="00E75562">
              <w:rPr>
                <w:b/>
                <w:bCs/>
                <w:szCs w:val="24"/>
              </w:rPr>
              <w:t>ë</w:t>
            </w:r>
            <w:r w:rsidR="00CF2DF6">
              <w:rPr>
                <w:b/>
                <w:bCs/>
                <w:szCs w:val="24"/>
              </w:rPr>
              <w:t>rive tregtare</w:t>
            </w:r>
            <w:r w:rsidRPr="00E204A0">
              <w:rPr>
                <w:b/>
                <w:bCs/>
                <w:szCs w:val="24"/>
              </w:rPr>
              <w:t xml:space="preserve">) i preferuar </w:t>
            </w:r>
            <w:r w:rsidRPr="00E204A0">
              <w:rPr>
                <w:szCs w:val="24"/>
              </w:rPr>
              <w:t xml:space="preserve">-nënkupton </w:t>
            </w:r>
            <w:r w:rsidR="007774DD">
              <w:rPr>
                <w:szCs w:val="24"/>
              </w:rPr>
              <w:t>hartimin e nj</w:t>
            </w:r>
            <w:r w:rsidR="00E75562">
              <w:rPr>
                <w:szCs w:val="24"/>
              </w:rPr>
              <w:t>ë</w:t>
            </w:r>
            <w:r w:rsidR="007774DD">
              <w:rPr>
                <w:szCs w:val="24"/>
              </w:rPr>
              <w:t xml:space="preserve"> ligji t</w:t>
            </w:r>
            <w:r w:rsidR="00E75562">
              <w:rPr>
                <w:szCs w:val="24"/>
              </w:rPr>
              <w:t>ë</w:t>
            </w:r>
            <w:r w:rsidR="007774DD">
              <w:rPr>
                <w:szCs w:val="24"/>
              </w:rPr>
              <w:t xml:space="preserve"> ri p</w:t>
            </w:r>
            <w:r w:rsidR="00E75562">
              <w:rPr>
                <w:szCs w:val="24"/>
              </w:rPr>
              <w:t>ë</w:t>
            </w:r>
            <w:r w:rsidR="007774DD">
              <w:rPr>
                <w:szCs w:val="24"/>
              </w:rPr>
              <w:t>r shnd</w:t>
            </w:r>
            <w:r w:rsidR="00E75562">
              <w:rPr>
                <w:szCs w:val="24"/>
              </w:rPr>
              <w:t>ë</w:t>
            </w:r>
            <w:r w:rsidR="007774DD">
              <w:rPr>
                <w:szCs w:val="24"/>
              </w:rPr>
              <w:t>rrimet, bashkimet dhe ndarjet nd</w:t>
            </w:r>
            <w:r w:rsidR="00E75562">
              <w:rPr>
                <w:szCs w:val="24"/>
              </w:rPr>
              <w:t>ë</w:t>
            </w:r>
            <w:r w:rsidR="007774DD">
              <w:rPr>
                <w:szCs w:val="24"/>
              </w:rPr>
              <w:t>rkufitare q</w:t>
            </w:r>
            <w:r w:rsidR="00E75562">
              <w:rPr>
                <w:szCs w:val="24"/>
              </w:rPr>
              <w:t>ë</w:t>
            </w:r>
            <w:r w:rsidR="007774DD">
              <w:rPr>
                <w:szCs w:val="24"/>
              </w:rPr>
              <w:t xml:space="preserve"> do t</w:t>
            </w:r>
            <w:r w:rsidR="00E75562">
              <w:rPr>
                <w:szCs w:val="24"/>
              </w:rPr>
              <w:t>ë</w:t>
            </w:r>
            <w:r w:rsidR="007774DD">
              <w:rPr>
                <w:szCs w:val="24"/>
              </w:rPr>
              <w:t xml:space="preserve"> sillte dhe shfu</w:t>
            </w:r>
            <w:r w:rsidR="00CF2DF6">
              <w:rPr>
                <w:szCs w:val="24"/>
              </w:rPr>
              <w:t>qizimin e ligjit aktual</w:t>
            </w:r>
            <w:r w:rsidRPr="00E75562" w:rsidR="00CF2DF6">
              <w:t xml:space="preserve"> </w:t>
            </w:r>
            <w:r w:rsidRPr="00CF2DF6" w:rsidR="00CF2DF6">
              <w:rPr>
                <w:szCs w:val="24"/>
              </w:rPr>
              <w:t>nr. 110/2012 “Për bashkimet ndërkufitare të shoqërive</w:t>
            </w:r>
            <w:r w:rsidR="00CF2DF6">
              <w:rPr>
                <w:szCs w:val="24"/>
              </w:rPr>
              <w:t xml:space="preserve"> tregtare</w:t>
            </w:r>
            <w:r w:rsidRPr="00CF2DF6" w:rsidR="00CF2DF6">
              <w:rPr>
                <w:szCs w:val="24"/>
              </w:rPr>
              <w:t>”</w:t>
            </w:r>
            <w:r w:rsidR="00CF2DF6">
              <w:rPr>
                <w:szCs w:val="24"/>
              </w:rPr>
              <w:t>. Natyra e shtesave ligjore t</w:t>
            </w:r>
            <w:r w:rsidR="00E75562">
              <w:rPr>
                <w:szCs w:val="24"/>
              </w:rPr>
              <w:t>ë</w:t>
            </w:r>
            <w:r w:rsidR="00CF2DF6">
              <w:rPr>
                <w:szCs w:val="24"/>
              </w:rPr>
              <w:t xml:space="preserve"> </w:t>
            </w:r>
            <w:r w:rsidR="00864F11">
              <w:rPr>
                <w:szCs w:val="24"/>
              </w:rPr>
              <w:t>nd</w:t>
            </w:r>
            <w:r w:rsidR="00E75562">
              <w:rPr>
                <w:szCs w:val="24"/>
              </w:rPr>
              <w:t>ë</w:t>
            </w:r>
            <w:r w:rsidR="00864F11">
              <w:rPr>
                <w:szCs w:val="24"/>
              </w:rPr>
              <w:t>rmarra n</w:t>
            </w:r>
            <w:r w:rsidR="00E75562">
              <w:rPr>
                <w:szCs w:val="24"/>
              </w:rPr>
              <w:t>ë</w:t>
            </w:r>
            <w:r w:rsidR="00864F11">
              <w:rPr>
                <w:szCs w:val="24"/>
              </w:rPr>
              <w:t xml:space="preserve"> nivel BE-je dhe prezantuara me Direktiv</w:t>
            </w:r>
            <w:r w:rsidR="00E75562">
              <w:rPr>
                <w:szCs w:val="24"/>
              </w:rPr>
              <w:t>ë</w:t>
            </w:r>
            <w:r w:rsidR="00864F11">
              <w:rPr>
                <w:szCs w:val="24"/>
              </w:rPr>
              <w:t xml:space="preserve">n </w:t>
            </w:r>
            <w:r w:rsidRPr="00864F11" w:rsidR="00864F11">
              <w:rPr>
                <w:szCs w:val="24"/>
              </w:rPr>
              <w:t>2019/2121</w:t>
            </w:r>
            <w:r w:rsidR="00864F11">
              <w:rPr>
                <w:szCs w:val="24"/>
              </w:rPr>
              <w:t xml:space="preserve"> jan</w:t>
            </w:r>
            <w:r w:rsidR="00E75562">
              <w:rPr>
                <w:szCs w:val="24"/>
              </w:rPr>
              <w:t>ë</w:t>
            </w:r>
            <w:r w:rsidR="00864F11">
              <w:rPr>
                <w:szCs w:val="24"/>
              </w:rPr>
              <w:t xml:space="preserve"> t</w:t>
            </w:r>
            <w:r w:rsidR="00E75562">
              <w:rPr>
                <w:szCs w:val="24"/>
              </w:rPr>
              <w:t>ë</w:t>
            </w:r>
            <w:r w:rsidR="00864F11">
              <w:rPr>
                <w:szCs w:val="24"/>
              </w:rPr>
              <w:t xml:space="preserve"> nj</w:t>
            </w:r>
            <w:r w:rsidR="00E75562">
              <w:rPr>
                <w:szCs w:val="24"/>
              </w:rPr>
              <w:t>ë</w:t>
            </w:r>
            <w:r w:rsidR="00864F11">
              <w:rPr>
                <w:szCs w:val="24"/>
              </w:rPr>
              <w:t xml:space="preserve"> volumi aq t</w:t>
            </w:r>
            <w:r w:rsidR="00E75562">
              <w:rPr>
                <w:szCs w:val="24"/>
              </w:rPr>
              <w:t>ë</w:t>
            </w:r>
            <w:r w:rsidR="00864F11">
              <w:rPr>
                <w:szCs w:val="24"/>
              </w:rPr>
              <w:t xml:space="preserve"> madh sa </w:t>
            </w:r>
            <w:r w:rsidR="003A3AA7">
              <w:rPr>
                <w:szCs w:val="24"/>
              </w:rPr>
              <w:t>shtesat dhe ndryshimet e reja n</w:t>
            </w:r>
            <w:r w:rsidR="00E75562">
              <w:rPr>
                <w:szCs w:val="24"/>
              </w:rPr>
              <w:t>ë</w:t>
            </w:r>
            <w:r w:rsidR="003A3AA7">
              <w:rPr>
                <w:szCs w:val="24"/>
              </w:rPr>
              <w:t xml:space="preserve"> form</w:t>
            </w:r>
            <w:r w:rsidR="00E75562">
              <w:rPr>
                <w:szCs w:val="24"/>
              </w:rPr>
              <w:t>ë</w:t>
            </w:r>
            <w:r w:rsidR="003A3AA7">
              <w:rPr>
                <w:szCs w:val="24"/>
              </w:rPr>
              <w:t xml:space="preserve"> dhe p</w:t>
            </w:r>
            <w:r w:rsidR="00E75562">
              <w:rPr>
                <w:szCs w:val="24"/>
              </w:rPr>
              <w:t>ë</w:t>
            </w:r>
            <w:r w:rsidR="003A3AA7">
              <w:rPr>
                <w:szCs w:val="24"/>
              </w:rPr>
              <w:t>rmbajtje tejkalojn</w:t>
            </w:r>
            <w:r w:rsidR="00E75562">
              <w:rPr>
                <w:szCs w:val="24"/>
              </w:rPr>
              <w:t>ë</w:t>
            </w:r>
            <w:r w:rsidR="003A3AA7">
              <w:rPr>
                <w:szCs w:val="24"/>
              </w:rPr>
              <w:t xml:space="preserve"> n</w:t>
            </w:r>
            <w:r w:rsidR="00E75562">
              <w:rPr>
                <w:szCs w:val="24"/>
              </w:rPr>
              <w:t>ë</w:t>
            </w:r>
            <w:r w:rsidR="003A3AA7">
              <w:rPr>
                <w:szCs w:val="24"/>
              </w:rPr>
              <w:t xml:space="preserve"> m</w:t>
            </w:r>
            <w:r w:rsidR="00E75562">
              <w:rPr>
                <w:szCs w:val="24"/>
              </w:rPr>
              <w:t>ë</w:t>
            </w:r>
            <w:r w:rsidR="003A3AA7">
              <w:rPr>
                <w:szCs w:val="24"/>
              </w:rPr>
              <w:t>nyr</w:t>
            </w:r>
            <w:r w:rsidR="00E75562">
              <w:rPr>
                <w:szCs w:val="24"/>
              </w:rPr>
              <w:t>ë</w:t>
            </w:r>
            <w:r w:rsidR="003A3AA7">
              <w:rPr>
                <w:szCs w:val="24"/>
              </w:rPr>
              <w:t xml:space="preserve"> t</w:t>
            </w:r>
            <w:r w:rsidR="00E75562">
              <w:rPr>
                <w:szCs w:val="24"/>
              </w:rPr>
              <w:t>ë</w:t>
            </w:r>
            <w:r w:rsidR="003A3AA7">
              <w:rPr>
                <w:szCs w:val="24"/>
              </w:rPr>
              <w:t xml:space="preserve"> r</w:t>
            </w:r>
            <w:r w:rsidR="00E75562">
              <w:rPr>
                <w:szCs w:val="24"/>
              </w:rPr>
              <w:t>ë</w:t>
            </w:r>
            <w:r w:rsidR="003A3AA7">
              <w:rPr>
                <w:szCs w:val="24"/>
              </w:rPr>
              <w:t>nd</w:t>
            </w:r>
            <w:r w:rsidR="00E75562">
              <w:rPr>
                <w:szCs w:val="24"/>
              </w:rPr>
              <w:t>ë</w:t>
            </w:r>
            <w:r w:rsidR="003A3AA7">
              <w:rPr>
                <w:szCs w:val="24"/>
              </w:rPr>
              <w:t>sishme struktur</w:t>
            </w:r>
            <w:r w:rsidR="00E75562">
              <w:rPr>
                <w:szCs w:val="24"/>
              </w:rPr>
              <w:t>ë</w:t>
            </w:r>
            <w:r w:rsidR="003A3AA7">
              <w:rPr>
                <w:szCs w:val="24"/>
              </w:rPr>
              <w:t>n e ligjit aktual duke e b</w:t>
            </w:r>
            <w:r w:rsidR="00E75562">
              <w:rPr>
                <w:szCs w:val="24"/>
              </w:rPr>
              <w:t>ë</w:t>
            </w:r>
            <w:r w:rsidR="003A3AA7">
              <w:rPr>
                <w:szCs w:val="24"/>
              </w:rPr>
              <w:t>re amendimin nj</w:t>
            </w:r>
            <w:r w:rsidR="00E75562">
              <w:rPr>
                <w:szCs w:val="24"/>
              </w:rPr>
              <w:t>ë</w:t>
            </w:r>
            <w:r w:rsidR="003A3AA7">
              <w:rPr>
                <w:szCs w:val="24"/>
              </w:rPr>
              <w:t xml:space="preserve"> qasje jo t</w:t>
            </w:r>
            <w:r w:rsidR="00E75562">
              <w:rPr>
                <w:szCs w:val="24"/>
              </w:rPr>
              <w:t>ë</w:t>
            </w:r>
            <w:r w:rsidR="003A3AA7">
              <w:rPr>
                <w:szCs w:val="24"/>
              </w:rPr>
              <w:t xml:space="preserve"> p</w:t>
            </w:r>
            <w:r w:rsidR="00E75562">
              <w:rPr>
                <w:szCs w:val="24"/>
              </w:rPr>
              <w:t>ë</w:t>
            </w:r>
            <w:r w:rsidR="003A3AA7">
              <w:rPr>
                <w:szCs w:val="24"/>
              </w:rPr>
              <w:t xml:space="preserve">rshtatshme. </w:t>
            </w:r>
            <w:r w:rsidR="008221F2">
              <w:rPr>
                <w:szCs w:val="24"/>
              </w:rPr>
              <w:t>P</w:t>
            </w:r>
            <w:r w:rsidR="00E75562">
              <w:rPr>
                <w:szCs w:val="24"/>
              </w:rPr>
              <w:t>ë</w:t>
            </w:r>
            <w:r w:rsidR="008221F2">
              <w:rPr>
                <w:szCs w:val="24"/>
              </w:rPr>
              <w:t>r hir qart</w:t>
            </w:r>
            <w:r w:rsidR="00E75562">
              <w:rPr>
                <w:szCs w:val="24"/>
              </w:rPr>
              <w:t>ë</w:t>
            </w:r>
            <w:r w:rsidR="008221F2">
              <w:rPr>
                <w:szCs w:val="24"/>
              </w:rPr>
              <w:t>sie ligjore dhe kuptimi t</w:t>
            </w:r>
            <w:r w:rsidR="00E75562">
              <w:rPr>
                <w:szCs w:val="24"/>
              </w:rPr>
              <w:t>ë</w:t>
            </w:r>
            <w:r w:rsidR="008221F2">
              <w:rPr>
                <w:szCs w:val="24"/>
              </w:rPr>
              <w:t xml:space="preserve"> ndryshimeve p</w:t>
            </w:r>
            <w:r w:rsidR="00E75562">
              <w:rPr>
                <w:szCs w:val="24"/>
              </w:rPr>
              <w:t>ë</w:t>
            </w:r>
            <w:r w:rsidR="008221F2">
              <w:rPr>
                <w:szCs w:val="24"/>
              </w:rPr>
              <w:t>r q</w:t>
            </w:r>
            <w:r w:rsidR="00E75562">
              <w:rPr>
                <w:szCs w:val="24"/>
              </w:rPr>
              <w:t>ë</w:t>
            </w:r>
            <w:r w:rsidR="008221F2">
              <w:rPr>
                <w:szCs w:val="24"/>
              </w:rPr>
              <w:t xml:space="preserve">llim harmonizimi </w:t>
            </w:r>
            <w:r w:rsidR="00E75562">
              <w:rPr>
                <w:szCs w:val="24"/>
              </w:rPr>
              <w:t>ë</w:t>
            </w:r>
            <w:r w:rsidR="008221F2">
              <w:rPr>
                <w:szCs w:val="24"/>
              </w:rPr>
              <w:t>sht</w:t>
            </w:r>
            <w:r w:rsidR="00E75562">
              <w:rPr>
                <w:szCs w:val="24"/>
              </w:rPr>
              <w:t>ë</w:t>
            </w:r>
            <w:r w:rsidR="008221F2">
              <w:rPr>
                <w:szCs w:val="24"/>
              </w:rPr>
              <w:t xml:space="preserve"> e nevojshme t</w:t>
            </w:r>
            <w:r w:rsidR="00E75562">
              <w:rPr>
                <w:szCs w:val="24"/>
              </w:rPr>
              <w:t>ë</w:t>
            </w:r>
            <w:r w:rsidR="008221F2">
              <w:rPr>
                <w:szCs w:val="24"/>
              </w:rPr>
              <w:t xml:space="preserve"> hartohet nj</w:t>
            </w:r>
            <w:r w:rsidR="00E75562">
              <w:rPr>
                <w:szCs w:val="24"/>
              </w:rPr>
              <w:t>ë</w:t>
            </w:r>
            <w:r w:rsidR="008221F2">
              <w:rPr>
                <w:szCs w:val="24"/>
              </w:rPr>
              <w:t xml:space="preserve"> ligj t</w:t>
            </w:r>
            <w:r w:rsidR="00E75562">
              <w:rPr>
                <w:szCs w:val="24"/>
              </w:rPr>
              <w:t>ë</w:t>
            </w:r>
            <w:r w:rsidR="008221F2">
              <w:rPr>
                <w:szCs w:val="24"/>
              </w:rPr>
              <w:t>r</w:t>
            </w:r>
            <w:r w:rsidR="00E75562">
              <w:rPr>
                <w:szCs w:val="24"/>
              </w:rPr>
              <w:t>ë</w:t>
            </w:r>
            <w:r w:rsidR="008221F2">
              <w:rPr>
                <w:szCs w:val="24"/>
              </w:rPr>
              <w:t xml:space="preserve">sisht i ri sepse </w:t>
            </w:r>
            <w:r w:rsidR="00E75562">
              <w:rPr>
                <w:szCs w:val="24"/>
              </w:rPr>
              <w:t>shndërrimet</w:t>
            </w:r>
            <w:r w:rsidR="008221F2">
              <w:rPr>
                <w:szCs w:val="24"/>
              </w:rPr>
              <w:t xml:space="preserve"> dhe ndarjet mungojn</w:t>
            </w:r>
            <w:r w:rsidR="00E75562">
              <w:rPr>
                <w:szCs w:val="24"/>
              </w:rPr>
              <w:t>ë</w:t>
            </w:r>
            <w:r w:rsidR="008221F2">
              <w:rPr>
                <w:szCs w:val="24"/>
              </w:rPr>
              <w:t xml:space="preserve"> t</w:t>
            </w:r>
            <w:r w:rsidR="00E75562">
              <w:rPr>
                <w:szCs w:val="24"/>
              </w:rPr>
              <w:t>ë</w:t>
            </w:r>
            <w:r w:rsidR="008221F2">
              <w:rPr>
                <w:szCs w:val="24"/>
              </w:rPr>
              <w:t>r</w:t>
            </w:r>
            <w:r w:rsidR="00E75562">
              <w:rPr>
                <w:szCs w:val="24"/>
              </w:rPr>
              <w:t>ë</w:t>
            </w:r>
            <w:r w:rsidR="008221F2">
              <w:rPr>
                <w:szCs w:val="24"/>
              </w:rPr>
              <w:t>sisht n</w:t>
            </w:r>
            <w:r w:rsidR="00E75562">
              <w:rPr>
                <w:szCs w:val="24"/>
              </w:rPr>
              <w:t>ë</w:t>
            </w:r>
            <w:r w:rsidR="008221F2">
              <w:rPr>
                <w:szCs w:val="24"/>
              </w:rPr>
              <w:t xml:space="preserve"> ligjin aktual nd</w:t>
            </w:r>
            <w:r w:rsidR="00E75562">
              <w:rPr>
                <w:szCs w:val="24"/>
              </w:rPr>
              <w:t>ë</w:t>
            </w:r>
            <w:r w:rsidR="008221F2">
              <w:rPr>
                <w:szCs w:val="24"/>
              </w:rPr>
              <w:t>rsa bashkimet nd</w:t>
            </w:r>
            <w:r w:rsidR="00E75562">
              <w:rPr>
                <w:szCs w:val="24"/>
              </w:rPr>
              <w:t>ë</w:t>
            </w:r>
            <w:r w:rsidR="008221F2">
              <w:rPr>
                <w:szCs w:val="24"/>
              </w:rPr>
              <w:t xml:space="preserve">rkufitare afektohen </w:t>
            </w:r>
            <w:r w:rsidR="00E75562">
              <w:rPr>
                <w:szCs w:val="24"/>
              </w:rPr>
              <w:t>thellësisht</w:t>
            </w:r>
            <w:r w:rsidR="008221F2">
              <w:rPr>
                <w:szCs w:val="24"/>
              </w:rPr>
              <w:t xml:space="preserve"> nga </w:t>
            </w:r>
            <w:r w:rsidR="00361D64">
              <w:rPr>
                <w:szCs w:val="24"/>
              </w:rPr>
              <w:t>ndryshimet e vitit 2021 n</w:t>
            </w:r>
            <w:r w:rsidR="00E75562">
              <w:rPr>
                <w:szCs w:val="24"/>
              </w:rPr>
              <w:t>ë</w:t>
            </w:r>
            <w:r w:rsidR="00361D64">
              <w:rPr>
                <w:szCs w:val="24"/>
              </w:rPr>
              <w:t xml:space="preserve"> Direktiv</w:t>
            </w:r>
            <w:r w:rsidR="00E75562">
              <w:rPr>
                <w:szCs w:val="24"/>
              </w:rPr>
              <w:t>ë</w:t>
            </w:r>
            <w:r w:rsidR="00361D64">
              <w:rPr>
                <w:szCs w:val="24"/>
              </w:rPr>
              <w:t>.</w:t>
            </w:r>
          </w:p>
          <w:p w:rsidRPr="00E204A0" w:rsidR="00E204A0" w:rsidP="00E204A0" w:rsidRDefault="00E204A0" w14:paraId="146311F1" w14:textId="77777777">
            <w:pPr>
              <w:jc w:val="both"/>
              <w:rPr>
                <w:b/>
                <w:bCs/>
                <w:szCs w:val="24"/>
              </w:rPr>
            </w:pPr>
          </w:p>
          <w:p w:rsidR="00B5039C" w:rsidP="00E204A0" w:rsidRDefault="00E204A0" w14:paraId="7239BFA0" w14:textId="4283C1B7">
            <w:pPr>
              <w:pStyle w:val="CommentText"/>
              <w:jc w:val="both"/>
              <w:rPr>
                <w:sz w:val="24"/>
                <w:szCs w:val="24"/>
              </w:rPr>
            </w:pPr>
            <w:r w:rsidRPr="00E204A0">
              <w:rPr>
                <w:b/>
                <w:bCs/>
                <w:sz w:val="24"/>
                <w:szCs w:val="24"/>
              </w:rPr>
              <w:t>Opsioni 2 (</w:t>
            </w:r>
            <w:r w:rsidR="00361D64">
              <w:rPr>
                <w:b/>
                <w:bCs/>
                <w:sz w:val="24"/>
                <w:szCs w:val="24"/>
              </w:rPr>
              <w:t>ndryshimi i ligjit ekzistues</w:t>
            </w:r>
            <w:r w:rsidRPr="00E204A0">
              <w:rPr>
                <w:b/>
                <w:bCs/>
                <w:sz w:val="24"/>
                <w:szCs w:val="24"/>
              </w:rPr>
              <w:t xml:space="preserve">): </w:t>
            </w:r>
            <w:r w:rsidR="00F52C71">
              <w:rPr>
                <w:sz w:val="24"/>
                <w:szCs w:val="24"/>
              </w:rPr>
              <w:t xml:space="preserve">Ky opsion nuk </w:t>
            </w:r>
            <w:r w:rsidR="00E75562">
              <w:rPr>
                <w:sz w:val="24"/>
                <w:szCs w:val="24"/>
              </w:rPr>
              <w:t>ë</w:t>
            </w:r>
            <w:r w:rsidR="00F52C71">
              <w:rPr>
                <w:sz w:val="24"/>
                <w:szCs w:val="24"/>
              </w:rPr>
              <w:t>sht</w:t>
            </w:r>
            <w:r w:rsidR="00E75562">
              <w:rPr>
                <w:sz w:val="24"/>
                <w:szCs w:val="24"/>
              </w:rPr>
              <w:t>ë</w:t>
            </w:r>
            <w:r w:rsidR="00F52C71">
              <w:rPr>
                <w:sz w:val="24"/>
                <w:szCs w:val="24"/>
              </w:rPr>
              <w:t xml:space="preserve"> i preferuar sepse n</w:t>
            </w:r>
            <w:r w:rsidR="00E75562">
              <w:rPr>
                <w:sz w:val="24"/>
                <w:szCs w:val="24"/>
              </w:rPr>
              <w:t>ë</w:t>
            </w:r>
            <w:r w:rsidR="00F52C71">
              <w:rPr>
                <w:sz w:val="24"/>
                <w:szCs w:val="24"/>
              </w:rPr>
              <w:t xml:space="preserve"> kuptim t</w:t>
            </w:r>
            <w:r w:rsidR="00E75562">
              <w:rPr>
                <w:sz w:val="24"/>
                <w:szCs w:val="24"/>
              </w:rPr>
              <w:t>ë</w:t>
            </w:r>
            <w:r w:rsidR="00F52C71">
              <w:rPr>
                <w:sz w:val="24"/>
                <w:szCs w:val="24"/>
              </w:rPr>
              <w:t xml:space="preserve"> teknik</w:t>
            </w:r>
            <w:r w:rsidR="00E75562">
              <w:rPr>
                <w:sz w:val="24"/>
                <w:szCs w:val="24"/>
              </w:rPr>
              <w:t>ë</w:t>
            </w:r>
            <w:r w:rsidR="00F52C71">
              <w:rPr>
                <w:sz w:val="24"/>
                <w:szCs w:val="24"/>
              </w:rPr>
              <w:t xml:space="preserve">s legjislative </w:t>
            </w:r>
            <w:r w:rsidR="009739EB">
              <w:rPr>
                <w:sz w:val="24"/>
                <w:szCs w:val="24"/>
              </w:rPr>
              <w:t>p</w:t>
            </w:r>
            <w:r w:rsidR="00E75562">
              <w:rPr>
                <w:sz w:val="24"/>
                <w:szCs w:val="24"/>
              </w:rPr>
              <w:t>ë</w:t>
            </w:r>
            <w:r w:rsidR="009739EB">
              <w:rPr>
                <w:sz w:val="24"/>
                <w:szCs w:val="24"/>
              </w:rPr>
              <w:t>r hartimin e tij, shum</w:t>
            </w:r>
            <w:r w:rsidR="00E75562">
              <w:rPr>
                <w:sz w:val="24"/>
                <w:szCs w:val="24"/>
              </w:rPr>
              <w:t>ë</w:t>
            </w:r>
            <w:r w:rsidR="009739EB">
              <w:rPr>
                <w:sz w:val="24"/>
                <w:szCs w:val="24"/>
              </w:rPr>
              <w:t xml:space="preserve"> thjesht ndryshimet jan</w:t>
            </w:r>
            <w:r w:rsidR="00E75562">
              <w:rPr>
                <w:sz w:val="24"/>
                <w:szCs w:val="24"/>
              </w:rPr>
              <w:t>ë</w:t>
            </w:r>
            <w:r w:rsidR="009739EB">
              <w:rPr>
                <w:sz w:val="24"/>
                <w:szCs w:val="24"/>
              </w:rPr>
              <w:t xml:space="preserve"> t</w:t>
            </w:r>
            <w:r w:rsidR="00E75562">
              <w:rPr>
                <w:sz w:val="24"/>
                <w:szCs w:val="24"/>
              </w:rPr>
              <w:t>ë</w:t>
            </w:r>
            <w:r w:rsidR="009739EB">
              <w:rPr>
                <w:sz w:val="24"/>
                <w:szCs w:val="24"/>
              </w:rPr>
              <w:t xml:space="preserve"> nj</w:t>
            </w:r>
            <w:r w:rsidR="00E75562">
              <w:rPr>
                <w:sz w:val="24"/>
                <w:szCs w:val="24"/>
              </w:rPr>
              <w:t>ë</w:t>
            </w:r>
            <w:r w:rsidR="009739EB">
              <w:rPr>
                <w:sz w:val="24"/>
                <w:szCs w:val="24"/>
              </w:rPr>
              <w:t xml:space="preserve"> natyre aq thelb</w:t>
            </w:r>
            <w:r w:rsidR="00E75562">
              <w:rPr>
                <w:sz w:val="24"/>
                <w:szCs w:val="24"/>
              </w:rPr>
              <w:t>ë</w:t>
            </w:r>
            <w:r w:rsidR="009739EB">
              <w:rPr>
                <w:sz w:val="24"/>
                <w:szCs w:val="24"/>
              </w:rPr>
              <w:t>sore dhe aq t</w:t>
            </w:r>
            <w:r w:rsidR="00E75562">
              <w:rPr>
                <w:sz w:val="24"/>
                <w:szCs w:val="24"/>
              </w:rPr>
              <w:t>ë</w:t>
            </w:r>
            <w:r w:rsidR="009739EB">
              <w:rPr>
                <w:sz w:val="24"/>
                <w:szCs w:val="24"/>
              </w:rPr>
              <w:t xml:space="preserve"> m</w:t>
            </w:r>
            <w:r w:rsidR="00E75562">
              <w:rPr>
                <w:sz w:val="24"/>
                <w:szCs w:val="24"/>
              </w:rPr>
              <w:t>ë</w:t>
            </w:r>
            <w:r w:rsidR="009739EB">
              <w:rPr>
                <w:sz w:val="24"/>
                <w:szCs w:val="24"/>
              </w:rPr>
              <w:t>dha sa k</w:t>
            </w:r>
            <w:r w:rsidR="00E75562">
              <w:rPr>
                <w:sz w:val="24"/>
                <w:szCs w:val="24"/>
              </w:rPr>
              <w:t>ë</w:t>
            </w:r>
            <w:r w:rsidR="009739EB">
              <w:rPr>
                <w:sz w:val="24"/>
                <w:szCs w:val="24"/>
              </w:rPr>
              <w:t>rkojn</w:t>
            </w:r>
            <w:r w:rsidR="00E75562">
              <w:rPr>
                <w:sz w:val="24"/>
                <w:szCs w:val="24"/>
              </w:rPr>
              <w:t>ë</w:t>
            </w:r>
            <w:r w:rsidR="009739EB">
              <w:rPr>
                <w:sz w:val="24"/>
                <w:szCs w:val="24"/>
              </w:rPr>
              <w:t xml:space="preserve"> ndryshime </w:t>
            </w:r>
            <w:r w:rsidR="00DC16E0">
              <w:rPr>
                <w:sz w:val="24"/>
                <w:szCs w:val="24"/>
              </w:rPr>
              <w:t xml:space="preserve">aq </w:t>
            </w:r>
            <w:r w:rsidR="009739EB">
              <w:rPr>
                <w:sz w:val="24"/>
                <w:szCs w:val="24"/>
              </w:rPr>
              <w:t>t</w:t>
            </w:r>
            <w:r w:rsidR="00E75562">
              <w:rPr>
                <w:sz w:val="24"/>
                <w:szCs w:val="24"/>
              </w:rPr>
              <w:t>ë</w:t>
            </w:r>
            <w:r w:rsidR="009739EB">
              <w:rPr>
                <w:sz w:val="24"/>
                <w:szCs w:val="24"/>
              </w:rPr>
              <w:t xml:space="preserve"> thella strukturore t</w:t>
            </w:r>
            <w:r w:rsidR="00E75562">
              <w:rPr>
                <w:sz w:val="24"/>
                <w:szCs w:val="24"/>
              </w:rPr>
              <w:t>ë</w:t>
            </w:r>
            <w:r w:rsidR="009739EB">
              <w:rPr>
                <w:sz w:val="24"/>
                <w:szCs w:val="24"/>
              </w:rPr>
              <w:t xml:space="preserve"> ligjit</w:t>
            </w:r>
            <w:r w:rsidR="00DC16E0">
              <w:rPr>
                <w:sz w:val="24"/>
                <w:szCs w:val="24"/>
              </w:rPr>
              <w:t xml:space="preserve"> </w:t>
            </w:r>
            <w:r w:rsidR="00E75562">
              <w:rPr>
                <w:sz w:val="24"/>
                <w:szCs w:val="24"/>
              </w:rPr>
              <w:t>saqë</w:t>
            </w:r>
            <w:r w:rsidR="00DC16E0">
              <w:rPr>
                <w:sz w:val="24"/>
                <w:szCs w:val="24"/>
              </w:rPr>
              <w:t xml:space="preserve"> vijimi me amendim do ta b</w:t>
            </w:r>
            <w:r w:rsidR="00E75562">
              <w:rPr>
                <w:sz w:val="24"/>
                <w:szCs w:val="24"/>
              </w:rPr>
              <w:t>ë</w:t>
            </w:r>
            <w:r w:rsidR="00DC16E0">
              <w:rPr>
                <w:sz w:val="24"/>
                <w:szCs w:val="24"/>
              </w:rPr>
              <w:t xml:space="preserve">nte </w:t>
            </w:r>
            <w:r w:rsidR="00ED1ED7">
              <w:rPr>
                <w:sz w:val="24"/>
                <w:szCs w:val="24"/>
              </w:rPr>
              <w:t>ndryshimin shum</w:t>
            </w:r>
            <w:r w:rsidR="00E75562">
              <w:rPr>
                <w:sz w:val="24"/>
                <w:szCs w:val="24"/>
              </w:rPr>
              <w:t>ë</w:t>
            </w:r>
            <w:r w:rsidR="00ED1ED7">
              <w:rPr>
                <w:sz w:val="24"/>
                <w:szCs w:val="24"/>
              </w:rPr>
              <w:t xml:space="preserve"> t</w:t>
            </w:r>
            <w:r w:rsidR="00E75562">
              <w:rPr>
                <w:sz w:val="24"/>
                <w:szCs w:val="24"/>
              </w:rPr>
              <w:t>ë</w:t>
            </w:r>
            <w:r w:rsidR="00ED1ED7">
              <w:rPr>
                <w:sz w:val="24"/>
                <w:szCs w:val="24"/>
              </w:rPr>
              <w:t xml:space="preserve"> v</w:t>
            </w:r>
            <w:r w:rsidR="00E75562">
              <w:rPr>
                <w:sz w:val="24"/>
                <w:szCs w:val="24"/>
              </w:rPr>
              <w:t>ë</w:t>
            </w:r>
            <w:r w:rsidR="00ED1ED7">
              <w:rPr>
                <w:sz w:val="24"/>
                <w:szCs w:val="24"/>
              </w:rPr>
              <w:t>shtir</w:t>
            </w:r>
            <w:r w:rsidR="00E75562">
              <w:rPr>
                <w:sz w:val="24"/>
                <w:szCs w:val="24"/>
              </w:rPr>
              <w:t>ë</w:t>
            </w:r>
            <w:r w:rsidR="00ED1ED7">
              <w:rPr>
                <w:sz w:val="24"/>
                <w:szCs w:val="24"/>
              </w:rPr>
              <w:t xml:space="preserve"> p</w:t>
            </w:r>
            <w:r w:rsidR="00E75562">
              <w:rPr>
                <w:sz w:val="24"/>
                <w:szCs w:val="24"/>
              </w:rPr>
              <w:t>ë</w:t>
            </w:r>
            <w:r w:rsidR="00ED1ED7">
              <w:rPr>
                <w:sz w:val="24"/>
                <w:szCs w:val="24"/>
              </w:rPr>
              <w:t>r tu kuptuar dhe lexuar. N</w:t>
            </w:r>
            <w:r w:rsidR="00E75562">
              <w:rPr>
                <w:sz w:val="24"/>
                <w:szCs w:val="24"/>
              </w:rPr>
              <w:t>ë</w:t>
            </w:r>
            <w:r w:rsidR="00ED1ED7">
              <w:rPr>
                <w:sz w:val="24"/>
                <w:szCs w:val="24"/>
              </w:rPr>
              <w:t>se ndiqet kjo linj</w:t>
            </w:r>
            <w:r w:rsidR="00E75562">
              <w:rPr>
                <w:sz w:val="24"/>
                <w:szCs w:val="24"/>
              </w:rPr>
              <w:t>ë</w:t>
            </w:r>
            <w:r w:rsidR="00ED1ED7">
              <w:rPr>
                <w:sz w:val="24"/>
                <w:szCs w:val="24"/>
              </w:rPr>
              <w:t xml:space="preserve">, </w:t>
            </w:r>
            <w:r w:rsidR="00E75562">
              <w:rPr>
                <w:sz w:val="24"/>
                <w:szCs w:val="24"/>
              </w:rPr>
              <w:t>gjithsesi</w:t>
            </w:r>
            <w:r w:rsidR="00ED1ED7">
              <w:rPr>
                <w:sz w:val="24"/>
                <w:szCs w:val="24"/>
              </w:rPr>
              <w:t xml:space="preserve"> do duhej menj</w:t>
            </w:r>
            <w:r w:rsidR="00E75562">
              <w:rPr>
                <w:sz w:val="24"/>
                <w:szCs w:val="24"/>
              </w:rPr>
              <w:t>ë</w:t>
            </w:r>
            <w:r w:rsidR="00ED1ED7">
              <w:rPr>
                <w:sz w:val="24"/>
                <w:szCs w:val="24"/>
              </w:rPr>
              <w:t>her</w:t>
            </w:r>
            <w:r w:rsidR="00E75562">
              <w:rPr>
                <w:sz w:val="24"/>
                <w:szCs w:val="24"/>
              </w:rPr>
              <w:t>ë</w:t>
            </w:r>
            <w:r w:rsidR="00ED1ED7">
              <w:rPr>
                <w:sz w:val="24"/>
                <w:szCs w:val="24"/>
              </w:rPr>
              <w:t xml:space="preserve"> prezantimi i versionit t</w:t>
            </w:r>
            <w:r w:rsidR="00E75562">
              <w:rPr>
                <w:sz w:val="24"/>
                <w:szCs w:val="24"/>
              </w:rPr>
              <w:t>ë</w:t>
            </w:r>
            <w:r w:rsidR="00ED1ED7">
              <w:rPr>
                <w:sz w:val="24"/>
                <w:szCs w:val="24"/>
              </w:rPr>
              <w:t xml:space="preserve"> konsoliduar t</w:t>
            </w:r>
            <w:r w:rsidR="00E75562">
              <w:rPr>
                <w:sz w:val="24"/>
                <w:szCs w:val="24"/>
              </w:rPr>
              <w:t>ë</w:t>
            </w:r>
            <w:r w:rsidR="00ED1ED7">
              <w:rPr>
                <w:sz w:val="24"/>
                <w:szCs w:val="24"/>
              </w:rPr>
              <w:t xml:space="preserve"> </w:t>
            </w:r>
            <w:r w:rsidR="00E744F3">
              <w:rPr>
                <w:sz w:val="24"/>
                <w:szCs w:val="24"/>
              </w:rPr>
              <w:t>ligjit q</w:t>
            </w:r>
            <w:r w:rsidR="00E75562">
              <w:rPr>
                <w:sz w:val="24"/>
                <w:szCs w:val="24"/>
              </w:rPr>
              <w:t>ë</w:t>
            </w:r>
            <w:r w:rsidR="00E744F3">
              <w:rPr>
                <w:sz w:val="24"/>
                <w:szCs w:val="24"/>
              </w:rPr>
              <w:t xml:space="preserve"> t</w:t>
            </w:r>
            <w:r w:rsidR="00E75562">
              <w:rPr>
                <w:sz w:val="24"/>
                <w:szCs w:val="24"/>
              </w:rPr>
              <w:t>ë</w:t>
            </w:r>
            <w:r w:rsidR="00E744F3">
              <w:rPr>
                <w:sz w:val="24"/>
                <w:szCs w:val="24"/>
              </w:rPr>
              <w:t xml:space="preserve"> ndiqej e qart</w:t>
            </w:r>
            <w:r w:rsidR="00E75562">
              <w:rPr>
                <w:sz w:val="24"/>
                <w:szCs w:val="24"/>
              </w:rPr>
              <w:t>ë</w:t>
            </w:r>
            <w:r w:rsidR="00E744F3">
              <w:rPr>
                <w:sz w:val="24"/>
                <w:szCs w:val="24"/>
              </w:rPr>
              <w:t xml:space="preserve"> vija logjike dhe strukturore e ndryshimeve</w:t>
            </w:r>
          </w:p>
          <w:p w:rsidRPr="00FA1A8E" w:rsidR="00FA1A8E" w:rsidP="00E204A0" w:rsidRDefault="00FA1A8E" w14:paraId="431B9E02" w14:textId="77777777">
            <w:pPr>
              <w:pStyle w:val="CommentText"/>
              <w:jc w:val="both"/>
              <w:rPr>
                <w:b/>
                <w:bCs/>
                <w:sz w:val="24"/>
                <w:szCs w:val="24"/>
              </w:rPr>
            </w:pPr>
          </w:p>
          <w:p w:rsidRPr="00A168E4" w:rsidR="00FA1A8E" w:rsidP="00FA1A8E" w:rsidRDefault="00FA1A8E" w14:paraId="5639BD08" w14:textId="10D9A851">
            <w:pPr>
              <w:pStyle w:val="CommentText"/>
              <w:jc w:val="both"/>
              <w:rPr>
                <w:sz w:val="24"/>
                <w:szCs w:val="24"/>
              </w:rPr>
            </w:pPr>
            <w:r w:rsidRPr="00A168E4">
              <w:rPr>
                <w:b/>
                <w:bCs/>
                <w:sz w:val="24"/>
                <w:szCs w:val="24"/>
              </w:rPr>
              <w:t>Opsioni 3 (Jo rregullator):</w:t>
            </w:r>
            <w:r w:rsidRPr="00A168E4">
              <w:rPr>
                <w:sz w:val="24"/>
                <w:szCs w:val="24"/>
              </w:rPr>
              <w:t xml:space="preserve"> Një opsion jo rregullator do të nënkuptonte lejimin e bizneseve dhe aktorëve të tjerë të funksiononin pa një kuadër të detajuar rregullator ose me ndërhyrje minimale nga shteti, duke lejuar vetë-rregullimin dhe pajtimin vullnetar me standardet e BE-së. Ky opsion do të </w:t>
            </w:r>
            <w:r w:rsidR="00FD0D24">
              <w:rPr>
                <w:sz w:val="24"/>
                <w:szCs w:val="24"/>
              </w:rPr>
              <w:t>b</w:t>
            </w:r>
            <w:r w:rsidR="00E75562">
              <w:rPr>
                <w:sz w:val="24"/>
                <w:szCs w:val="24"/>
              </w:rPr>
              <w:t>ë</w:t>
            </w:r>
            <w:r w:rsidR="00FD0D24">
              <w:rPr>
                <w:sz w:val="24"/>
                <w:szCs w:val="24"/>
              </w:rPr>
              <w:t>nte q</w:t>
            </w:r>
            <w:r w:rsidR="00E75562">
              <w:rPr>
                <w:sz w:val="24"/>
                <w:szCs w:val="24"/>
              </w:rPr>
              <w:t>ë</w:t>
            </w:r>
            <w:r w:rsidR="00FD0D24">
              <w:rPr>
                <w:sz w:val="24"/>
                <w:szCs w:val="24"/>
              </w:rPr>
              <w:t xml:space="preserve"> </w:t>
            </w:r>
            <w:r w:rsidRPr="00A168E4">
              <w:rPr>
                <w:sz w:val="24"/>
                <w:szCs w:val="24"/>
              </w:rPr>
              <w:t xml:space="preserve">shoqëritë mund të operonin pa detyrime ligjore të plota për operacionet ndërkufitare, duke krijuar një mjedis më të lirë </w:t>
            </w:r>
            <w:r w:rsidR="00FD0D24">
              <w:rPr>
                <w:sz w:val="24"/>
                <w:szCs w:val="24"/>
              </w:rPr>
              <w:t>por t</w:t>
            </w:r>
            <w:r w:rsidR="00E75562">
              <w:rPr>
                <w:sz w:val="24"/>
                <w:szCs w:val="24"/>
              </w:rPr>
              <w:t>ë</w:t>
            </w:r>
            <w:r w:rsidR="00FD0D24">
              <w:rPr>
                <w:sz w:val="24"/>
                <w:szCs w:val="24"/>
              </w:rPr>
              <w:t xml:space="preserve"> pasigurt </w:t>
            </w:r>
            <w:r w:rsidRPr="00A168E4">
              <w:rPr>
                <w:sz w:val="24"/>
                <w:szCs w:val="24"/>
              </w:rPr>
              <w:t>për bizneset.</w:t>
            </w:r>
          </w:p>
          <w:p w:rsidRPr="00A168E4" w:rsidR="00FA1A8E" w:rsidP="00FA1A8E" w:rsidRDefault="00FA1A8E" w14:paraId="0015CB67" w14:textId="77777777">
            <w:pPr>
              <w:pStyle w:val="CommentText"/>
              <w:jc w:val="both"/>
              <w:rPr>
                <w:sz w:val="24"/>
                <w:szCs w:val="24"/>
              </w:rPr>
            </w:pPr>
          </w:p>
          <w:p w:rsidRPr="00C6514B" w:rsidR="00FA1A8E" w:rsidP="00FA1A8E" w:rsidRDefault="00FA1A8E" w14:paraId="2411AE51" w14:textId="783512F3">
            <w:pPr>
              <w:pStyle w:val="CommentText"/>
              <w:jc w:val="both"/>
              <w:rPr>
                <w:sz w:val="24"/>
                <w:szCs w:val="24"/>
              </w:rPr>
            </w:pPr>
            <w:r w:rsidRPr="00A168E4">
              <w:rPr>
                <w:sz w:val="24"/>
                <w:szCs w:val="24"/>
              </w:rPr>
              <w:t xml:space="preserve">Megjithatë, ky opsion është i papranueshëm për Shqipërinë, pasi vendi është i detyruar të harmonizojë legjislacionin e tij me kërkesat e BE-së për integrimin në tregun e brendshëm të BE-së. Mungesa e një kuadri të detajuar rregullator do të shkaktonte pasiguri ligjore, do të dëmtonte besimin e investitorëve dhe do të </w:t>
            </w:r>
            <w:r w:rsidR="004104D9">
              <w:rPr>
                <w:sz w:val="24"/>
                <w:szCs w:val="24"/>
              </w:rPr>
              <w:t>dëmtonte</w:t>
            </w:r>
            <w:r w:rsidRPr="00A168E4" w:rsidR="00B23FFF">
              <w:rPr>
                <w:sz w:val="24"/>
                <w:szCs w:val="24"/>
              </w:rPr>
              <w:t xml:space="preserve"> </w:t>
            </w:r>
            <w:r w:rsidRPr="00A168E4">
              <w:rPr>
                <w:sz w:val="24"/>
                <w:szCs w:val="24"/>
              </w:rPr>
              <w:t>përpjekjet për të siguruar një mjedis të drejtë dhe transparent biznesi. Po ashtu, nuk do të ishte në përputhje me angazhimet e Shqipërisë për t’u anëtarësuar në BE dhe do të krijonte një ambient të pasigurt për zhvillimin e biznesit, duke penguar mundësitë për rritjen e investimeve të huaja dhe përmirësimin e konkurrencës.</w:t>
            </w:r>
          </w:p>
        </w:tc>
      </w:tr>
      <w:tr w:rsidRPr="00E75562" w:rsidR="00B5039C" w:rsidTr="65600A46" w14:paraId="58B832D4"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F434C" w:rsidR="00B5039C" w:rsidP="00B5039C" w:rsidRDefault="00B5039C" w14:paraId="12E1D079" w14:textId="77777777">
            <w:pPr>
              <w:spacing w:line="276" w:lineRule="auto"/>
              <w:jc w:val="both"/>
              <w:rPr>
                <w:b/>
                <w:szCs w:val="24"/>
              </w:rPr>
            </w:pPr>
            <w:r w:rsidRPr="009F434C">
              <w:rPr>
                <w:b/>
                <w:szCs w:val="24"/>
              </w:rPr>
              <w:t>ANALIZA E NDIKIMEVE</w:t>
            </w:r>
          </w:p>
          <w:p w:rsidRPr="00DE53BA" w:rsidR="00B5039C" w:rsidP="00B5039C" w:rsidRDefault="00B5039C" w14:paraId="7C077AA2" w14:textId="77777777">
            <w:pPr>
              <w:spacing w:line="276" w:lineRule="auto"/>
              <w:jc w:val="both"/>
              <w:rPr>
                <w:i/>
                <w:szCs w:val="24"/>
                <w:lang w:val="it-IT"/>
              </w:rPr>
            </w:pPr>
            <w:r w:rsidRPr="009F434C">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DE53BA">
              <w:rPr>
                <w:i/>
                <w:szCs w:val="24"/>
                <w:lang w:val="it-IT"/>
              </w:rPr>
              <w:instrText xml:space="preserve"> FORMTEXT </w:instrText>
            </w:r>
            <w:r w:rsidRPr="009F434C">
              <w:rPr>
                <w:i/>
                <w:szCs w:val="24"/>
              </w:rPr>
            </w:r>
            <w:r w:rsidRPr="009F434C">
              <w:rPr>
                <w:i/>
                <w:szCs w:val="24"/>
              </w:rPr>
              <w:fldChar w:fldCharType="separate"/>
            </w:r>
            <w:r w:rsidRPr="00DE53BA">
              <w:rPr>
                <w:i/>
                <w:szCs w:val="24"/>
                <w:lang w:val="it-IT"/>
              </w:rPr>
              <w:t>Cilat janë ndikimet e opsionit të preferuar? Kjo duhet të përshkruajë ndikimet në mënyrë sasiore  (monetare) dhe cilësore (narrative) mbi buxhetin dhe grupet e tjera të prekura. (jo më shumë se 10 rreshta)</w:t>
            </w:r>
            <w:r w:rsidRPr="009F434C">
              <w:rPr>
                <w:i/>
                <w:szCs w:val="24"/>
              </w:rPr>
              <w:fldChar w:fldCharType="end"/>
            </w:r>
          </w:p>
          <w:p w:rsidRPr="00DE53BA" w:rsidR="00B5039C" w:rsidP="00B5039C" w:rsidRDefault="00B5039C" w14:paraId="45F8A066" w14:textId="77777777">
            <w:pPr>
              <w:jc w:val="both"/>
              <w:rPr>
                <w:i/>
                <w:szCs w:val="24"/>
                <w:lang w:val="it-IT"/>
              </w:rPr>
            </w:pPr>
          </w:p>
          <w:p w:rsidR="00492BF0" w:rsidP="00492BF0" w:rsidRDefault="00492BF0" w14:paraId="4304B58C" w14:textId="0A892BDD">
            <w:pPr>
              <w:spacing w:line="276" w:lineRule="auto"/>
              <w:jc w:val="both"/>
              <w:rPr>
                <w:iCs/>
                <w:color w:val="000000" w:themeColor="text1"/>
                <w:szCs w:val="24"/>
                <w:lang w:val="it-IT"/>
              </w:rPr>
            </w:pPr>
            <w:r>
              <w:rPr>
                <w:iCs/>
                <w:color w:val="000000" w:themeColor="text1"/>
                <w:szCs w:val="24"/>
                <w:lang w:val="it-IT"/>
              </w:rPr>
              <w:t>Iniciativa</w:t>
            </w:r>
            <w:r w:rsidRPr="006F5F76">
              <w:rPr>
                <w:iCs/>
                <w:color w:val="000000" w:themeColor="text1"/>
                <w:szCs w:val="24"/>
                <w:lang w:val="it-IT"/>
              </w:rPr>
              <w:t xml:space="preserve"> ligjore të parashikuara pritet të kenë ndikim të gjerë në disa grupe përfituesish dhe institucione publike, duke gjeneruar efekte të drejtpërdrejta dhe të tërthorta me karakter ekonomik, social dhe institucional</w:t>
            </w:r>
          </w:p>
          <w:p w:rsidR="00492BF0" w:rsidP="00492BF0" w:rsidRDefault="00492BF0" w14:paraId="3BF82DA2" w14:textId="77777777">
            <w:pPr>
              <w:spacing w:line="276" w:lineRule="auto"/>
              <w:jc w:val="both"/>
              <w:rPr>
                <w:iCs/>
                <w:color w:val="000000" w:themeColor="text1"/>
                <w:szCs w:val="24"/>
                <w:lang w:val="it-IT"/>
              </w:rPr>
            </w:pPr>
          </w:p>
          <w:p w:rsidR="006A3FAE" w:rsidP="006A3FAE" w:rsidRDefault="006A3FAE" w14:paraId="0C3F1687" w14:textId="77777777">
            <w:pPr>
              <w:pBdr>
                <w:top w:val="nil"/>
                <w:left w:val="nil"/>
                <w:bottom w:val="nil"/>
                <w:right w:val="nil"/>
                <w:between w:val="nil"/>
                <w:bar w:val="nil"/>
              </w:pBdr>
              <w:spacing w:line="276" w:lineRule="auto"/>
              <w:ind w:right="20"/>
              <w:jc w:val="both"/>
              <w:rPr>
                <w:color w:val="000000" w:themeColor="text1"/>
                <w:szCs w:val="24"/>
              </w:rPr>
            </w:pPr>
            <w:r>
              <w:rPr>
                <w:color w:val="000000" w:themeColor="text1"/>
                <w:szCs w:val="24"/>
              </w:rPr>
              <w:t>Mw poshtw po paraqesim nw mwnyrw tw pwrmbledhur ndikimet e mundshme pwr secilin grup tw prekur:</w:t>
            </w:r>
          </w:p>
          <w:p w:rsidR="006A3FAE" w:rsidP="006A3FAE" w:rsidRDefault="006A3FAE" w14:paraId="6B4FF7E8" w14:textId="77777777">
            <w:pPr>
              <w:pBdr>
                <w:top w:val="nil"/>
                <w:left w:val="nil"/>
                <w:bottom w:val="nil"/>
                <w:right w:val="nil"/>
                <w:between w:val="nil"/>
                <w:bar w:val="nil"/>
              </w:pBdr>
              <w:spacing w:line="276" w:lineRule="auto"/>
              <w:ind w:right="20"/>
              <w:jc w:val="both"/>
              <w:rPr>
                <w:color w:val="000000" w:themeColor="text1"/>
                <w:szCs w:val="24"/>
              </w:rPr>
            </w:pPr>
          </w:p>
          <w:p w:rsidR="006A3FAE" w:rsidP="006A3FAE" w:rsidRDefault="006A3FAE" w14:paraId="75E66854" w14:textId="77777777">
            <w:pPr>
              <w:rPr>
                <w:b/>
                <w:bCs/>
              </w:rPr>
            </w:pPr>
            <w:r w:rsidRPr="003D6D8E">
              <w:rPr>
                <w:b/>
                <w:bCs/>
              </w:rPr>
              <w:t>Bizneset (përfshirë ndërmarrjet e vogla dhe të mesme – SMEs, dhe shoqëritë me kapital të huaj)</w:t>
            </w:r>
          </w:p>
          <w:p w:rsidR="006A3FAE" w:rsidP="006A3FAE" w:rsidRDefault="006A3FAE" w14:paraId="233D51D5" w14:textId="77777777">
            <w:pPr>
              <w:rPr>
                <w:b/>
                <w:bCs/>
              </w:rPr>
            </w:pPr>
          </w:p>
          <w:p w:rsidRPr="00A836ED" w:rsidR="006A3FAE" w:rsidP="006A3FAE" w:rsidRDefault="006A3FAE" w14:paraId="027920D7" w14:textId="77777777">
            <w:pPr>
              <w:rPr>
                <w:b/>
                <w:bCs/>
              </w:rPr>
            </w:pPr>
            <w:r w:rsidRPr="00A836ED">
              <w:rPr>
                <w:color w:val="000000" w:themeColor="text1"/>
                <w:szCs w:val="24"/>
              </w:rPr>
              <w:t xml:space="preserve">Për bizneset, zbatimi i ligjeve të reja do të krijojë një mjedis më të qartë dhe të parashikueshëm, duke rritur besimin dhe duke krijuar mundësi më të mira për të bërë biznes, sidomos për shoqëritë ndërkombëtare që kërkojnë një kuadër ligjor të besueshëm për operacionet ndërkufitare. Përshtatja e legjislacionit do të ndihmojë në tërheqjen e investitorëve të rinj dhe do të hapë mundësi të reja për bizneset lokale, sidomos në sektorët e teknologjisë dhe industrisë, duke rritur konkurrencën dhe duke krijuar një mjedis të favorshëm për rritjen e diversifikimit ekonomik. </w:t>
            </w:r>
          </w:p>
          <w:p w:rsidRPr="003D6D8E" w:rsidR="006A3FAE" w:rsidP="006A3FAE" w:rsidRDefault="006A3FAE" w14:paraId="7BED7E04" w14:textId="77777777">
            <w:pPr>
              <w:rPr>
                <w:lang w:val="en-US"/>
              </w:rPr>
            </w:pPr>
            <w:r w:rsidRPr="003D6D8E">
              <w:rPr>
                <w:b/>
                <w:bCs/>
                <w:lang w:val="en-US"/>
              </w:rPr>
              <w:t>Ndikime ekonomike:</w:t>
            </w:r>
          </w:p>
          <w:p w:rsidRPr="003D6D8E" w:rsidR="006A3FAE" w:rsidRDefault="006A3FAE" w14:paraId="61085C36" w14:textId="77777777">
            <w:pPr>
              <w:numPr>
                <w:ilvl w:val="0"/>
                <w:numId w:val="27"/>
              </w:numPr>
              <w:jc w:val="both"/>
              <w:rPr>
                <w:lang w:val="it-IT"/>
              </w:rPr>
            </w:pPr>
            <w:r w:rsidRPr="003D6D8E">
              <w:rPr>
                <w:lang w:val="en-US"/>
              </w:rPr>
              <w:t xml:space="preserve">Përmirësimi i klimës së biznesit: Harmonizimi i ligjit krijon një mjedis më transparent dhe të parashikueshëm për operacionet ndërkufitare, duke ulur pasigurinë ligjore dhe burokratike. </w:t>
            </w:r>
            <w:r w:rsidRPr="003D6D8E">
              <w:rPr>
                <w:lang w:val="it-IT"/>
              </w:rPr>
              <w:t>Kjo rrit besimin e investitorëve dhe përmirëson perspektivat për investime afatgjata.</w:t>
            </w:r>
          </w:p>
          <w:p w:rsidRPr="003D6D8E" w:rsidR="006A3FAE" w:rsidRDefault="006A3FAE" w14:paraId="18C65EA8" w14:textId="77777777">
            <w:pPr>
              <w:numPr>
                <w:ilvl w:val="0"/>
                <w:numId w:val="27"/>
              </w:numPr>
              <w:jc w:val="both"/>
              <w:rPr>
                <w:lang w:val="it-IT"/>
              </w:rPr>
            </w:pPr>
            <w:r w:rsidRPr="003D6D8E">
              <w:rPr>
                <w:lang w:val="it-IT"/>
              </w:rPr>
              <w:t>Zgjerimi i tregjeve: Procedurat standarde për shndërrimet, bashkimet dhe ndarjet ndërkufitare u lejojnë bizneseve shqiptare të hyjnë më lehtë në tregjet e BE-së dhe të krijojnë partneritete ndërkombëtare.</w:t>
            </w:r>
          </w:p>
          <w:p w:rsidRPr="003D6D8E" w:rsidR="006A3FAE" w:rsidRDefault="006A3FAE" w14:paraId="0D2A211C" w14:textId="77777777">
            <w:pPr>
              <w:numPr>
                <w:ilvl w:val="0"/>
                <w:numId w:val="27"/>
              </w:numPr>
              <w:jc w:val="both"/>
              <w:rPr>
                <w:lang w:val="it-IT"/>
              </w:rPr>
            </w:pPr>
            <w:r w:rsidRPr="003D6D8E">
              <w:rPr>
                <w:lang w:val="it-IT"/>
              </w:rPr>
              <w:t>Rritja e konkurrencës: Standardizimi i praktikave biznesore përmirëson konkurrencën dhe inkurajon inovacionin, duke e bërë tregun vendas më efikas dhe duke eliminuar avantazhet e padrejta.</w:t>
            </w:r>
          </w:p>
          <w:p w:rsidRPr="00A836ED" w:rsidR="006A3FAE" w:rsidP="006A3FAE" w:rsidRDefault="006A3FAE" w14:paraId="2444ECFD" w14:textId="77777777">
            <w:pPr>
              <w:rPr>
                <w:b/>
                <w:bCs/>
                <w:lang w:val="it-IT"/>
              </w:rPr>
            </w:pPr>
          </w:p>
          <w:p w:rsidR="006A3FAE" w:rsidP="006A3FAE" w:rsidRDefault="006A3FAE" w14:paraId="03447A22" w14:textId="77777777">
            <w:pPr>
              <w:rPr>
                <w:b/>
                <w:bCs/>
                <w:lang w:val="en-US"/>
              </w:rPr>
            </w:pPr>
            <w:r w:rsidRPr="003D6D8E">
              <w:rPr>
                <w:b/>
                <w:bCs/>
                <w:lang w:val="en-US"/>
              </w:rPr>
              <w:t>Ndikime sociale:</w:t>
            </w:r>
          </w:p>
          <w:p w:rsidRPr="003D6D8E" w:rsidR="006A3FAE" w:rsidP="006A3FAE" w:rsidRDefault="006A3FAE" w14:paraId="750E241E" w14:textId="77777777">
            <w:pPr>
              <w:rPr>
                <w:lang w:val="en-US"/>
              </w:rPr>
            </w:pPr>
          </w:p>
          <w:p w:rsidRPr="003D6D8E" w:rsidR="006A3FAE" w:rsidRDefault="006A3FAE" w14:paraId="3A8C94D4" w14:textId="77777777">
            <w:pPr>
              <w:numPr>
                <w:ilvl w:val="0"/>
                <w:numId w:val="28"/>
              </w:numPr>
              <w:jc w:val="both"/>
              <w:rPr>
                <w:lang w:val="en-US"/>
              </w:rPr>
            </w:pPr>
            <w:r w:rsidRPr="003D6D8E">
              <w:rPr>
                <w:lang w:val="en-US"/>
              </w:rPr>
              <w:t>Rritja e profesionalizmit: Bizneset do të duhet të adaptojnë praktikat e menaxhimit dhe qeverisjes korporative, duke përmirësuar kulturën organizative dhe transparencën.</w:t>
            </w:r>
          </w:p>
          <w:p w:rsidRPr="003D6D8E" w:rsidR="006A3FAE" w:rsidRDefault="006A3FAE" w14:paraId="3E365239" w14:textId="77777777">
            <w:pPr>
              <w:numPr>
                <w:ilvl w:val="0"/>
                <w:numId w:val="28"/>
              </w:numPr>
              <w:jc w:val="both"/>
              <w:rPr>
                <w:lang w:val="en-US"/>
              </w:rPr>
            </w:pPr>
            <w:r w:rsidRPr="003D6D8E">
              <w:rPr>
                <w:lang w:val="en-US"/>
              </w:rPr>
              <w:t>Përfitimi i punonjësve: Një mjedis më i qëndrueshëm dhe i harmonizuar ekonomikisht rrit sigurinë e punës dhe mundësitë për zhvillim profesional.</w:t>
            </w:r>
          </w:p>
          <w:p w:rsidRPr="003D6D8E" w:rsidR="006A3FAE" w:rsidP="006A3FAE" w:rsidRDefault="006A3FAE" w14:paraId="44FD19F1" w14:textId="77777777">
            <w:pPr>
              <w:jc w:val="both"/>
              <w:rPr>
                <w:lang w:val="en-US"/>
              </w:rPr>
            </w:pPr>
          </w:p>
          <w:p w:rsidR="006A3FAE" w:rsidP="006A3FAE" w:rsidRDefault="006A3FAE" w14:paraId="3CD90619" w14:textId="77777777">
            <w:pPr>
              <w:rPr>
                <w:b/>
                <w:bCs/>
                <w:lang w:val="en-US"/>
              </w:rPr>
            </w:pPr>
            <w:r w:rsidRPr="003D6D8E">
              <w:rPr>
                <w:b/>
                <w:bCs/>
                <w:lang w:val="en-US"/>
              </w:rPr>
              <w:t>Ndikime financiare:</w:t>
            </w:r>
          </w:p>
          <w:p w:rsidRPr="003D6D8E" w:rsidR="006A3FAE" w:rsidP="006A3FAE" w:rsidRDefault="006A3FAE" w14:paraId="6CCBB4DC" w14:textId="77777777">
            <w:pPr>
              <w:rPr>
                <w:lang w:val="en-US"/>
              </w:rPr>
            </w:pPr>
          </w:p>
          <w:p w:rsidRPr="003D6D8E" w:rsidR="006A3FAE" w:rsidRDefault="006A3FAE" w14:paraId="5DE65C92" w14:textId="77777777">
            <w:pPr>
              <w:numPr>
                <w:ilvl w:val="0"/>
                <w:numId w:val="29"/>
              </w:numPr>
              <w:jc w:val="both"/>
              <w:rPr>
                <w:lang w:val="en-US"/>
              </w:rPr>
            </w:pPr>
            <w:r w:rsidRPr="003D6D8E">
              <w:rPr>
                <w:lang w:val="en-US"/>
              </w:rPr>
              <w:t>Reduktimi i kostove të pasigurta: Procedurat të standardizuara ulin rrezikun ligjor dhe kostot transaksionale për bizneset që kryejnë operacione ndërkufitare.</w:t>
            </w:r>
          </w:p>
          <w:p w:rsidRPr="003D6D8E" w:rsidR="006A3FAE" w:rsidRDefault="006A3FAE" w14:paraId="697A4898" w14:textId="77777777">
            <w:pPr>
              <w:numPr>
                <w:ilvl w:val="0"/>
                <w:numId w:val="29"/>
              </w:numPr>
              <w:jc w:val="both"/>
              <w:rPr>
                <w:lang w:val="en-US"/>
              </w:rPr>
            </w:pPr>
            <w:r w:rsidRPr="003D6D8E">
              <w:rPr>
                <w:lang w:val="en-US"/>
              </w:rPr>
              <w:t>Rritja e mundësive për financim: Investimet e huaja të drejtpërdrejta (FDI) dhe qasja në fonde ndërkombëtare do të jenë më të lehta për shoqëritë shqiptare.</w:t>
            </w:r>
          </w:p>
          <w:p w:rsidRPr="003D6D8E" w:rsidR="006A3FAE" w:rsidP="006A3FAE" w:rsidRDefault="006A3FAE" w14:paraId="133FDD37" w14:textId="77777777">
            <w:pPr>
              <w:jc w:val="both"/>
              <w:rPr>
                <w:lang w:val="en-US"/>
              </w:rPr>
            </w:pPr>
          </w:p>
          <w:p w:rsidR="006A3FAE" w:rsidP="006A3FAE" w:rsidRDefault="006A3FAE" w14:paraId="14165356" w14:textId="77777777">
            <w:pPr>
              <w:rPr>
                <w:b/>
                <w:bCs/>
                <w:lang w:val="en-US"/>
              </w:rPr>
            </w:pPr>
            <w:r w:rsidRPr="003D6D8E">
              <w:rPr>
                <w:b/>
                <w:bCs/>
                <w:lang w:val="en-US"/>
              </w:rPr>
              <w:t>Ndikime jo të drejtpërdrejta:</w:t>
            </w:r>
          </w:p>
          <w:p w:rsidRPr="003D6D8E" w:rsidR="006A3FAE" w:rsidP="006A3FAE" w:rsidRDefault="006A3FAE" w14:paraId="3787C13E" w14:textId="77777777">
            <w:pPr>
              <w:rPr>
                <w:lang w:val="en-US"/>
              </w:rPr>
            </w:pPr>
          </w:p>
          <w:p w:rsidRPr="003D6D8E" w:rsidR="006A3FAE" w:rsidRDefault="006A3FAE" w14:paraId="6E0D276F" w14:textId="77777777">
            <w:pPr>
              <w:numPr>
                <w:ilvl w:val="0"/>
                <w:numId w:val="30"/>
              </w:numPr>
              <w:tabs>
                <w:tab w:val="clear" w:pos="360"/>
                <w:tab w:val="num" w:pos="720"/>
              </w:tabs>
              <w:rPr>
                <w:lang w:val="en-US"/>
              </w:rPr>
            </w:pPr>
            <w:r w:rsidRPr="003D6D8E">
              <w:rPr>
                <w:lang w:val="en-US"/>
              </w:rPr>
              <w:t>Përshtatja me rregullat e reja: SME-të mund të përballen me sfida fillestare për të kuptuar dhe zbatuar kërkesat e reja; për këtë, trajnime dhe asistencë teknike janë thelbësore.</w:t>
            </w:r>
          </w:p>
          <w:p w:rsidRPr="003D6D8E" w:rsidR="006A3FAE" w:rsidRDefault="006A3FAE" w14:paraId="09AECB35" w14:textId="77777777">
            <w:pPr>
              <w:numPr>
                <w:ilvl w:val="0"/>
                <w:numId w:val="30"/>
              </w:numPr>
              <w:tabs>
                <w:tab w:val="clear" w:pos="360"/>
                <w:tab w:val="num" w:pos="720"/>
              </w:tabs>
              <w:rPr>
                <w:lang w:val="en-US"/>
              </w:rPr>
            </w:pPr>
            <w:r w:rsidRPr="003D6D8E">
              <w:rPr>
                <w:lang w:val="en-US"/>
              </w:rPr>
              <w:t>Rritja e besimit në treg: Një kuadër i harmonizuar ligjor forcon reputacionin e vendit dhe mund të tërheqë partnerë të rinj dhe investime të mëdha.</w:t>
            </w:r>
          </w:p>
          <w:p w:rsidRPr="003D6D8E" w:rsidR="006A3FAE" w:rsidP="006A3FAE" w:rsidRDefault="006A3FAE" w14:paraId="11B669BA" w14:textId="77777777">
            <w:pPr>
              <w:rPr>
                <w:lang w:val="en-US"/>
              </w:rPr>
            </w:pPr>
          </w:p>
          <w:p w:rsidRPr="003D6D8E" w:rsidR="006A3FAE" w:rsidP="006A3FAE" w:rsidRDefault="006A3FAE" w14:paraId="1E02C443" w14:textId="77777777">
            <w:pPr>
              <w:rPr>
                <w:b/>
                <w:bCs/>
                <w:lang w:val="en-US"/>
              </w:rPr>
            </w:pPr>
            <w:r w:rsidRPr="003D6D8E">
              <w:rPr>
                <w:b/>
                <w:bCs/>
                <w:lang w:val="en-US"/>
              </w:rPr>
              <w:t>2. Institucionet shtetërore (ME, QKB, Autoriteti i Konkurrencës, AMF, gjykatat, noterët)</w:t>
            </w:r>
          </w:p>
          <w:p w:rsidR="006A3FAE" w:rsidP="006A3FAE" w:rsidRDefault="006A3FAE" w14:paraId="6B3000F3" w14:textId="77777777">
            <w:pPr>
              <w:rPr>
                <w:b/>
                <w:bCs/>
                <w:lang w:val="en-US"/>
              </w:rPr>
            </w:pPr>
            <w:r w:rsidRPr="003D6D8E">
              <w:rPr>
                <w:b/>
                <w:bCs/>
                <w:lang w:val="en-US"/>
              </w:rPr>
              <w:t>Ndikime ekonomike:</w:t>
            </w:r>
          </w:p>
          <w:p w:rsidR="006A3FAE" w:rsidP="006A3FAE" w:rsidRDefault="006A3FAE" w14:paraId="2BA1567A" w14:textId="77777777">
            <w:pPr>
              <w:rPr>
                <w:lang w:val="en-US"/>
              </w:rPr>
            </w:pPr>
          </w:p>
          <w:p w:rsidRPr="00F74152" w:rsidR="006A3FAE" w:rsidP="006A3FAE" w:rsidRDefault="006A3FAE" w14:paraId="677F44E2" w14:textId="77777777">
            <w:pPr>
              <w:pBdr>
                <w:top w:val="nil"/>
                <w:left w:val="nil"/>
                <w:bottom w:val="nil"/>
                <w:right w:val="nil"/>
                <w:between w:val="nil"/>
                <w:bar w:val="nil"/>
              </w:pBdr>
              <w:spacing w:line="276" w:lineRule="auto"/>
              <w:ind w:right="20"/>
              <w:jc w:val="both"/>
              <w:rPr>
                <w:color w:val="000000" w:themeColor="text1"/>
                <w:szCs w:val="24"/>
              </w:rPr>
            </w:pPr>
            <w:r w:rsidRPr="00F74152">
              <w:rPr>
                <w:color w:val="000000" w:themeColor="text1"/>
                <w:szCs w:val="24"/>
              </w:rPr>
              <w:t>Institucionet shtetërore, përfshirë QKB-në,</w:t>
            </w:r>
            <w:r>
              <w:rPr>
                <w:color w:val="000000" w:themeColor="text1"/>
                <w:szCs w:val="24"/>
              </w:rPr>
              <w:t xml:space="preserve"> </w:t>
            </w:r>
            <w:r w:rsidRPr="00F74152">
              <w:rPr>
                <w:color w:val="000000" w:themeColor="text1"/>
                <w:szCs w:val="24"/>
              </w:rPr>
              <w:t>ME etj, do të përballen me nevojën për të përmirësuar kapacitetet e tyre për të monitoruar dhe zbatuar ligjet e reja. Përshtatja me rregulloret e BE-së do të kërkojë burime shtesë, trajnime dhe mbështetje teknike, por kjo do të ndihmojë në krijimin e një sistemi më të fortë dhe më efikas të mbikëqyrjes dhe monitorimit të tregut të biznesit. Përshtatja e këtyre institucioneve do të kontribuoni në një mbikëqyrje më të besueshme dhe në përputhshmëri të ligjshme me standardet e BE-së.</w:t>
            </w:r>
          </w:p>
          <w:p w:rsidRPr="00F74152" w:rsidR="006A3FAE" w:rsidP="006A3FAE" w:rsidRDefault="006A3FAE" w14:paraId="188285A5" w14:textId="77777777">
            <w:pPr>
              <w:pBdr>
                <w:top w:val="nil"/>
                <w:left w:val="nil"/>
                <w:bottom w:val="nil"/>
                <w:right w:val="nil"/>
                <w:between w:val="nil"/>
                <w:bar w:val="nil"/>
              </w:pBdr>
              <w:spacing w:line="276" w:lineRule="auto"/>
              <w:ind w:right="20"/>
              <w:jc w:val="both"/>
              <w:rPr>
                <w:color w:val="000000" w:themeColor="text1"/>
                <w:szCs w:val="24"/>
              </w:rPr>
            </w:pPr>
          </w:p>
          <w:p w:rsidRPr="00A836ED" w:rsidR="006A3FAE" w:rsidP="006A3FAE" w:rsidRDefault="006A3FAE" w14:paraId="624DC1DD" w14:textId="77777777">
            <w:pPr>
              <w:rPr>
                <w:b/>
                <w:bCs/>
              </w:rPr>
            </w:pPr>
            <w:r w:rsidRPr="00A836ED">
              <w:rPr>
                <w:b/>
                <w:bCs/>
              </w:rPr>
              <w:t>Ndikime ekonomike:</w:t>
            </w:r>
          </w:p>
          <w:p w:rsidRPr="00A836ED" w:rsidR="006A3FAE" w:rsidP="006A3FAE" w:rsidRDefault="006A3FAE" w14:paraId="5C131A98" w14:textId="77777777"/>
          <w:p w:rsidRPr="003D6D8E" w:rsidR="006A3FAE" w:rsidP="006A3FAE" w:rsidRDefault="006A3FAE" w14:paraId="63F014DB" w14:textId="77777777">
            <w:pPr>
              <w:rPr>
                <w:lang w:val="it-IT"/>
              </w:rPr>
            </w:pPr>
            <w:r w:rsidRPr="003D6D8E">
              <w:rPr>
                <w:lang w:val="it-IT"/>
              </w:rPr>
              <w:t>Investime në kapacitete: Zbatimi i ligjit kërkon investime në trajnime, sisteme dixhitale dhe staf të specializuar. Këto janë shpenzime fillestare, por përmirësojnë efikasitetin dhe efektivitetin e monitorimit të tregut.</w:t>
            </w:r>
          </w:p>
          <w:p w:rsidRPr="00A836ED" w:rsidR="006A3FAE" w:rsidP="006A3FAE" w:rsidRDefault="006A3FAE" w14:paraId="0C5CF505" w14:textId="77777777">
            <w:pPr>
              <w:rPr>
                <w:b/>
                <w:bCs/>
                <w:lang w:val="it-IT"/>
              </w:rPr>
            </w:pPr>
          </w:p>
          <w:p w:rsidR="006A3FAE" w:rsidP="006A3FAE" w:rsidRDefault="006A3FAE" w14:paraId="65308406" w14:textId="77777777">
            <w:pPr>
              <w:rPr>
                <w:b/>
                <w:bCs/>
                <w:lang w:val="en-US"/>
              </w:rPr>
            </w:pPr>
            <w:r w:rsidRPr="003D6D8E">
              <w:rPr>
                <w:b/>
                <w:bCs/>
                <w:lang w:val="en-US"/>
              </w:rPr>
              <w:t>Ndikime sociale:</w:t>
            </w:r>
          </w:p>
          <w:p w:rsidRPr="003D6D8E" w:rsidR="006A3FAE" w:rsidP="006A3FAE" w:rsidRDefault="006A3FAE" w14:paraId="1145D7C3" w14:textId="77777777">
            <w:pPr>
              <w:rPr>
                <w:lang w:val="en-US"/>
              </w:rPr>
            </w:pPr>
          </w:p>
          <w:p w:rsidRPr="003D6D8E" w:rsidR="006A3FAE" w:rsidRDefault="006A3FAE" w14:paraId="3F7317CD" w14:textId="77777777">
            <w:pPr>
              <w:numPr>
                <w:ilvl w:val="0"/>
                <w:numId w:val="31"/>
              </w:numPr>
              <w:jc w:val="both"/>
              <w:rPr>
                <w:lang w:val="en-US"/>
              </w:rPr>
            </w:pPr>
            <w:r w:rsidRPr="003D6D8E">
              <w:rPr>
                <w:lang w:val="en-US"/>
              </w:rPr>
              <w:t>Rritja e kapaciteteve profesionale: Trajnimet për profesionistët e institucionit dhe noterët forcojnë njohuritë teknike dhe aftësitë e zbatimit të ligjit.</w:t>
            </w:r>
          </w:p>
          <w:p w:rsidRPr="003D6D8E" w:rsidR="006A3FAE" w:rsidRDefault="006A3FAE" w14:paraId="3D64E3A5" w14:textId="77777777">
            <w:pPr>
              <w:numPr>
                <w:ilvl w:val="0"/>
                <w:numId w:val="31"/>
              </w:numPr>
              <w:jc w:val="both"/>
              <w:rPr>
                <w:lang w:val="it-IT"/>
              </w:rPr>
            </w:pPr>
            <w:r w:rsidRPr="003D6D8E">
              <w:rPr>
                <w:lang w:val="it-IT"/>
              </w:rPr>
              <w:t>Forcimi i transparencës: Procedurat e qarta për ndërveprim me bizneset dhe publikun rrisin besimin në sistemin e administratës publike.</w:t>
            </w:r>
          </w:p>
          <w:p w:rsidRPr="00A836ED" w:rsidR="006A3FAE" w:rsidP="006A3FAE" w:rsidRDefault="006A3FAE" w14:paraId="627E186A" w14:textId="77777777">
            <w:pPr>
              <w:rPr>
                <w:b/>
                <w:bCs/>
                <w:lang w:val="it-IT"/>
              </w:rPr>
            </w:pPr>
          </w:p>
          <w:p w:rsidR="006A3FAE" w:rsidP="006A3FAE" w:rsidRDefault="006A3FAE" w14:paraId="1A7B94CB" w14:textId="77777777">
            <w:pPr>
              <w:rPr>
                <w:b/>
                <w:bCs/>
                <w:lang w:val="en-US"/>
              </w:rPr>
            </w:pPr>
            <w:r w:rsidRPr="003D6D8E">
              <w:rPr>
                <w:b/>
                <w:bCs/>
                <w:lang w:val="en-US"/>
              </w:rPr>
              <w:t>Ndikime financiare:</w:t>
            </w:r>
          </w:p>
          <w:p w:rsidRPr="003D6D8E" w:rsidR="006A3FAE" w:rsidP="006A3FAE" w:rsidRDefault="006A3FAE" w14:paraId="1207F402" w14:textId="77777777">
            <w:pPr>
              <w:rPr>
                <w:lang w:val="en-US"/>
              </w:rPr>
            </w:pPr>
          </w:p>
          <w:p w:rsidRPr="003D6D8E" w:rsidR="006A3FAE" w:rsidRDefault="006A3FAE" w14:paraId="5628B669" w14:textId="77777777">
            <w:pPr>
              <w:numPr>
                <w:ilvl w:val="0"/>
                <w:numId w:val="32"/>
              </w:numPr>
              <w:jc w:val="both"/>
              <w:rPr>
                <w:lang w:val="en-US"/>
              </w:rPr>
            </w:pPr>
            <w:r w:rsidRPr="003D6D8E">
              <w:rPr>
                <w:lang w:val="en-US"/>
              </w:rPr>
              <w:t>Kosto operative: Implementimi i sistemit të ri, përfshirë ndërlidhjen me BRIS dhe certifikimet, ka kosto fillestare, por afatgjatë redukton shpenzimet për moszbatim dhe konflikt ligjor.</w:t>
            </w:r>
          </w:p>
          <w:p w:rsidRPr="003D6D8E" w:rsidR="006A3FAE" w:rsidRDefault="006A3FAE" w14:paraId="72EAB122" w14:textId="77777777">
            <w:pPr>
              <w:numPr>
                <w:ilvl w:val="0"/>
                <w:numId w:val="32"/>
              </w:numPr>
              <w:jc w:val="both"/>
              <w:rPr>
                <w:lang w:val="it-IT"/>
              </w:rPr>
            </w:pPr>
            <w:r w:rsidRPr="003D6D8E">
              <w:rPr>
                <w:lang w:val="it-IT"/>
              </w:rPr>
              <w:t>Optimizimi i resurseve: Standardizimi i procedurave dhe digitalizimi i regjistrave lehtësojnë monitorimin dhe reduktojnë barrën administrative.</w:t>
            </w:r>
          </w:p>
          <w:p w:rsidRPr="00A836ED" w:rsidR="006A3FAE" w:rsidP="006A3FAE" w:rsidRDefault="006A3FAE" w14:paraId="309A6122" w14:textId="77777777">
            <w:pPr>
              <w:rPr>
                <w:b/>
                <w:bCs/>
                <w:lang w:val="it-IT"/>
              </w:rPr>
            </w:pPr>
          </w:p>
          <w:p w:rsidR="006A3FAE" w:rsidP="006A3FAE" w:rsidRDefault="006A3FAE" w14:paraId="2D8D31E4" w14:textId="77777777">
            <w:pPr>
              <w:rPr>
                <w:b/>
                <w:bCs/>
                <w:lang w:val="en-US"/>
              </w:rPr>
            </w:pPr>
            <w:r w:rsidRPr="003D6D8E">
              <w:rPr>
                <w:b/>
                <w:bCs/>
                <w:lang w:val="en-US"/>
              </w:rPr>
              <w:t>Ndikime jo të drejtpërdrejta:</w:t>
            </w:r>
          </w:p>
          <w:p w:rsidRPr="003D6D8E" w:rsidR="006A3FAE" w:rsidP="006A3FAE" w:rsidRDefault="006A3FAE" w14:paraId="1CBFB7D2" w14:textId="77777777">
            <w:pPr>
              <w:rPr>
                <w:lang w:val="en-US"/>
              </w:rPr>
            </w:pPr>
          </w:p>
          <w:p w:rsidRPr="003D6D8E" w:rsidR="006A3FAE" w:rsidRDefault="006A3FAE" w14:paraId="01FBAB6A" w14:textId="77777777">
            <w:pPr>
              <w:numPr>
                <w:ilvl w:val="0"/>
                <w:numId w:val="33"/>
              </w:numPr>
              <w:jc w:val="both"/>
              <w:rPr>
                <w:lang w:val="en-US"/>
              </w:rPr>
            </w:pPr>
            <w:r w:rsidRPr="003D6D8E">
              <w:rPr>
                <w:lang w:val="en-US"/>
              </w:rPr>
              <w:t>Efikasitet më i lartë institucional: Koordinimi ndërinstitucional dhe shkëmbimi i të dhënave ndër regjistra kontribuojnë në një administratë më të integruar dhe funksionale.</w:t>
            </w:r>
          </w:p>
          <w:p w:rsidRPr="003D6D8E" w:rsidR="006A3FAE" w:rsidRDefault="006A3FAE" w14:paraId="2EEBB6DC" w14:textId="77777777">
            <w:pPr>
              <w:numPr>
                <w:ilvl w:val="0"/>
                <w:numId w:val="33"/>
              </w:numPr>
              <w:jc w:val="both"/>
              <w:rPr>
                <w:lang w:val="it-IT"/>
              </w:rPr>
            </w:pPr>
            <w:r w:rsidRPr="003D6D8E">
              <w:rPr>
                <w:lang w:val="it-IT"/>
              </w:rPr>
              <w:t>Besimi i investitorëve: Zbatimi i rregullave në mënyrë të qartë dhe të parashikueshme forcon reputacionin e institucioneve dhe besimin e tregut.</w:t>
            </w:r>
          </w:p>
          <w:p w:rsidRPr="00A836ED" w:rsidR="006A3FAE" w:rsidP="006A3FAE" w:rsidRDefault="006A3FAE" w14:paraId="23D2D5FD" w14:textId="77777777">
            <w:pPr>
              <w:jc w:val="both"/>
              <w:rPr>
                <w:lang w:val="it-IT"/>
              </w:rPr>
            </w:pPr>
          </w:p>
          <w:p w:rsidRPr="003D6D8E" w:rsidR="006A3FAE" w:rsidP="006A3FAE" w:rsidRDefault="006A3FAE" w14:paraId="6A682100" w14:textId="77777777">
            <w:pPr>
              <w:rPr>
                <w:b/>
                <w:bCs/>
                <w:lang w:val="it-IT"/>
              </w:rPr>
            </w:pPr>
            <w:r w:rsidRPr="003D6D8E">
              <w:rPr>
                <w:b/>
                <w:bCs/>
                <w:lang w:val="it-IT"/>
              </w:rPr>
              <w:t>3. Aksionarët dhe investitorët</w:t>
            </w:r>
          </w:p>
          <w:p w:rsidR="006A3FAE" w:rsidP="006A3FAE" w:rsidRDefault="006A3FAE" w14:paraId="37C6F1E4" w14:textId="77777777">
            <w:pPr>
              <w:rPr>
                <w:b/>
                <w:bCs/>
                <w:lang w:val="it-IT"/>
              </w:rPr>
            </w:pPr>
          </w:p>
          <w:p w:rsidR="006A3FAE" w:rsidP="006A3FAE" w:rsidRDefault="006A3FAE" w14:paraId="663A7917" w14:textId="77777777">
            <w:pPr>
              <w:pBdr>
                <w:top w:val="nil"/>
                <w:left w:val="nil"/>
                <w:bottom w:val="nil"/>
                <w:right w:val="nil"/>
                <w:between w:val="nil"/>
                <w:bar w:val="nil"/>
              </w:pBdr>
              <w:spacing w:line="276" w:lineRule="auto"/>
              <w:ind w:right="20"/>
              <w:jc w:val="both"/>
              <w:rPr>
                <w:iCs/>
                <w:color w:val="000000" w:themeColor="text1"/>
                <w:szCs w:val="24"/>
              </w:rPr>
            </w:pPr>
            <w:r w:rsidRPr="00F74152">
              <w:rPr>
                <w:color w:val="000000" w:themeColor="text1"/>
                <w:szCs w:val="24"/>
              </w:rPr>
              <w:t>Për aksionarët, zbatimi i këtyre rregulloreve do të përmirësojë mbrojtjen e të drejtave të tyre dhe do të sigurojë një mjedis ligjor më të sigurt dhe më të qartë. Kjo do të rrisë besimin e investitorëve, duke u siguruar atyre mundësi për të ushtruar të drejtat e tyre në mënyrë të transparencës dhe të rregulluar, duke kontribuar në stabilitetin e tregut dhe duke rritur besimin në strukturat korporative.</w:t>
            </w:r>
            <w:r w:rsidRPr="0059302C">
              <w:rPr>
                <w:iCs/>
                <w:color w:val="000000" w:themeColor="text1"/>
                <w:szCs w:val="24"/>
              </w:rPr>
              <w:t xml:space="preserve"> </w:t>
            </w:r>
          </w:p>
          <w:p w:rsidR="006A3FAE" w:rsidP="006A3FAE" w:rsidRDefault="006A3FAE" w14:paraId="6C444936" w14:textId="77777777">
            <w:pPr>
              <w:pBdr>
                <w:top w:val="nil"/>
                <w:left w:val="nil"/>
                <w:bottom w:val="nil"/>
                <w:right w:val="nil"/>
                <w:between w:val="nil"/>
                <w:bar w:val="nil"/>
              </w:pBdr>
              <w:spacing w:line="276" w:lineRule="auto"/>
              <w:ind w:right="20"/>
              <w:jc w:val="both"/>
              <w:rPr>
                <w:iCs/>
                <w:color w:val="000000" w:themeColor="text1"/>
                <w:szCs w:val="24"/>
              </w:rPr>
            </w:pPr>
          </w:p>
          <w:p w:rsidRPr="00990D4F" w:rsidR="006A3FAE" w:rsidP="006A3FAE" w:rsidRDefault="006A3FAE" w14:paraId="12B97F00" w14:textId="77777777">
            <w:pPr>
              <w:pBdr>
                <w:top w:val="nil"/>
                <w:left w:val="nil"/>
                <w:bottom w:val="nil"/>
                <w:right w:val="nil"/>
                <w:between w:val="nil"/>
                <w:bar w:val="nil"/>
              </w:pBdr>
              <w:spacing w:line="276" w:lineRule="auto"/>
              <w:ind w:right="20"/>
              <w:jc w:val="both"/>
              <w:rPr>
                <w:color w:val="000000" w:themeColor="text1"/>
                <w:szCs w:val="24"/>
              </w:rPr>
            </w:pPr>
            <w:r w:rsidRPr="00990D4F">
              <w:rPr>
                <w:color w:val="000000" w:themeColor="text1"/>
                <w:szCs w:val="24"/>
              </w:rPr>
              <w:t>Këto ndryshime nuk do të prekin vetëm kuadrin ligjor dhe rregullator, por do të luajnë gjithashtu një rol kyç në përmirësimin e mjedisit të biznesit në Shqipëri, rritjen e tërheqjes për investimet e huaja  dhe përshpejtimin e integrimit të Shqipërisë në BE. Kjo pjesë do të vlerësojë ndikimet ekonomike, sociale dhe institucionale të pritura, duke marrë parasysh si efektet afatshkurtra ashtu edhe ato afatgjata, si dhe kostot dhe përfitimet e mundshme që lidhen me secilin opsion të politikës.</w:t>
            </w:r>
          </w:p>
          <w:p w:rsidRPr="00A836ED" w:rsidR="006A3FAE" w:rsidP="006A3FAE" w:rsidRDefault="006A3FAE" w14:paraId="7149E981" w14:textId="77777777">
            <w:pPr>
              <w:rPr>
                <w:b/>
                <w:bCs/>
              </w:rPr>
            </w:pPr>
          </w:p>
          <w:p w:rsidR="006A3FAE" w:rsidP="006A3FAE" w:rsidRDefault="006A3FAE" w14:paraId="3B8FF725" w14:textId="77777777">
            <w:pPr>
              <w:rPr>
                <w:b/>
                <w:bCs/>
                <w:lang w:val="it-IT"/>
              </w:rPr>
            </w:pPr>
            <w:r w:rsidRPr="003D6D8E">
              <w:rPr>
                <w:b/>
                <w:bCs/>
                <w:lang w:val="it-IT"/>
              </w:rPr>
              <w:t>Ndikime ekonomike:</w:t>
            </w:r>
          </w:p>
          <w:p w:rsidRPr="003D6D8E" w:rsidR="006A3FAE" w:rsidP="006A3FAE" w:rsidRDefault="006A3FAE" w14:paraId="1D0914E5" w14:textId="77777777">
            <w:pPr>
              <w:rPr>
                <w:lang w:val="it-IT"/>
              </w:rPr>
            </w:pPr>
          </w:p>
          <w:p w:rsidRPr="003D6D8E" w:rsidR="006A3FAE" w:rsidRDefault="006A3FAE" w14:paraId="00734F7D" w14:textId="77777777">
            <w:pPr>
              <w:numPr>
                <w:ilvl w:val="0"/>
                <w:numId w:val="34"/>
              </w:numPr>
              <w:jc w:val="both"/>
              <w:rPr>
                <w:lang w:val="it-IT"/>
              </w:rPr>
            </w:pPr>
            <w:r w:rsidRPr="003D6D8E">
              <w:rPr>
                <w:lang w:val="it-IT"/>
              </w:rPr>
              <w:t>Siguria e kapitalit: Rritja e transparencës dhe mbrojtja e të drejtave të aksionarëve të pakicës ul rreziqet financiare dhe përmirëson qasjen në kapitale të huaja.</w:t>
            </w:r>
          </w:p>
          <w:p w:rsidRPr="003D6D8E" w:rsidR="006A3FAE" w:rsidRDefault="006A3FAE" w14:paraId="62BD2E06" w14:textId="77777777">
            <w:pPr>
              <w:numPr>
                <w:ilvl w:val="0"/>
                <w:numId w:val="34"/>
              </w:numPr>
              <w:jc w:val="both"/>
              <w:rPr>
                <w:lang w:val="it-IT"/>
              </w:rPr>
            </w:pPr>
            <w:r w:rsidRPr="003D6D8E">
              <w:rPr>
                <w:lang w:val="it-IT"/>
              </w:rPr>
              <w:t>Stabiliteti i tregut: Standardizimi i procedurave ndërkufitare përmirëson besueshmërinë e operacioneve dhe redukton pasigurinë e tregut.</w:t>
            </w:r>
          </w:p>
          <w:p w:rsidRPr="00A836ED" w:rsidR="006A3FAE" w:rsidP="006A3FAE" w:rsidRDefault="006A3FAE" w14:paraId="0E9B7E31" w14:textId="77777777">
            <w:pPr>
              <w:rPr>
                <w:b/>
                <w:bCs/>
                <w:lang w:val="it-IT"/>
              </w:rPr>
            </w:pPr>
          </w:p>
          <w:p w:rsidRPr="00A32E1F" w:rsidR="006A3FAE" w:rsidP="006A3FAE" w:rsidRDefault="006A3FAE" w14:paraId="7E44CCDA" w14:textId="77777777">
            <w:pPr>
              <w:rPr>
                <w:lang w:val="it-IT"/>
              </w:rPr>
            </w:pPr>
            <w:r w:rsidRPr="00A32E1F">
              <w:rPr>
                <w:b/>
                <w:bCs/>
                <w:lang w:val="it-IT"/>
              </w:rPr>
              <w:t>Ndikime sociale:</w:t>
            </w:r>
          </w:p>
          <w:p w:rsidRPr="00A32E1F" w:rsidR="006A3FAE" w:rsidP="006A3FAE" w:rsidRDefault="006A3FAE" w14:paraId="3073CA19" w14:textId="77777777">
            <w:pPr>
              <w:jc w:val="both"/>
              <w:rPr>
                <w:lang w:val="it-IT"/>
              </w:rPr>
            </w:pPr>
            <w:r w:rsidRPr="00A32E1F">
              <w:rPr>
                <w:lang w:val="it-IT"/>
              </w:rPr>
              <w:t>Përmirësimi i drejtësisë dhe transparencës: Aksionarët mund të ushtrojnë të drejtat e tyre në mënyrë të rregulluar dhe të parashikueshme, duke ndihmuar në rritjen e kulturës së përgjegjësisë korporative.</w:t>
            </w:r>
          </w:p>
          <w:p w:rsidRPr="00A32E1F" w:rsidR="006A3FAE" w:rsidP="006A3FAE" w:rsidRDefault="006A3FAE" w14:paraId="651CE125" w14:textId="77777777">
            <w:pPr>
              <w:jc w:val="both"/>
              <w:rPr>
                <w:lang w:val="it-IT"/>
              </w:rPr>
            </w:pPr>
          </w:p>
          <w:p w:rsidR="006A3FAE" w:rsidP="006A3FAE" w:rsidRDefault="006A3FAE" w14:paraId="1FF62DE6" w14:textId="77777777">
            <w:pPr>
              <w:rPr>
                <w:b/>
                <w:bCs/>
                <w:lang w:val="en-US"/>
              </w:rPr>
            </w:pPr>
            <w:r w:rsidRPr="003D6D8E">
              <w:rPr>
                <w:b/>
                <w:bCs/>
                <w:lang w:val="en-US"/>
              </w:rPr>
              <w:t>Ndikime financiare:</w:t>
            </w:r>
          </w:p>
          <w:p w:rsidRPr="003D6D8E" w:rsidR="006A3FAE" w:rsidP="006A3FAE" w:rsidRDefault="006A3FAE" w14:paraId="424B81C8" w14:textId="77777777">
            <w:pPr>
              <w:rPr>
                <w:lang w:val="en-US"/>
              </w:rPr>
            </w:pPr>
          </w:p>
          <w:p w:rsidRPr="003D6D8E" w:rsidR="006A3FAE" w:rsidRDefault="006A3FAE" w14:paraId="65BEBC75" w14:textId="77777777">
            <w:pPr>
              <w:numPr>
                <w:ilvl w:val="0"/>
                <w:numId w:val="35"/>
              </w:numPr>
              <w:jc w:val="both"/>
              <w:rPr>
                <w:lang w:val="en-US"/>
              </w:rPr>
            </w:pPr>
            <w:r w:rsidRPr="003D6D8E">
              <w:rPr>
                <w:lang w:val="en-US"/>
              </w:rPr>
              <w:t>Rritja e të ardhurave nga investimet: Përfitimet nga investimet bëhen më të qarta dhe më të sigurta, duke nxitur investime të mëtejshme.</w:t>
            </w:r>
          </w:p>
          <w:p w:rsidRPr="003D6D8E" w:rsidR="006A3FAE" w:rsidRDefault="006A3FAE" w14:paraId="6150B66F" w14:textId="77777777">
            <w:pPr>
              <w:numPr>
                <w:ilvl w:val="0"/>
                <w:numId w:val="35"/>
              </w:numPr>
              <w:jc w:val="both"/>
              <w:rPr>
                <w:lang w:val="en-US"/>
              </w:rPr>
            </w:pPr>
            <w:r w:rsidRPr="003D6D8E">
              <w:rPr>
                <w:lang w:val="en-US"/>
              </w:rPr>
              <w:t>Reduktimi i humbjeve: Masat për mbrojtjen e aksionarëve zvogëlojnë mundësinë e abuzimeve ose keqpërdorimit të kapitalit.</w:t>
            </w:r>
          </w:p>
          <w:p w:rsidR="006A3FAE" w:rsidP="006A3FAE" w:rsidRDefault="006A3FAE" w14:paraId="7073A9AC" w14:textId="77777777">
            <w:pPr>
              <w:rPr>
                <w:b/>
                <w:bCs/>
                <w:lang w:val="en-US"/>
              </w:rPr>
            </w:pPr>
          </w:p>
          <w:p w:rsidR="006A3FAE" w:rsidP="006A3FAE" w:rsidRDefault="006A3FAE" w14:paraId="20411429" w14:textId="77777777">
            <w:pPr>
              <w:rPr>
                <w:b/>
                <w:bCs/>
                <w:lang w:val="en-US"/>
              </w:rPr>
            </w:pPr>
            <w:r w:rsidRPr="003D6D8E">
              <w:rPr>
                <w:b/>
                <w:bCs/>
                <w:lang w:val="en-US"/>
              </w:rPr>
              <w:t>Ndikime jo të drejtpërdrejta:</w:t>
            </w:r>
          </w:p>
          <w:p w:rsidRPr="003D6D8E" w:rsidR="006A3FAE" w:rsidP="006A3FAE" w:rsidRDefault="006A3FAE" w14:paraId="7BAF394A" w14:textId="77777777">
            <w:pPr>
              <w:rPr>
                <w:lang w:val="en-US"/>
              </w:rPr>
            </w:pPr>
          </w:p>
          <w:p w:rsidRPr="003D6D8E" w:rsidR="006A3FAE" w:rsidRDefault="006A3FAE" w14:paraId="0C35C844" w14:textId="77777777">
            <w:pPr>
              <w:numPr>
                <w:ilvl w:val="0"/>
                <w:numId w:val="36"/>
              </w:numPr>
              <w:jc w:val="both"/>
              <w:rPr>
                <w:lang w:val="it-IT"/>
              </w:rPr>
            </w:pPr>
            <w:r w:rsidRPr="003D6D8E">
              <w:rPr>
                <w:lang w:val="it-IT"/>
              </w:rPr>
              <w:t>Besimi afatgjatë: Përmirësimi i kuadrit ligjor rrit besimin e tregut dhe stabilitetin e ekosistemit të investimeve.</w:t>
            </w:r>
          </w:p>
          <w:p w:rsidRPr="003D6D8E" w:rsidR="006A3FAE" w:rsidRDefault="006A3FAE" w14:paraId="0650A043" w14:textId="77777777">
            <w:pPr>
              <w:numPr>
                <w:ilvl w:val="0"/>
                <w:numId w:val="36"/>
              </w:numPr>
              <w:jc w:val="both"/>
              <w:rPr>
                <w:lang w:val="it-IT"/>
              </w:rPr>
            </w:pPr>
            <w:r w:rsidRPr="003D6D8E">
              <w:rPr>
                <w:lang w:val="it-IT"/>
              </w:rPr>
              <w:t>Përforcimi i marrëdhënieve ndërkombëtare: Investitorët e huaj do të ndihen më të sigurt për të hyrë në tregun shqiptar, duke përmirësuar reputacionin e vendit.</w:t>
            </w:r>
          </w:p>
          <w:p w:rsidRPr="00A836ED" w:rsidR="006A3FAE" w:rsidP="006A3FAE" w:rsidRDefault="006A3FAE" w14:paraId="5E20EFB9" w14:textId="77777777">
            <w:pPr>
              <w:jc w:val="both"/>
              <w:rPr>
                <w:lang w:val="it-IT"/>
              </w:rPr>
            </w:pPr>
          </w:p>
          <w:p w:rsidRPr="00A836ED" w:rsidR="006A3FAE" w:rsidP="006A3FAE" w:rsidRDefault="006A3FAE" w14:paraId="30996DB1" w14:textId="77777777">
            <w:pPr>
              <w:rPr>
                <w:b/>
                <w:bCs/>
                <w:lang w:val="it-IT"/>
              </w:rPr>
            </w:pPr>
            <w:r w:rsidRPr="00A836ED">
              <w:rPr>
                <w:b/>
                <w:bCs/>
                <w:lang w:val="it-IT"/>
              </w:rPr>
              <w:t>4. Publiku dhe shoqëria civile</w:t>
            </w:r>
          </w:p>
          <w:p w:rsidRPr="00A836ED" w:rsidR="006A3FAE" w:rsidP="006A3FAE" w:rsidRDefault="006A3FAE" w14:paraId="0911DED8" w14:textId="77777777">
            <w:pPr>
              <w:rPr>
                <w:b/>
                <w:bCs/>
                <w:lang w:val="it-IT"/>
              </w:rPr>
            </w:pPr>
          </w:p>
          <w:p w:rsidRPr="00A836ED" w:rsidR="006A3FAE" w:rsidP="006A3FAE" w:rsidRDefault="006A3FAE" w14:paraId="0D9EB926" w14:textId="77777777">
            <w:pPr>
              <w:rPr>
                <w:lang w:val="it-IT"/>
              </w:rPr>
            </w:pPr>
            <w:r w:rsidRPr="00A836ED">
              <w:rPr>
                <w:b/>
                <w:bCs/>
                <w:lang w:val="it-IT"/>
              </w:rPr>
              <w:t>Ndikime ekonomike:</w:t>
            </w:r>
          </w:p>
          <w:p w:rsidRPr="00A836ED" w:rsidR="006A3FAE" w:rsidP="006A3FAE" w:rsidRDefault="006A3FAE" w14:paraId="1D318E85" w14:textId="77777777">
            <w:pPr>
              <w:rPr>
                <w:b/>
                <w:bCs/>
                <w:lang w:val="it-IT"/>
              </w:rPr>
            </w:pPr>
          </w:p>
          <w:p w:rsidRPr="00A836ED" w:rsidR="006A3FAE" w:rsidP="006A3FAE" w:rsidRDefault="006A3FAE" w14:paraId="11354223" w14:textId="77777777">
            <w:pPr>
              <w:jc w:val="both"/>
              <w:rPr>
                <w:lang w:val="it-IT"/>
              </w:rPr>
            </w:pPr>
            <w:r w:rsidRPr="00A836ED">
              <w:rPr>
                <w:lang w:val="it-IT"/>
              </w:rPr>
              <w:t>Përfitimet indirekte nga zhvillimi ekonomik: Rritja e investimeve dhe aktivitetit ndërkombëtar mund të krijojë vende pune dhe të rrisë të ardhurat kombëtare.</w:t>
            </w:r>
          </w:p>
          <w:p w:rsidRPr="00A836ED" w:rsidR="006A3FAE" w:rsidP="006A3FAE" w:rsidRDefault="006A3FAE" w14:paraId="4336E692" w14:textId="77777777">
            <w:pPr>
              <w:jc w:val="both"/>
              <w:rPr>
                <w:lang w:val="it-IT"/>
              </w:rPr>
            </w:pPr>
          </w:p>
          <w:p w:rsidR="006A3FAE" w:rsidP="006A3FAE" w:rsidRDefault="006A3FAE" w14:paraId="2C384F2C" w14:textId="77777777">
            <w:pPr>
              <w:rPr>
                <w:b/>
                <w:bCs/>
                <w:lang w:val="en-US"/>
              </w:rPr>
            </w:pPr>
            <w:r w:rsidRPr="003D6D8E">
              <w:rPr>
                <w:b/>
                <w:bCs/>
                <w:lang w:val="en-US"/>
              </w:rPr>
              <w:t>Ndikime sociale:</w:t>
            </w:r>
          </w:p>
          <w:p w:rsidRPr="003D6D8E" w:rsidR="006A3FAE" w:rsidP="006A3FAE" w:rsidRDefault="006A3FAE" w14:paraId="0742268D" w14:textId="77777777">
            <w:pPr>
              <w:rPr>
                <w:lang w:val="en-US"/>
              </w:rPr>
            </w:pPr>
          </w:p>
          <w:p w:rsidRPr="003D6D8E" w:rsidR="006A3FAE" w:rsidRDefault="006A3FAE" w14:paraId="0FCDA15A" w14:textId="77777777">
            <w:pPr>
              <w:numPr>
                <w:ilvl w:val="0"/>
                <w:numId w:val="37"/>
              </w:numPr>
              <w:jc w:val="both"/>
              <w:rPr>
                <w:lang w:val="en-US"/>
              </w:rPr>
            </w:pPr>
            <w:r w:rsidRPr="003D6D8E">
              <w:rPr>
                <w:lang w:val="en-US"/>
              </w:rPr>
              <w:t>Rritja e transparencës dhe llogaridhënies: Standardizimi i procedurave dhe rregullat për njoftimin publik sigurojnë që shoqëria civile të ketë qasje në informacion dhe mundësi për të ndikuar në praktikat korporative.</w:t>
            </w:r>
          </w:p>
          <w:p w:rsidRPr="003D6D8E" w:rsidR="006A3FAE" w:rsidRDefault="006A3FAE" w14:paraId="5EB3C107" w14:textId="77777777">
            <w:pPr>
              <w:numPr>
                <w:ilvl w:val="0"/>
                <w:numId w:val="37"/>
              </w:numPr>
              <w:jc w:val="both"/>
              <w:rPr>
                <w:lang w:val="en-US"/>
              </w:rPr>
            </w:pPr>
            <w:r w:rsidRPr="003D6D8E">
              <w:rPr>
                <w:lang w:val="en-US"/>
              </w:rPr>
              <w:t>Përmirësimi i praktikave të qeverisjes korporative: Një ambient më transparent i jep publikut siguri dhe rrit besimin në sistemin ekonomik dhe ligjor.</w:t>
            </w:r>
          </w:p>
          <w:p w:rsidR="006A3FAE" w:rsidP="006A3FAE" w:rsidRDefault="006A3FAE" w14:paraId="31010063" w14:textId="77777777">
            <w:pPr>
              <w:rPr>
                <w:b/>
                <w:bCs/>
                <w:lang w:val="en-US"/>
              </w:rPr>
            </w:pPr>
          </w:p>
          <w:p w:rsidR="006A3FAE" w:rsidP="006A3FAE" w:rsidRDefault="006A3FAE" w14:paraId="0E789D73" w14:textId="77777777">
            <w:pPr>
              <w:rPr>
                <w:b/>
                <w:bCs/>
                <w:lang w:val="en-US"/>
              </w:rPr>
            </w:pPr>
            <w:r w:rsidRPr="003D6D8E">
              <w:rPr>
                <w:b/>
                <w:bCs/>
                <w:lang w:val="en-US"/>
              </w:rPr>
              <w:t>Ndikime financiare:</w:t>
            </w:r>
          </w:p>
          <w:p w:rsidRPr="003D6D8E" w:rsidR="006A3FAE" w:rsidP="006A3FAE" w:rsidRDefault="006A3FAE" w14:paraId="443D0331" w14:textId="77777777">
            <w:pPr>
              <w:rPr>
                <w:lang w:val="en-US"/>
              </w:rPr>
            </w:pPr>
          </w:p>
          <w:p w:rsidRPr="003D6D8E" w:rsidR="006A3FAE" w:rsidP="006A3FAE" w:rsidRDefault="006A3FAE" w14:paraId="73B05467" w14:textId="77777777">
            <w:pPr>
              <w:rPr>
                <w:lang w:val="en-US"/>
              </w:rPr>
            </w:pPr>
            <w:r w:rsidRPr="003D6D8E">
              <w:rPr>
                <w:lang w:val="en-US"/>
              </w:rPr>
              <w:t>Përfitimet indirekte nga rritja e aktivitetit ekonomik: Një treg më i shëndetshëm dhe investime të reja rrisin të ardhurat e taksave dhe stabilitetin buxhetor.</w:t>
            </w:r>
          </w:p>
          <w:p w:rsidRPr="003D6D8E" w:rsidR="006A3FAE" w:rsidP="006A3FAE" w:rsidRDefault="006A3FAE" w14:paraId="4EA2D8F2" w14:textId="77777777">
            <w:pPr>
              <w:rPr>
                <w:lang w:val="en-US"/>
              </w:rPr>
            </w:pPr>
          </w:p>
          <w:p w:rsidRPr="00A836ED" w:rsidR="006A3FAE" w:rsidP="006A3FAE" w:rsidRDefault="006A3FAE" w14:paraId="58699A8C"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A836ED">
              <w:rPr>
                <w:b/>
                <w:bCs/>
                <w:color w:val="000000" w:themeColor="text1"/>
                <w:szCs w:val="24"/>
                <w:lang w:val="it-IT"/>
              </w:rPr>
              <w:t>4. Shoqëria civile dhe sektori i mbikëqyrjes</w:t>
            </w:r>
          </w:p>
          <w:p w:rsidRPr="00715340" w:rsidR="006A3FAE" w:rsidP="006A3FAE" w:rsidRDefault="006A3FAE" w14:paraId="665AD682"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6A3FAE" w:rsidRDefault="006A3FAE" w14:paraId="45E41769" w14:textId="77777777">
            <w:pPr>
              <w:numPr>
                <w:ilvl w:val="0"/>
                <w:numId w:val="38"/>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Ndikimi ekonomik është indirekt, përmes përmirësimit të mjedisit të biznesit dhe rritjes së investimeve. Një treg më transparent dhe i harmonizuar mund të rrisë aktivitetin ekonomik dhe të gjenerojë burime të reja për projekte sociale dhe monitorim.</w:t>
            </w:r>
          </w:p>
          <w:p w:rsidRPr="00715340" w:rsidR="006A3FAE" w:rsidP="006A3FAE" w:rsidRDefault="006A3FAE" w14:paraId="5A62FD58"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6A3FAE" w:rsidRDefault="006A3FAE" w14:paraId="229E0FE2" w14:textId="77777777">
            <w:pPr>
              <w:numPr>
                <w:ilvl w:val="0"/>
                <w:numId w:val="3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Rritja e transparencës dhe qartësisë ligjore i jep shoqërisë civile mundësi për të monitoruar praktikat e korporatave dhe të raportojë në mënyrë të pavarur për keqpërdorimet ose mosrespektimin e rregullave.</w:t>
            </w:r>
          </w:p>
          <w:p w:rsidRPr="00715340" w:rsidR="006A3FAE" w:rsidRDefault="006A3FAE" w14:paraId="24D40EB2" w14:textId="77777777">
            <w:pPr>
              <w:numPr>
                <w:ilvl w:val="0"/>
                <w:numId w:val="3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Forcimi i llogaridhënies së bizneseve dhe institucioneve shtetërore kontribuon në përmirësimin e besimit publik dhe promovon kulturën e përgjegjësisë.</w:t>
            </w:r>
          </w:p>
          <w:p w:rsidRPr="00715340" w:rsidR="006A3FAE" w:rsidP="006A3FAE" w:rsidRDefault="006A3FAE" w14:paraId="764481FA"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715340" w:rsidR="006A3FAE" w:rsidRDefault="006A3FAE" w14:paraId="3D3B4051" w14:textId="77777777">
            <w:pPr>
              <w:numPr>
                <w:ilvl w:val="0"/>
                <w:numId w:val="40"/>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Përdorimi i informacionit të qasshëm nga regjistrat e harmonizuar mund të mundësojë analizë më të mirë të tregut dhe projektimit të politikave publike, duke optimizuar përdorimin e fondeve për monitorim dhe mbështetje institucionale.</w:t>
            </w:r>
          </w:p>
          <w:p w:rsidRPr="00715340" w:rsidR="006A3FAE" w:rsidP="006A3FAE" w:rsidRDefault="006A3FAE" w14:paraId="251F3DDE" w14:textId="77777777">
            <w:pPr>
              <w:pBdr>
                <w:top w:val="nil"/>
                <w:left w:val="nil"/>
                <w:bottom w:val="nil"/>
                <w:right w:val="nil"/>
                <w:between w:val="nil"/>
                <w:bar w:val="nil"/>
              </w:pBdr>
              <w:spacing w:line="276" w:lineRule="auto"/>
              <w:ind w:right="20"/>
              <w:jc w:val="both"/>
              <w:rPr>
                <w:color w:val="000000" w:themeColor="text1"/>
                <w:szCs w:val="24"/>
                <w:lang w:val="en-US"/>
              </w:rPr>
            </w:pPr>
          </w:p>
          <w:p w:rsidRPr="00A836ED" w:rsidR="006A3FAE" w:rsidP="006A3FAE" w:rsidRDefault="006A3FAE" w14:paraId="3A952A57"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A836ED">
              <w:rPr>
                <w:b/>
                <w:bCs/>
                <w:color w:val="000000" w:themeColor="text1"/>
                <w:szCs w:val="24"/>
                <w:lang w:val="it-IT"/>
              </w:rPr>
              <w:t>5. Investitorët e huaj dhe ata vendas</w:t>
            </w:r>
          </w:p>
          <w:p w:rsidRPr="00715340" w:rsidR="006A3FAE" w:rsidP="006A3FAE" w:rsidRDefault="006A3FAE" w14:paraId="07862A65"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A836ED" w:rsidR="006A3FAE" w:rsidRDefault="006A3FAE" w14:paraId="41150F8D" w14:textId="77777777">
            <w:pPr>
              <w:numPr>
                <w:ilvl w:val="0"/>
                <w:numId w:val="41"/>
              </w:numPr>
              <w:pBdr>
                <w:top w:val="nil"/>
                <w:left w:val="nil"/>
                <w:bottom w:val="nil"/>
                <w:right w:val="nil"/>
                <w:between w:val="nil"/>
                <w:bar w:val="nil"/>
              </w:pBdr>
              <w:spacing w:line="276" w:lineRule="auto"/>
              <w:ind w:right="20"/>
              <w:jc w:val="both"/>
              <w:rPr>
                <w:color w:val="000000" w:themeColor="text1"/>
                <w:szCs w:val="24"/>
                <w:lang w:val="it-IT"/>
              </w:rPr>
            </w:pPr>
            <w:r w:rsidRPr="00A836ED">
              <w:rPr>
                <w:color w:val="000000" w:themeColor="text1"/>
                <w:szCs w:val="24"/>
                <w:lang w:val="it-IT"/>
              </w:rPr>
              <w:t>Përmirësimi i klimës së biznesit dhe harmonizimi me standardet e BE-së rrit besimin e investitorëve dhe mundësinë e investimeve të reja.</w:t>
            </w:r>
          </w:p>
          <w:p w:rsidRPr="00A836ED" w:rsidR="006A3FAE" w:rsidRDefault="006A3FAE" w14:paraId="60026A2A" w14:textId="77777777">
            <w:pPr>
              <w:numPr>
                <w:ilvl w:val="0"/>
                <w:numId w:val="41"/>
              </w:numPr>
              <w:pBdr>
                <w:top w:val="nil"/>
                <w:left w:val="nil"/>
                <w:bottom w:val="nil"/>
                <w:right w:val="nil"/>
                <w:between w:val="nil"/>
                <w:bar w:val="nil"/>
              </w:pBdr>
              <w:spacing w:line="276" w:lineRule="auto"/>
              <w:ind w:right="20"/>
              <w:jc w:val="both"/>
              <w:rPr>
                <w:color w:val="000000" w:themeColor="text1"/>
                <w:szCs w:val="24"/>
                <w:lang w:val="it-IT"/>
              </w:rPr>
            </w:pPr>
            <w:r w:rsidRPr="00A836ED">
              <w:rPr>
                <w:color w:val="000000" w:themeColor="text1"/>
                <w:szCs w:val="24"/>
                <w:lang w:val="it-IT"/>
              </w:rPr>
              <w:t>Procedurat standarde për transformime, bashkime dhe ndarje ndërkufitare lehtësojnë hyrjen dhe daljen e kapitalit, duke krijuar mundësi për zgjerim dhe diversifikim të portofolit të investimeve.</w:t>
            </w:r>
          </w:p>
          <w:p w:rsidRPr="00715340" w:rsidR="006A3FAE" w:rsidP="006A3FAE" w:rsidRDefault="006A3FAE" w14:paraId="57AFB435"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6A3FAE" w:rsidRDefault="006A3FAE" w14:paraId="0AA14520" w14:textId="77777777">
            <w:pPr>
              <w:numPr>
                <w:ilvl w:val="0"/>
                <w:numId w:val="42"/>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Siguria e investimeve dhe parashikueshmëria e kuadrit ligjor forcojnë marrëdhëniet ndërkombëtare dhe reputacionin e vendit si destinacion investimi të besueshëm.</w:t>
            </w:r>
          </w:p>
          <w:p w:rsidRPr="00715340" w:rsidR="006A3FAE" w:rsidP="006A3FAE" w:rsidRDefault="006A3FAE" w14:paraId="67E5975E"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A836ED" w:rsidR="006A3FAE" w:rsidRDefault="006A3FAE" w14:paraId="6DECDA92" w14:textId="77777777">
            <w:pPr>
              <w:numPr>
                <w:ilvl w:val="0"/>
                <w:numId w:val="43"/>
              </w:numPr>
              <w:pBdr>
                <w:top w:val="nil"/>
                <w:left w:val="nil"/>
                <w:bottom w:val="nil"/>
                <w:right w:val="nil"/>
                <w:between w:val="nil"/>
                <w:bar w:val="nil"/>
              </w:pBdr>
              <w:spacing w:line="276" w:lineRule="auto"/>
              <w:ind w:right="20"/>
              <w:jc w:val="both"/>
              <w:rPr>
                <w:color w:val="000000" w:themeColor="text1"/>
                <w:szCs w:val="24"/>
                <w:lang w:val="it-IT"/>
              </w:rPr>
            </w:pPr>
            <w:r w:rsidRPr="00A836ED">
              <w:rPr>
                <w:color w:val="000000" w:themeColor="text1"/>
                <w:szCs w:val="24"/>
                <w:lang w:val="it-IT"/>
              </w:rPr>
              <w:t>Reduktimi i kostove transaksionale dhe zvogëlimi i rrezikut ligjor rrisin kthimin e investimeve.</w:t>
            </w:r>
          </w:p>
          <w:p w:rsidRPr="00A836ED" w:rsidR="006A3FAE" w:rsidRDefault="006A3FAE" w14:paraId="328A02AF" w14:textId="77777777">
            <w:pPr>
              <w:numPr>
                <w:ilvl w:val="0"/>
                <w:numId w:val="43"/>
              </w:numPr>
              <w:pBdr>
                <w:top w:val="nil"/>
                <w:left w:val="nil"/>
                <w:bottom w:val="nil"/>
                <w:right w:val="nil"/>
                <w:between w:val="nil"/>
                <w:bar w:val="nil"/>
              </w:pBdr>
              <w:spacing w:line="276" w:lineRule="auto"/>
              <w:ind w:right="20"/>
              <w:jc w:val="both"/>
              <w:rPr>
                <w:color w:val="000000" w:themeColor="text1"/>
                <w:szCs w:val="24"/>
                <w:lang w:val="it-IT"/>
              </w:rPr>
            </w:pPr>
            <w:r w:rsidRPr="00A836ED">
              <w:rPr>
                <w:color w:val="000000" w:themeColor="text1"/>
                <w:szCs w:val="24"/>
                <w:lang w:val="it-IT"/>
              </w:rPr>
              <w:t>Rritja e Investimeve të Huaja Direkte (FDI) ka efekt pozitiv edhe në të ardhurat buxhetore përmes taksave dhe kontribuimeve të lidhura me aktivitetin ekonomik.</w:t>
            </w:r>
          </w:p>
          <w:p w:rsidRPr="00A32E1F" w:rsidR="006A3FAE" w:rsidP="006A3FAE" w:rsidRDefault="006A3FAE" w14:paraId="7395BFEC" w14:textId="77777777">
            <w:pPr>
              <w:pBdr>
                <w:top w:val="nil"/>
                <w:left w:val="nil"/>
                <w:bottom w:val="nil"/>
                <w:right w:val="nil"/>
                <w:between w:val="nil"/>
                <w:bar w:val="nil"/>
              </w:pBdr>
              <w:spacing w:line="276" w:lineRule="auto"/>
              <w:ind w:right="20"/>
              <w:jc w:val="both"/>
              <w:rPr>
                <w:color w:val="000000" w:themeColor="text1"/>
                <w:szCs w:val="24"/>
                <w:lang w:val="it-IT"/>
              </w:rPr>
            </w:pPr>
          </w:p>
          <w:p w:rsidRPr="00A32E1F" w:rsidR="006A3FAE" w:rsidP="006A3FAE" w:rsidRDefault="006A3FAE" w14:paraId="52F0C475"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A32E1F">
              <w:rPr>
                <w:b/>
                <w:bCs/>
                <w:color w:val="000000" w:themeColor="text1"/>
                <w:szCs w:val="24"/>
                <w:lang w:val="it-IT"/>
              </w:rPr>
              <w:t>6. Profesionalët ligjorë (avokatë, konsulentë, këshilltarë të biznesit)</w:t>
            </w:r>
          </w:p>
          <w:p w:rsidRPr="00715340" w:rsidR="006A3FAE" w:rsidP="006A3FAE" w:rsidRDefault="006A3FAE" w14:paraId="79ADA2ED"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6A3FAE" w:rsidRDefault="006A3FAE" w14:paraId="155069EB" w14:textId="77777777">
            <w:pPr>
              <w:numPr>
                <w:ilvl w:val="0"/>
                <w:numId w:val="44"/>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Rritja e kërkesës për këshillim ligjor për procedurat e transformimit, bashkimeve dhe ndarjeve ndërkufitare krijon mundësi të reja për aktivitet profesional dhe fitime të shtuar.</w:t>
            </w:r>
          </w:p>
          <w:p w:rsidRPr="00715340" w:rsidR="006A3FAE" w:rsidP="006A3FAE" w:rsidRDefault="006A3FAE" w14:paraId="48FC0DC0"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6A3FAE" w:rsidRDefault="006A3FAE" w14:paraId="08A84D21" w14:textId="77777777">
            <w:pPr>
              <w:numPr>
                <w:ilvl w:val="0"/>
                <w:numId w:val="45"/>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Forcimi i njohurive dhe kompetencave të profesionistëve ligjorë kontribuon në një sistem më të besueshëm të ofrimit të shërbimeve dhe përmirëson cilësinë e këshillimit për bizneset dhe palët e interesuara.</w:t>
            </w:r>
          </w:p>
          <w:p w:rsidRPr="00715340" w:rsidR="006A3FAE" w:rsidP="006A3FAE" w:rsidRDefault="006A3FAE" w14:paraId="3BA39E51"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A836ED" w:rsidR="006A3FAE" w:rsidRDefault="006A3FAE" w14:paraId="0EFD4D2A" w14:textId="77777777">
            <w:pPr>
              <w:numPr>
                <w:ilvl w:val="0"/>
                <w:numId w:val="46"/>
              </w:numPr>
              <w:pBdr>
                <w:top w:val="nil"/>
                <w:left w:val="nil"/>
                <w:bottom w:val="nil"/>
                <w:right w:val="nil"/>
                <w:between w:val="nil"/>
                <w:bar w:val="nil"/>
              </w:pBdr>
              <w:spacing w:line="276" w:lineRule="auto"/>
              <w:ind w:right="20"/>
              <w:jc w:val="both"/>
              <w:rPr>
                <w:color w:val="000000" w:themeColor="text1"/>
                <w:szCs w:val="24"/>
                <w:lang w:val="it-IT"/>
              </w:rPr>
            </w:pPr>
            <w:r w:rsidRPr="00A836ED">
              <w:rPr>
                <w:color w:val="000000" w:themeColor="text1"/>
                <w:szCs w:val="24"/>
                <w:lang w:val="it-IT"/>
              </w:rPr>
              <w:t>Përfitime financiare direkte nga shërbimet e këshillimit dhe certifikimit.</w:t>
            </w:r>
          </w:p>
          <w:p w:rsidRPr="00A836ED" w:rsidR="006A3FAE" w:rsidRDefault="006A3FAE" w14:paraId="2685FF87" w14:textId="77777777">
            <w:pPr>
              <w:numPr>
                <w:ilvl w:val="0"/>
                <w:numId w:val="46"/>
              </w:numPr>
              <w:pBdr>
                <w:top w:val="nil"/>
                <w:left w:val="nil"/>
                <w:bottom w:val="nil"/>
                <w:right w:val="nil"/>
                <w:between w:val="nil"/>
                <w:bar w:val="nil"/>
              </w:pBdr>
              <w:spacing w:line="276" w:lineRule="auto"/>
              <w:ind w:right="20"/>
              <w:jc w:val="both"/>
              <w:rPr>
                <w:color w:val="000000" w:themeColor="text1"/>
                <w:szCs w:val="24"/>
                <w:lang w:val="it-IT"/>
              </w:rPr>
            </w:pPr>
            <w:r w:rsidRPr="00A836ED">
              <w:rPr>
                <w:color w:val="000000" w:themeColor="text1"/>
                <w:szCs w:val="24"/>
                <w:lang w:val="it-IT"/>
              </w:rPr>
              <w:t>Investimi në trajnime dhe certifikime shtesë për të qëndruar në përputhje me ligjin dhe standardet e BE-së mund të kërkojë shpenzime fillestare, por sjell rritje të kapaciteteve dhe të ardhurave afatgjata.</w:t>
            </w:r>
          </w:p>
          <w:p w:rsidRPr="00A32E1F" w:rsidR="006A3FAE" w:rsidP="006A3FAE" w:rsidRDefault="006A3FAE" w14:paraId="7DA8AB84" w14:textId="77777777">
            <w:pPr>
              <w:pBdr>
                <w:top w:val="nil"/>
                <w:left w:val="nil"/>
                <w:bottom w:val="nil"/>
                <w:right w:val="nil"/>
                <w:between w:val="nil"/>
                <w:bar w:val="nil"/>
              </w:pBdr>
              <w:spacing w:line="276" w:lineRule="auto"/>
              <w:ind w:right="20"/>
              <w:jc w:val="both"/>
              <w:rPr>
                <w:color w:val="000000" w:themeColor="text1"/>
                <w:szCs w:val="24"/>
                <w:lang w:val="it-IT"/>
              </w:rPr>
            </w:pPr>
          </w:p>
          <w:p w:rsidRPr="00A32E1F" w:rsidR="006A3FAE" w:rsidP="006A3FAE" w:rsidRDefault="006A3FAE" w14:paraId="4AC8E01D"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A32E1F">
              <w:rPr>
                <w:b/>
                <w:bCs/>
                <w:color w:val="000000" w:themeColor="text1"/>
                <w:szCs w:val="24"/>
                <w:lang w:val="it-IT"/>
              </w:rPr>
              <w:t>7. Aksionarët/ortakët (përfshirë aksionarët e pakicës)</w:t>
            </w:r>
          </w:p>
          <w:p w:rsidRPr="00715340" w:rsidR="006A3FAE" w:rsidP="006A3FAE" w:rsidRDefault="006A3FAE" w14:paraId="174A8770"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6A3FAE" w:rsidRDefault="006A3FAE" w14:paraId="213A916E" w14:textId="77777777">
            <w:pPr>
              <w:numPr>
                <w:ilvl w:val="0"/>
                <w:numId w:val="47"/>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Përmirësimi i transparencës dhe mbrojtja e të drejtave të aksionarëve e rrit besimin në treg, duke lehtësuar vendimet për investime dhe rritjen e kapitalit.</w:t>
            </w:r>
          </w:p>
          <w:p w:rsidRPr="00715340" w:rsidR="006A3FAE" w:rsidP="006A3FAE" w:rsidRDefault="006A3FAE" w14:paraId="5EE9F636"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6A3FAE" w:rsidRDefault="006A3FAE" w14:paraId="509759DF" w14:textId="77777777">
            <w:pPr>
              <w:numPr>
                <w:ilvl w:val="0"/>
                <w:numId w:val="48"/>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Siguria ligjore dhe qartësia e procedurave për pjesëmarrësit në shoqëri kontribuojnë në stabilitetin e marrëdhënieve brenda kompanive dhe parandalojnë konfliktet.</w:t>
            </w:r>
          </w:p>
          <w:p w:rsidRPr="00715340" w:rsidR="006A3FAE" w:rsidP="006A3FAE" w:rsidRDefault="006A3FAE" w14:paraId="595F9B33"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715340" w:rsidR="006A3FAE" w:rsidRDefault="006A3FAE" w14:paraId="43D1CF8A" w14:textId="77777777">
            <w:pPr>
              <w:numPr>
                <w:ilvl w:val="0"/>
                <w:numId w:val="4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Reduktimi i humbjeve të mundshme nga mosrespektimi i ligjit ose keqpërdorimet e aksionarëve të tjerë.</w:t>
            </w:r>
          </w:p>
          <w:p w:rsidRPr="00715340" w:rsidR="006A3FAE" w:rsidRDefault="006A3FAE" w14:paraId="6313BD11" w14:textId="77777777">
            <w:pPr>
              <w:numPr>
                <w:ilvl w:val="0"/>
                <w:numId w:val="4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Përfitime nga pjesëmarrja në ristrukturime ndërkufitare dhe bashkime, që mund të rrisin vlerën e aksioneve.</w:t>
            </w:r>
          </w:p>
          <w:p w:rsidRPr="00715340" w:rsidR="006A3FAE" w:rsidP="006A3FAE" w:rsidRDefault="006A3FAE" w14:paraId="07493083" w14:textId="77777777">
            <w:pPr>
              <w:pBdr>
                <w:top w:val="nil"/>
                <w:left w:val="nil"/>
                <w:bottom w:val="nil"/>
                <w:right w:val="nil"/>
                <w:between w:val="nil"/>
                <w:bar w:val="nil"/>
              </w:pBdr>
              <w:spacing w:line="276" w:lineRule="auto"/>
              <w:ind w:right="20"/>
              <w:jc w:val="both"/>
              <w:rPr>
                <w:color w:val="000000" w:themeColor="text1"/>
                <w:szCs w:val="24"/>
                <w:lang w:val="en-US"/>
              </w:rPr>
            </w:pPr>
          </w:p>
          <w:p w:rsidRPr="00715340" w:rsidR="006A3FAE" w:rsidP="006A3FAE" w:rsidRDefault="006A3FAE" w14:paraId="1DD6C452" w14:textId="77777777">
            <w:pPr>
              <w:pBdr>
                <w:top w:val="nil"/>
                <w:left w:val="nil"/>
                <w:bottom w:val="nil"/>
                <w:right w:val="nil"/>
                <w:between w:val="nil"/>
                <w:bar w:val="nil"/>
              </w:pBdr>
              <w:spacing w:line="276" w:lineRule="auto"/>
              <w:ind w:right="20"/>
              <w:jc w:val="both"/>
              <w:rPr>
                <w:b/>
                <w:bCs/>
                <w:color w:val="000000" w:themeColor="text1"/>
                <w:szCs w:val="24"/>
                <w:lang w:val="en-US"/>
              </w:rPr>
            </w:pPr>
            <w:r w:rsidRPr="00715340">
              <w:rPr>
                <w:b/>
                <w:bCs/>
                <w:color w:val="000000" w:themeColor="text1"/>
                <w:szCs w:val="24"/>
                <w:lang w:val="en-US"/>
              </w:rPr>
              <w:t>8. Noterët</w:t>
            </w:r>
          </w:p>
          <w:p w:rsidRPr="00715340" w:rsidR="006A3FAE" w:rsidP="006A3FAE" w:rsidRDefault="006A3FAE" w14:paraId="53363024"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6A3FAE" w:rsidRDefault="006A3FAE" w14:paraId="60E1B150" w14:textId="77777777">
            <w:pPr>
              <w:numPr>
                <w:ilvl w:val="0"/>
                <w:numId w:val="50"/>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Rritja e rolit të noterëve në certifikimin e pajtueshmërisë dhe monitorimin e procedurave krijon mundësi për të zgjeruar shërbimet dhe aktivitetin profesional.</w:t>
            </w:r>
          </w:p>
          <w:p w:rsidRPr="00715340" w:rsidR="006A3FAE" w:rsidP="006A3FAE" w:rsidRDefault="006A3FAE" w14:paraId="4D5C3AE7"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6A3FAE" w:rsidRDefault="006A3FAE" w14:paraId="664C9EE2" w14:textId="77777777">
            <w:pPr>
              <w:numPr>
                <w:ilvl w:val="0"/>
                <w:numId w:val="51"/>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Përmirësimi i kapaciteteve profesionale dhe trajnimeve kontribuon në besueshmërinë e sistemit ligjor dhe ofrimin e shërbimeve të standardizuara për bizneset dhe individët.</w:t>
            </w:r>
          </w:p>
          <w:p w:rsidRPr="00715340" w:rsidR="006A3FAE" w:rsidP="006A3FAE" w:rsidRDefault="006A3FAE" w14:paraId="247844AE"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715340" w:rsidR="006A3FAE" w:rsidRDefault="006A3FAE" w14:paraId="34EF955D" w14:textId="77777777">
            <w:pPr>
              <w:numPr>
                <w:ilvl w:val="0"/>
                <w:numId w:val="52"/>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Të ardhura të reja nga certifikimet, raportimet dhe shërbimet e ekspertizës së kërkuar nga ligji i ri.</w:t>
            </w:r>
          </w:p>
          <w:p w:rsidRPr="00715340" w:rsidR="006A3FAE" w:rsidRDefault="006A3FAE" w14:paraId="6641D591" w14:textId="77777777">
            <w:pPr>
              <w:numPr>
                <w:ilvl w:val="0"/>
                <w:numId w:val="52"/>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Investimi në trajnime dhe pajisje për digitalizim është i nevojshëm për të përmbushur standardet e BE-së, por garanton një rrjedhë të qëndrueshme të të ardhurave afatgjata.</w:t>
            </w:r>
          </w:p>
          <w:p w:rsidRPr="00A836ED" w:rsidR="006A3FAE" w:rsidP="006A3FAE" w:rsidRDefault="006A3FAE" w14:paraId="06AB1224" w14:textId="77777777">
            <w:pPr>
              <w:pBdr>
                <w:top w:val="nil"/>
                <w:left w:val="nil"/>
                <w:bottom w:val="nil"/>
                <w:right w:val="nil"/>
                <w:between w:val="nil"/>
                <w:bar w:val="nil"/>
              </w:pBdr>
              <w:spacing w:line="276" w:lineRule="auto"/>
              <w:ind w:right="20"/>
              <w:jc w:val="both"/>
              <w:rPr>
                <w:color w:val="000000" w:themeColor="text1"/>
                <w:szCs w:val="24"/>
                <w:lang w:val="en-US"/>
              </w:rPr>
            </w:pPr>
          </w:p>
          <w:p w:rsidRPr="00A32E1F" w:rsidR="00492BF0" w:rsidP="00EC064A" w:rsidRDefault="00492BF0" w14:paraId="037B5C50" w14:textId="77777777">
            <w:pPr>
              <w:spacing w:line="276" w:lineRule="auto"/>
              <w:jc w:val="both"/>
              <w:rPr>
                <w:lang w:val="en-US"/>
              </w:rPr>
            </w:pPr>
          </w:p>
          <w:p w:rsidRPr="00EC064A" w:rsidR="00B5039C" w:rsidP="00492BF0" w:rsidRDefault="00BB0CA7" w14:paraId="22DECF02" w14:textId="35D26C54">
            <w:pPr>
              <w:spacing w:line="276" w:lineRule="auto"/>
              <w:jc w:val="both"/>
              <w:rPr>
                <w:lang w:val="it-IT"/>
              </w:rPr>
            </w:pPr>
            <w:r w:rsidRPr="00BB0CA7">
              <w:rPr>
                <w:lang w:val="it-IT"/>
              </w:rPr>
              <w:t>-së.</w:t>
            </w:r>
          </w:p>
        </w:tc>
      </w:tr>
      <w:tr w:rsidRPr="00325A1F" w:rsidR="00B5039C" w:rsidTr="65600A46" w14:paraId="7A75FF64"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25A1F" w:rsidR="00B5039C" w:rsidP="00B5039C" w:rsidRDefault="00B5039C" w14:paraId="2D82C436" w14:textId="77777777">
            <w:pPr>
              <w:spacing w:line="276" w:lineRule="auto"/>
              <w:jc w:val="both"/>
              <w:rPr>
                <w:b/>
                <w:szCs w:val="24"/>
              </w:rPr>
            </w:pPr>
            <w:bookmarkStart w:name="_Hlk185584349" w:id="4"/>
            <w:r w:rsidRPr="00325A1F">
              <w:rPr>
                <w:b/>
                <w:szCs w:val="24"/>
              </w:rPr>
              <w:t xml:space="preserve">ARSYETIMI I OPSIONIT TË PREFERUAR </w:t>
            </w:r>
          </w:p>
          <w:p w:rsidRPr="00112C42" w:rsidR="003B699E" w:rsidP="00B5039C" w:rsidRDefault="00B5039C" w14:paraId="5E513CF7" w14:textId="7990220D">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DE53BA">
              <w:rPr>
                <w:i/>
                <w:szCs w:val="24"/>
              </w:rPr>
              <w:instrText xml:space="preserve"> FORMTEXT </w:instrText>
            </w:r>
            <w:r>
              <w:rPr>
                <w:i/>
                <w:szCs w:val="24"/>
              </w:rPr>
            </w:r>
            <w:r>
              <w:rPr>
                <w:i/>
                <w:szCs w:val="24"/>
              </w:rPr>
              <w:fldChar w:fldCharType="separate"/>
            </w:r>
            <w:r w:rsidRPr="00DE53BA">
              <w:rPr>
                <w:i/>
                <w:noProof/>
                <w:szCs w:val="24"/>
              </w:rPr>
              <w:t xml:space="preserve">Shpjegoni arsyet për zgjedhjen e opsionit të preferuar. Ju lutemi jepni nëse është e mundur koston dhe përfitimin me vlerë të përcaktuar monetare. </w:t>
            </w:r>
            <w:r w:rsidRPr="00112C42">
              <w:rPr>
                <w:i/>
                <w:noProof/>
                <w:szCs w:val="24"/>
              </w:rPr>
              <w:t>(jo më shumë se 7 rreshta)</w:t>
            </w:r>
            <w:r>
              <w:rPr>
                <w:i/>
                <w:szCs w:val="24"/>
              </w:rPr>
              <w:fldChar w:fldCharType="end"/>
            </w:r>
            <w:r w:rsidRPr="00112C42" w:rsidR="003B699E">
              <w:rPr>
                <w:i/>
                <w:szCs w:val="24"/>
              </w:rPr>
              <w:t xml:space="preserve">. </w:t>
            </w:r>
          </w:p>
          <w:p w:rsidR="00B5039C" w:rsidP="00B5039C" w:rsidRDefault="00B5039C" w14:paraId="0D254A9B" w14:textId="77777777">
            <w:pPr>
              <w:rPr>
                <w:b/>
                <w:bCs/>
                <w:szCs w:val="24"/>
              </w:rPr>
            </w:pPr>
          </w:p>
          <w:p w:rsidR="00B5039C" w:rsidP="00ED5603" w:rsidRDefault="00B5039C" w14:paraId="6AABD34E" w14:textId="2C2C27B8">
            <w:pPr>
              <w:jc w:val="both"/>
              <w:rPr>
                <w:szCs w:val="24"/>
              </w:rPr>
            </w:pPr>
            <w:bookmarkStart w:name="_Hlk185584202" w:id="5"/>
            <w:r w:rsidRPr="009F434C">
              <w:rPr>
                <w:b/>
                <w:bCs/>
                <w:szCs w:val="24"/>
              </w:rPr>
              <w:t xml:space="preserve">Opsioni i preferuar është Opsioni </w:t>
            </w:r>
            <w:r w:rsidR="004D4E18">
              <w:rPr>
                <w:b/>
                <w:bCs/>
                <w:szCs w:val="24"/>
              </w:rPr>
              <w:t>1</w:t>
            </w:r>
            <w:r w:rsidRPr="009F434C">
              <w:rPr>
                <w:b/>
                <w:bCs/>
                <w:szCs w:val="24"/>
              </w:rPr>
              <w:t xml:space="preserve">- </w:t>
            </w:r>
            <w:r w:rsidRPr="00623FDD" w:rsidR="00A16C06">
              <w:t xml:space="preserve"> </w:t>
            </w:r>
            <w:r w:rsidR="00902944">
              <w:rPr>
                <w:b/>
                <w:bCs/>
                <w:szCs w:val="24"/>
                <w:u w:val="single"/>
              </w:rPr>
              <w:t>hartimi i nj</w:t>
            </w:r>
            <w:r w:rsidR="00E75562">
              <w:rPr>
                <w:b/>
                <w:bCs/>
                <w:szCs w:val="24"/>
                <w:u w:val="single"/>
              </w:rPr>
              <w:t>ë</w:t>
            </w:r>
            <w:r w:rsidR="00902944">
              <w:rPr>
                <w:b/>
                <w:bCs/>
                <w:szCs w:val="24"/>
                <w:u w:val="single"/>
              </w:rPr>
              <w:t xml:space="preserve"> ligji t</w:t>
            </w:r>
            <w:r w:rsidR="00E75562">
              <w:rPr>
                <w:b/>
                <w:bCs/>
                <w:szCs w:val="24"/>
                <w:u w:val="single"/>
              </w:rPr>
              <w:t>ë</w:t>
            </w:r>
            <w:r w:rsidR="00902944">
              <w:rPr>
                <w:b/>
                <w:bCs/>
                <w:szCs w:val="24"/>
                <w:u w:val="single"/>
              </w:rPr>
              <w:t xml:space="preserve"> ri p</w:t>
            </w:r>
            <w:r w:rsidR="00E75562">
              <w:rPr>
                <w:b/>
                <w:bCs/>
                <w:szCs w:val="24"/>
                <w:u w:val="single"/>
              </w:rPr>
              <w:t>ë</w:t>
            </w:r>
            <w:r w:rsidR="00902944">
              <w:rPr>
                <w:b/>
                <w:bCs/>
                <w:szCs w:val="24"/>
                <w:u w:val="single"/>
              </w:rPr>
              <w:t>r shnd</w:t>
            </w:r>
            <w:r w:rsidR="00E75562">
              <w:rPr>
                <w:b/>
                <w:bCs/>
                <w:szCs w:val="24"/>
                <w:u w:val="single"/>
              </w:rPr>
              <w:t>ë</w:t>
            </w:r>
            <w:r w:rsidR="00902944">
              <w:rPr>
                <w:b/>
                <w:bCs/>
                <w:szCs w:val="24"/>
                <w:u w:val="single"/>
              </w:rPr>
              <w:t>rrimet, bashkimet dhe ndarjet nd</w:t>
            </w:r>
            <w:r w:rsidR="00E75562">
              <w:rPr>
                <w:b/>
                <w:bCs/>
                <w:szCs w:val="24"/>
                <w:u w:val="single"/>
              </w:rPr>
              <w:t>ë</w:t>
            </w:r>
            <w:r w:rsidR="00902944">
              <w:rPr>
                <w:b/>
                <w:bCs/>
                <w:szCs w:val="24"/>
                <w:u w:val="single"/>
              </w:rPr>
              <w:t>rkufitare</w:t>
            </w:r>
            <w:r w:rsidRPr="00A16C06" w:rsidR="00A16C06">
              <w:rPr>
                <w:b/>
                <w:bCs/>
                <w:szCs w:val="24"/>
                <w:u w:val="single"/>
              </w:rPr>
              <w:t xml:space="preserve"> </w:t>
            </w:r>
            <w:r w:rsidRPr="009F434C">
              <w:rPr>
                <w:szCs w:val="24"/>
              </w:rPr>
              <w:t xml:space="preserve">. </w:t>
            </w:r>
          </w:p>
          <w:bookmarkEnd w:id="5"/>
          <w:p w:rsidR="00246FA1" w:rsidP="00ED5603" w:rsidRDefault="00246FA1" w14:paraId="5AF44B5A" w14:textId="77777777">
            <w:pPr>
              <w:jc w:val="both"/>
              <w:rPr>
                <w:szCs w:val="24"/>
              </w:rPr>
            </w:pPr>
          </w:p>
          <w:p w:rsidRPr="00ED5603" w:rsidR="00ED5603" w:rsidP="00ED5603" w:rsidRDefault="00246FA1" w14:paraId="289AA4D3" w14:textId="7587DDE4">
            <w:pPr>
              <w:jc w:val="both"/>
              <w:rPr>
                <w:szCs w:val="24"/>
              </w:rPr>
            </w:pPr>
            <w:r>
              <w:rPr>
                <w:szCs w:val="24"/>
              </w:rPr>
              <w:t>O</w:t>
            </w:r>
            <w:r w:rsidRPr="00ED5603" w:rsidR="00ED5603">
              <w:rPr>
                <w:szCs w:val="24"/>
              </w:rPr>
              <w:t>psion</w:t>
            </w:r>
            <w:r>
              <w:rPr>
                <w:szCs w:val="24"/>
              </w:rPr>
              <w:t>i i preferuar Opsioni 1- Hartimi i nje ligji te ri</w:t>
            </w:r>
            <w:r w:rsidRPr="00ED5603" w:rsidR="00ED5603">
              <w:rPr>
                <w:szCs w:val="24"/>
              </w:rPr>
              <w:t xml:space="preserve"> është i përshtatshëm për t’u zbatuar për arsye se: </w:t>
            </w:r>
          </w:p>
          <w:p w:rsidRPr="00ED5603" w:rsidR="00ED5603" w:rsidP="00ED5603" w:rsidRDefault="00ED5603" w14:paraId="4FB20B5E" w14:textId="77777777">
            <w:pPr>
              <w:jc w:val="both"/>
              <w:rPr>
                <w:szCs w:val="24"/>
              </w:rPr>
            </w:pPr>
          </w:p>
          <w:p w:rsidR="006A3FAE" w:rsidP="00ED5603" w:rsidRDefault="00246FA1" w14:paraId="5BB41F91" w14:textId="77777777">
            <w:pPr>
              <w:jc w:val="both"/>
              <w:rPr>
                <w:szCs w:val="24"/>
              </w:rPr>
            </w:pPr>
            <w:r w:rsidRPr="00246FA1">
              <w:rPr>
                <w:szCs w:val="24"/>
              </w:rPr>
              <w:t>Miratimi i një ligji të ri, të dedikuar për shndërrimet, bashkimet dhe ndarjet ndërkufitare, duke shfuqizuar Ligjin nr. 110/2012, siguron përputhje të plotë me Direktivën (BE) 2019/2121 dhe përcakton njëherësh kushtet, organet dhe rregullat e nevojshme për operacionet ndërkufitare. Ky opsion krijon një mjedis ligjor të qartë, të unifikuar dhe transparent për shoqëritë dhe palët e interesuara, duke rritur besueshmërinë dhe efikasitetin e tregut. Zbatimi kërkon një angazhim të konsiderueshëm institucional për trajnime, përditësim të sistemeve dhe krijimin e infrastrukturës digjitale, por ofron harmonizim të shpejtë dhe gjithëpërfshirës. Kostot buxhetore janë të menaxhueshme brenda strategjisë së integrimit të Shqipërisë në BE dhe përqendrohen kryesisht në zhvillimin e kapaciteteve institucionale dhe teknologjike për mbështetjen e proceseve ndërkufitare.</w:t>
            </w:r>
          </w:p>
          <w:p w:rsidR="006A3FAE" w:rsidP="00ED5603" w:rsidRDefault="006A3FAE" w14:paraId="1229FDDB" w14:textId="77777777">
            <w:pPr>
              <w:jc w:val="both"/>
              <w:rPr>
                <w:szCs w:val="24"/>
              </w:rPr>
            </w:pPr>
          </w:p>
          <w:p w:rsidRPr="00CE3B03" w:rsidR="006A3FAE" w:rsidP="006A3FAE" w:rsidRDefault="006A3FAE" w14:paraId="5C1C24AC" w14:textId="77777777">
            <w:pPr>
              <w:jc w:val="both"/>
              <w:rPr>
                <w:bCs/>
                <w:szCs w:val="24"/>
              </w:rPr>
            </w:pPr>
            <w:r w:rsidRPr="00CE3B03">
              <w:rPr>
                <w:bCs/>
                <w:szCs w:val="24"/>
              </w:rPr>
              <w:t>Ky opsion është zgjedhur për arsyet e mëposhtme:</w:t>
            </w:r>
          </w:p>
          <w:p w:rsidRPr="00CE3B03" w:rsidR="006A3FAE" w:rsidP="006A3FAE" w:rsidRDefault="006A3FAE" w14:paraId="3EB7AF87" w14:textId="77777777">
            <w:pPr>
              <w:jc w:val="both"/>
              <w:rPr>
                <w:bCs/>
                <w:szCs w:val="24"/>
              </w:rPr>
            </w:pPr>
          </w:p>
          <w:p w:rsidRPr="00CE3B03" w:rsidR="006A3FAE" w:rsidP="006A3FAE" w:rsidRDefault="006A3FAE" w14:paraId="27D5AE1A" w14:textId="77777777">
            <w:pPr>
              <w:jc w:val="both"/>
              <w:rPr>
                <w:bCs/>
                <w:szCs w:val="24"/>
              </w:rPr>
            </w:pPr>
            <w:r w:rsidRPr="00E75562">
              <w:rPr>
                <w:b/>
                <w:szCs w:val="24"/>
              </w:rPr>
              <w:t>Përqendrim funksional dhe saktësi legjislative</w:t>
            </w:r>
            <w:r w:rsidRPr="00CE3B03">
              <w:rPr>
                <w:bCs/>
                <w:szCs w:val="24"/>
              </w:rPr>
              <w:t xml:space="preserve">: Projektligji i ri ofron një strukturë të dedikuar për operacionet ndërkufitare, duke reduktuar mbivendosjet me ligjin </w:t>
            </w:r>
            <w:r>
              <w:rPr>
                <w:bCs/>
                <w:szCs w:val="24"/>
              </w:rPr>
              <w:t>tregtar</w:t>
            </w:r>
            <w:r w:rsidRPr="00CE3B03">
              <w:rPr>
                <w:bCs/>
                <w:szCs w:val="24"/>
              </w:rPr>
              <w:t xml:space="preserve"> në fuqi dhe duke lejuar ndërtimin e një mekanizmi të specializuar transpozimi për secilin nga tre institucionet juridike (shndërrimi, bashkimi, ndarja).</w:t>
            </w:r>
          </w:p>
          <w:p w:rsidRPr="00CE3B03" w:rsidR="006A3FAE" w:rsidP="006A3FAE" w:rsidRDefault="006A3FAE" w14:paraId="4B84F00A" w14:textId="77777777">
            <w:pPr>
              <w:jc w:val="both"/>
              <w:rPr>
                <w:bCs/>
                <w:szCs w:val="24"/>
              </w:rPr>
            </w:pPr>
          </w:p>
          <w:p w:rsidRPr="00CE3B03" w:rsidR="006A3FAE" w:rsidP="006A3FAE" w:rsidRDefault="006A3FAE" w14:paraId="45F98C3F" w14:textId="77777777">
            <w:pPr>
              <w:jc w:val="both"/>
              <w:rPr>
                <w:bCs/>
                <w:szCs w:val="24"/>
              </w:rPr>
            </w:pPr>
            <w:r w:rsidRPr="00E75562">
              <w:rPr>
                <w:b/>
                <w:szCs w:val="24"/>
              </w:rPr>
              <w:t>Koherencë me strukturën e Direktivës 2019/2121:</w:t>
            </w:r>
            <w:r w:rsidRPr="00CE3B03">
              <w:rPr>
                <w:bCs/>
                <w:szCs w:val="24"/>
              </w:rPr>
              <w:t xml:space="preserve"> Krijimi i një ligji të veçantë lejon ruajtjen e rendit logjik të dispozitave të BE-së, duke shmangur ndërthurje të tepërta në tekstet ekzistuese dhe duke mundësuar përputhshmëri të plotë me nen për nen të direktivës.</w:t>
            </w:r>
          </w:p>
          <w:p w:rsidRPr="00CE3B03" w:rsidR="006A3FAE" w:rsidP="006A3FAE" w:rsidRDefault="006A3FAE" w14:paraId="118613D9" w14:textId="77777777">
            <w:pPr>
              <w:jc w:val="both"/>
              <w:rPr>
                <w:bCs/>
                <w:szCs w:val="24"/>
              </w:rPr>
            </w:pPr>
          </w:p>
          <w:p w:rsidRPr="00CE3B03" w:rsidR="006A3FAE" w:rsidP="006A3FAE" w:rsidRDefault="006A3FAE" w14:paraId="5FB41FD5" w14:textId="77777777">
            <w:pPr>
              <w:jc w:val="both"/>
              <w:rPr>
                <w:bCs/>
                <w:szCs w:val="24"/>
              </w:rPr>
            </w:pPr>
            <w:r w:rsidRPr="00E75562">
              <w:rPr>
                <w:b/>
                <w:szCs w:val="24"/>
              </w:rPr>
              <w:t>Lehtësim institucional dhe trajnueshmëri më e madhe</w:t>
            </w:r>
            <w:r w:rsidRPr="00CE3B03">
              <w:rPr>
                <w:bCs/>
                <w:szCs w:val="24"/>
              </w:rPr>
              <w:t xml:space="preserve">: Për shkak se institucione si QKB, ME dhe noterët nuk kanë pasur më parë eksperiencë në administrimin e ndarjeve dhe shndërrimeve ndërkufitare, krijimi i një ligji të veçantë me procedura të qarta i ndihmon ata të </w:t>
            </w:r>
            <w:r>
              <w:rPr>
                <w:bCs/>
                <w:szCs w:val="24"/>
              </w:rPr>
              <w:t>zbatojnë</w:t>
            </w:r>
            <w:r w:rsidRPr="00CE3B03">
              <w:rPr>
                <w:bCs/>
                <w:szCs w:val="24"/>
              </w:rPr>
              <w:t xml:space="preserve"> më shpejt dhe më saktë ndryshimet. Për më tepër, kjo u mundëson autoriteteve shqiptare të përfshijnë përmbajtjen e plotë të pjesëve përkatëse të Manualeve të Komisionit Evropian për aplikimin e direktivës (p.sh. BRIS Implementation Manual dhe EU Company La</w:t>
            </w:r>
            <w:r>
              <w:rPr>
                <w:bCs/>
                <w:szCs w:val="24"/>
              </w:rPr>
              <w:t>w</w:t>
            </w:r>
            <w:r w:rsidRPr="00CE3B03">
              <w:rPr>
                <w:bCs/>
                <w:szCs w:val="24"/>
              </w:rPr>
              <w:t xml:space="preserve"> Toolbox), pa e ngarkuar ligjin ekzistues.</w:t>
            </w:r>
          </w:p>
          <w:p w:rsidRPr="00CE3B03" w:rsidR="006A3FAE" w:rsidP="006A3FAE" w:rsidRDefault="006A3FAE" w14:paraId="1C360A78" w14:textId="77777777">
            <w:pPr>
              <w:jc w:val="both"/>
              <w:rPr>
                <w:bCs/>
                <w:szCs w:val="24"/>
              </w:rPr>
            </w:pPr>
          </w:p>
          <w:p w:rsidRPr="00CE3B03" w:rsidR="006A3FAE" w:rsidP="006A3FAE" w:rsidRDefault="006A3FAE" w14:paraId="603C5A22" w14:textId="77777777">
            <w:pPr>
              <w:jc w:val="both"/>
              <w:rPr>
                <w:bCs/>
                <w:szCs w:val="24"/>
              </w:rPr>
            </w:pPr>
            <w:r w:rsidRPr="00E75562">
              <w:rPr>
                <w:b/>
                <w:szCs w:val="24"/>
              </w:rPr>
              <w:t xml:space="preserve">Zbatim më i </w:t>
            </w:r>
            <w:r>
              <w:rPr>
                <w:b/>
                <w:szCs w:val="24"/>
              </w:rPr>
              <w:t xml:space="preserve">parashikueshëm </w:t>
            </w:r>
            <w:r w:rsidRPr="00E75562">
              <w:rPr>
                <w:b/>
                <w:szCs w:val="24"/>
              </w:rPr>
              <w:t>për subjektet tregtare dhe profesionistët ligjorë</w:t>
            </w:r>
            <w:r w:rsidRPr="00CE3B03">
              <w:rPr>
                <w:bCs/>
                <w:szCs w:val="24"/>
              </w:rPr>
              <w:t>: Duke ruajtur paprekur strukturën e ligjeve bazë si Ligji nr. 9901/2008, Ligji nr. 9723/2007, ky opsion minimizon ngarkesën e adaptimit për bizneset dhe praktikat ligjore që operojnë me sistemin ekzistues. Kjo shmang konfuzionin nga ndryshime të shumta paralele dhe ruan stabilitetin e kuadrit për transaksione të brendshme.</w:t>
            </w:r>
          </w:p>
          <w:p w:rsidRPr="00CE3B03" w:rsidR="006A3FAE" w:rsidP="006A3FAE" w:rsidRDefault="006A3FAE" w14:paraId="065AC191" w14:textId="77777777">
            <w:pPr>
              <w:jc w:val="both"/>
              <w:rPr>
                <w:bCs/>
                <w:szCs w:val="24"/>
              </w:rPr>
            </w:pPr>
          </w:p>
          <w:p w:rsidRPr="00CE3B03" w:rsidR="006A3FAE" w:rsidP="006A3FAE" w:rsidRDefault="006A3FAE" w14:paraId="62C08AC6" w14:textId="77777777">
            <w:pPr>
              <w:jc w:val="both"/>
              <w:rPr>
                <w:bCs/>
                <w:szCs w:val="24"/>
              </w:rPr>
            </w:pPr>
            <w:r w:rsidRPr="00E75562">
              <w:rPr>
                <w:b/>
                <w:szCs w:val="24"/>
              </w:rPr>
              <w:t>Mbështetje për implementimin digjital dhe ndërlidhjen me BRIS</w:t>
            </w:r>
            <w:r w:rsidRPr="00CE3B03">
              <w:rPr>
                <w:bCs/>
                <w:szCs w:val="24"/>
              </w:rPr>
              <w:t>: Projektligji parashikon përdorimin e identifikuesve unikë, certifikatave elektronike dhe publikut ndërkufitar përmes platformës evropiane, duke përmbushur kërkesat e nenit 16 dhe 130 të Direktivës 2017/1132 dhe rregulloren zbatuese për BRIS-in.</w:t>
            </w:r>
          </w:p>
          <w:p w:rsidRPr="00CE3B03" w:rsidR="006A3FAE" w:rsidP="006A3FAE" w:rsidRDefault="006A3FAE" w14:paraId="0F98C97D" w14:textId="77777777">
            <w:pPr>
              <w:jc w:val="both"/>
              <w:rPr>
                <w:bCs/>
                <w:szCs w:val="24"/>
              </w:rPr>
            </w:pPr>
          </w:p>
          <w:p w:rsidRPr="00246FA1" w:rsidR="00ED5603" w:rsidP="00ED5603" w:rsidRDefault="00ED5603" w14:paraId="0090F5D8" w14:textId="77777777">
            <w:pPr>
              <w:tabs>
                <w:tab w:val="left" w:pos="454"/>
              </w:tabs>
              <w:jc w:val="both"/>
              <w:rPr>
                <w:szCs w:val="24"/>
              </w:rPr>
            </w:pPr>
          </w:p>
          <w:p w:rsidRPr="00DE53BA" w:rsidR="00B5039C" w:rsidP="00B5039C" w:rsidRDefault="00B5039C" w14:paraId="3D22D13D" w14:textId="77777777">
            <w:pPr>
              <w:spacing w:line="276" w:lineRule="auto"/>
              <w:jc w:val="both"/>
              <w:rPr>
                <w:i/>
                <w:szCs w:val="24"/>
              </w:rPr>
            </w:pPr>
          </w:p>
          <w:p w:rsidRPr="00325A1F" w:rsidR="00B5039C" w:rsidP="00B5039C" w:rsidRDefault="00B5039C" w14:paraId="4165D3AA" w14:textId="77777777">
            <w:pPr>
              <w:spacing w:line="276" w:lineRule="auto"/>
              <w:jc w:val="both"/>
              <w:rPr>
                <w:b/>
                <w:szCs w:val="24"/>
              </w:rPr>
            </w:pPr>
          </w:p>
        </w:tc>
      </w:tr>
      <w:bookmarkEnd w:id="4"/>
      <w:tr w:rsidRPr="004045D6" w:rsidR="00B5039C" w:rsidTr="65600A46" w14:paraId="0EDC2002"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16EF" w:rsidR="00B5039C" w:rsidP="00B5039C" w:rsidRDefault="00B5039C" w14:paraId="1BD388FB" w14:textId="77777777">
            <w:pPr>
              <w:spacing w:line="276" w:lineRule="auto"/>
              <w:jc w:val="both"/>
              <w:rPr>
                <w:b/>
                <w:szCs w:val="24"/>
              </w:rPr>
            </w:pPr>
            <w:r w:rsidRPr="006316EF">
              <w:rPr>
                <w:b/>
                <w:szCs w:val="24"/>
              </w:rPr>
              <w:t>KONSULTIMI</w:t>
            </w:r>
          </w:p>
          <w:p w:rsidRPr="006316EF" w:rsidR="006316EF" w:rsidP="006316EF" w:rsidRDefault="006316EF" w14:paraId="05B3CE4A" w14:textId="77777777">
            <w:pPr>
              <w:spacing w:line="276" w:lineRule="auto"/>
              <w:jc w:val="both"/>
              <w:rPr>
                <w:i/>
                <w:szCs w:val="24"/>
              </w:rPr>
            </w:pPr>
            <w:r w:rsidRPr="006316EF">
              <w:rPr>
                <w:i/>
                <w:szCs w:val="24"/>
              </w:rPr>
              <w:t>KONSULTIMI</w:t>
            </w:r>
          </w:p>
          <w:p w:rsidRPr="006316EF" w:rsidR="006316EF" w:rsidP="006316EF" w:rsidRDefault="006316EF" w14:paraId="5DFDA920" w14:textId="77777777">
            <w:pPr>
              <w:spacing w:line="276" w:lineRule="auto"/>
              <w:jc w:val="both"/>
              <w:rPr>
                <w:i/>
                <w:szCs w:val="24"/>
              </w:rPr>
            </w:pPr>
          </w:p>
          <w:p w:rsidRPr="006316EF" w:rsidR="006316EF" w:rsidP="006316EF" w:rsidRDefault="006316EF" w14:paraId="674E0BF6" w14:textId="77777777">
            <w:pPr>
              <w:spacing w:line="276" w:lineRule="auto"/>
              <w:jc w:val="both"/>
              <w:rPr>
                <w:i/>
                <w:szCs w:val="24"/>
              </w:rPr>
            </w:pPr>
            <w:r w:rsidRPr="006316EF">
              <w:rPr>
                <w:i/>
                <w:szCs w:val="24"/>
              </w:rPr>
              <w:t>Projektligji është i përgatitur nga Ministria e Ekonomisë dhe Inovacionit në kuadër të përafrimit me Kapitullin 6 të Legjislacionit për Shoqëritë Tregtare. Ai synon të rregullojë funksionimin e grupimeve ekonomike me interes evropian dhe të sigurojë përputhshmërinë me standardet ligjore dhe ekonomike të Bashkimit Evropian.</w:t>
            </w:r>
          </w:p>
          <w:p w:rsidRPr="006316EF" w:rsidR="006316EF" w:rsidP="006316EF" w:rsidRDefault="006316EF" w14:paraId="382DC651" w14:textId="77777777">
            <w:pPr>
              <w:spacing w:line="276" w:lineRule="auto"/>
              <w:jc w:val="both"/>
              <w:rPr>
                <w:i/>
                <w:szCs w:val="24"/>
              </w:rPr>
            </w:pPr>
            <w:r w:rsidRPr="006316EF">
              <w:rPr>
                <w:i/>
                <w:szCs w:val="24"/>
              </w:rPr>
              <w:t>Konsultim Institucional:</w:t>
            </w:r>
          </w:p>
          <w:p w:rsidRPr="006316EF" w:rsidR="006316EF" w:rsidP="006316EF" w:rsidRDefault="006316EF" w14:paraId="4F1DE51F" w14:textId="77777777">
            <w:pPr>
              <w:spacing w:line="276" w:lineRule="auto"/>
              <w:jc w:val="both"/>
              <w:rPr>
                <w:i/>
                <w:szCs w:val="24"/>
              </w:rPr>
            </w:pPr>
          </w:p>
          <w:p w:rsidRPr="006316EF" w:rsidR="006316EF" w:rsidP="006316EF" w:rsidRDefault="006316EF" w14:paraId="48EBABFB" w14:textId="77777777">
            <w:pPr>
              <w:spacing w:line="276" w:lineRule="auto"/>
              <w:jc w:val="both"/>
              <w:rPr>
                <w:i/>
                <w:szCs w:val="24"/>
              </w:rPr>
            </w:pPr>
            <w:r w:rsidRPr="006316EF">
              <w:rPr>
                <w:i/>
                <w:szCs w:val="24"/>
              </w:rPr>
              <w:t>Më datë 05.08.2025, projektligji u dërgua për vlerësim dhe mendim në institucionet dhe organet kompetente shtetërore, duke përfshirë: Ministrinë e Drejtësisë, Ministrinë e Financave, Ministrinë e Turizmit dhe Mjedisit, Ministrinë e Bujqësisë dhe Zhvillimit Rural, Ministrinë për Europën dhe Punët e Jashtme, Ministrinë e Infrastrukturës dhe Energjisë, Ministrinë e Brendshme, Ministrinë e Mbrojtjes, Ministrinë e Shëndetësisë dhe Mbrojtjes Sociale, Ministrinë e Arsimit dhe Sportit, Ministrin e Shtetit dhe Kryenegociatorin, Ministrin e Shtetit për Marrëdhëniet me Parlamentin, Ministrin e Shtetit për Pushtetin Vendor, Agjencinë Kombëtare të Shoqërisë së Informacionit, Autoritetin e Mbikëqyrjes Financiare, Qendrën Kombëtare të Biznesit dhe Bashkimin e Dhomave të Tregtisë dhe Industrisë. Dokumenti u shoqërua me relacion, tabela përputhshmërie dhe analizë të ndikimit (RIA).</w:t>
            </w:r>
          </w:p>
          <w:p w:rsidRPr="006316EF" w:rsidR="006316EF" w:rsidP="006316EF" w:rsidRDefault="006316EF" w14:paraId="14318E3C" w14:textId="77777777">
            <w:pPr>
              <w:spacing w:line="276" w:lineRule="auto"/>
              <w:jc w:val="both"/>
              <w:rPr>
                <w:i/>
                <w:szCs w:val="24"/>
              </w:rPr>
            </w:pPr>
            <w:r w:rsidRPr="006316EF">
              <w:rPr>
                <w:i/>
                <w:szCs w:val="24"/>
              </w:rPr>
              <w:t>Konsultim Publik:</w:t>
            </w:r>
          </w:p>
          <w:p w:rsidRPr="006316EF" w:rsidR="006316EF" w:rsidP="006316EF" w:rsidRDefault="006316EF" w14:paraId="4C2A434D" w14:textId="77777777">
            <w:pPr>
              <w:spacing w:line="276" w:lineRule="auto"/>
              <w:jc w:val="both"/>
              <w:rPr>
                <w:i/>
                <w:szCs w:val="24"/>
              </w:rPr>
            </w:pPr>
          </w:p>
          <w:p w:rsidRPr="006316EF" w:rsidR="006316EF" w:rsidP="006316EF" w:rsidRDefault="006316EF" w14:paraId="0C64C0F6" w14:textId="29BDCCD5">
            <w:pPr>
              <w:spacing w:line="276" w:lineRule="auto"/>
              <w:jc w:val="both"/>
              <w:rPr>
                <w:i/>
                <w:szCs w:val="24"/>
              </w:rPr>
            </w:pPr>
            <w:r w:rsidRPr="006316EF">
              <w:rPr>
                <w:i/>
                <w:szCs w:val="24"/>
              </w:rPr>
              <w:t xml:space="preserve">Më date 11.08.2025, projektligji u publikua për konsultim publik në regjistrin përkatës për një periudhë 30-ditore. Gjatë kësaj periudhe, janë paraqitur disa komente nga publiku si vijon : </w:t>
            </w:r>
          </w:p>
          <w:p w:rsidRPr="00A32E1F" w:rsidR="006316EF" w:rsidP="006316EF" w:rsidRDefault="006316EF" w14:paraId="502F1E88" w14:textId="77777777">
            <w:pPr>
              <w:spacing w:line="276" w:lineRule="auto"/>
              <w:jc w:val="both"/>
              <w:rPr>
                <w:b/>
                <w:bCs/>
                <w:i/>
                <w:iCs/>
                <w:szCs w:val="24"/>
              </w:rPr>
            </w:pPr>
          </w:p>
          <w:p w:rsidRPr="00A32E1F" w:rsidR="006316EF" w:rsidP="006316EF" w:rsidRDefault="006316EF" w14:paraId="1CBE36CB" w14:textId="77777777">
            <w:pPr>
              <w:pStyle w:val="ListParagraph"/>
              <w:numPr>
                <w:ilvl w:val="0"/>
                <w:numId w:val="25"/>
              </w:numPr>
              <w:spacing w:line="276" w:lineRule="auto"/>
              <w:jc w:val="both"/>
              <w:rPr>
                <w:rFonts w:ascii="Times New Roman" w:hAnsi="Times New Roman"/>
                <w:b/>
                <w:bCs/>
                <w:i/>
                <w:iCs/>
                <w:sz w:val="24"/>
                <w:szCs w:val="24"/>
              </w:rPr>
            </w:pPr>
          </w:p>
          <w:p w:rsidRPr="006316EF" w:rsidR="006316EF" w:rsidP="006316EF" w:rsidRDefault="006316EF" w14:paraId="196EF70D" w14:textId="4848CAC9">
            <w:pPr>
              <w:pStyle w:val="ListParagraph"/>
              <w:spacing w:line="276" w:lineRule="auto"/>
              <w:ind w:left="720" w:firstLine="0"/>
              <w:jc w:val="both"/>
              <w:rPr>
                <w:rFonts w:ascii="Times New Roman" w:hAnsi="Times New Roman"/>
                <w:b/>
                <w:bCs/>
                <w:i/>
                <w:iCs/>
                <w:sz w:val="24"/>
                <w:szCs w:val="24"/>
                <w:lang w:val="it-IT"/>
              </w:rPr>
            </w:pPr>
            <w:r w:rsidRPr="006316EF">
              <w:rPr>
                <w:rFonts w:ascii="Times New Roman" w:hAnsi="Times New Roman"/>
                <w:b/>
                <w:bCs/>
                <w:i/>
                <w:iCs/>
                <w:sz w:val="24"/>
                <w:szCs w:val="24"/>
                <w:lang w:val="it-IT"/>
              </w:rPr>
              <w:t>Përkufizimi i "Shoqëri evropiane" (Neni 3, pika 9)</w:t>
            </w:r>
          </w:p>
          <w:p w:rsidRPr="00A32E1F" w:rsidR="006316EF" w:rsidP="006316EF" w:rsidRDefault="006316EF" w14:paraId="7167D287" w14:textId="2DAB51CF">
            <w:pPr>
              <w:spacing w:line="276" w:lineRule="auto"/>
              <w:jc w:val="both"/>
              <w:rPr>
                <w:i/>
                <w:szCs w:val="24"/>
                <w:lang w:val="it-IT"/>
              </w:rPr>
            </w:pPr>
            <w:r w:rsidRPr="006316EF">
              <w:rPr>
                <w:i/>
                <w:szCs w:val="24"/>
                <w:lang w:val="it-IT"/>
              </w:rPr>
              <w:t xml:space="preserve">Në projektligj përcaktohen "shoqëritë evropiane" si shoqëri të regjistruar në një vend që është palë në traktatet e BE-së dhe ZEE-së, kësisoj gjykoj se mund të qartësohet shprehimisht në aktet nënligjore nëse kjo përfshin edhe shoqëri nga vendet e Zonës Ekonomike Evropiane (ZEE) si Norvegjia, Islanda, Lihtenshtejni dhe Zvicra, duke marrë parasysh marrëdhëniet e tyre të ngushta ekonomike me BE-në. </w:t>
            </w:r>
            <w:r w:rsidRPr="00A32E1F">
              <w:rPr>
                <w:i/>
                <w:szCs w:val="24"/>
                <w:lang w:val="it-IT"/>
              </w:rPr>
              <w:t>Kjo do të parandalonte paqartësitë në zbatim.</w:t>
            </w:r>
          </w:p>
          <w:p w:rsidRPr="00A32E1F" w:rsidR="00F84599" w:rsidP="006316EF" w:rsidRDefault="00F84599" w14:paraId="206E2B86" w14:textId="77777777">
            <w:pPr>
              <w:spacing w:line="276" w:lineRule="auto"/>
              <w:jc w:val="both"/>
              <w:rPr>
                <w:i/>
                <w:szCs w:val="24"/>
                <w:lang w:val="it-IT"/>
              </w:rPr>
            </w:pPr>
          </w:p>
          <w:p w:rsidRPr="006316EF" w:rsidR="006316EF" w:rsidP="006316EF" w:rsidRDefault="006316EF" w14:paraId="5370E539" w14:textId="1D3744BA">
            <w:pPr>
              <w:spacing w:line="276" w:lineRule="auto"/>
              <w:jc w:val="both"/>
              <w:rPr>
                <w:b/>
                <w:i/>
                <w:szCs w:val="24"/>
              </w:rPr>
            </w:pPr>
            <w:r w:rsidRPr="006316EF">
              <w:rPr>
                <w:b/>
                <w:i/>
                <w:szCs w:val="24"/>
              </w:rPr>
              <w:t>Koment:</w:t>
            </w:r>
          </w:p>
          <w:p w:rsidRPr="006316EF" w:rsidR="006316EF" w:rsidP="006316EF" w:rsidRDefault="006316EF" w14:paraId="49EF15E5" w14:textId="76E6059A">
            <w:pPr>
              <w:spacing w:line="276" w:lineRule="auto"/>
              <w:jc w:val="both"/>
              <w:rPr>
                <w:bCs/>
                <w:szCs w:val="24"/>
                <w:lang w:val="it-IT"/>
              </w:rPr>
            </w:pPr>
            <w:r w:rsidRPr="006316EF">
              <w:rPr>
                <w:bCs/>
                <w:szCs w:val="24"/>
                <w:lang w:val="it-IT"/>
              </w:rPr>
              <w:t>Projektligji permban nje perkufizim per shoqerite evropiane ne nenin 3, pika 9 e tij</w:t>
            </w:r>
          </w:p>
          <w:p w:rsidRPr="006316EF" w:rsidR="006316EF" w:rsidP="006316EF" w:rsidRDefault="006316EF" w14:paraId="7171DD12" w14:textId="39A5EE65">
            <w:pPr>
              <w:pStyle w:val="ListParagraph"/>
              <w:numPr>
                <w:ilvl w:val="0"/>
                <w:numId w:val="25"/>
              </w:numPr>
              <w:spacing w:line="276" w:lineRule="auto"/>
              <w:jc w:val="both"/>
              <w:rPr>
                <w:rFonts w:ascii="Times New Roman" w:hAnsi="Times New Roman"/>
                <w:sz w:val="24"/>
                <w:szCs w:val="24"/>
              </w:rPr>
            </w:pPr>
            <w:r w:rsidRPr="006316EF">
              <w:rPr>
                <w:rFonts w:ascii="Times New Roman" w:hAnsi="Times New Roman"/>
                <w:sz w:val="24"/>
                <w:szCs w:val="24"/>
              </w:rPr>
              <w:t xml:space="preserve">  </w:t>
            </w:r>
          </w:p>
          <w:p w:rsidRPr="006316EF" w:rsidR="006316EF" w:rsidP="006316EF" w:rsidRDefault="006316EF" w14:paraId="490FCA52" w14:textId="3EF76656">
            <w:pPr>
              <w:pStyle w:val="ListParagraph"/>
              <w:spacing w:line="276" w:lineRule="auto"/>
              <w:ind w:left="720"/>
              <w:jc w:val="both"/>
              <w:rPr>
                <w:rFonts w:ascii="Times New Roman" w:hAnsi="Times New Roman"/>
                <w:sz w:val="24"/>
                <w:szCs w:val="24"/>
              </w:rPr>
            </w:pPr>
            <w:r w:rsidRPr="006316EF">
              <w:rPr>
                <w:rFonts w:ascii="Times New Roman" w:hAnsi="Times New Roman"/>
                <w:sz w:val="24"/>
                <w:szCs w:val="24"/>
              </w:rPr>
              <w:t>Specifika e organit të posaçëm negociues për përfaqësimin e punëmarrësve (Neni 7, pika 5 e vijues)</w:t>
            </w:r>
          </w:p>
          <w:p w:rsidR="006316EF" w:rsidP="006316EF" w:rsidRDefault="006316EF" w14:paraId="2DB75CCD" w14:textId="36D63D1B">
            <w:pPr>
              <w:spacing w:line="276" w:lineRule="auto"/>
              <w:jc w:val="both"/>
              <w:rPr>
                <w:szCs w:val="24"/>
              </w:rPr>
            </w:pPr>
            <w:r w:rsidRPr="006316EF">
              <w:rPr>
                <w:szCs w:val="24"/>
              </w:rPr>
              <w:t>Projektligji parashikon krijimin e një organi të posaçëm negociues për punëmarrësit, ku ndonëse kërkesa është e qartë, aktet nënligjore mund të detajojnë më tej kriteret shteruese se kur kërkohet një organ i tillë, sikurse procedurat e hollësishme për përzgjedhjen ose njohjen e përfaqësuesve të punëmarrësve (veçanërisht në shoqëritë pa sindikata të themeluara), dhe mënyrën e zgjidhjes së mosmarrëveshjeve potencial lidhur me përfaqësimin ose votimin e punëmarrësve.</w:t>
            </w:r>
          </w:p>
          <w:p w:rsidRPr="006316EF" w:rsidR="00F84599" w:rsidP="006316EF" w:rsidRDefault="00F84599" w14:paraId="53F308F4" w14:textId="77777777">
            <w:pPr>
              <w:spacing w:line="276" w:lineRule="auto"/>
              <w:jc w:val="both"/>
              <w:rPr>
                <w:szCs w:val="24"/>
              </w:rPr>
            </w:pPr>
          </w:p>
          <w:p w:rsidRPr="006316EF" w:rsidR="006316EF" w:rsidP="006316EF" w:rsidRDefault="006316EF" w14:paraId="72C85C23" w14:textId="766FB521">
            <w:pPr>
              <w:spacing w:line="276" w:lineRule="auto"/>
              <w:jc w:val="both"/>
              <w:rPr>
                <w:szCs w:val="24"/>
              </w:rPr>
            </w:pPr>
            <w:r w:rsidRPr="006316EF">
              <w:rPr>
                <w:b/>
                <w:szCs w:val="24"/>
              </w:rPr>
              <w:t>Koment:</w:t>
            </w:r>
            <w:r w:rsidRPr="006316EF">
              <w:rPr>
                <w:szCs w:val="24"/>
              </w:rPr>
              <w:t>Ligji e trajton ne parim kete si kerkese e Direktives 2017/1132, ndersa rregullat e funksionimit dhe te perfshirjes se punemarresve trajtohen sipas direktives  2002/14/EC vendos të drejtën minimale të punonjësve për informim dhe konsultim mbi zhvillimet ekonomike, punësimin dhe ndryshimet thelbësore në organizimin e punës. Gjithashtu relevante jane Direktiva 2001/23/EC garanton vazhdimësinë e kontratave të punës, të drejtave dhe detyrimeve në rast transferimi ose bashkimi, duke ndaluar pushimet vetëm për shkak të transferimit dhe duke ruajtur marrëveshjet kolektive; ndërsa Direktiva 2009/38/EC siguron përfaqësim të punonjësve në nivel ndërkombëtar përmes Këshillave Evropiane të Punonjësve në ndërmarrjet me përmasa komunitare. Së bashku me Direktivën 2017/1132 (të ndryshuar nga 2019/2121), e cila përcakton rregulla të posaçme për pjesëmarrjen e punonjësve në shoqëritë e krijuara nga bashkimet, ndarjet dhe konvertimet ndërkufitare, këto akte krijojnë kuadrin e plotë të mbrojtjes dhe pjesëmarrjes së punonjësve në ristrukturimet ndërkufitare në BE. Por keto direktive nuk jane pjese e ketij perafrimi dhe ato duhet te trajtohen sipas kapitullit 19.</w:t>
            </w:r>
          </w:p>
          <w:p w:rsidRPr="006316EF" w:rsidR="006316EF" w:rsidP="006316EF" w:rsidRDefault="006316EF" w14:paraId="3684B42A" w14:textId="6D9F9DFB">
            <w:pPr>
              <w:pStyle w:val="ListParagraph"/>
              <w:numPr>
                <w:ilvl w:val="0"/>
                <w:numId w:val="25"/>
              </w:numPr>
              <w:spacing w:line="276" w:lineRule="auto"/>
              <w:jc w:val="both"/>
              <w:rPr>
                <w:rFonts w:ascii="Times New Roman" w:hAnsi="Times New Roman"/>
                <w:sz w:val="24"/>
                <w:szCs w:val="24"/>
              </w:rPr>
            </w:pPr>
            <w:r w:rsidRPr="006316EF">
              <w:rPr>
                <w:rFonts w:ascii="Times New Roman" w:hAnsi="Times New Roman"/>
                <w:sz w:val="24"/>
                <w:szCs w:val="24"/>
              </w:rPr>
              <w:t xml:space="preserve"> </w:t>
            </w:r>
          </w:p>
          <w:p w:rsidRPr="006316EF" w:rsidR="006316EF" w:rsidP="006316EF" w:rsidRDefault="006316EF" w14:paraId="3782BABC" w14:textId="1C6EF715">
            <w:pPr>
              <w:pStyle w:val="ListParagraph"/>
              <w:spacing w:line="276" w:lineRule="auto"/>
              <w:ind w:left="720"/>
              <w:jc w:val="both"/>
              <w:rPr>
                <w:rFonts w:ascii="Times New Roman" w:hAnsi="Times New Roman"/>
                <w:sz w:val="24"/>
                <w:szCs w:val="24"/>
              </w:rPr>
            </w:pPr>
            <w:r w:rsidRPr="006316EF">
              <w:rPr>
                <w:rFonts w:ascii="Times New Roman" w:hAnsi="Times New Roman"/>
                <w:sz w:val="24"/>
                <w:szCs w:val="24"/>
              </w:rPr>
              <w:t>Raporti i ekspertit të pavarur (neni 8):</w:t>
            </w:r>
          </w:p>
          <w:p w:rsidRPr="006316EF" w:rsidR="006316EF" w:rsidP="006316EF" w:rsidRDefault="006316EF" w14:paraId="2D428614" w14:textId="77777777">
            <w:pPr>
              <w:pStyle w:val="ListParagraph"/>
              <w:spacing w:line="276" w:lineRule="auto"/>
              <w:ind w:left="720"/>
              <w:jc w:val="both"/>
              <w:rPr>
                <w:rFonts w:ascii="Times New Roman" w:hAnsi="Times New Roman"/>
                <w:sz w:val="24"/>
                <w:szCs w:val="24"/>
              </w:rPr>
            </w:pPr>
            <w:r w:rsidRPr="006316EF">
              <w:rPr>
                <w:rFonts w:ascii="Times New Roman" w:hAnsi="Times New Roman"/>
                <w:sz w:val="24"/>
                <w:szCs w:val="24"/>
              </w:rPr>
              <w:t xml:space="preserve">Projektligji kërkon raporte të pavarura nga ekspertë të licencuar për të vlerësuar përshtatshmërinë e kompensimit në mjete monetare dhe raportin e këmbimit të aksioneve. Për të siguruar një vlerësim të drejtë, aktet nënligjore duhet të ofrojnë udhëzime më të detajuara mbi: </w:t>
            </w:r>
          </w:p>
          <w:p w:rsidRPr="006316EF" w:rsidR="006316EF" w:rsidP="006316EF" w:rsidRDefault="006316EF" w14:paraId="6C1E878D" w14:textId="77777777">
            <w:pPr>
              <w:pStyle w:val="ListParagraph"/>
              <w:spacing w:line="276" w:lineRule="auto"/>
              <w:ind w:left="720"/>
              <w:jc w:val="both"/>
              <w:rPr>
                <w:rFonts w:ascii="Times New Roman" w:hAnsi="Times New Roman"/>
                <w:sz w:val="24"/>
                <w:szCs w:val="24"/>
              </w:rPr>
            </w:pPr>
            <w:r w:rsidRPr="006316EF">
              <w:rPr>
                <w:rFonts w:ascii="Times New Roman" w:hAnsi="Times New Roman"/>
                <w:sz w:val="24"/>
                <w:szCs w:val="24"/>
              </w:rPr>
              <w:t>(i)</w:t>
            </w:r>
            <w:r w:rsidRPr="006316EF">
              <w:rPr>
                <w:rFonts w:ascii="Times New Roman" w:hAnsi="Times New Roman"/>
                <w:sz w:val="24"/>
                <w:szCs w:val="24"/>
              </w:rPr>
              <w:tab/>
            </w:r>
            <w:r w:rsidRPr="006316EF">
              <w:rPr>
                <w:rFonts w:ascii="Times New Roman" w:hAnsi="Times New Roman"/>
                <w:sz w:val="24"/>
                <w:szCs w:val="24"/>
              </w:rPr>
              <w:t xml:space="preserve">Metodologjitë specifike të vlerësimit dhe standardet që duhet të përdoren nga ekspertët. </w:t>
            </w:r>
          </w:p>
          <w:p w:rsidRPr="006316EF" w:rsidR="006316EF" w:rsidP="006316EF" w:rsidRDefault="006316EF" w14:paraId="6A4327B4" w14:textId="77777777">
            <w:pPr>
              <w:pStyle w:val="ListParagraph"/>
              <w:spacing w:line="276" w:lineRule="auto"/>
              <w:ind w:left="720"/>
              <w:jc w:val="both"/>
              <w:rPr>
                <w:rFonts w:ascii="Times New Roman" w:hAnsi="Times New Roman"/>
                <w:sz w:val="24"/>
                <w:szCs w:val="24"/>
              </w:rPr>
            </w:pPr>
            <w:r w:rsidRPr="006316EF">
              <w:rPr>
                <w:rFonts w:ascii="Times New Roman" w:hAnsi="Times New Roman"/>
                <w:sz w:val="24"/>
                <w:szCs w:val="24"/>
              </w:rPr>
              <w:t>(ii)</w:t>
            </w:r>
            <w:r w:rsidRPr="006316EF">
              <w:rPr>
                <w:rFonts w:ascii="Times New Roman" w:hAnsi="Times New Roman"/>
                <w:sz w:val="24"/>
                <w:szCs w:val="24"/>
              </w:rPr>
              <w:tab/>
            </w:r>
            <w:r w:rsidRPr="006316EF">
              <w:rPr>
                <w:rFonts w:ascii="Times New Roman" w:hAnsi="Times New Roman"/>
                <w:sz w:val="24"/>
                <w:szCs w:val="24"/>
              </w:rPr>
              <w:t>(ii) Fushën dhe ekspertizën e shqyrtimit të ekspertit, veçanërisht në lidhje me vlerësimin e ndikimit tek punëmarrësit dhe masat për kreditorët.</w:t>
            </w:r>
          </w:p>
          <w:p w:rsidRPr="006316EF" w:rsidR="006316EF" w:rsidP="006316EF" w:rsidRDefault="006316EF" w14:paraId="1F7CA963" w14:textId="6A7AE856">
            <w:pPr>
              <w:pStyle w:val="ListParagraph"/>
              <w:numPr>
                <w:ilvl w:val="0"/>
                <w:numId w:val="16"/>
              </w:numPr>
              <w:spacing w:line="276" w:lineRule="auto"/>
              <w:jc w:val="both"/>
              <w:rPr>
                <w:rFonts w:ascii="Times New Roman" w:hAnsi="Times New Roman"/>
                <w:sz w:val="24"/>
                <w:szCs w:val="24"/>
              </w:rPr>
            </w:pPr>
            <w:r w:rsidRPr="006316EF">
              <w:rPr>
                <w:rFonts w:ascii="Times New Roman" w:hAnsi="Times New Roman"/>
                <w:sz w:val="24"/>
                <w:szCs w:val="24"/>
              </w:rPr>
              <w:t>Kriteret e kualifikimit dhe pavarësisë për këta ekspertë, përtej kërkesave të përgjithshme të licencimit</w:t>
            </w:r>
          </w:p>
          <w:p w:rsidRPr="006316EF" w:rsidR="006316EF" w:rsidP="006316EF" w:rsidRDefault="006316EF" w14:paraId="5685EA50" w14:textId="781F9379">
            <w:pPr>
              <w:spacing w:line="276" w:lineRule="auto"/>
              <w:jc w:val="both"/>
              <w:rPr>
                <w:b/>
                <w:szCs w:val="24"/>
              </w:rPr>
            </w:pPr>
            <w:r w:rsidRPr="006316EF">
              <w:rPr>
                <w:b/>
                <w:szCs w:val="24"/>
              </w:rPr>
              <w:t xml:space="preserve">Koment: </w:t>
            </w:r>
            <w:r w:rsidRPr="006316EF">
              <w:rPr>
                <w:szCs w:val="24"/>
              </w:rPr>
              <w:t>Në konsideratë</w:t>
            </w:r>
          </w:p>
          <w:p w:rsidRPr="006316EF" w:rsidR="006316EF" w:rsidP="006316EF" w:rsidRDefault="006316EF" w14:paraId="6E6982CA" w14:textId="5C8A51C1">
            <w:pPr>
              <w:pStyle w:val="ListParagraph"/>
              <w:numPr>
                <w:ilvl w:val="0"/>
                <w:numId w:val="25"/>
              </w:numPr>
              <w:spacing w:line="276" w:lineRule="auto"/>
              <w:jc w:val="both"/>
              <w:rPr>
                <w:rFonts w:ascii="Times New Roman" w:hAnsi="Times New Roman"/>
                <w:b/>
                <w:sz w:val="24"/>
                <w:szCs w:val="24"/>
              </w:rPr>
            </w:pPr>
            <w:r w:rsidRPr="006316EF">
              <w:rPr>
                <w:rFonts w:ascii="Times New Roman" w:hAnsi="Times New Roman"/>
                <w:b/>
                <w:sz w:val="24"/>
                <w:szCs w:val="24"/>
              </w:rPr>
              <w:t xml:space="preserve"> </w:t>
            </w:r>
          </w:p>
          <w:p w:rsidRPr="006316EF" w:rsidR="006316EF" w:rsidP="006316EF" w:rsidRDefault="006316EF" w14:paraId="416F39FF" w14:textId="36620231">
            <w:pPr>
              <w:pStyle w:val="ListParagraph"/>
              <w:spacing w:line="276" w:lineRule="auto"/>
              <w:ind w:left="720" w:firstLine="0"/>
              <w:jc w:val="both"/>
              <w:rPr>
                <w:rFonts w:ascii="Times New Roman" w:hAnsi="Times New Roman"/>
                <w:sz w:val="24"/>
                <w:szCs w:val="24"/>
                <w:lang w:val="pt-BR"/>
              </w:rPr>
            </w:pPr>
            <w:r w:rsidRPr="006316EF">
              <w:rPr>
                <w:rFonts w:ascii="Times New Roman" w:hAnsi="Times New Roman"/>
                <w:sz w:val="24"/>
                <w:szCs w:val="24"/>
                <w:lang w:val="pt-BR"/>
              </w:rPr>
              <w:t>Forcimi i koordinimit ndërinstitucional: Projektligji thekson nevojën për koordinim ndërmjet QKB-së, autoriteteve tatimore, doganore, të sigurimeve shoqërore, të punës, Autoritetit të Mbikëqyrjes Financiare (AMF), Bankës së Shqipërisë dhe Autoritetit të Konkurrencës. Për të garantuar një zbatim efikas, mund të sugjerohet krijimi i protokolleve formale të bashkëpunimit, grupeve të punës ndërinstitucionale ose memorandumeve të mirëkuptimit. Këto mekanizma do të siguronin një rrjedhë informacioni pa probleme, zgjidhje të përbashkët të problemeve, veçanërisht për rastet komplekse që përfshijnë shumë organe rregullatore.</w:t>
            </w:r>
          </w:p>
          <w:p w:rsidRPr="006316EF" w:rsidR="006316EF" w:rsidP="006316EF" w:rsidRDefault="006316EF" w14:paraId="68FAE618" w14:textId="6061C6C5">
            <w:pPr>
              <w:pStyle w:val="ListParagraph"/>
              <w:spacing w:line="276" w:lineRule="auto"/>
              <w:ind w:left="720" w:firstLine="0"/>
              <w:jc w:val="both"/>
              <w:rPr>
                <w:rFonts w:ascii="Times New Roman" w:hAnsi="Times New Roman"/>
                <w:sz w:val="24"/>
                <w:szCs w:val="24"/>
              </w:rPr>
            </w:pPr>
            <w:r w:rsidRPr="006316EF">
              <w:rPr>
                <w:rFonts w:ascii="Times New Roman" w:hAnsi="Times New Roman"/>
                <w:b/>
                <w:sz w:val="24"/>
                <w:szCs w:val="24"/>
              </w:rPr>
              <w:t xml:space="preserve">Koment: </w:t>
            </w:r>
            <w:r w:rsidRPr="006316EF">
              <w:rPr>
                <w:rFonts w:ascii="Times New Roman" w:hAnsi="Times New Roman"/>
                <w:sz w:val="24"/>
                <w:szCs w:val="24"/>
              </w:rPr>
              <w:t>Në konsideratë</w:t>
            </w:r>
          </w:p>
          <w:p w:rsidRPr="006316EF" w:rsidR="006316EF" w:rsidP="006316EF" w:rsidRDefault="006316EF" w14:paraId="22134B4F" w14:textId="4F5D1314">
            <w:pPr>
              <w:pStyle w:val="ListParagraph"/>
              <w:numPr>
                <w:ilvl w:val="0"/>
                <w:numId w:val="25"/>
              </w:numPr>
              <w:spacing w:line="276" w:lineRule="auto"/>
              <w:jc w:val="both"/>
              <w:rPr>
                <w:rFonts w:ascii="Times New Roman" w:hAnsi="Times New Roman"/>
                <w:sz w:val="24"/>
                <w:szCs w:val="24"/>
              </w:rPr>
            </w:pPr>
            <w:r w:rsidRPr="006316EF">
              <w:rPr>
                <w:rFonts w:ascii="Times New Roman" w:hAnsi="Times New Roman"/>
                <w:sz w:val="24"/>
                <w:szCs w:val="24"/>
              </w:rPr>
              <w:t xml:space="preserve"> </w:t>
            </w:r>
          </w:p>
          <w:p w:rsidRPr="006316EF" w:rsidR="006316EF" w:rsidP="006316EF" w:rsidRDefault="006316EF" w14:paraId="40B1B517" w14:textId="568EA7AA">
            <w:pPr>
              <w:pStyle w:val="ListParagraph"/>
              <w:spacing w:line="276" w:lineRule="auto"/>
              <w:ind w:left="720" w:firstLine="0"/>
              <w:jc w:val="both"/>
              <w:rPr>
                <w:rFonts w:ascii="Times New Roman" w:hAnsi="Times New Roman"/>
                <w:sz w:val="24"/>
                <w:szCs w:val="24"/>
                <w:lang w:val="pt-BR"/>
              </w:rPr>
            </w:pPr>
            <w:r w:rsidRPr="006316EF">
              <w:rPr>
                <w:rFonts w:ascii="Times New Roman" w:hAnsi="Times New Roman"/>
                <w:sz w:val="24"/>
                <w:szCs w:val="24"/>
                <w:lang w:val="pt-BR"/>
              </w:rPr>
              <w:t>Mekanizmat e zgjidhjes së mosmarrëveshjeve dhe afatet kohore: Në projektligj parashikohet e drejta e aksionarëve dhe kreditorëve për t'iu drejtuar gjykatës, megjithatë mund të përcaktohen afate kohore më specifike për proceset e shqyrtimit gjyqësor, veçanërisht për çështje kritike si pezullimi i një shndërrimi apo ndarjeje. Neni 53.4 dhe 53.5 parashikon një afat 30-ditor për zgjidhjen e kërkesave për kompensim shtesë nga aksionarët në ndarje, gjë që është pozitive, megjithatë, një qartësi e ngjashme për mosmarrëveshje të tjera do të rriste efikasitetin dhe sigurinë juridike.</w:t>
            </w:r>
          </w:p>
          <w:p w:rsidRPr="006316EF" w:rsidR="006316EF" w:rsidP="006316EF" w:rsidRDefault="006316EF" w14:paraId="39C305F1" w14:textId="1782B2CA">
            <w:pPr>
              <w:pStyle w:val="ListParagraph"/>
              <w:spacing w:line="276" w:lineRule="auto"/>
              <w:ind w:left="720" w:firstLine="0"/>
              <w:jc w:val="both"/>
              <w:rPr>
                <w:rFonts w:ascii="Times New Roman" w:hAnsi="Times New Roman"/>
                <w:sz w:val="24"/>
                <w:szCs w:val="24"/>
              </w:rPr>
            </w:pPr>
            <w:r w:rsidRPr="006316EF">
              <w:rPr>
                <w:rFonts w:ascii="Times New Roman" w:hAnsi="Times New Roman"/>
                <w:b/>
                <w:sz w:val="24"/>
                <w:szCs w:val="24"/>
              </w:rPr>
              <w:t>Koment</w:t>
            </w:r>
            <w:r w:rsidRPr="006316EF">
              <w:rPr>
                <w:rFonts w:ascii="Times New Roman" w:hAnsi="Times New Roman"/>
                <w:sz w:val="24"/>
                <w:szCs w:val="24"/>
              </w:rPr>
              <w:t>: Në konsideratë</w:t>
            </w:r>
          </w:p>
          <w:p w:rsidRPr="006316EF" w:rsidR="006316EF" w:rsidP="006316EF" w:rsidRDefault="006316EF" w14:paraId="104B44A2" w14:textId="77777777">
            <w:pPr>
              <w:spacing w:line="276" w:lineRule="auto"/>
              <w:jc w:val="both"/>
              <w:rPr>
                <w:i/>
                <w:szCs w:val="24"/>
              </w:rPr>
            </w:pPr>
            <w:r w:rsidRPr="006316EF">
              <w:rPr>
                <w:i/>
                <w:szCs w:val="24"/>
              </w:rPr>
              <w:t>Përfundimi:</w:t>
            </w:r>
          </w:p>
          <w:p w:rsidRPr="006316EF" w:rsidR="006316EF" w:rsidP="006316EF" w:rsidRDefault="006316EF" w14:paraId="3294B539" w14:textId="77777777">
            <w:pPr>
              <w:spacing w:line="276" w:lineRule="auto"/>
              <w:jc w:val="both"/>
              <w:rPr>
                <w:i/>
                <w:szCs w:val="24"/>
              </w:rPr>
            </w:pPr>
            <w:r w:rsidRPr="006316EF">
              <w:rPr>
                <w:i/>
                <w:szCs w:val="24"/>
              </w:rPr>
              <w:t>Procesi i konsultimit, si institucional ashtu edhe publik, ka garantuar një shqyrtim gjithëpërfshirës dhe transparent të projektligjit, duke respektuar të gjitha procedurat ligjore dhe standardet e transparencës dhe pjesëmarrjes qytetare.</w:t>
            </w:r>
          </w:p>
          <w:p w:rsidRPr="006316EF" w:rsidR="0091671D" w:rsidP="006316EF" w:rsidRDefault="006316EF" w14:paraId="7177754E" w14:textId="780C499D">
            <w:pPr>
              <w:spacing w:line="276" w:lineRule="auto"/>
              <w:jc w:val="both"/>
              <w:rPr>
                <w:i/>
                <w:szCs w:val="24"/>
              </w:rPr>
            </w:pPr>
            <w:r w:rsidRPr="006316EF">
              <w:rPr>
                <w:i/>
                <w:szCs w:val="24"/>
              </w:rPr>
              <w:t xml:space="preserve">     </w:t>
            </w:r>
          </w:p>
        </w:tc>
      </w:tr>
      <w:tr w:rsidRPr="00E75562" w:rsidR="00B5039C" w:rsidTr="65600A46" w14:paraId="4839AF58" w14:textId="77777777">
        <w:tc>
          <w:tcPr>
            <w:tcW w:w="97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25A1F" w:rsidR="00B5039C" w:rsidP="00B5039C" w:rsidRDefault="00B5039C" w14:paraId="2DC4AB25" w14:textId="77777777">
            <w:pPr>
              <w:spacing w:line="276" w:lineRule="auto"/>
              <w:jc w:val="both"/>
              <w:rPr>
                <w:b/>
                <w:szCs w:val="24"/>
              </w:rPr>
            </w:pPr>
            <w:r w:rsidRPr="00325A1F">
              <w:rPr>
                <w:b/>
                <w:szCs w:val="24"/>
              </w:rPr>
              <w:t>ZBATIMI DHE MONITORIMI</w:t>
            </w:r>
          </w:p>
          <w:p w:rsidRPr="00DE53BA" w:rsidR="00B5039C" w:rsidP="00B5039C" w:rsidRDefault="00B5039C" w14:paraId="6CE669AE" w14:textId="77777777">
            <w:pPr>
              <w:spacing w:line="276" w:lineRule="auto"/>
              <w:jc w:val="both"/>
              <w:rPr>
                <w:i/>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name="ZbatimiMonitorimi" w:id="6"/>
            <w:r w:rsidRPr="001155AF">
              <w:rPr>
                <w:i/>
                <w:szCs w:val="24"/>
                <w:lang w:val="it-IT"/>
              </w:rPr>
              <w:instrText xml:space="preserve"> FORMTEXT </w:instrText>
            </w:r>
            <w:r>
              <w:rPr>
                <w:i/>
                <w:szCs w:val="24"/>
              </w:rPr>
            </w:r>
            <w:r>
              <w:rPr>
                <w:i/>
                <w:szCs w:val="24"/>
              </w:rPr>
              <w:fldChar w:fldCharType="separate"/>
            </w:r>
            <w:r w:rsidRPr="001155AF">
              <w:rPr>
                <w:i/>
                <w:noProof/>
                <w:szCs w:val="24"/>
                <w:lang w:val="it-IT"/>
              </w:rPr>
              <w:t>Si do të organizohen zbatimi dhe monitorimi?(jo më shumë se 5 rreshta)</w:t>
            </w:r>
            <w:r>
              <w:rPr>
                <w:i/>
                <w:szCs w:val="24"/>
              </w:rPr>
              <w:fldChar w:fldCharType="end"/>
            </w:r>
            <w:bookmarkEnd w:id="6"/>
          </w:p>
          <w:p w:rsidRPr="00B90ABD" w:rsidR="00B5039C" w:rsidP="00B5039C" w:rsidRDefault="00B5039C" w14:paraId="5E711DBD" w14:textId="17711C7F">
            <w:pPr>
              <w:spacing w:before="240" w:after="200" w:line="276" w:lineRule="auto"/>
              <w:jc w:val="both"/>
              <w:rPr>
                <w:color w:val="000000" w:themeColor="text1"/>
                <w:szCs w:val="24"/>
              </w:rPr>
            </w:pPr>
            <w:r w:rsidRPr="00B90ABD">
              <w:rPr>
                <w:color w:val="000000" w:themeColor="text1"/>
                <w:szCs w:val="24"/>
              </w:rPr>
              <w:t>Bazuar në projektligj</w:t>
            </w:r>
            <w:r w:rsidR="00AF75FE">
              <w:rPr>
                <w:color w:val="000000" w:themeColor="text1"/>
                <w:szCs w:val="24"/>
              </w:rPr>
              <w:t xml:space="preserve">, </w:t>
            </w:r>
            <w:r w:rsidRPr="00B90ABD">
              <w:rPr>
                <w:color w:val="000000" w:themeColor="text1"/>
                <w:szCs w:val="24"/>
              </w:rPr>
              <w:t xml:space="preserve">organet që </w:t>
            </w:r>
            <w:r w:rsidR="006A3FAE">
              <w:rPr>
                <w:color w:val="000000" w:themeColor="text1"/>
                <w:szCs w:val="24"/>
              </w:rPr>
              <w:t>do tw ngarkohen me</w:t>
            </w:r>
            <w:r w:rsidRPr="00B90ABD">
              <w:rPr>
                <w:color w:val="000000" w:themeColor="text1"/>
                <w:szCs w:val="24"/>
              </w:rPr>
              <w:t xml:space="preserve"> zbatimin e nismës së propozuar janë: </w:t>
            </w:r>
          </w:p>
          <w:p w:rsidRPr="00B90ABD" w:rsidR="00B5039C" w:rsidP="0000379A" w:rsidRDefault="00B5039C" w14:paraId="348EBA4C" w14:textId="7DEA2027">
            <w:pPr>
              <w:numPr>
                <w:ilvl w:val="0"/>
                <w:numId w:val="4"/>
              </w:numPr>
              <w:pBdr>
                <w:top w:val="nil"/>
                <w:left w:val="nil"/>
                <w:bottom w:val="nil"/>
                <w:right w:val="nil"/>
                <w:between w:val="nil"/>
                <w:bar w:val="nil"/>
              </w:pBdr>
              <w:ind w:right="20"/>
              <w:rPr>
                <w:color w:val="000000" w:themeColor="text1"/>
                <w:szCs w:val="24"/>
              </w:rPr>
            </w:pPr>
            <w:r w:rsidRPr="00F06BB9">
              <w:rPr>
                <w:szCs w:val="24"/>
              </w:rPr>
              <w:t>Ministri</w:t>
            </w:r>
            <w:r w:rsidR="004D3AC4">
              <w:rPr>
                <w:szCs w:val="24"/>
              </w:rPr>
              <w:t>a</w:t>
            </w:r>
            <w:r w:rsidRPr="00F06BB9">
              <w:rPr>
                <w:szCs w:val="24"/>
              </w:rPr>
              <w:t xml:space="preserve"> përgjegjës</w:t>
            </w:r>
            <w:r w:rsidR="004D3AC4">
              <w:rPr>
                <w:szCs w:val="24"/>
              </w:rPr>
              <w:t>e</w:t>
            </w:r>
            <w:r w:rsidRPr="00F06BB9">
              <w:rPr>
                <w:szCs w:val="24"/>
              </w:rPr>
              <w:t xml:space="preserve"> për </w:t>
            </w:r>
            <w:r w:rsidR="00DF58CE">
              <w:rPr>
                <w:szCs w:val="24"/>
              </w:rPr>
              <w:t>ekonominë</w:t>
            </w:r>
            <w:r w:rsidRPr="00B90ABD">
              <w:rPr>
                <w:color w:val="000000" w:themeColor="text1"/>
                <w:szCs w:val="24"/>
              </w:rPr>
              <w:t>;</w:t>
            </w:r>
          </w:p>
          <w:p w:rsidRPr="00B90ABD" w:rsidR="00B5039C" w:rsidP="0000379A" w:rsidRDefault="00DF58CE" w14:paraId="71FB0760" w14:textId="2FBC8D6F">
            <w:pPr>
              <w:numPr>
                <w:ilvl w:val="0"/>
                <w:numId w:val="4"/>
              </w:numPr>
              <w:pBdr>
                <w:top w:val="nil"/>
                <w:left w:val="nil"/>
                <w:bottom w:val="nil"/>
                <w:right w:val="nil"/>
                <w:between w:val="nil"/>
                <w:bar w:val="nil"/>
              </w:pBdr>
              <w:ind w:right="20"/>
              <w:rPr>
                <w:color w:val="000000" w:themeColor="text1"/>
                <w:szCs w:val="24"/>
              </w:rPr>
            </w:pPr>
            <w:r>
              <w:rPr>
                <w:rStyle w:val="t"/>
                <w:rFonts w:eastAsia="SimSun"/>
                <w:bCs/>
                <w:color w:val="000000" w:themeColor="text1"/>
                <w:spacing w:val="-2"/>
                <w:szCs w:val="24"/>
                <w:shd w:val="clear" w:color="auto" w:fill="FFFFFF"/>
              </w:rPr>
              <w:t>Qendra Kombëtare e Biznes</w:t>
            </w:r>
            <w:r w:rsidR="00151E9F">
              <w:rPr>
                <w:rStyle w:val="t"/>
                <w:rFonts w:eastAsia="SimSun"/>
                <w:bCs/>
                <w:color w:val="000000" w:themeColor="text1"/>
                <w:spacing w:val="-2"/>
                <w:szCs w:val="24"/>
                <w:shd w:val="clear" w:color="auto" w:fill="FFFFFF"/>
              </w:rPr>
              <w:t>it</w:t>
            </w:r>
            <w:r w:rsidRPr="00B90ABD" w:rsidR="00B5039C">
              <w:rPr>
                <w:color w:val="000000" w:themeColor="text1"/>
                <w:szCs w:val="24"/>
              </w:rPr>
              <w:t>;</w:t>
            </w:r>
          </w:p>
          <w:p w:rsidR="00B5039C" w:rsidP="0000379A" w:rsidRDefault="00B5039C" w14:paraId="0C12D3D1" w14:textId="08327E09">
            <w:pPr>
              <w:numPr>
                <w:ilvl w:val="0"/>
                <w:numId w:val="4"/>
              </w:numPr>
              <w:pBdr>
                <w:top w:val="nil"/>
                <w:left w:val="nil"/>
                <w:bottom w:val="nil"/>
                <w:right w:val="nil"/>
                <w:between w:val="nil"/>
                <w:bar w:val="nil"/>
              </w:pBdr>
              <w:ind w:right="20"/>
              <w:rPr>
                <w:szCs w:val="24"/>
              </w:rPr>
            </w:pPr>
            <w:r w:rsidRPr="00F06BB9">
              <w:rPr>
                <w:szCs w:val="24"/>
              </w:rPr>
              <w:t xml:space="preserve">Ministria përgjegjëse për </w:t>
            </w:r>
            <w:r w:rsidR="00E75562">
              <w:rPr>
                <w:szCs w:val="24"/>
              </w:rPr>
              <w:t>financat</w:t>
            </w:r>
            <w:r w:rsidRPr="00F06BB9">
              <w:rPr>
                <w:szCs w:val="24"/>
              </w:rPr>
              <w:t xml:space="preserve">; </w:t>
            </w:r>
          </w:p>
          <w:p w:rsidR="00CF4B8F" w:rsidP="0000379A" w:rsidRDefault="00CF4B8F" w14:paraId="36677C0C" w14:textId="5F59D831">
            <w:pPr>
              <w:numPr>
                <w:ilvl w:val="0"/>
                <w:numId w:val="4"/>
              </w:numPr>
              <w:pBdr>
                <w:top w:val="nil"/>
                <w:left w:val="nil"/>
                <w:bottom w:val="nil"/>
                <w:right w:val="nil"/>
                <w:between w:val="nil"/>
                <w:bar w:val="nil"/>
              </w:pBdr>
              <w:ind w:right="20"/>
              <w:rPr>
                <w:szCs w:val="24"/>
              </w:rPr>
            </w:pPr>
            <w:r>
              <w:rPr>
                <w:szCs w:val="24"/>
              </w:rPr>
              <w:t>Administrata tatimore</w:t>
            </w:r>
          </w:p>
          <w:p w:rsidR="006635FC" w:rsidP="0000379A" w:rsidRDefault="006635FC" w14:paraId="395AB1C4" w14:textId="5C19192F">
            <w:pPr>
              <w:pStyle w:val="ListParagraph"/>
              <w:numPr>
                <w:ilvl w:val="0"/>
                <w:numId w:val="4"/>
              </w:numPr>
              <w:rPr>
                <w:rFonts w:ascii="Times New Roman" w:hAnsi="Times New Roman"/>
                <w:sz w:val="24"/>
                <w:szCs w:val="24"/>
              </w:rPr>
            </w:pPr>
            <w:r>
              <w:rPr>
                <w:rFonts w:ascii="Times New Roman" w:hAnsi="Times New Roman"/>
                <w:sz w:val="24"/>
                <w:szCs w:val="24"/>
              </w:rPr>
              <w:t>Ministria përgjegjëse për</w:t>
            </w:r>
            <w:r w:rsidRPr="006635FC">
              <w:rPr>
                <w:rFonts w:ascii="Times New Roman" w:hAnsi="Times New Roman"/>
                <w:sz w:val="24"/>
                <w:szCs w:val="24"/>
              </w:rPr>
              <w:t xml:space="preserve"> </w:t>
            </w:r>
            <w:r>
              <w:rPr>
                <w:rFonts w:ascii="Times New Roman" w:hAnsi="Times New Roman"/>
                <w:sz w:val="24"/>
                <w:szCs w:val="24"/>
              </w:rPr>
              <w:t>m</w:t>
            </w:r>
            <w:r w:rsidRPr="006635FC">
              <w:rPr>
                <w:rFonts w:ascii="Times New Roman" w:hAnsi="Times New Roman"/>
                <w:sz w:val="24"/>
                <w:szCs w:val="24"/>
              </w:rPr>
              <w:t xml:space="preserve">brojtjen e </w:t>
            </w:r>
            <w:r>
              <w:rPr>
                <w:rFonts w:ascii="Times New Roman" w:hAnsi="Times New Roman"/>
                <w:sz w:val="24"/>
                <w:szCs w:val="24"/>
              </w:rPr>
              <w:t>s</w:t>
            </w:r>
            <w:r w:rsidRPr="006635FC">
              <w:rPr>
                <w:rFonts w:ascii="Times New Roman" w:hAnsi="Times New Roman"/>
                <w:sz w:val="24"/>
                <w:szCs w:val="24"/>
              </w:rPr>
              <w:t>ipërmarrjes</w:t>
            </w:r>
          </w:p>
          <w:p w:rsidR="005460CE" w:rsidP="0000379A" w:rsidRDefault="005460CE" w14:paraId="37EF6E53" w14:textId="34F78FC7">
            <w:pPr>
              <w:pStyle w:val="ListParagraph"/>
              <w:numPr>
                <w:ilvl w:val="0"/>
                <w:numId w:val="4"/>
              </w:numPr>
              <w:rPr>
                <w:rFonts w:ascii="Times New Roman" w:hAnsi="Times New Roman"/>
                <w:sz w:val="24"/>
                <w:szCs w:val="24"/>
              </w:rPr>
            </w:pPr>
            <w:r>
              <w:rPr>
                <w:rFonts w:ascii="Times New Roman" w:hAnsi="Times New Roman"/>
                <w:sz w:val="24"/>
                <w:szCs w:val="24"/>
              </w:rPr>
              <w:t>Noterët</w:t>
            </w:r>
          </w:p>
          <w:p w:rsidRPr="006635FC" w:rsidR="00C367DE" w:rsidP="0000379A" w:rsidRDefault="00C367DE" w14:paraId="26C14AA5" w14:textId="79109907">
            <w:pPr>
              <w:pStyle w:val="ListParagraph"/>
              <w:numPr>
                <w:ilvl w:val="0"/>
                <w:numId w:val="4"/>
              </w:numPr>
              <w:rPr>
                <w:rFonts w:ascii="Times New Roman" w:hAnsi="Times New Roman"/>
                <w:sz w:val="24"/>
                <w:szCs w:val="24"/>
              </w:rPr>
            </w:pPr>
            <w:r>
              <w:rPr>
                <w:rFonts w:ascii="Times New Roman" w:hAnsi="Times New Roman"/>
                <w:sz w:val="24"/>
                <w:szCs w:val="24"/>
              </w:rPr>
              <w:t>Autoriteti i Konkurrencës</w:t>
            </w:r>
          </w:p>
          <w:p w:rsidRPr="009F434C" w:rsidR="00B5039C" w:rsidP="00B5039C" w:rsidRDefault="00B5039C" w14:paraId="4954B684" w14:textId="77777777">
            <w:pPr>
              <w:jc w:val="both"/>
              <w:rPr>
                <w:color w:val="000000" w:themeColor="text1"/>
                <w:szCs w:val="24"/>
              </w:rPr>
            </w:pPr>
          </w:p>
          <w:p w:rsidR="006A3FAE" w:rsidP="00AE31B0" w:rsidRDefault="004A51B2" w14:paraId="47C464D1" w14:textId="77777777">
            <w:pPr>
              <w:spacing w:line="276" w:lineRule="auto"/>
              <w:jc w:val="both"/>
              <w:rPr>
                <w:iCs/>
                <w:szCs w:val="24"/>
              </w:rPr>
            </w:pPr>
            <w:r w:rsidRPr="004A51B2">
              <w:rPr>
                <w:iCs/>
                <w:szCs w:val="24"/>
              </w:rPr>
              <w:t xml:space="preserve">Çdo institucion do të marrë përgjegjësi për implementimin e komponentëve të caktuar të reformës, duke përfshirë trajnime për profesionistët dhe përditësimin e proceseve ligjore dhe digjitale. </w:t>
            </w:r>
          </w:p>
          <w:p w:rsidR="006A3FAE" w:rsidP="00AE31B0" w:rsidRDefault="006A3FAE" w14:paraId="5100217B" w14:textId="77777777">
            <w:pPr>
              <w:spacing w:line="276" w:lineRule="auto"/>
              <w:jc w:val="both"/>
              <w:rPr>
                <w:iCs/>
                <w:szCs w:val="24"/>
              </w:rPr>
            </w:pPr>
          </w:p>
          <w:p w:rsidRPr="004A51B2" w:rsidR="00B5039C" w:rsidP="00AE31B0" w:rsidRDefault="004A51B2" w14:paraId="042CDD7D" w14:textId="0068D6AB">
            <w:pPr>
              <w:spacing w:line="276" w:lineRule="auto"/>
              <w:jc w:val="both"/>
              <w:rPr>
                <w:iCs/>
                <w:szCs w:val="24"/>
              </w:rPr>
            </w:pPr>
            <w:r w:rsidRPr="004A51B2">
              <w:rPr>
                <w:iCs/>
                <w:szCs w:val="24"/>
              </w:rPr>
              <w:t>Monitorimi do të realizohet përmes krijimit të një mekanizmi të rregullt vlerësimi që do të analizojë progresin e zbatimit, do të identifikojë pengesat dhe do të sigurojë korrigjime të menjëhershme. Ky proces do të mbështetet me ndihmën e ekspertëve ndërkombëtarë dhe asistencën teknike nga BE.</w:t>
            </w:r>
            <w:r w:rsidRPr="00965ABA" w:rsidR="00965ABA">
              <w:rPr>
                <w:iCs/>
                <w:szCs w:val="24"/>
              </w:rPr>
              <w:t xml:space="preserve"> Noterët </w:t>
            </w:r>
            <w:r w:rsidR="00965ABA">
              <w:rPr>
                <w:iCs/>
                <w:szCs w:val="24"/>
              </w:rPr>
              <w:t>kan</w:t>
            </w:r>
            <w:r w:rsidR="00707505">
              <w:rPr>
                <w:iCs/>
                <w:szCs w:val="24"/>
              </w:rPr>
              <w:t>ë</w:t>
            </w:r>
            <w:r w:rsidR="00965ABA">
              <w:rPr>
                <w:iCs/>
                <w:szCs w:val="24"/>
              </w:rPr>
              <w:t xml:space="preserve"> nj</w:t>
            </w:r>
            <w:r w:rsidR="00707505">
              <w:rPr>
                <w:iCs/>
                <w:szCs w:val="24"/>
              </w:rPr>
              <w:t>ë</w:t>
            </w:r>
            <w:r w:rsidR="00965ABA">
              <w:rPr>
                <w:iCs/>
                <w:szCs w:val="24"/>
              </w:rPr>
              <w:t xml:space="preserve"> rol </w:t>
            </w:r>
            <w:r w:rsidR="00AC168C">
              <w:rPr>
                <w:iCs/>
                <w:szCs w:val="24"/>
              </w:rPr>
              <w:t>kyç</w:t>
            </w:r>
            <w:r w:rsidR="00965ABA">
              <w:rPr>
                <w:iCs/>
                <w:szCs w:val="24"/>
              </w:rPr>
              <w:t xml:space="preserve"> n</w:t>
            </w:r>
            <w:r w:rsidR="00707505">
              <w:rPr>
                <w:iCs/>
                <w:szCs w:val="24"/>
              </w:rPr>
              <w:t>ë</w:t>
            </w:r>
            <w:r w:rsidR="00965ABA">
              <w:rPr>
                <w:iCs/>
                <w:szCs w:val="24"/>
              </w:rPr>
              <w:t xml:space="preserve"> bashkimet, shnd</w:t>
            </w:r>
            <w:r w:rsidR="00707505">
              <w:rPr>
                <w:iCs/>
                <w:szCs w:val="24"/>
              </w:rPr>
              <w:t>ë</w:t>
            </w:r>
            <w:r w:rsidR="00965ABA">
              <w:rPr>
                <w:iCs/>
                <w:szCs w:val="24"/>
              </w:rPr>
              <w:t>rrimet dhe ndarjet nd</w:t>
            </w:r>
            <w:r w:rsidR="00707505">
              <w:rPr>
                <w:iCs/>
                <w:szCs w:val="24"/>
              </w:rPr>
              <w:t>ë</w:t>
            </w:r>
            <w:r w:rsidR="00965ABA">
              <w:rPr>
                <w:iCs/>
                <w:szCs w:val="24"/>
              </w:rPr>
              <w:t xml:space="preserve">rkufitare dhe </w:t>
            </w:r>
            <w:r w:rsidRPr="00965ABA" w:rsidR="00965ABA">
              <w:rPr>
                <w:iCs/>
                <w:szCs w:val="24"/>
              </w:rPr>
              <w:t>duhet të verifikojnë nëse janë respektuar të drejtat e aksionarëve, kreditorëve dhe palëve të tjera të interesuara, si dhe të sigurojnë që procedurat janë në përputhje me rregullat e caktuara nga direktiva e BE-së. Ata gjithashtu mbështeten në infrastrukturën digjitale të regjistrave të shoqërive për të siguruar ndërveprueshmërinë e regjistrave të shteteve anëtare, duke kontribuar në një proces të thjeshtuar dhe transparent për shoqëritë që kryejnë operacione ndërkufitare.</w:t>
            </w:r>
            <w:r w:rsidRPr="00C568DC" w:rsidR="00C568DC">
              <w:t xml:space="preserve"> </w:t>
            </w:r>
            <w:r w:rsidR="00C568DC">
              <w:rPr>
                <w:iCs/>
                <w:szCs w:val="24"/>
              </w:rPr>
              <w:t>S</w:t>
            </w:r>
            <w:r w:rsidRPr="00C568DC" w:rsidR="00C568DC">
              <w:rPr>
                <w:iCs/>
                <w:szCs w:val="24"/>
              </w:rPr>
              <w:t>hoqëritë</w:t>
            </w:r>
            <w:r w:rsidR="00C568DC">
              <w:rPr>
                <w:iCs/>
                <w:szCs w:val="24"/>
              </w:rPr>
              <w:t xml:space="preserve"> do t</w:t>
            </w:r>
            <w:r w:rsidR="00707505">
              <w:rPr>
                <w:iCs/>
                <w:szCs w:val="24"/>
              </w:rPr>
              <w:t>ë</w:t>
            </w:r>
            <w:r w:rsidR="00C568DC">
              <w:rPr>
                <w:iCs/>
                <w:szCs w:val="24"/>
              </w:rPr>
              <w:t xml:space="preserve"> duhet</w:t>
            </w:r>
            <w:r w:rsidRPr="00C568DC" w:rsidR="00C568DC">
              <w:rPr>
                <w:iCs/>
                <w:szCs w:val="24"/>
              </w:rPr>
              <w:t xml:space="preserve"> të sigurojnë përputhshmërinë me rregullat e konkurrencës dhe të njoftojnë Autoritetin e Konkurrencës kur ato përmbushin kriteret e përcaktuara për bashkime, për të shmangur pasojat ligjore dhe financiare që mund të lindin nga </w:t>
            </w:r>
            <w:r w:rsidRPr="00C568DC" w:rsidR="00E75562">
              <w:rPr>
                <w:iCs/>
                <w:szCs w:val="24"/>
              </w:rPr>
              <w:t>mos njoftimi</w:t>
            </w:r>
            <w:r w:rsidRPr="00C568DC" w:rsidR="00C568DC">
              <w:rPr>
                <w:iCs/>
                <w:szCs w:val="24"/>
              </w:rPr>
              <w:t>.</w:t>
            </w:r>
          </w:p>
        </w:tc>
      </w:tr>
    </w:tbl>
    <w:p w:rsidR="00733DCB" w:rsidP="00733DCB" w:rsidRDefault="00733DCB" w14:paraId="54998794" w14:textId="77777777">
      <w:bookmarkStart w:name="_Toc506919731" w:id="7"/>
    </w:p>
    <w:p w:rsidRPr="00733DCB" w:rsidR="00733DCB" w:rsidP="00733DCB" w:rsidRDefault="00733DCB" w14:paraId="20F32590"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548DD4" w:themeFill="text2" w:themeFillTint="99"/>
        <w:tblLook w:val="04A0" w:firstRow="1" w:lastRow="0" w:firstColumn="1" w:lastColumn="0" w:noHBand="0" w:noVBand="1"/>
      </w:tblPr>
      <w:tblGrid>
        <w:gridCol w:w="9242"/>
      </w:tblGrid>
      <w:tr w:rsidRPr="00E75562" w:rsidR="00FD5942" w:rsidTr="00C133FC" w14:paraId="0DA63DEA" w14:textId="77777777">
        <w:trPr>
          <w:trHeight w:val="353"/>
        </w:trPr>
        <w:tc>
          <w:tcPr>
            <w:tcW w:w="924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9C75E3" w:rsidR="00C133FC" w:rsidP="00C133FC" w:rsidRDefault="00C133FC" w14:paraId="2AF4D543" w14:textId="77777777">
            <w:pPr>
              <w:jc w:val="both"/>
              <w:rPr>
                <w:b/>
              </w:rPr>
            </w:pPr>
            <w:bookmarkStart w:name="_Hlk191986976" w:id="8"/>
            <w:r w:rsidRPr="009C75E3">
              <w:rPr>
                <w:b/>
              </w:rPr>
              <w:t xml:space="preserve">PJESA 2: BAZA KRYESORE E ANALIZËS DHE E PROVAVE </w:t>
            </w:r>
          </w:p>
        </w:tc>
      </w:tr>
      <w:bookmarkEnd w:id="8"/>
    </w:tbl>
    <w:p w:rsidRPr="00C133FC" w:rsidR="00C133FC" w:rsidP="00B17990" w:rsidRDefault="00C133FC" w14:paraId="3DA1F3EE" w14:textId="77777777"/>
    <w:p w:rsidRPr="00325A1F" w:rsidR="002125B7" w:rsidP="009D13F4" w:rsidRDefault="002125B7" w14:paraId="0917B49A" w14:textId="77777777">
      <w:pPr>
        <w:pStyle w:val="Heading1"/>
        <w:spacing w:line="276" w:lineRule="auto"/>
        <w:rPr>
          <w:rFonts w:ascii="Times New Roman" w:hAnsi="Times New Roman" w:cs="Times New Roman"/>
          <w:sz w:val="24"/>
          <w:szCs w:val="24"/>
        </w:rPr>
      </w:pPr>
      <w:bookmarkStart w:name="_Hlk191986986" w:id="9"/>
      <w:r w:rsidRPr="00325A1F">
        <w:rPr>
          <w:rFonts w:ascii="Times New Roman" w:hAnsi="Times New Roman" w:cs="Times New Roman"/>
          <w:sz w:val="24"/>
          <w:szCs w:val="24"/>
        </w:rPr>
        <w:t>Historik</w:t>
      </w:r>
      <w:bookmarkEnd w:id="7"/>
    </w:p>
    <w:sdt>
      <w:sdtPr>
        <w:id w:val="-1879696236"/>
        <w:lock w:val="contentLocked"/>
        <w:placeholder>
          <w:docPart w:val="DefaultPlaceholder_-1854013440"/>
        </w:placeholder>
        <w:rPr>
          <w:i w:val="1"/>
          <w:iCs w:val="1"/>
        </w:rPr>
      </w:sdtPr>
      <w:sdtContent>
        <w:p w:rsidRPr="00BC6D7D" w:rsidR="002125B7" w:rsidP="009D13F4" w:rsidRDefault="007F435A" w14:paraId="6D7821D4" w14:textId="77777777">
          <w:pPr>
            <w:spacing w:line="276" w:lineRule="auto"/>
            <w:rPr>
              <w:i/>
              <w:szCs w:val="24"/>
            </w:rPr>
          </w:pPr>
          <w:r w:rsidRPr="00BC6D7D">
            <w:rPr>
              <w:i/>
              <w:szCs w:val="24"/>
            </w:rPr>
            <w:t>Jepni kontekstin e politikës</w:t>
          </w:r>
          <w:r w:rsidR="00FA63FD">
            <w:rPr>
              <w:i/>
              <w:szCs w:val="24"/>
            </w:rPr>
            <w:t>.</w:t>
          </w:r>
        </w:p>
      </w:sdtContent>
      <w:sdtEndPr>
        <w:rPr>
          <w:i w:val="1"/>
          <w:iCs w:val="1"/>
        </w:rPr>
      </w:sdtEndPr>
    </w:sdt>
    <w:bookmarkStart w:name="_heading=h.tue0nyd9tpds" w:colFirst="0" w:colLast="0" w:displacedByCustomXml="prev" w:id="10"/>
    <w:bookmarkEnd w:displacedByCustomXml="prev" w:id="10"/>
    <w:bookmarkEnd w:displacedByCustomXml="next" w:id="9"/>
    <w:sdt>
      <w:sdtPr>
        <w:id w:val="1083723407"/>
        <w:placeholder>
          <w:docPart w:val="DefaultPlaceholder_1081868574"/>
        </w:placeholder>
      </w:sdtPr>
      <w:sdtContent>
        <w:p w:rsidRPr="009957E9" w:rsidR="009957E9" w:rsidP="009957E9" w:rsidRDefault="009957E9" w14:paraId="453F8BAF" w14:textId="1ADBB098">
          <w:pPr>
            <w:jc w:val="both"/>
          </w:pPr>
          <w:r>
            <w:t>Parlamenti shqiptar</w:t>
          </w:r>
          <w:r w:rsidRPr="009957E9">
            <w:t xml:space="preserve"> miratoi </w:t>
          </w:r>
          <w:r>
            <w:t>n</w:t>
          </w:r>
          <w:r w:rsidR="00E75562">
            <w:t>ë</w:t>
          </w:r>
          <w:r>
            <w:t xml:space="preserve"> vitin</w:t>
          </w:r>
          <w:r w:rsidRPr="009957E9">
            <w:t xml:space="preserve"> 2012 Ligjin nr. 110/2012 “Për bashkimet ndërkufitare të shoqërive</w:t>
          </w:r>
          <w:r>
            <w:t xml:space="preserve"> tregtare</w:t>
          </w:r>
          <w:r w:rsidRPr="009957E9">
            <w:t>”, bazuar kryesisht në Direktivat e vjetra të BE-së (2005/56/KE). Ky ligj rregullon në masë të kufizuar procedurat e bashkimit ndërkufitar, por nuk përfshin fare shndërrimet dhe ndarjet ndërkufitare. D</w:t>
          </w:r>
          <w:r w:rsidR="00E75562">
            <w:t>irektivat</w:t>
          </w:r>
          <w:r w:rsidRPr="009957E9">
            <w:t xml:space="preserve"> e fundit të BE-së – veçanërisht D</w:t>
          </w:r>
          <w:r w:rsidR="00E75562">
            <w:t>irektiva</w:t>
          </w:r>
          <w:r w:rsidRPr="009957E9">
            <w:t xml:space="preserve"> (BE) 2019/2121 – shtojnë kërkesa të reja, duke përfshirë përcaktimin e detajeve ligjore për shndërrimet dhe ndarjet ndërkufitare, mbrojtjen e aksionarëve që nuk </w:t>
          </w:r>
          <w:r w:rsidR="00E75562">
            <w:t>bien dakord</w:t>
          </w:r>
          <w:r w:rsidRPr="009957E9">
            <w:t xml:space="preserve"> dhe të punonjësve të përfshirë</w:t>
          </w:r>
          <w:r>
            <w:t xml:space="preserve"> </w:t>
          </w:r>
          <w:r w:rsidRPr="009957E9">
            <w:t xml:space="preserve">. Legjislacioni aktual shqiptar nuk i pasqyron këto ndryshime, prandaj kërkohet një ligj i ri. </w:t>
          </w:r>
        </w:p>
        <w:p w:rsidR="00D00750" w:rsidP="00BB1DA1" w:rsidRDefault="00D00750" w14:paraId="48452283" w14:textId="77777777">
          <w:pPr>
            <w:jc w:val="both"/>
          </w:pPr>
        </w:p>
        <w:p w:rsidRPr="00A46C50" w:rsidR="00A46C50" w:rsidP="00A46C50" w:rsidRDefault="00A46C50" w14:paraId="1520E489" w14:textId="77777777">
          <w:pPr>
            <w:jc w:val="both"/>
          </w:pPr>
        </w:p>
        <w:p w:rsidRPr="00A46C50" w:rsidR="00A46C50" w:rsidP="00A46C50" w:rsidRDefault="00A46C50" w14:paraId="29EC1BC3" w14:textId="0A3745DE">
          <w:pPr>
            <w:jc w:val="both"/>
          </w:pPr>
          <w:r w:rsidRPr="00A46C50">
            <w:t xml:space="preserve">Gjatë viteve të fundit, Shqipëria ka ndërmarrë një sërë hapash për të adresuar këto </w:t>
          </w:r>
          <w:r w:rsidR="000F13F2">
            <w:t>hendeqe</w:t>
          </w:r>
          <w:r w:rsidRPr="00A46C50" w:rsidR="000F13F2">
            <w:t xml:space="preserve"> </w:t>
          </w:r>
          <w:r w:rsidRPr="00A46C50">
            <w:t>dhe për të përmirësuar kuadrin ligjor të shoqërive. Në vitin 2012, Shqipëria miratoi Ligjin për Bashkimet Ndërkufitare (Ligji nr. 110/2012), i cili ka për qëllim të harmonizojë legjislacionin kombëtar me rregullat e BE-së për bashkimet</w:t>
          </w:r>
          <w:r w:rsidR="00FB202E">
            <w:t xml:space="preserve"> dhe ndarjet</w:t>
          </w:r>
          <w:r w:rsidRPr="00A46C50">
            <w:t xml:space="preserve"> ndërkufitare të shoqërive. Sidoqoftë, disa nga ndryshimet që kërkohen, veçanërisht ato të përditësuara me Direktivën 2019/2121, ende nuk janë plotësisht të </w:t>
          </w:r>
          <w:r w:rsidR="00E75562">
            <w:t>zbatuara</w:t>
          </w:r>
          <w:r w:rsidRPr="00A46C50">
            <w:t xml:space="preserve">. </w:t>
          </w:r>
        </w:p>
        <w:p w:rsidRPr="00A46C50" w:rsidR="005E49A3" w:rsidP="00A46C50" w:rsidRDefault="005E49A3" w14:paraId="72DEB286" w14:textId="495144E6">
          <w:pPr>
            <w:jc w:val="both"/>
          </w:pPr>
        </w:p>
        <w:p w:rsidR="00B64725" w:rsidP="00A46C50" w:rsidRDefault="00A46C50" w14:paraId="696C5A31" w14:textId="2DA665C7">
          <w:pPr>
            <w:jc w:val="both"/>
          </w:pPr>
          <w:r w:rsidRPr="00A46C50">
            <w:t xml:space="preserve">Procesi i integrimit të Shqipërisë në tregun e brendshëm të BE-së kërkon që vendi të krijojë një kuadër ligjor që është i harmonizuar plotësisht me rregullat dhe standardet e Bashkimit Evropian. Për këtë arsye, shumë nga këto reforma janë të mbikëqyrura nga institucionet evropiane dhe nga autoritetet shqiptare. </w:t>
          </w:r>
        </w:p>
        <w:p w:rsidR="00D00750" w:rsidP="00A46C50" w:rsidRDefault="00D00750" w14:paraId="01DC52C9" w14:textId="77777777">
          <w:pPr>
            <w:jc w:val="both"/>
          </w:pPr>
        </w:p>
        <w:p w:rsidR="00D00750" w:rsidP="00D00750" w:rsidRDefault="00D00750" w14:paraId="44C3ACBA" w14:textId="5B339282">
          <w:pPr>
            <w:jc w:val="both"/>
          </w:pPr>
          <w:r w:rsidRPr="00FA72AE">
            <w:t xml:space="preserve">Akte të tjera ligjore dhe nënligjore, të ndërlidhura me zbatimin e ligjit për </w:t>
          </w:r>
          <w:r>
            <w:t>bashkimet ndërkufitare</w:t>
          </w:r>
          <w:r w:rsidRPr="00FA72AE">
            <w:t>, janë si vijon</w:t>
          </w:r>
          <w:r>
            <w:t>:</w:t>
          </w:r>
        </w:p>
        <w:p w:rsidRPr="006F68D1" w:rsidR="00D00750" w:rsidP="00D00750" w:rsidRDefault="00D00750" w14:paraId="21C64200" w14:textId="77777777">
          <w:pPr>
            <w:jc w:val="both"/>
          </w:pPr>
        </w:p>
        <w:p w:rsidRPr="00D00750" w:rsidR="00D00750" w:rsidP="0000379A" w:rsidRDefault="00D00750" w14:paraId="61296486" w14:textId="085D8316">
          <w:pPr>
            <w:pStyle w:val="ListParagraph"/>
            <w:numPr>
              <w:ilvl w:val="0"/>
              <w:numId w:val="24"/>
            </w:numPr>
            <w:jc w:val="both"/>
            <w:rPr>
              <w:szCs w:val="24"/>
            </w:rPr>
          </w:pPr>
          <w:r>
            <w:rPr>
              <w:rFonts w:ascii="Times New Roman" w:hAnsi="Times New Roman"/>
              <w:sz w:val="24"/>
              <w:szCs w:val="24"/>
            </w:rPr>
            <w:t xml:space="preserve">  Ligji 9901/2008 “Për tregtarët dhe shoqëritë tregtare”, i ndryshuar;</w:t>
          </w:r>
        </w:p>
        <w:p w:rsidRPr="00962EFA" w:rsidR="00D00750" w:rsidP="0000379A" w:rsidRDefault="00D00750" w14:paraId="4DDEB917" w14:textId="4D3E0ABA">
          <w:pPr>
            <w:pStyle w:val="ListParagraph"/>
            <w:numPr>
              <w:ilvl w:val="0"/>
              <w:numId w:val="24"/>
            </w:numPr>
            <w:jc w:val="both"/>
            <w:rPr>
              <w:szCs w:val="24"/>
            </w:rPr>
          </w:pPr>
          <w:r>
            <w:rPr>
              <w:rFonts w:ascii="Times New Roman" w:hAnsi="Times New Roman"/>
              <w:sz w:val="24"/>
              <w:szCs w:val="24"/>
            </w:rPr>
            <w:t xml:space="preserve">  </w:t>
          </w:r>
          <w:r w:rsidRPr="00FA72AE">
            <w:rPr>
              <w:rFonts w:ascii="Times New Roman" w:hAnsi="Times New Roman"/>
              <w:sz w:val="24"/>
              <w:szCs w:val="24"/>
            </w:rPr>
            <w:t>P</w:t>
          </w:r>
          <w:r>
            <w:rPr>
              <w:rFonts w:ascii="Times New Roman" w:hAnsi="Times New Roman"/>
              <w:sz w:val="24"/>
              <w:szCs w:val="24"/>
            </w:rPr>
            <w:t>ë</w:t>
          </w:r>
          <w:r w:rsidRPr="00FA72AE">
            <w:rPr>
              <w:rFonts w:ascii="Times New Roman" w:hAnsi="Times New Roman"/>
              <w:sz w:val="24"/>
              <w:szCs w:val="24"/>
            </w:rPr>
            <w:t>r regjistrimin e bizneseve n</w:t>
          </w:r>
          <w:r>
            <w:rPr>
              <w:rFonts w:ascii="Times New Roman" w:hAnsi="Times New Roman"/>
              <w:sz w:val="24"/>
              <w:szCs w:val="24"/>
            </w:rPr>
            <w:t>ë</w:t>
          </w:r>
          <w:r w:rsidRPr="00FA72AE">
            <w:rPr>
              <w:rFonts w:ascii="Times New Roman" w:hAnsi="Times New Roman"/>
              <w:sz w:val="24"/>
              <w:szCs w:val="24"/>
            </w:rPr>
            <w:t xml:space="preserve"> Shqip</w:t>
          </w:r>
          <w:r>
            <w:rPr>
              <w:rFonts w:ascii="Times New Roman" w:hAnsi="Times New Roman"/>
              <w:sz w:val="24"/>
              <w:szCs w:val="24"/>
            </w:rPr>
            <w:t>ë</w:t>
          </w:r>
          <w:r w:rsidRPr="00FA72AE">
            <w:rPr>
              <w:rFonts w:ascii="Times New Roman" w:hAnsi="Times New Roman"/>
              <w:sz w:val="24"/>
              <w:szCs w:val="24"/>
            </w:rPr>
            <w:t>ri u krijua Qendra Komb</w:t>
          </w:r>
          <w:r>
            <w:rPr>
              <w:rFonts w:ascii="Times New Roman" w:hAnsi="Times New Roman"/>
              <w:sz w:val="24"/>
              <w:szCs w:val="24"/>
            </w:rPr>
            <w:t>ë</w:t>
          </w:r>
          <w:r w:rsidRPr="00FA72AE">
            <w:rPr>
              <w:rFonts w:ascii="Times New Roman" w:hAnsi="Times New Roman"/>
              <w:sz w:val="24"/>
              <w:szCs w:val="24"/>
            </w:rPr>
            <w:t>tare e Regjistrimit (tashm</w:t>
          </w:r>
          <w:r>
            <w:rPr>
              <w:rFonts w:ascii="Times New Roman" w:hAnsi="Times New Roman"/>
              <w:sz w:val="24"/>
              <w:szCs w:val="24"/>
            </w:rPr>
            <w:t>ë</w:t>
          </w:r>
          <w:r w:rsidRPr="00FA72AE">
            <w:rPr>
              <w:rFonts w:ascii="Times New Roman" w:hAnsi="Times New Roman"/>
              <w:sz w:val="24"/>
              <w:szCs w:val="24"/>
            </w:rPr>
            <w:t>, Qendra Komb</w:t>
          </w:r>
          <w:r>
            <w:rPr>
              <w:rFonts w:ascii="Times New Roman" w:hAnsi="Times New Roman"/>
              <w:sz w:val="24"/>
              <w:szCs w:val="24"/>
            </w:rPr>
            <w:t>ë</w:t>
          </w:r>
          <w:r w:rsidRPr="00FA72AE">
            <w:rPr>
              <w:rFonts w:ascii="Times New Roman" w:hAnsi="Times New Roman"/>
              <w:sz w:val="24"/>
              <w:szCs w:val="24"/>
            </w:rPr>
            <w:t>tare e Biznesit me hyrjen n</w:t>
          </w:r>
          <w:r>
            <w:rPr>
              <w:rFonts w:ascii="Times New Roman" w:hAnsi="Times New Roman"/>
              <w:sz w:val="24"/>
              <w:szCs w:val="24"/>
            </w:rPr>
            <w:t>ë</w:t>
          </w:r>
          <w:r w:rsidRPr="00FA72AE">
            <w:rPr>
              <w:rFonts w:ascii="Times New Roman" w:hAnsi="Times New Roman"/>
              <w:sz w:val="24"/>
              <w:szCs w:val="24"/>
            </w:rPr>
            <w:t xml:space="preserve"> fuqi t</w:t>
          </w:r>
          <w:r>
            <w:rPr>
              <w:rFonts w:ascii="Times New Roman" w:hAnsi="Times New Roman"/>
              <w:sz w:val="24"/>
              <w:szCs w:val="24"/>
            </w:rPr>
            <w:t>ë</w:t>
          </w:r>
          <w:r w:rsidRPr="00FA72AE">
            <w:rPr>
              <w:rFonts w:ascii="Times New Roman" w:hAnsi="Times New Roman"/>
              <w:sz w:val="24"/>
              <w:szCs w:val="24"/>
            </w:rPr>
            <w:t xml:space="preserve"> Ligjit nr. 131/2015 “P</w:t>
          </w:r>
          <w:r>
            <w:rPr>
              <w:rFonts w:ascii="Times New Roman" w:hAnsi="Times New Roman"/>
              <w:sz w:val="24"/>
              <w:szCs w:val="24"/>
            </w:rPr>
            <w:t>ë</w:t>
          </w:r>
          <w:r w:rsidRPr="00FA72AE">
            <w:rPr>
              <w:rFonts w:ascii="Times New Roman" w:hAnsi="Times New Roman"/>
              <w:sz w:val="24"/>
              <w:szCs w:val="24"/>
            </w:rPr>
            <w:t>r Qendr</w:t>
          </w:r>
          <w:r>
            <w:rPr>
              <w:rFonts w:ascii="Times New Roman" w:hAnsi="Times New Roman"/>
              <w:sz w:val="24"/>
              <w:szCs w:val="24"/>
            </w:rPr>
            <w:t>ë</w:t>
          </w:r>
          <w:r w:rsidRPr="00FA72AE">
            <w:rPr>
              <w:rFonts w:ascii="Times New Roman" w:hAnsi="Times New Roman"/>
              <w:sz w:val="24"/>
              <w:szCs w:val="24"/>
            </w:rPr>
            <w:t>n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Biznesit) me Ligjin nr. 9723, dat</w:t>
          </w:r>
          <w:r>
            <w:rPr>
              <w:rFonts w:ascii="Times New Roman" w:hAnsi="Times New Roman"/>
              <w:sz w:val="24"/>
              <w:szCs w:val="24"/>
            </w:rPr>
            <w:t>ë</w:t>
          </w:r>
          <w:r w:rsidRPr="00FA72AE">
            <w:rPr>
              <w:rFonts w:ascii="Times New Roman" w:hAnsi="Times New Roman"/>
              <w:sz w:val="24"/>
              <w:szCs w:val="24"/>
            </w:rPr>
            <w:t xml:space="preserve"> 3.05.2007 “P</w:t>
          </w:r>
          <w:r>
            <w:rPr>
              <w:rFonts w:ascii="Times New Roman" w:hAnsi="Times New Roman"/>
              <w:sz w:val="24"/>
              <w:szCs w:val="24"/>
            </w:rPr>
            <w:t>ë</w:t>
          </w:r>
          <w:r w:rsidRPr="00FA72AE">
            <w:rPr>
              <w:rFonts w:ascii="Times New Roman" w:hAnsi="Times New Roman"/>
              <w:sz w:val="24"/>
              <w:szCs w:val="24"/>
            </w:rPr>
            <w:t>r Qendr</w:t>
          </w:r>
          <w:r>
            <w:rPr>
              <w:rFonts w:ascii="Times New Roman" w:hAnsi="Times New Roman"/>
              <w:sz w:val="24"/>
              <w:szCs w:val="24"/>
            </w:rPr>
            <w:t>ë</w:t>
          </w:r>
          <w:r w:rsidRPr="00FA72AE">
            <w:rPr>
              <w:rFonts w:ascii="Times New Roman" w:hAnsi="Times New Roman"/>
              <w:sz w:val="24"/>
              <w:szCs w:val="24"/>
            </w:rPr>
            <w:t>n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Regjistrimit” (ligji p</w:t>
          </w:r>
          <w:r>
            <w:rPr>
              <w:rFonts w:ascii="Times New Roman" w:hAnsi="Times New Roman"/>
              <w:sz w:val="24"/>
              <w:szCs w:val="24"/>
            </w:rPr>
            <w:t>ë</w:t>
          </w:r>
          <w:r w:rsidRPr="00FA72AE">
            <w:rPr>
              <w:rFonts w:ascii="Times New Roman" w:hAnsi="Times New Roman"/>
              <w:sz w:val="24"/>
              <w:szCs w:val="24"/>
            </w:rPr>
            <w:t>r QKB) i cili shfuqizoi Ligjin nr. 7667, dat</w:t>
          </w:r>
          <w:r>
            <w:rPr>
              <w:rFonts w:ascii="Times New Roman" w:hAnsi="Times New Roman"/>
              <w:sz w:val="24"/>
              <w:szCs w:val="24"/>
            </w:rPr>
            <w:t>ë</w:t>
          </w:r>
          <w:r w:rsidRPr="00FA72AE">
            <w:rPr>
              <w:rFonts w:ascii="Times New Roman" w:hAnsi="Times New Roman"/>
              <w:sz w:val="24"/>
              <w:szCs w:val="24"/>
            </w:rPr>
            <w:t xml:space="preserve"> 28.01.1993 “P</w:t>
          </w:r>
          <w:r>
            <w:rPr>
              <w:rFonts w:ascii="Times New Roman" w:hAnsi="Times New Roman"/>
              <w:sz w:val="24"/>
              <w:szCs w:val="24"/>
            </w:rPr>
            <w:t>ë</w:t>
          </w:r>
          <w:r w:rsidRPr="00FA72AE">
            <w:rPr>
              <w:rFonts w:ascii="Times New Roman" w:hAnsi="Times New Roman"/>
              <w:sz w:val="24"/>
              <w:szCs w:val="24"/>
            </w:rPr>
            <w:t>r regjistrin zyrtar dhe formalitetet q</w:t>
          </w:r>
          <w:r>
            <w:rPr>
              <w:rFonts w:ascii="Times New Roman" w:hAnsi="Times New Roman"/>
              <w:sz w:val="24"/>
              <w:szCs w:val="24"/>
            </w:rPr>
            <w:t>ë</w:t>
          </w:r>
          <w:r w:rsidRPr="00FA72AE">
            <w:rPr>
              <w:rFonts w:ascii="Times New Roman" w:hAnsi="Times New Roman"/>
              <w:sz w:val="24"/>
              <w:szCs w:val="24"/>
            </w:rPr>
            <w:t xml:space="preserve"> duhen respektuar nga shoq</w:t>
          </w:r>
          <w:r>
            <w:rPr>
              <w:rFonts w:ascii="Times New Roman" w:hAnsi="Times New Roman"/>
              <w:sz w:val="24"/>
              <w:szCs w:val="24"/>
            </w:rPr>
            <w:t>ë</w:t>
          </w:r>
          <w:r w:rsidRPr="00FA72AE">
            <w:rPr>
              <w:rFonts w:ascii="Times New Roman" w:hAnsi="Times New Roman"/>
              <w:sz w:val="24"/>
              <w:szCs w:val="24"/>
            </w:rPr>
            <w:t>rit</w:t>
          </w:r>
          <w:r>
            <w:rPr>
              <w:rFonts w:ascii="Times New Roman" w:hAnsi="Times New Roman"/>
              <w:sz w:val="24"/>
              <w:szCs w:val="24"/>
            </w:rPr>
            <w:t>ë</w:t>
          </w:r>
          <w:r w:rsidRPr="00FA72AE">
            <w:rPr>
              <w:rFonts w:ascii="Times New Roman" w:hAnsi="Times New Roman"/>
              <w:sz w:val="24"/>
              <w:szCs w:val="24"/>
            </w:rPr>
            <w:t xml:space="preserve"> tregtare”,  duke b</w:t>
          </w:r>
          <w:r>
            <w:rPr>
              <w:rFonts w:ascii="Times New Roman" w:hAnsi="Times New Roman"/>
              <w:sz w:val="24"/>
              <w:szCs w:val="24"/>
            </w:rPr>
            <w:t>ë</w:t>
          </w:r>
          <w:r w:rsidRPr="00FA72AE">
            <w:rPr>
              <w:rFonts w:ascii="Times New Roman" w:hAnsi="Times New Roman"/>
              <w:sz w:val="24"/>
              <w:szCs w:val="24"/>
            </w:rPr>
            <w:t>r</w:t>
          </w:r>
          <w:r>
            <w:rPr>
              <w:rFonts w:ascii="Times New Roman" w:hAnsi="Times New Roman"/>
              <w:sz w:val="24"/>
              <w:szCs w:val="24"/>
            </w:rPr>
            <w:t>ë</w:t>
          </w:r>
          <w:r w:rsidRPr="00FA72AE">
            <w:rPr>
              <w:rFonts w:ascii="Times New Roman" w:hAnsi="Times New Roman"/>
              <w:sz w:val="24"/>
              <w:szCs w:val="24"/>
            </w:rPr>
            <w:t xml:space="preserve"> q</w:t>
          </w:r>
          <w:r>
            <w:rPr>
              <w:rFonts w:ascii="Times New Roman" w:hAnsi="Times New Roman"/>
              <w:sz w:val="24"/>
              <w:szCs w:val="24"/>
            </w:rPr>
            <w:t>ë</w:t>
          </w:r>
          <w:r w:rsidRPr="00FA72AE">
            <w:rPr>
              <w:rFonts w:ascii="Times New Roman" w:hAnsi="Times New Roman"/>
              <w:sz w:val="24"/>
              <w:szCs w:val="24"/>
            </w:rPr>
            <w:t xml:space="preserve"> bizneset t</w:t>
          </w:r>
          <w:r>
            <w:rPr>
              <w:rFonts w:ascii="Times New Roman" w:hAnsi="Times New Roman"/>
              <w:sz w:val="24"/>
              <w:szCs w:val="24"/>
            </w:rPr>
            <w:t>ë</w:t>
          </w:r>
          <w:r w:rsidRPr="00FA72AE">
            <w:rPr>
              <w:rFonts w:ascii="Times New Roman" w:hAnsi="Times New Roman"/>
              <w:sz w:val="24"/>
              <w:szCs w:val="24"/>
            </w:rPr>
            <w:t xml:space="preserve"> mos regjistrohen m</w:t>
          </w:r>
          <w:r>
            <w:rPr>
              <w:rFonts w:ascii="Times New Roman" w:hAnsi="Times New Roman"/>
              <w:sz w:val="24"/>
              <w:szCs w:val="24"/>
            </w:rPr>
            <w:t>ë</w:t>
          </w:r>
          <w:r w:rsidRPr="00FA72AE">
            <w:rPr>
              <w:rFonts w:ascii="Times New Roman" w:hAnsi="Times New Roman"/>
              <w:sz w:val="24"/>
              <w:szCs w:val="24"/>
            </w:rPr>
            <w:t xml:space="preserve"> pran</w:t>
          </w:r>
          <w:r>
            <w:rPr>
              <w:rFonts w:ascii="Times New Roman" w:hAnsi="Times New Roman"/>
              <w:sz w:val="24"/>
              <w:szCs w:val="24"/>
            </w:rPr>
            <w:t>ë</w:t>
          </w:r>
          <w:r w:rsidRPr="00FA72AE">
            <w:rPr>
              <w:rFonts w:ascii="Times New Roman" w:hAnsi="Times New Roman"/>
              <w:sz w:val="24"/>
              <w:szCs w:val="24"/>
            </w:rPr>
            <w:t xml:space="preserve"> Gjykat</w:t>
          </w:r>
          <w:r>
            <w:rPr>
              <w:rFonts w:ascii="Times New Roman" w:hAnsi="Times New Roman"/>
              <w:sz w:val="24"/>
              <w:szCs w:val="24"/>
            </w:rPr>
            <w:t>ë</w:t>
          </w:r>
          <w:r w:rsidRPr="00FA72AE">
            <w:rPr>
              <w:rFonts w:ascii="Times New Roman" w:hAnsi="Times New Roman"/>
              <w:sz w:val="24"/>
              <w:szCs w:val="24"/>
            </w:rPr>
            <w:t>s, por t</w:t>
          </w:r>
          <w:r>
            <w:rPr>
              <w:rFonts w:ascii="Times New Roman" w:hAnsi="Times New Roman"/>
              <w:sz w:val="24"/>
              <w:szCs w:val="24"/>
            </w:rPr>
            <w:t>ë</w:t>
          </w:r>
          <w:r w:rsidRPr="00FA72AE">
            <w:rPr>
              <w:rFonts w:ascii="Times New Roman" w:hAnsi="Times New Roman"/>
              <w:sz w:val="24"/>
              <w:szCs w:val="24"/>
            </w:rPr>
            <w:t xml:space="preserve"> ken</w:t>
          </w:r>
          <w:r>
            <w:rPr>
              <w:rFonts w:ascii="Times New Roman" w:hAnsi="Times New Roman"/>
              <w:sz w:val="24"/>
              <w:szCs w:val="24"/>
            </w:rPr>
            <w:t>ë</w:t>
          </w:r>
          <w:r w:rsidRPr="00FA72AE">
            <w:rPr>
              <w:rFonts w:ascii="Times New Roman" w:hAnsi="Times New Roman"/>
              <w:sz w:val="24"/>
              <w:szCs w:val="24"/>
            </w:rPr>
            <w:t xml:space="preserve"> nj</w:t>
          </w:r>
          <w:r>
            <w:rPr>
              <w:rFonts w:ascii="Times New Roman" w:hAnsi="Times New Roman"/>
              <w:sz w:val="24"/>
              <w:szCs w:val="24"/>
            </w:rPr>
            <w:t>ë</w:t>
          </w:r>
          <w:r w:rsidRPr="00FA72AE">
            <w:rPr>
              <w:rFonts w:ascii="Times New Roman" w:hAnsi="Times New Roman"/>
              <w:sz w:val="24"/>
              <w:szCs w:val="24"/>
            </w:rPr>
            <w:t xml:space="preserve"> institucion t</w:t>
          </w:r>
          <w:r>
            <w:rPr>
              <w:rFonts w:ascii="Times New Roman" w:hAnsi="Times New Roman"/>
              <w:sz w:val="24"/>
              <w:szCs w:val="24"/>
            </w:rPr>
            <w:t>ë</w:t>
          </w:r>
          <w:r w:rsidRPr="00FA72AE">
            <w:rPr>
              <w:rFonts w:ascii="Times New Roman" w:hAnsi="Times New Roman"/>
              <w:sz w:val="24"/>
              <w:szCs w:val="24"/>
            </w:rPr>
            <w:t xml:space="preserve"> dedikuar p</w:t>
          </w:r>
          <w:r>
            <w:rPr>
              <w:rFonts w:ascii="Times New Roman" w:hAnsi="Times New Roman"/>
              <w:sz w:val="24"/>
              <w:szCs w:val="24"/>
            </w:rPr>
            <w:t>ë</w:t>
          </w:r>
          <w:r w:rsidRPr="00FA72AE">
            <w:rPr>
              <w:rFonts w:ascii="Times New Roman" w:hAnsi="Times New Roman"/>
              <w:sz w:val="24"/>
              <w:szCs w:val="24"/>
            </w:rPr>
            <w:t>r regjistrimin. Ligji p</w:t>
          </w:r>
          <w:r>
            <w:rPr>
              <w:rFonts w:ascii="Times New Roman" w:hAnsi="Times New Roman"/>
              <w:sz w:val="24"/>
              <w:szCs w:val="24"/>
            </w:rPr>
            <w:t>ë</w:t>
          </w:r>
          <w:r w:rsidRPr="00FA72AE">
            <w:rPr>
              <w:rFonts w:ascii="Times New Roman" w:hAnsi="Times New Roman"/>
              <w:sz w:val="24"/>
              <w:szCs w:val="24"/>
            </w:rPr>
            <w:t xml:space="preserve">r QKB </w:t>
          </w:r>
          <w:r>
            <w:rPr>
              <w:rFonts w:ascii="Times New Roman" w:hAnsi="Times New Roman"/>
              <w:sz w:val="24"/>
              <w:szCs w:val="24"/>
            </w:rPr>
            <w:t>ë</w:t>
          </w:r>
          <w:r w:rsidRPr="00FA72AE">
            <w:rPr>
              <w:rFonts w:ascii="Times New Roman" w:hAnsi="Times New Roman"/>
              <w:sz w:val="24"/>
              <w:szCs w:val="24"/>
            </w:rPr>
            <w:t>sht</w:t>
          </w:r>
          <w:r>
            <w:rPr>
              <w:rFonts w:ascii="Times New Roman" w:hAnsi="Times New Roman"/>
              <w:sz w:val="24"/>
              <w:szCs w:val="24"/>
            </w:rPr>
            <w:t>ë</w:t>
          </w:r>
          <w:r w:rsidRPr="00FA72AE">
            <w:rPr>
              <w:rFonts w:ascii="Times New Roman" w:hAnsi="Times New Roman"/>
              <w:sz w:val="24"/>
              <w:szCs w:val="24"/>
            </w:rPr>
            <w:t xml:space="preserve"> ndryshuar gjasht</w:t>
          </w:r>
          <w:r>
            <w:rPr>
              <w:rFonts w:ascii="Times New Roman" w:hAnsi="Times New Roman"/>
              <w:sz w:val="24"/>
              <w:szCs w:val="24"/>
            </w:rPr>
            <w:t>ë</w:t>
          </w:r>
          <w:r w:rsidRPr="00FA72AE">
            <w:rPr>
              <w:rFonts w:ascii="Times New Roman" w:hAnsi="Times New Roman"/>
              <w:sz w:val="24"/>
              <w:szCs w:val="24"/>
            </w:rPr>
            <w:t xml:space="preserve"> her</w:t>
          </w:r>
          <w:r>
            <w:rPr>
              <w:rFonts w:ascii="Times New Roman" w:hAnsi="Times New Roman"/>
              <w:sz w:val="24"/>
              <w:szCs w:val="24"/>
            </w:rPr>
            <w:t>ë</w:t>
          </w:r>
          <w:r w:rsidRPr="00FA72AE">
            <w:rPr>
              <w:rFonts w:ascii="Times New Roman" w:hAnsi="Times New Roman"/>
              <w:sz w:val="24"/>
              <w:szCs w:val="24"/>
            </w:rPr>
            <w:t xml:space="preserve"> p</w:t>
          </w:r>
          <w:r>
            <w:rPr>
              <w:rFonts w:ascii="Times New Roman" w:hAnsi="Times New Roman"/>
              <w:sz w:val="24"/>
              <w:szCs w:val="24"/>
            </w:rPr>
            <w:t>ë</w:t>
          </w:r>
          <w:r w:rsidRPr="00FA72AE">
            <w:rPr>
              <w:rFonts w:ascii="Times New Roman" w:hAnsi="Times New Roman"/>
              <w:sz w:val="24"/>
              <w:szCs w:val="24"/>
            </w:rPr>
            <w:t>r t</w:t>
          </w:r>
          <w:r>
            <w:rPr>
              <w:rFonts w:ascii="Times New Roman" w:hAnsi="Times New Roman"/>
              <w:sz w:val="24"/>
              <w:szCs w:val="24"/>
            </w:rPr>
            <w:t>ë</w:t>
          </w:r>
          <w:r w:rsidRPr="00FA72AE">
            <w:rPr>
              <w:rFonts w:ascii="Times New Roman" w:hAnsi="Times New Roman"/>
              <w:sz w:val="24"/>
              <w:szCs w:val="24"/>
            </w:rPr>
            <w:t xml:space="preserve"> sakt</w:t>
          </w:r>
          <w:r>
            <w:rPr>
              <w:rFonts w:ascii="Times New Roman" w:hAnsi="Times New Roman"/>
              <w:sz w:val="24"/>
              <w:szCs w:val="24"/>
            </w:rPr>
            <w:t>ë</w:t>
          </w:r>
          <w:r w:rsidRPr="00FA72AE">
            <w:rPr>
              <w:rFonts w:ascii="Times New Roman" w:hAnsi="Times New Roman"/>
              <w:sz w:val="24"/>
              <w:szCs w:val="24"/>
            </w:rPr>
            <w:t>suar aspekte procedurale t</w:t>
          </w:r>
          <w:r>
            <w:rPr>
              <w:rFonts w:ascii="Times New Roman" w:hAnsi="Times New Roman"/>
              <w:sz w:val="24"/>
              <w:szCs w:val="24"/>
            </w:rPr>
            <w:t>ë</w:t>
          </w:r>
          <w:r w:rsidRPr="00FA72AE">
            <w:rPr>
              <w:rFonts w:ascii="Times New Roman" w:hAnsi="Times New Roman"/>
              <w:sz w:val="24"/>
              <w:szCs w:val="24"/>
            </w:rPr>
            <w:t xml:space="preserve"> regjistrimit dhe terminologji, p</w:t>
          </w:r>
          <w:r>
            <w:rPr>
              <w:rFonts w:ascii="Times New Roman" w:hAnsi="Times New Roman"/>
              <w:sz w:val="24"/>
              <w:szCs w:val="24"/>
            </w:rPr>
            <w:t>ë</w:t>
          </w:r>
          <w:r w:rsidRPr="00FA72AE">
            <w:rPr>
              <w:rFonts w:ascii="Times New Roman" w:hAnsi="Times New Roman"/>
              <w:sz w:val="24"/>
              <w:szCs w:val="24"/>
            </w:rPr>
            <w:t>r t</w:t>
          </w:r>
          <w:r>
            <w:rPr>
              <w:rFonts w:ascii="Times New Roman" w:hAnsi="Times New Roman"/>
              <w:sz w:val="24"/>
              <w:szCs w:val="24"/>
            </w:rPr>
            <w:t>ë</w:t>
          </w:r>
          <w:r w:rsidRPr="00FA72AE">
            <w:rPr>
              <w:rFonts w:ascii="Times New Roman" w:hAnsi="Times New Roman"/>
              <w:sz w:val="24"/>
              <w:szCs w:val="24"/>
            </w:rPr>
            <w:t xml:space="preserve"> prezantuar Qendr</w:t>
          </w:r>
          <w:r>
            <w:rPr>
              <w:rFonts w:ascii="Times New Roman" w:hAnsi="Times New Roman"/>
              <w:sz w:val="24"/>
              <w:szCs w:val="24"/>
            </w:rPr>
            <w:t>ë</w:t>
          </w:r>
          <w:r w:rsidRPr="00FA72AE">
            <w:rPr>
              <w:rFonts w:ascii="Times New Roman" w:hAnsi="Times New Roman"/>
              <w:sz w:val="24"/>
              <w:szCs w:val="24"/>
            </w:rPr>
            <w:t>n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Biznesit, e cila bashkoi Qendr</w:t>
          </w:r>
          <w:r>
            <w:rPr>
              <w:rFonts w:ascii="Times New Roman" w:hAnsi="Times New Roman"/>
              <w:sz w:val="24"/>
              <w:szCs w:val="24"/>
            </w:rPr>
            <w:t>ë</w:t>
          </w:r>
          <w:r w:rsidRPr="00FA72AE">
            <w:rPr>
              <w:rFonts w:ascii="Times New Roman" w:hAnsi="Times New Roman"/>
              <w:sz w:val="24"/>
              <w:szCs w:val="24"/>
            </w:rPr>
            <w:t>n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Regjistrimit dhe Qendr</w:t>
          </w:r>
          <w:r>
            <w:rPr>
              <w:rFonts w:ascii="Times New Roman" w:hAnsi="Times New Roman"/>
              <w:sz w:val="24"/>
              <w:szCs w:val="24"/>
            </w:rPr>
            <w:t>ë</w:t>
          </w:r>
          <w:r w:rsidRPr="00FA72AE">
            <w:rPr>
              <w:rFonts w:ascii="Times New Roman" w:hAnsi="Times New Roman"/>
              <w:sz w:val="24"/>
              <w:szCs w:val="24"/>
            </w:rPr>
            <w:t>n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Licencimit n</w:t>
          </w:r>
          <w:r>
            <w:rPr>
              <w:rFonts w:ascii="Times New Roman" w:hAnsi="Times New Roman"/>
              <w:sz w:val="24"/>
              <w:szCs w:val="24"/>
            </w:rPr>
            <w:t>ë</w:t>
          </w:r>
          <w:r w:rsidRPr="00FA72AE">
            <w:rPr>
              <w:rFonts w:ascii="Times New Roman" w:hAnsi="Times New Roman"/>
              <w:sz w:val="24"/>
              <w:szCs w:val="24"/>
            </w:rPr>
            <w:t xml:space="preserve"> t</w:t>
          </w:r>
          <w:r>
            <w:rPr>
              <w:rFonts w:ascii="Times New Roman" w:hAnsi="Times New Roman"/>
              <w:sz w:val="24"/>
              <w:szCs w:val="24"/>
            </w:rPr>
            <w:t>ë</w:t>
          </w:r>
          <w:r w:rsidRPr="00FA72AE">
            <w:rPr>
              <w:rFonts w:ascii="Times New Roman" w:hAnsi="Times New Roman"/>
              <w:sz w:val="24"/>
              <w:szCs w:val="24"/>
            </w:rPr>
            <w:t xml:space="preserve"> nj</w:t>
          </w:r>
          <w:r>
            <w:rPr>
              <w:rFonts w:ascii="Times New Roman" w:hAnsi="Times New Roman"/>
              <w:sz w:val="24"/>
              <w:szCs w:val="24"/>
            </w:rPr>
            <w:t>ë</w:t>
          </w:r>
          <w:r w:rsidRPr="00FA72AE">
            <w:rPr>
              <w:rFonts w:ascii="Times New Roman" w:hAnsi="Times New Roman"/>
              <w:sz w:val="24"/>
              <w:szCs w:val="24"/>
            </w:rPr>
            <w:t>jtin institucion dhe p</w:t>
          </w:r>
          <w:r>
            <w:rPr>
              <w:rFonts w:ascii="Times New Roman" w:hAnsi="Times New Roman"/>
              <w:sz w:val="24"/>
              <w:szCs w:val="24"/>
            </w:rPr>
            <w:t>ë</w:t>
          </w:r>
          <w:r w:rsidRPr="00FA72AE">
            <w:rPr>
              <w:rFonts w:ascii="Times New Roman" w:hAnsi="Times New Roman"/>
              <w:sz w:val="24"/>
              <w:szCs w:val="24"/>
            </w:rPr>
            <w:t>r t</w:t>
          </w:r>
          <w:r>
            <w:rPr>
              <w:rFonts w:ascii="Times New Roman" w:hAnsi="Times New Roman"/>
              <w:sz w:val="24"/>
              <w:szCs w:val="24"/>
            </w:rPr>
            <w:t>ë</w:t>
          </w:r>
          <w:r w:rsidRPr="00FA72AE">
            <w:rPr>
              <w:rFonts w:ascii="Times New Roman" w:hAnsi="Times New Roman"/>
              <w:sz w:val="24"/>
              <w:szCs w:val="24"/>
            </w:rPr>
            <w:t xml:space="preserve"> ndryshuar gjobat q</w:t>
          </w:r>
          <w:r>
            <w:rPr>
              <w:rFonts w:ascii="Times New Roman" w:hAnsi="Times New Roman"/>
              <w:sz w:val="24"/>
              <w:szCs w:val="24"/>
            </w:rPr>
            <w:t>ë</w:t>
          </w:r>
          <w:r w:rsidRPr="00FA72AE">
            <w:rPr>
              <w:rFonts w:ascii="Times New Roman" w:hAnsi="Times New Roman"/>
              <w:sz w:val="24"/>
              <w:szCs w:val="24"/>
            </w:rPr>
            <w:t xml:space="preserve"> zbatohen p</w:t>
          </w:r>
          <w:r>
            <w:rPr>
              <w:rFonts w:ascii="Times New Roman" w:hAnsi="Times New Roman"/>
              <w:sz w:val="24"/>
              <w:szCs w:val="24"/>
            </w:rPr>
            <w:t>ë</w:t>
          </w:r>
          <w:r w:rsidRPr="00FA72AE">
            <w:rPr>
              <w:rFonts w:ascii="Times New Roman" w:hAnsi="Times New Roman"/>
              <w:sz w:val="24"/>
              <w:szCs w:val="24"/>
            </w:rPr>
            <w:t>r shkelje t</w:t>
          </w:r>
          <w:r>
            <w:rPr>
              <w:rFonts w:ascii="Times New Roman" w:hAnsi="Times New Roman"/>
              <w:sz w:val="24"/>
              <w:szCs w:val="24"/>
            </w:rPr>
            <w:t>ë</w:t>
          </w:r>
          <w:r w:rsidRPr="00FA72AE">
            <w:rPr>
              <w:rFonts w:ascii="Times New Roman" w:hAnsi="Times New Roman"/>
              <w:sz w:val="24"/>
              <w:szCs w:val="24"/>
            </w:rPr>
            <w:t xml:space="preserve"> parashikimeve t</w:t>
          </w:r>
          <w:r>
            <w:rPr>
              <w:rFonts w:ascii="Times New Roman" w:hAnsi="Times New Roman"/>
              <w:sz w:val="24"/>
              <w:szCs w:val="24"/>
            </w:rPr>
            <w:t>ë</w:t>
          </w:r>
          <w:r w:rsidRPr="00FA72AE">
            <w:rPr>
              <w:rFonts w:ascii="Times New Roman" w:hAnsi="Times New Roman"/>
              <w:sz w:val="24"/>
              <w:szCs w:val="24"/>
            </w:rPr>
            <w:t xml:space="preserve"> ligjit. Ky ligj p</w:t>
          </w:r>
          <w:r>
            <w:rPr>
              <w:rFonts w:ascii="Times New Roman" w:hAnsi="Times New Roman"/>
              <w:sz w:val="24"/>
              <w:szCs w:val="24"/>
            </w:rPr>
            <w:t>ë</w:t>
          </w:r>
          <w:r w:rsidRPr="00FA72AE">
            <w:rPr>
              <w:rFonts w:ascii="Times New Roman" w:hAnsi="Times New Roman"/>
              <w:sz w:val="24"/>
              <w:szCs w:val="24"/>
            </w:rPr>
            <w:t>rcakton nd</w:t>
          </w:r>
          <w:r>
            <w:rPr>
              <w:rFonts w:ascii="Times New Roman" w:hAnsi="Times New Roman"/>
              <w:sz w:val="24"/>
              <w:szCs w:val="24"/>
            </w:rPr>
            <w:t>ë</w:t>
          </w:r>
          <w:r w:rsidRPr="00FA72AE">
            <w:rPr>
              <w:rFonts w:ascii="Times New Roman" w:hAnsi="Times New Roman"/>
              <w:sz w:val="24"/>
              <w:szCs w:val="24"/>
            </w:rPr>
            <w:t>r t</w:t>
          </w:r>
          <w:r>
            <w:rPr>
              <w:rFonts w:ascii="Times New Roman" w:hAnsi="Times New Roman"/>
              <w:sz w:val="24"/>
              <w:szCs w:val="24"/>
            </w:rPr>
            <w:t>ë</w:t>
          </w:r>
          <w:r w:rsidRPr="00FA72AE">
            <w:rPr>
              <w:rFonts w:ascii="Times New Roman" w:hAnsi="Times New Roman"/>
              <w:sz w:val="24"/>
              <w:szCs w:val="24"/>
            </w:rPr>
            <w:t xml:space="preserve"> tjera dokumentacionin q</w:t>
          </w:r>
          <w:r>
            <w:rPr>
              <w:rFonts w:ascii="Times New Roman" w:hAnsi="Times New Roman"/>
              <w:sz w:val="24"/>
              <w:szCs w:val="24"/>
            </w:rPr>
            <w:t>ë</w:t>
          </w:r>
          <w:r w:rsidRPr="00FA72AE">
            <w:rPr>
              <w:rFonts w:ascii="Times New Roman" w:hAnsi="Times New Roman"/>
              <w:sz w:val="24"/>
              <w:szCs w:val="24"/>
            </w:rPr>
            <w:t xml:space="preserve"> duhet t</w:t>
          </w:r>
          <w:r>
            <w:rPr>
              <w:rFonts w:ascii="Times New Roman" w:hAnsi="Times New Roman"/>
              <w:sz w:val="24"/>
              <w:szCs w:val="24"/>
            </w:rPr>
            <w:t>ë</w:t>
          </w:r>
          <w:r w:rsidRPr="00FA72AE">
            <w:rPr>
              <w:rFonts w:ascii="Times New Roman" w:hAnsi="Times New Roman"/>
              <w:sz w:val="24"/>
              <w:szCs w:val="24"/>
            </w:rPr>
            <w:t xml:space="preserve"> paraqitet p</w:t>
          </w:r>
          <w:r>
            <w:rPr>
              <w:rFonts w:ascii="Times New Roman" w:hAnsi="Times New Roman"/>
              <w:sz w:val="24"/>
              <w:szCs w:val="24"/>
            </w:rPr>
            <w:t>ë</w:t>
          </w:r>
          <w:r w:rsidRPr="00FA72AE">
            <w:rPr>
              <w:rFonts w:ascii="Times New Roman" w:hAnsi="Times New Roman"/>
              <w:sz w:val="24"/>
              <w:szCs w:val="24"/>
            </w:rPr>
            <w:t>r t</w:t>
          </w:r>
          <w:r>
            <w:rPr>
              <w:rFonts w:ascii="Times New Roman" w:hAnsi="Times New Roman"/>
              <w:sz w:val="24"/>
              <w:szCs w:val="24"/>
            </w:rPr>
            <w:t>ë</w:t>
          </w:r>
          <w:r w:rsidRPr="00FA72AE">
            <w:rPr>
              <w:rFonts w:ascii="Times New Roman" w:hAnsi="Times New Roman"/>
              <w:sz w:val="24"/>
              <w:szCs w:val="24"/>
            </w:rPr>
            <w:t xml:space="preserve"> gjitha ndryshimet q</w:t>
          </w:r>
          <w:r>
            <w:rPr>
              <w:rFonts w:ascii="Times New Roman" w:hAnsi="Times New Roman"/>
              <w:sz w:val="24"/>
              <w:szCs w:val="24"/>
            </w:rPr>
            <w:t>ë</w:t>
          </w:r>
          <w:r w:rsidRPr="00FA72AE">
            <w:rPr>
              <w:rFonts w:ascii="Times New Roman" w:hAnsi="Times New Roman"/>
              <w:sz w:val="24"/>
              <w:szCs w:val="24"/>
            </w:rPr>
            <w:t xml:space="preserve"> mund t</w:t>
          </w:r>
          <w:r>
            <w:rPr>
              <w:rFonts w:ascii="Times New Roman" w:hAnsi="Times New Roman"/>
              <w:sz w:val="24"/>
              <w:szCs w:val="24"/>
            </w:rPr>
            <w:t>ë</w:t>
          </w:r>
          <w:r w:rsidRPr="00FA72AE">
            <w:rPr>
              <w:rFonts w:ascii="Times New Roman" w:hAnsi="Times New Roman"/>
              <w:sz w:val="24"/>
              <w:szCs w:val="24"/>
            </w:rPr>
            <w:t xml:space="preserve"> kryhen pran</w:t>
          </w:r>
          <w:r>
            <w:rPr>
              <w:rFonts w:ascii="Times New Roman" w:hAnsi="Times New Roman"/>
              <w:sz w:val="24"/>
              <w:szCs w:val="24"/>
            </w:rPr>
            <w:t>ë</w:t>
          </w:r>
          <w:r w:rsidRPr="00FA72AE">
            <w:rPr>
              <w:rFonts w:ascii="Times New Roman" w:hAnsi="Times New Roman"/>
              <w:sz w:val="24"/>
              <w:szCs w:val="24"/>
            </w:rPr>
            <w:t xml:space="preserve"> Qendr</w:t>
          </w:r>
          <w:r>
            <w:rPr>
              <w:rFonts w:ascii="Times New Roman" w:hAnsi="Times New Roman"/>
              <w:sz w:val="24"/>
              <w:szCs w:val="24"/>
            </w:rPr>
            <w:t>ë</w:t>
          </w:r>
          <w:r w:rsidRPr="00FA72AE">
            <w:rPr>
              <w:rFonts w:ascii="Times New Roman" w:hAnsi="Times New Roman"/>
              <w:sz w:val="24"/>
              <w:szCs w:val="24"/>
            </w:rPr>
            <w:t>s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Biznesit. </w:t>
          </w:r>
        </w:p>
        <w:p w:rsidRPr="00A15BAC" w:rsidR="00D00750" w:rsidP="00D00750" w:rsidRDefault="00D00750" w14:paraId="746F7EF2" w14:textId="77777777">
          <w:pPr>
            <w:jc w:val="both"/>
            <w:rPr>
              <w:szCs w:val="24"/>
            </w:rPr>
          </w:pPr>
        </w:p>
        <w:p w:rsidRPr="00962EFA" w:rsidR="00D00750" w:rsidP="0000379A" w:rsidRDefault="00D00750" w14:paraId="7465F0B6" w14:textId="77777777">
          <w:pPr>
            <w:pStyle w:val="ListParagraph"/>
            <w:numPr>
              <w:ilvl w:val="0"/>
              <w:numId w:val="24"/>
            </w:numPr>
            <w:jc w:val="both"/>
            <w:rPr>
              <w:szCs w:val="24"/>
            </w:rPr>
          </w:pPr>
          <w:r>
            <w:rPr>
              <w:rFonts w:ascii="Times New Roman" w:hAnsi="Times New Roman"/>
              <w:sz w:val="24"/>
              <w:szCs w:val="24"/>
            </w:rPr>
            <w:t xml:space="preserve">  </w:t>
          </w:r>
          <w:r w:rsidRPr="00FA72AE">
            <w:rPr>
              <w:rFonts w:ascii="Times New Roman" w:hAnsi="Times New Roman"/>
              <w:sz w:val="24"/>
              <w:szCs w:val="24"/>
            </w:rPr>
            <w:t>Vendimi i K</w:t>
          </w:r>
          <w:r>
            <w:rPr>
              <w:rFonts w:ascii="Times New Roman" w:hAnsi="Times New Roman"/>
              <w:sz w:val="24"/>
              <w:szCs w:val="24"/>
            </w:rPr>
            <w:t>ë</w:t>
          </w:r>
          <w:r w:rsidRPr="00FA72AE">
            <w:rPr>
              <w:rFonts w:ascii="Times New Roman" w:hAnsi="Times New Roman"/>
              <w:sz w:val="24"/>
              <w:szCs w:val="24"/>
            </w:rPr>
            <w:t>shillit t</w:t>
          </w:r>
          <w:r>
            <w:rPr>
              <w:rFonts w:ascii="Times New Roman" w:hAnsi="Times New Roman"/>
              <w:sz w:val="24"/>
              <w:szCs w:val="24"/>
            </w:rPr>
            <w:t>ë</w:t>
          </w:r>
          <w:r w:rsidRPr="00FA72AE">
            <w:rPr>
              <w:rFonts w:ascii="Times New Roman" w:hAnsi="Times New Roman"/>
              <w:sz w:val="24"/>
              <w:szCs w:val="24"/>
            </w:rPr>
            <w:t xml:space="preserve"> Ministrave nr. 179, dat</w:t>
          </w:r>
          <w:r>
            <w:rPr>
              <w:rFonts w:ascii="Times New Roman" w:hAnsi="Times New Roman"/>
              <w:sz w:val="24"/>
              <w:szCs w:val="24"/>
            </w:rPr>
            <w:t>ë</w:t>
          </w:r>
          <w:r w:rsidRPr="00FA72AE">
            <w:rPr>
              <w:rFonts w:ascii="Times New Roman" w:hAnsi="Times New Roman"/>
              <w:sz w:val="24"/>
              <w:szCs w:val="24"/>
            </w:rPr>
            <w:t xml:space="preserve"> 9.03.2016 “P</w:t>
          </w:r>
          <w:r>
            <w:rPr>
              <w:rFonts w:ascii="Times New Roman" w:hAnsi="Times New Roman"/>
              <w:sz w:val="24"/>
              <w:szCs w:val="24"/>
            </w:rPr>
            <w:t>ë</w:t>
          </w:r>
          <w:r w:rsidRPr="00FA72AE">
            <w:rPr>
              <w:rFonts w:ascii="Times New Roman" w:hAnsi="Times New Roman"/>
              <w:sz w:val="24"/>
              <w:szCs w:val="24"/>
            </w:rPr>
            <w:t>r miratimin e statutit t</w:t>
          </w:r>
          <w:r>
            <w:rPr>
              <w:rFonts w:ascii="Times New Roman" w:hAnsi="Times New Roman"/>
              <w:sz w:val="24"/>
              <w:szCs w:val="24"/>
            </w:rPr>
            <w:t>ë</w:t>
          </w:r>
          <w:r w:rsidRPr="00FA72AE">
            <w:rPr>
              <w:rFonts w:ascii="Times New Roman" w:hAnsi="Times New Roman"/>
              <w:sz w:val="24"/>
              <w:szCs w:val="24"/>
            </w:rPr>
            <w:t xml:space="preserve"> Qendr</w:t>
          </w:r>
          <w:r>
            <w:rPr>
              <w:rFonts w:ascii="Times New Roman" w:hAnsi="Times New Roman"/>
              <w:sz w:val="24"/>
              <w:szCs w:val="24"/>
            </w:rPr>
            <w:t>ë</w:t>
          </w:r>
          <w:r w:rsidRPr="00FA72AE">
            <w:rPr>
              <w:rFonts w:ascii="Times New Roman" w:hAnsi="Times New Roman"/>
              <w:sz w:val="24"/>
              <w:szCs w:val="24"/>
            </w:rPr>
            <w:t>s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Biznesit” (i cili ka shfuqizuar  dhe z</w:t>
          </w:r>
          <w:r>
            <w:rPr>
              <w:rFonts w:ascii="Times New Roman" w:hAnsi="Times New Roman"/>
              <w:sz w:val="24"/>
              <w:szCs w:val="24"/>
            </w:rPr>
            <w:t>ë</w:t>
          </w:r>
          <w:r w:rsidRPr="00FA72AE">
            <w:rPr>
              <w:rFonts w:ascii="Times New Roman" w:hAnsi="Times New Roman"/>
              <w:sz w:val="24"/>
              <w:szCs w:val="24"/>
            </w:rPr>
            <w:t>vend</w:t>
          </w:r>
          <w:r>
            <w:rPr>
              <w:rFonts w:ascii="Times New Roman" w:hAnsi="Times New Roman"/>
              <w:sz w:val="24"/>
              <w:szCs w:val="24"/>
            </w:rPr>
            <w:t>ë</w:t>
          </w:r>
          <w:r w:rsidRPr="00FA72AE">
            <w:rPr>
              <w:rFonts w:ascii="Times New Roman" w:hAnsi="Times New Roman"/>
              <w:sz w:val="24"/>
              <w:szCs w:val="24"/>
            </w:rPr>
            <w:t>suar Vendimin nr. 505, dat</w:t>
          </w:r>
          <w:r>
            <w:rPr>
              <w:rFonts w:ascii="Times New Roman" w:hAnsi="Times New Roman"/>
              <w:sz w:val="24"/>
              <w:szCs w:val="24"/>
            </w:rPr>
            <w:t>ë</w:t>
          </w:r>
          <w:r w:rsidRPr="00FA72AE">
            <w:rPr>
              <w:rFonts w:ascii="Times New Roman" w:hAnsi="Times New Roman"/>
              <w:sz w:val="24"/>
              <w:szCs w:val="24"/>
            </w:rPr>
            <w:t xml:space="preserve"> 01.08.2007 “P</w:t>
          </w:r>
          <w:r>
            <w:rPr>
              <w:rFonts w:ascii="Times New Roman" w:hAnsi="Times New Roman"/>
              <w:sz w:val="24"/>
              <w:szCs w:val="24"/>
            </w:rPr>
            <w:t>ë</w:t>
          </w:r>
          <w:r w:rsidRPr="00FA72AE">
            <w:rPr>
              <w:rFonts w:ascii="Times New Roman" w:hAnsi="Times New Roman"/>
              <w:sz w:val="24"/>
              <w:szCs w:val="24"/>
            </w:rPr>
            <w:t>r miratimin e statutit t</w:t>
          </w:r>
          <w:r>
            <w:rPr>
              <w:rFonts w:ascii="Times New Roman" w:hAnsi="Times New Roman"/>
              <w:sz w:val="24"/>
              <w:szCs w:val="24"/>
            </w:rPr>
            <w:t>ë</w:t>
          </w:r>
          <w:r w:rsidRPr="00FA72AE">
            <w:rPr>
              <w:rFonts w:ascii="Times New Roman" w:hAnsi="Times New Roman"/>
              <w:sz w:val="24"/>
              <w:szCs w:val="24"/>
            </w:rPr>
            <w:t xml:space="preserve"> Qendr</w:t>
          </w:r>
          <w:r>
            <w:rPr>
              <w:rFonts w:ascii="Times New Roman" w:hAnsi="Times New Roman"/>
              <w:sz w:val="24"/>
              <w:szCs w:val="24"/>
            </w:rPr>
            <w:t>ë</w:t>
          </w:r>
          <w:r w:rsidRPr="00FA72AE">
            <w:rPr>
              <w:rFonts w:ascii="Times New Roman" w:hAnsi="Times New Roman"/>
              <w:sz w:val="24"/>
              <w:szCs w:val="24"/>
            </w:rPr>
            <w:t>s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Regjistrimit dhe Vendimin nr. 624, dat</w:t>
          </w:r>
          <w:r>
            <w:rPr>
              <w:rFonts w:ascii="Times New Roman" w:hAnsi="Times New Roman"/>
              <w:sz w:val="24"/>
              <w:szCs w:val="24"/>
            </w:rPr>
            <w:t>ë</w:t>
          </w:r>
          <w:r w:rsidRPr="00FA72AE">
            <w:rPr>
              <w:rFonts w:ascii="Times New Roman" w:hAnsi="Times New Roman"/>
              <w:sz w:val="24"/>
              <w:szCs w:val="24"/>
            </w:rPr>
            <w:t xml:space="preserve"> 11.06.2009 “P</w:t>
          </w:r>
          <w:r>
            <w:rPr>
              <w:rFonts w:ascii="Times New Roman" w:hAnsi="Times New Roman"/>
              <w:sz w:val="24"/>
              <w:szCs w:val="24"/>
            </w:rPr>
            <w:t>ë</w:t>
          </w:r>
          <w:r w:rsidRPr="00FA72AE">
            <w:rPr>
              <w:rFonts w:ascii="Times New Roman" w:hAnsi="Times New Roman"/>
              <w:sz w:val="24"/>
              <w:szCs w:val="24"/>
            </w:rPr>
            <w:t>r miratimin e statutit t</w:t>
          </w:r>
          <w:r>
            <w:rPr>
              <w:rFonts w:ascii="Times New Roman" w:hAnsi="Times New Roman"/>
              <w:sz w:val="24"/>
              <w:szCs w:val="24"/>
            </w:rPr>
            <w:t>ë</w:t>
          </w:r>
          <w:r w:rsidRPr="00FA72AE">
            <w:rPr>
              <w:rFonts w:ascii="Times New Roman" w:hAnsi="Times New Roman"/>
              <w:sz w:val="24"/>
              <w:szCs w:val="24"/>
            </w:rPr>
            <w:t xml:space="preserve"> Qendr</w:t>
          </w:r>
          <w:r>
            <w:rPr>
              <w:rFonts w:ascii="Times New Roman" w:hAnsi="Times New Roman"/>
              <w:sz w:val="24"/>
              <w:szCs w:val="24"/>
            </w:rPr>
            <w:t>ë</w:t>
          </w:r>
          <w:r w:rsidRPr="00FA72AE">
            <w:rPr>
              <w:rFonts w:ascii="Times New Roman" w:hAnsi="Times New Roman"/>
              <w:sz w:val="24"/>
              <w:szCs w:val="24"/>
            </w:rPr>
            <w:t>s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Licencimit) rregullon procedurat e brendshme t</w:t>
          </w:r>
          <w:r>
            <w:rPr>
              <w:rFonts w:ascii="Times New Roman" w:hAnsi="Times New Roman"/>
              <w:sz w:val="24"/>
              <w:szCs w:val="24"/>
            </w:rPr>
            <w:t>ë</w:t>
          </w:r>
          <w:r w:rsidRPr="00FA72AE">
            <w:rPr>
              <w:rFonts w:ascii="Times New Roman" w:hAnsi="Times New Roman"/>
              <w:sz w:val="24"/>
              <w:szCs w:val="24"/>
            </w:rPr>
            <w:t xml:space="preserve"> organizimit dhe funksionimit t</w:t>
          </w:r>
          <w:r>
            <w:rPr>
              <w:rFonts w:ascii="Times New Roman" w:hAnsi="Times New Roman"/>
              <w:sz w:val="24"/>
              <w:szCs w:val="24"/>
            </w:rPr>
            <w:t>ë</w:t>
          </w:r>
          <w:r w:rsidRPr="00FA72AE">
            <w:rPr>
              <w:rFonts w:ascii="Times New Roman" w:hAnsi="Times New Roman"/>
              <w:sz w:val="24"/>
              <w:szCs w:val="24"/>
            </w:rPr>
            <w:t xml:space="preserve"> Qendr</w:t>
          </w:r>
          <w:r>
            <w:rPr>
              <w:rFonts w:ascii="Times New Roman" w:hAnsi="Times New Roman"/>
              <w:sz w:val="24"/>
              <w:szCs w:val="24"/>
            </w:rPr>
            <w:t>ë</w:t>
          </w:r>
          <w:r w:rsidRPr="00FA72AE">
            <w:rPr>
              <w:rFonts w:ascii="Times New Roman" w:hAnsi="Times New Roman"/>
              <w:sz w:val="24"/>
              <w:szCs w:val="24"/>
            </w:rPr>
            <w:t>s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Biznesit.</w:t>
          </w:r>
        </w:p>
        <w:p w:rsidRPr="00A15BAC" w:rsidR="00D00750" w:rsidP="00D00750" w:rsidRDefault="00D00750" w14:paraId="05D07E6A" w14:textId="77777777">
          <w:pPr>
            <w:jc w:val="both"/>
            <w:rPr>
              <w:szCs w:val="24"/>
            </w:rPr>
          </w:pPr>
        </w:p>
        <w:p w:rsidRPr="00962EFA" w:rsidR="00D00750" w:rsidP="0000379A" w:rsidRDefault="00D00750" w14:paraId="2A8E6B92" w14:textId="77777777">
          <w:pPr>
            <w:pStyle w:val="ListParagraph"/>
            <w:numPr>
              <w:ilvl w:val="0"/>
              <w:numId w:val="24"/>
            </w:numPr>
            <w:jc w:val="both"/>
            <w:rPr>
              <w:szCs w:val="24"/>
            </w:rPr>
          </w:pPr>
          <w:r>
            <w:rPr>
              <w:rFonts w:ascii="Times New Roman" w:hAnsi="Times New Roman"/>
              <w:sz w:val="24"/>
              <w:szCs w:val="24"/>
            </w:rPr>
            <w:t xml:space="preserve">  </w:t>
          </w:r>
          <w:r w:rsidRPr="00FA72AE">
            <w:rPr>
              <w:rFonts w:ascii="Times New Roman" w:hAnsi="Times New Roman"/>
              <w:sz w:val="24"/>
              <w:szCs w:val="24"/>
            </w:rPr>
            <w:t>Vendimi nr. 391, dat</w:t>
          </w:r>
          <w:r>
            <w:rPr>
              <w:rFonts w:ascii="Times New Roman" w:hAnsi="Times New Roman"/>
              <w:sz w:val="24"/>
              <w:szCs w:val="24"/>
            </w:rPr>
            <w:t>ë</w:t>
          </w:r>
          <w:r w:rsidRPr="00FA72AE">
            <w:rPr>
              <w:rFonts w:ascii="Times New Roman" w:hAnsi="Times New Roman"/>
              <w:sz w:val="24"/>
              <w:szCs w:val="24"/>
            </w:rPr>
            <w:t xml:space="preserve"> 3.05.2017 “P</w:t>
          </w:r>
          <w:r>
            <w:rPr>
              <w:rFonts w:ascii="Times New Roman" w:hAnsi="Times New Roman"/>
              <w:sz w:val="24"/>
              <w:szCs w:val="24"/>
            </w:rPr>
            <w:t>ë</w:t>
          </w:r>
          <w:r w:rsidRPr="00FA72AE">
            <w:rPr>
              <w:rFonts w:ascii="Times New Roman" w:hAnsi="Times New Roman"/>
              <w:sz w:val="24"/>
              <w:szCs w:val="24"/>
            </w:rPr>
            <w:t>r p</w:t>
          </w:r>
          <w:r>
            <w:rPr>
              <w:rFonts w:ascii="Times New Roman" w:hAnsi="Times New Roman"/>
              <w:sz w:val="24"/>
              <w:szCs w:val="24"/>
            </w:rPr>
            <w:t>ë</w:t>
          </w:r>
          <w:r w:rsidRPr="00FA72AE">
            <w:rPr>
              <w:rFonts w:ascii="Times New Roman" w:hAnsi="Times New Roman"/>
              <w:sz w:val="24"/>
              <w:szCs w:val="24"/>
            </w:rPr>
            <w:t>rcaktimin e procedurave t</w:t>
          </w:r>
          <w:r>
            <w:rPr>
              <w:rFonts w:ascii="Times New Roman" w:hAnsi="Times New Roman"/>
              <w:sz w:val="24"/>
              <w:szCs w:val="24"/>
            </w:rPr>
            <w:t>ë</w:t>
          </w:r>
          <w:r w:rsidRPr="00FA72AE">
            <w:rPr>
              <w:rFonts w:ascii="Times New Roman" w:hAnsi="Times New Roman"/>
              <w:sz w:val="24"/>
              <w:szCs w:val="24"/>
            </w:rPr>
            <w:t xml:space="preserve"> regjistrimit dhe t</w:t>
          </w:r>
          <w:r>
            <w:rPr>
              <w:rFonts w:ascii="Times New Roman" w:hAnsi="Times New Roman"/>
              <w:sz w:val="24"/>
              <w:szCs w:val="24"/>
            </w:rPr>
            <w:t>ë</w:t>
          </w:r>
          <w:r w:rsidRPr="00FA72AE">
            <w:rPr>
              <w:rFonts w:ascii="Times New Roman" w:hAnsi="Times New Roman"/>
              <w:sz w:val="24"/>
              <w:szCs w:val="24"/>
            </w:rPr>
            <w:t xml:space="preserve"> publikimit n</w:t>
          </w:r>
          <w:r>
            <w:rPr>
              <w:rFonts w:ascii="Times New Roman" w:hAnsi="Times New Roman"/>
              <w:sz w:val="24"/>
              <w:szCs w:val="24"/>
            </w:rPr>
            <w:t>ë</w:t>
          </w:r>
          <w:r w:rsidRPr="00FA72AE">
            <w:rPr>
              <w:rFonts w:ascii="Times New Roman" w:hAnsi="Times New Roman"/>
              <w:sz w:val="24"/>
              <w:szCs w:val="24"/>
            </w:rPr>
            <w:t xml:space="preserve"> Qendr</w:t>
          </w:r>
          <w:r>
            <w:rPr>
              <w:rFonts w:ascii="Times New Roman" w:hAnsi="Times New Roman"/>
              <w:sz w:val="24"/>
              <w:szCs w:val="24"/>
            </w:rPr>
            <w:t>ë</w:t>
          </w:r>
          <w:r w:rsidRPr="00FA72AE">
            <w:rPr>
              <w:rFonts w:ascii="Times New Roman" w:hAnsi="Times New Roman"/>
              <w:sz w:val="24"/>
              <w:szCs w:val="24"/>
            </w:rPr>
            <w:t>n Komb</w:t>
          </w:r>
          <w:r>
            <w:rPr>
              <w:rFonts w:ascii="Times New Roman" w:hAnsi="Times New Roman"/>
              <w:sz w:val="24"/>
              <w:szCs w:val="24"/>
            </w:rPr>
            <w:t>ë</w:t>
          </w:r>
          <w:r w:rsidRPr="00FA72AE">
            <w:rPr>
              <w:rFonts w:ascii="Times New Roman" w:hAnsi="Times New Roman"/>
              <w:sz w:val="24"/>
              <w:szCs w:val="24"/>
            </w:rPr>
            <w:t>tare t</w:t>
          </w:r>
          <w:r>
            <w:rPr>
              <w:rFonts w:ascii="Times New Roman" w:hAnsi="Times New Roman"/>
              <w:sz w:val="24"/>
              <w:szCs w:val="24"/>
            </w:rPr>
            <w:t>ë</w:t>
          </w:r>
          <w:r w:rsidRPr="00FA72AE">
            <w:rPr>
              <w:rFonts w:ascii="Times New Roman" w:hAnsi="Times New Roman"/>
              <w:sz w:val="24"/>
              <w:szCs w:val="24"/>
            </w:rPr>
            <w:t xml:space="preserve"> Biznesit” (i ndryshuar dy her</w:t>
          </w:r>
          <w:r>
            <w:rPr>
              <w:rFonts w:ascii="Times New Roman" w:hAnsi="Times New Roman"/>
              <w:sz w:val="24"/>
              <w:szCs w:val="24"/>
            </w:rPr>
            <w:t>ë</w:t>
          </w:r>
          <w:r w:rsidRPr="00FA72AE">
            <w:rPr>
              <w:rFonts w:ascii="Times New Roman" w:hAnsi="Times New Roman"/>
              <w:sz w:val="24"/>
              <w:szCs w:val="24"/>
            </w:rPr>
            <w:t>) p</w:t>
          </w:r>
          <w:r>
            <w:rPr>
              <w:rFonts w:ascii="Times New Roman" w:hAnsi="Times New Roman"/>
              <w:sz w:val="24"/>
              <w:szCs w:val="24"/>
            </w:rPr>
            <w:t>ë</w:t>
          </w:r>
          <w:r w:rsidRPr="00FA72AE">
            <w:rPr>
              <w:rFonts w:ascii="Times New Roman" w:hAnsi="Times New Roman"/>
              <w:sz w:val="24"/>
              <w:szCs w:val="24"/>
            </w:rPr>
            <w:t>rcakton kryesisht procedurat p</w:t>
          </w:r>
          <w:r>
            <w:rPr>
              <w:rFonts w:ascii="Times New Roman" w:hAnsi="Times New Roman"/>
              <w:sz w:val="24"/>
              <w:szCs w:val="24"/>
            </w:rPr>
            <w:t>ë</w:t>
          </w:r>
          <w:r w:rsidRPr="00FA72AE">
            <w:rPr>
              <w:rFonts w:ascii="Times New Roman" w:hAnsi="Times New Roman"/>
              <w:sz w:val="24"/>
              <w:szCs w:val="24"/>
            </w:rPr>
            <w:t>r aplikimin p</w:t>
          </w:r>
          <w:r>
            <w:rPr>
              <w:rFonts w:ascii="Times New Roman" w:hAnsi="Times New Roman"/>
              <w:sz w:val="24"/>
              <w:szCs w:val="24"/>
            </w:rPr>
            <w:t>ë</w:t>
          </w:r>
          <w:r w:rsidRPr="00FA72AE">
            <w:rPr>
              <w:rFonts w:ascii="Times New Roman" w:hAnsi="Times New Roman"/>
              <w:sz w:val="24"/>
              <w:szCs w:val="24"/>
            </w:rPr>
            <w:t>r regjistrime fillestare apo p</w:t>
          </w:r>
          <w:r>
            <w:rPr>
              <w:rFonts w:ascii="Times New Roman" w:hAnsi="Times New Roman"/>
              <w:sz w:val="24"/>
              <w:szCs w:val="24"/>
            </w:rPr>
            <w:t>ë</w:t>
          </w:r>
          <w:r w:rsidRPr="00FA72AE">
            <w:rPr>
              <w:rFonts w:ascii="Times New Roman" w:hAnsi="Times New Roman"/>
              <w:sz w:val="24"/>
              <w:szCs w:val="24"/>
            </w:rPr>
            <w:t>r ndryshime n</w:t>
          </w:r>
          <w:r>
            <w:rPr>
              <w:rFonts w:ascii="Times New Roman" w:hAnsi="Times New Roman"/>
              <w:sz w:val="24"/>
              <w:szCs w:val="24"/>
            </w:rPr>
            <w:t>ë</w:t>
          </w:r>
          <w:r w:rsidRPr="00FA72AE">
            <w:rPr>
              <w:rFonts w:ascii="Times New Roman" w:hAnsi="Times New Roman"/>
              <w:sz w:val="24"/>
              <w:szCs w:val="24"/>
            </w:rPr>
            <w:t xml:space="preserve"> subjekte si dhe procedurat p</w:t>
          </w:r>
          <w:r>
            <w:rPr>
              <w:rFonts w:ascii="Times New Roman" w:hAnsi="Times New Roman"/>
              <w:sz w:val="24"/>
              <w:szCs w:val="24"/>
            </w:rPr>
            <w:t>ë</w:t>
          </w:r>
          <w:r w:rsidRPr="00FA72AE">
            <w:rPr>
              <w:rFonts w:ascii="Times New Roman" w:hAnsi="Times New Roman"/>
              <w:sz w:val="24"/>
              <w:szCs w:val="24"/>
            </w:rPr>
            <w:t>r miratimin, pezullimin dhe refuzimin e regjistrimeve nga Qendra Komb</w:t>
          </w:r>
          <w:r>
            <w:rPr>
              <w:rFonts w:ascii="Times New Roman" w:hAnsi="Times New Roman"/>
              <w:sz w:val="24"/>
              <w:szCs w:val="24"/>
            </w:rPr>
            <w:t>ë</w:t>
          </w:r>
          <w:r w:rsidRPr="00FA72AE">
            <w:rPr>
              <w:rFonts w:ascii="Times New Roman" w:hAnsi="Times New Roman"/>
              <w:sz w:val="24"/>
              <w:szCs w:val="24"/>
            </w:rPr>
            <w:t xml:space="preserve">tare e Biznesit. </w:t>
          </w:r>
        </w:p>
        <w:p w:rsidRPr="00A15BAC" w:rsidR="00D00750" w:rsidP="00D00750" w:rsidRDefault="00D00750" w14:paraId="34C18952" w14:textId="77777777">
          <w:pPr>
            <w:jc w:val="both"/>
            <w:rPr>
              <w:szCs w:val="24"/>
            </w:rPr>
          </w:pPr>
        </w:p>
        <w:p w:rsidRPr="00962EFA" w:rsidR="00D00750" w:rsidP="0000379A" w:rsidRDefault="00D00750" w14:paraId="7FBDDAFD" w14:textId="77777777">
          <w:pPr>
            <w:pStyle w:val="ListParagraph"/>
            <w:numPr>
              <w:ilvl w:val="0"/>
              <w:numId w:val="24"/>
            </w:numPr>
            <w:jc w:val="both"/>
            <w:rPr>
              <w:szCs w:val="24"/>
            </w:rPr>
          </w:pPr>
          <w:r>
            <w:rPr>
              <w:rFonts w:ascii="Times New Roman" w:hAnsi="Times New Roman"/>
              <w:sz w:val="24"/>
              <w:szCs w:val="24"/>
            </w:rPr>
            <w:t xml:space="preserve">  </w:t>
          </w:r>
          <w:r w:rsidRPr="00FA72AE">
            <w:rPr>
              <w:rFonts w:ascii="Times New Roman" w:hAnsi="Times New Roman"/>
              <w:sz w:val="24"/>
              <w:szCs w:val="24"/>
            </w:rPr>
            <w:t>Vendimi nr. 537, dat</w:t>
          </w:r>
          <w:r>
            <w:rPr>
              <w:rFonts w:ascii="Times New Roman" w:hAnsi="Times New Roman"/>
              <w:sz w:val="24"/>
              <w:szCs w:val="24"/>
            </w:rPr>
            <w:t>ë</w:t>
          </w:r>
          <w:r w:rsidRPr="00FA72AE">
            <w:rPr>
              <w:rFonts w:ascii="Times New Roman" w:hAnsi="Times New Roman"/>
              <w:sz w:val="24"/>
              <w:szCs w:val="24"/>
            </w:rPr>
            <w:t xml:space="preserve"> 1.08.2007 “P</w:t>
          </w:r>
          <w:r>
            <w:rPr>
              <w:rFonts w:ascii="Times New Roman" w:hAnsi="Times New Roman"/>
              <w:sz w:val="24"/>
              <w:szCs w:val="24"/>
            </w:rPr>
            <w:t>ë</w:t>
          </w:r>
          <w:r w:rsidRPr="00FA72AE">
            <w:rPr>
              <w:rFonts w:ascii="Times New Roman" w:hAnsi="Times New Roman"/>
              <w:sz w:val="24"/>
              <w:szCs w:val="24"/>
            </w:rPr>
            <w:t>r rregullat p</w:t>
          </w:r>
          <w:r>
            <w:rPr>
              <w:rFonts w:ascii="Times New Roman" w:hAnsi="Times New Roman"/>
              <w:sz w:val="24"/>
              <w:szCs w:val="24"/>
            </w:rPr>
            <w:t>ë</w:t>
          </w:r>
          <w:r w:rsidRPr="00FA72AE">
            <w:rPr>
              <w:rFonts w:ascii="Times New Roman" w:hAnsi="Times New Roman"/>
              <w:sz w:val="24"/>
              <w:szCs w:val="24"/>
            </w:rPr>
            <w:t>r emrat dhe em</w:t>
          </w:r>
          <w:r>
            <w:rPr>
              <w:rFonts w:ascii="Times New Roman" w:hAnsi="Times New Roman"/>
              <w:sz w:val="24"/>
              <w:szCs w:val="24"/>
            </w:rPr>
            <w:t>ë</w:t>
          </w:r>
          <w:r w:rsidRPr="00FA72AE">
            <w:rPr>
              <w:rFonts w:ascii="Times New Roman" w:hAnsi="Times New Roman"/>
              <w:sz w:val="24"/>
              <w:szCs w:val="24"/>
            </w:rPr>
            <w:t>rtimet tregtare” p</w:t>
          </w:r>
          <w:r>
            <w:rPr>
              <w:rFonts w:ascii="Times New Roman" w:hAnsi="Times New Roman"/>
              <w:sz w:val="24"/>
              <w:szCs w:val="24"/>
            </w:rPr>
            <w:t>ë</w:t>
          </w:r>
          <w:r w:rsidRPr="00FA72AE">
            <w:rPr>
              <w:rFonts w:ascii="Times New Roman" w:hAnsi="Times New Roman"/>
              <w:sz w:val="24"/>
              <w:szCs w:val="24"/>
            </w:rPr>
            <w:t>rcakton rregullat p</w:t>
          </w:r>
          <w:r>
            <w:rPr>
              <w:rFonts w:ascii="Times New Roman" w:hAnsi="Times New Roman"/>
              <w:sz w:val="24"/>
              <w:szCs w:val="24"/>
            </w:rPr>
            <w:t>ë</w:t>
          </w:r>
          <w:r w:rsidRPr="00FA72AE">
            <w:rPr>
              <w:rFonts w:ascii="Times New Roman" w:hAnsi="Times New Roman"/>
              <w:sz w:val="24"/>
              <w:szCs w:val="24"/>
            </w:rPr>
            <w:t>r em</w:t>
          </w:r>
          <w:r>
            <w:rPr>
              <w:rFonts w:ascii="Times New Roman" w:hAnsi="Times New Roman"/>
              <w:sz w:val="24"/>
              <w:szCs w:val="24"/>
            </w:rPr>
            <w:t>ë</w:t>
          </w:r>
          <w:r w:rsidRPr="00FA72AE">
            <w:rPr>
              <w:rFonts w:ascii="Times New Roman" w:hAnsi="Times New Roman"/>
              <w:sz w:val="24"/>
              <w:szCs w:val="24"/>
            </w:rPr>
            <w:t>rtimet e lejueshme t</w:t>
          </w:r>
          <w:r>
            <w:rPr>
              <w:rFonts w:ascii="Times New Roman" w:hAnsi="Times New Roman"/>
              <w:sz w:val="24"/>
              <w:szCs w:val="24"/>
            </w:rPr>
            <w:t>ë</w:t>
          </w:r>
          <w:r w:rsidRPr="00FA72AE">
            <w:rPr>
              <w:rFonts w:ascii="Times New Roman" w:hAnsi="Times New Roman"/>
              <w:sz w:val="24"/>
              <w:szCs w:val="24"/>
            </w:rPr>
            <w:t xml:space="preserve"> subjekteve.</w:t>
          </w:r>
        </w:p>
        <w:p w:rsidRPr="00A15BAC" w:rsidR="00D00750" w:rsidP="00D00750" w:rsidRDefault="00D00750" w14:paraId="318711B3" w14:textId="77777777">
          <w:pPr>
            <w:jc w:val="both"/>
            <w:rPr>
              <w:szCs w:val="24"/>
            </w:rPr>
          </w:pPr>
        </w:p>
        <w:p w:rsidRPr="00D00750" w:rsidR="00D00750" w:rsidP="0000379A" w:rsidRDefault="00D00750" w14:paraId="54439852" w14:textId="77777777">
          <w:pPr>
            <w:pStyle w:val="ListParagraph"/>
            <w:numPr>
              <w:ilvl w:val="0"/>
              <w:numId w:val="24"/>
            </w:numPr>
            <w:jc w:val="both"/>
            <w:rPr>
              <w:szCs w:val="24"/>
            </w:rPr>
          </w:pPr>
          <w:r>
            <w:rPr>
              <w:rFonts w:ascii="Times New Roman" w:hAnsi="Times New Roman"/>
              <w:sz w:val="24"/>
              <w:szCs w:val="24"/>
            </w:rPr>
            <w:t xml:space="preserve">   </w:t>
          </w:r>
          <w:r w:rsidRPr="00FA72AE">
            <w:rPr>
              <w:rFonts w:ascii="Times New Roman" w:hAnsi="Times New Roman"/>
              <w:sz w:val="24"/>
              <w:szCs w:val="24"/>
            </w:rPr>
            <w:t>Ligji nr. 112/2020 “P</w:t>
          </w:r>
          <w:r>
            <w:rPr>
              <w:rFonts w:ascii="Times New Roman" w:hAnsi="Times New Roman"/>
              <w:sz w:val="24"/>
              <w:szCs w:val="24"/>
            </w:rPr>
            <w:t>ë</w:t>
          </w:r>
          <w:r w:rsidRPr="00FA72AE">
            <w:rPr>
              <w:rFonts w:ascii="Times New Roman" w:hAnsi="Times New Roman"/>
              <w:sz w:val="24"/>
              <w:szCs w:val="24"/>
            </w:rPr>
            <w:t>r regjistrin e pronar</w:t>
          </w:r>
          <w:r>
            <w:rPr>
              <w:rFonts w:ascii="Times New Roman" w:hAnsi="Times New Roman"/>
              <w:sz w:val="24"/>
              <w:szCs w:val="24"/>
            </w:rPr>
            <w:t>ë</w:t>
          </w:r>
          <w:r w:rsidRPr="00FA72AE">
            <w:rPr>
              <w:rFonts w:ascii="Times New Roman" w:hAnsi="Times New Roman"/>
              <w:sz w:val="24"/>
              <w:szCs w:val="24"/>
            </w:rPr>
            <w:t>ve p</w:t>
          </w:r>
          <w:r>
            <w:rPr>
              <w:rFonts w:ascii="Times New Roman" w:hAnsi="Times New Roman"/>
              <w:sz w:val="24"/>
              <w:szCs w:val="24"/>
            </w:rPr>
            <w:t>ë</w:t>
          </w:r>
          <w:r w:rsidRPr="00FA72AE">
            <w:rPr>
              <w:rFonts w:ascii="Times New Roman" w:hAnsi="Times New Roman"/>
              <w:sz w:val="24"/>
              <w:szCs w:val="24"/>
            </w:rPr>
            <w:t>rfitues” (i ndryshuar dy here) p</w:t>
          </w:r>
          <w:r>
            <w:rPr>
              <w:rFonts w:ascii="Times New Roman" w:hAnsi="Times New Roman"/>
              <w:sz w:val="24"/>
              <w:szCs w:val="24"/>
            </w:rPr>
            <w:t>ë</w:t>
          </w:r>
          <w:r w:rsidRPr="00FA72AE">
            <w:rPr>
              <w:rFonts w:ascii="Times New Roman" w:hAnsi="Times New Roman"/>
              <w:sz w:val="24"/>
              <w:szCs w:val="24"/>
            </w:rPr>
            <w:t>rcakton detyrimin e subjekteve p</w:t>
          </w:r>
          <w:r>
            <w:rPr>
              <w:rFonts w:ascii="Times New Roman" w:hAnsi="Times New Roman"/>
              <w:sz w:val="24"/>
              <w:szCs w:val="24"/>
            </w:rPr>
            <w:t>ë</w:t>
          </w:r>
          <w:r w:rsidRPr="00FA72AE">
            <w:rPr>
              <w:rFonts w:ascii="Times New Roman" w:hAnsi="Times New Roman"/>
              <w:sz w:val="24"/>
              <w:szCs w:val="24"/>
            </w:rPr>
            <w:t>r t</w:t>
          </w:r>
          <w:r>
            <w:rPr>
              <w:rFonts w:ascii="Times New Roman" w:hAnsi="Times New Roman"/>
              <w:sz w:val="24"/>
              <w:szCs w:val="24"/>
            </w:rPr>
            <w:t>ë</w:t>
          </w:r>
          <w:r w:rsidRPr="00FA72AE">
            <w:rPr>
              <w:rFonts w:ascii="Times New Roman" w:hAnsi="Times New Roman"/>
              <w:sz w:val="24"/>
              <w:szCs w:val="24"/>
            </w:rPr>
            <w:t xml:space="preserve"> regjistruar pronar</w:t>
          </w:r>
          <w:r>
            <w:rPr>
              <w:rFonts w:ascii="Times New Roman" w:hAnsi="Times New Roman"/>
              <w:sz w:val="24"/>
              <w:szCs w:val="24"/>
            </w:rPr>
            <w:t>ë</w:t>
          </w:r>
          <w:r w:rsidRPr="00FA72AE">
            <w:rPr>
              <w:rFonts w:ascii="Times New Roman" w:hAnsi="Times New Roman"/>
              <w:sz w:val="24"/>
              <w:szCs w:val="24"/>
            </w:rPr>
            <w:t>t e tyre p</w:t>
          </w:r>
          <w:r>
            <w:rPr>
              <w:rFonts w:ascii="Times New Roman" w:hAnsi="Times New Roman"/>
              <w:sz w:val="24"/>
              <w:szCs w:val="24"/>
            </w:rPr>
            <w:t>ë</w:t>
          </w:r>
          <w:r w:rsidRPr="00FA72AE">
            <w:rPr>
              <w:rFonts w:ascii="Times New Roman" w:hAnsi="Times New Roman"/>
              <w:sz w:val="24"/>
              <w:szCs w:val="24"/>
            </w:rPr>
            <w:t>rfitues fundor</w:t>
          </w:r>
          <w:r>
            <w:rPr>
              <w:rFonts w:ascii="Times New Roman" w:hAnsi="Times New Roman"/>
              <w:sz w:val="24"/>
              <w:szCs w:val="24"/>
            </w:rPr>
            <w:t>ë</w:t>
          </w:r>
          <w:r w:rsidRPr="00FA72AE">
            <w:rPr>
              <w:rFonts w:ascii="Times New Roman" w:hAnsi="Times New Roman"/>
              <w:sz w:val="24"/>
              <w:szCs w:val="24"/>
            </w:rPr>
            <w:t xml:space="preserve"> n</w:t>
          </w:r>
          <w:r>
            <w:rPr>
              <w:rFonts w:ascii="Times New Roman" w:hAnsi="Times New Roman"/>
              <w:sz w:val="24"/>
              <w:szCs w:val="24"/>
            </w:rPr>
            <w:t>ë</w:t>
          </w:r>
          <w:r w:rsidRPr="00FA72AE">
            <w:rPr>
              <w:rFonts w:ascii="Times New Roman" w:hAnsi="Times New Roman"/>
              <w:sz w:val="24"/>
              <w:szCs w:val="24"/>
            </w:rPr>
            <w:t xml:space="preserve"> regjistrin e pronar</w:t>
          </w:r>
          <w:r>
            <w:rPr>
              <w:rFonts w:ascii="Times New Roman" w:hAnsi="Times New Roman"/>
              <w:sz w:val="24"/>
              <w:szCs w:val="24"/>
            </w:rPr>
            <w:t>ë</w:t>
          </w:r>
          <w:r w:rsidRPr="00FA72AE">
            <w:rPr>
              <w:rFonts w:ascii="Times New Roman" w:hAnsi="Times New Roman"/>
              <w:sz w:val="24"/>
              <w:szCs w:val="24"/>
            </w:rPr>
            <w:t>ve p</w:t>
          </w:r>
          <w:r>
            <w:rPr>
              <w:rFonts w:ascii="Times New Roman" w:hAnsi="Times New Roman"/>
              <w:sz w:val="24"/>
              <w:szCs w:val="24"/>
            </w:rPr>
            <w:t>ë</w:t>
          </w:r>
          <w:r w:rsidRPr="00FA72AE">
            <w:rPr>
              <w:rFonts w:ascii="Times New Roman" w:hAnsi="Times New Roman"/>
              <w:sz w:val="24"/>
              <w:szCs w:val="24"/>
            </w:rPr>
            <w:t>rfitues t</w:t>
          </w:r>
          <w:r>
            <w:rPr>
              <w:rFonts w:ascii="Times New Roman" w:hAnsi="Times New Roman"/>
              <w:sz w:val="24"/>
              <w:szCs w:val="24"/>
            </w:rPr>
            <w:t>ë</w:t>
          </w:r>
          <w:r w:rsidRPr="00FA72AE">
            <w:rPr>
              <w:rFonts w:ascii="Times New Roman" w:hAnsi="Times New Roman"/>
              <w:sz w:val="24"/>
              <w:szCs w:val="24"/>
            </w:rPr>
            <w:t xml:space="preserve"> administruar nga Qendra Komb</w:t>
          </w:r>
          <w:r>
            <w:rPr>
              <w:rFonts w:ascii="Times New Roman" w:hAnsi="Times New Roman"/>
              <w:sz w:val="24"/>
              <w:szCs w:val="24"/>
            </w:rPr>
            <w:t>ë</w:t>
          </w:r>
          <w:r w:rsidRPr="00FA72AE">
            <w:rPr>
              <w:rFonts w:ascii="Times New Roman" w:hAnsi="Times New Roman"/>
              <w:sz w:val="24"/>
              <w:szCs w:val="24"/>
            </w:rPr>
            <w:t>tare e Biznesit, m</w:t>
          </w:r>
          <w:r>
            <w:rPr>
              <w:rFonts w:ascii="Times New Roman" w:hAnsi="Times New Roman"/>
              <w:sz w:val="24"/>
              <w:szCs w:val="24"/>
            </w:rPr>
            <w:t>ë</w:t>
          </w:r>
          <w:r w:rsidRPr="00FA72AE">
            <w:rPr>
              <w:rFonts w:ascii="Times New Roman" w:hAnsi="Times New Roman"/>
              <w:sz w:val="24"/>
              <w:szCs w:val="24"/>
            </w:rPr>
            <w:t>nyr</w:t>
          </w:r>
          <w:r>
            <w:rPr>
              <w:rFonts w:ascii="Times New Roman" w:hAnsi="Times New Roman"/>
              <w:sz w:val="24"/>
              <w:szCs w:val="24"/>
            </w:rPr>
            <w:t>ë</w:t>
          </w:r>
          <w:r w:rsidRPr="00FA72AE">
            <w:rPr>
              <w:rFonts w:ascii="Times New Roman" w:hAnsi="Times New Roman"/>
              <w:sz w:val="24"/>
              <w:szCs w:val="24"/>
            </w:rPr>
            <w:t>n e identifikimit dhe t</w:t>
          </w:r>
          <w:r>
            <w:rPr>
              <w:rFonts w:ascii="Times New Roman" w:hAnsi="Times New Roman"/>
              <w:sz w:val="24"/>
              <w:szCs w:val="24"/>
            </w:rPr>
            <w:t>ë</w:t>
          </w:r>
          <w:r w:rsidRPr="00FA72AE">
            <w:rPr>
              <w:rFonts w:ascii="Times New Roman" w:hAnsi="Times New Roman"/>
              <w:sz w:val="24"/>
              <w:szCs w:val="24"/>
            </w:rPr>
            <w:t xml:space="preserve"> dh</w:t>
          </w:r>
          <w:r>
            <w:rPr>
              <w:rFonts w:ascii="Times New Roman" w:hAnsi="Times New Roman"/>
              <w:sz w:val="24"/>
              <w:szCs w:val="24"/>
            </w:rPr>
            <w:t>ë</w:t>
          </w:r>
          <w:r w:rsidRPr="00FA72AE">
            <w:rPr>
              <w:rFonts w:ascii="Times New Roman" w:hAnsi="Times New Roman"/>
              <w:sz w:val="24"/>
              <w:szCs w:val="24"/>
            </w:rPr>
            <w:t>nat e regjistrimit.</w:t>
          </w:r>
        </w:p>
        <w:p w:rsidRPr="00D00750" w:rsidR="00D00750" w:rsidP="00D00750" w:rsidRDefault="00D00750" w14:paraId="403773AE" w14:textId="77777777">
          <w:pPr>
            <w:pStyle w:val="ListParagraph"/>
            <w:rPr>
              <w:szCs w:val="24"/>
            </w:rPr>
          </w:pPr>
        </w:p>
        <w:p w:rsidRPr="00D00750" w:rsidR="00D00750" w:rsidP="0000379A" w:rsidRDefault="00D00750" w14:paraId="23AAEB6E" w14:textId="0363AD66">
          <w:pPr>
            <w:pStyle w:val="ListParagraph"/>
            <w:numPr>
              <w:ilvl w:val="0"/>
              <w:numId w:val="24"/>
            </w:numPr>
            <w:jc w:val="both"/>
            <w:rPr>
              <w:rFonts w:ascii="Times New Roman" w:hAnsi="Times New Roman"/>
              <w:sz w:val="24"/>
              <w:szCs w:val="28"/>
            </w:rPr>
          </w:pPr>
          <w:r w:rsidRPr="00D00750">
            <w:rPr>
              <w:rFonts w:ascii="Times New Roman" w:hAnsi="Times New Roman"/>
              <w:sz w:val="24"/>
              <w:szCs w:val="28"/>
            </w:rPr>
            <w:t xml:space="preserve">   Vendimi i Këshillit të Ministrave, datë 24.12.2020 “Për përcaktimin e rregullave për funksionimin e regjistrit të pronarëve përfitues, për mënyrën e komunikimit në formë elektronike dhe shkëmbimit të të dhënave ndërmjet Qendrës Kombëtare të Biznesit dhe organeve përgjegjëse shtetërore, si dhe për mënyrën e afateve të komunikimit mes regjistrit të pronarëve përfitues, regjistrit tregtar dhe regjistrit të organizatave jofitimprurëse” përcakton mënyrën e aplikimit dhe procedurat e shqyrtimit të aplikimit për regjistrimet në regjistrin e pronarëve përfitues nga regjistri i pronarëve përfitues</w:t>
          </w:r>
        </w:p>
        <w:p w:rsidR="00210844" w:rsidP="00A46C50" w:rsidRDefault="00210844" w14:paraId="4B12F8C5" w14:textId="77777777">
          <w:pPr>
            <w:jc w:val="both"/>
          </w:pPr>
        </w:p>
        <w:p w:rsidR="00E653D4" w:rsidP="00A46C50" w:rsidRDefault="00210844" w14:paraId="08659051" w14:textId="184A9B76">
          <w:pPr>
            <w:jc w:val="both"/>
          </w:pPr>
          <w:r w:rsidRPr="00210844">
            <w:t xml:space="preserve">Sipas Raportit të Progresit 2024 të Komisionit Evropian, të publikuar më 30 tetor 2024, Shqipëria vlerësohet për përparimin në harmonizimin e legjislacionit të shoqërive tregtare me acquis-in e BE-së nën Kapitullin 6. Komisioni rekomandon intensifikimin e përpjekjeve për përafrim të plotë me Direktivën (BE) 2017/1132, të ndryshuar, duke theksuar nevojën për të adresuar boshllëqet në operacionet ndërkufitare, përdorimin e mjeteve digjitale dhe forcimin e kapaciteteve institucionale për zbatim efektiv, si pjesë e negociatave për </w:t>
          </w:r>
          <w:r w:rsidR="00396770">
            <w:t>anëtarësimin</w:t>
          </w:r>
          <w:r>
            <w:rPr>
              <w:rStyle w:val="FootnoteReference"/>
            </w:rPr>
            <w:footnoteReference w:id="2"/>
          </w:r>
          <w:r w:rsidRPr="00210844">
            <w:t>.</w:t>
          </w:r>
        </w:p>
        <w:p w:rsidR="00BA0FD9" w:rsidP="00906C4F" w:rsidRDefault="00BA0FD9" w14:paraId="3EACCBCD" w14:textId="77777777">
          <w:pPr>
            <w:spacing w:line="276" w:lineRule="auto"/>
            <w:jc w:val="both"/>
            <w:rPr>
              <w:iCs/>
              <w:szCs w:val="24"/>
            </w:rPr>
          </w:pPr>
        </w:p>
        <w:p w:rsidRPr="00906C4F" w:rsidR="00BA0FD9" w:rsidP="00906C4F" w:rsidRDefault="002151A9" w14:paraId="79ABBCDC" w14:textId="5558A40E">
          <w:pPr>
            <w:spacing w:line="276" w:lineRule="auto"/>
            <w:jc w:val="both"/>
            <w:rPr>
              <w:iCs/>
              <w:szCs w:val="24"/>
            </w:rPr>
          </w:pPr>
        </w:p>
      </w:sdtContent>
    </w:sdt>
    <w:p w:rsidRPr="009D13F4" w:rsidR="009E64A4" w:rsidP="009D13F4" w:rsidRDefault="002125B7" w14:paraId="5F9C6ED0" w14:textId="77777777">
      <w:pPr>
        <w:pStyle w:val="Heading1"/>
        <w:spacing w:line="276" w:lineRule="auto"/>
        <w:rPr>
          <w:rFonts w:ascii="Times New Roman" w:hAnsi="Times New Roman" w:cs="Times New Roman"/>
          <w:sz w:val="24"/>
          <w:szCs w:val="24"/>
        </w:rPr>
      </w:pPr>
      <w:bookmarkStart w:name="_Hlk191987000" w:id="11"/>
      <w:r w:rsidRPr="00325A1F">
        <w:rPr>
          <w:rFonts w:ascii="Times New Roman" w:hAnsi="Times New Roman" w:cs="Times New Roman"/>
          <w:sz w:val="24"/>
          <w:szCs w:val="24"/>
        </w:rPr>
        <w:t>Problemi në shqyrtim</w:t>
      </w:r>
    </w:p>
    <w:bookmarkStart w:name="_Toc506919734" w:displacedByCustomXml="next" w:id="12"/>
    <w:sdt>
      <w:sdtPr>
        <w:id w:val="5332828"/>
        <w:lock w:val="contentLocked"/>
        <w:placeholder>
          <w:docPart w:val="873E64307E5F40099245506EC819755B"/>
        </w:placeholder>
      </w:sdtPr>
      <w:sdtContent>
        <w:p w:rsidRPr="00372979" w:rsidR="00372979" w:rsidP="0000379A" w:rsidRDefault="00372979" w14:paraId="0F541A80" w14:textId="77777777">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rsidRPr="00372979" w:rsidR="00372979" w:rsidP="0000379A" w:rsidRDefault="00372979" w14:paraId="28895A6C" w14:textId="77777777">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rsidRPr="00372979" w:rsidR="00372979" w:rsidP="0000379A" w:rsidRDefault="00372979" w14:paraId="385EA45F" w14:textId="77777777">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rsidRPr="00372979" w:rsidR="00372979" w:rsidP="0000379A" w:rsidRDefault="00372979" w14:paraId="21D4A0C3" w14:textId="77777777">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rsidRPr="00372979" w:rsidR="009D13F4" w:rsidP="0000379A" w:rsidRDefault="00372979" w14:paraId="752820EB" w14:textId="77777777">
          <w:pPr>
            <w:pStyle w:val="ListParagraph"/>
            <w:numPr>
              <w:ilvl w:val="0"/>
              <w:numId w:val="5"/>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bookmarkEnd w:id="11"/>
    <w:p w:rsidR="005C2E91" w:rsidP="00B91C91" w:rsidRDefault="005C2E91" w14:paraId="105347E1" w14:textId="77777777">
      <w:pPr>
        <w:spacing w:after="160" w:line="259" w:lineRule="auto"/>
        <w:rPr>
          <w:rFonts w:eastAsiaTheme="majorEastAsia"/>
          <w:b/>
          <w:bCs/>
        </w:rPr>
      </w:pPr>
    </w:p>
    <w:p w:rsidR="009954C5" w:rsidP="00057C47" w:rsidRDefault="002B743F" w14:paraId="29393813" w14:textId="4A50BD57">
      <w:pPr>
        <w:spacing w:line="276" w:lineRule="auto"/>
        <w:jc w:val="both"/>
        <w:rPr>
          <w:iCs/>
          <w:szCs w:val="24"/>
        </w:rPr>
      </w:pPr>
      <w:r>
        <w:rPr>
          <w:iCs/>
          <w:szCs w:val="24"/>
        </w:rPr>
        <w:t>Problemi n</w:t>
      </w:r>
      <w:r w:rsidR="00E75562">
        <w:rPr>
          <w:iCs/>
          <w:szCs w:val="24"/>
        </w:rPr>
        <w:t>ë</w:t>
      </w:r>
      <w:r>
        <w:rPr>
          <w:iCs/>
          <w:szCs w:val="24"/>
        </w:rPr>
        <w:t xml:space="preserve"> shqyrtim</w:t>
      </w:r>
      <w:r w:rsidRPr="00DD6D6F" w:rsidR="00DD6D6F">
        <w:rPr>
          <w:iCs/>
          <w:szCs w:val="24"/>
        </w:rPr>
        <w:t xml:space="preserve"> është diferenca mes legjislacionit shqiptar dhe kërkesave të Direktivës së re</w:t>
      </w:r>
      <w:r w:rsidR="00C10024">
        <w:rPr>
          <w:iCs/>
          <w:szCs w:val="24"/>
        </w:rPr>
        <w:t xml:space="preserve"> tw BE-sw </w:t>
      </w:r>
      <w:r w:rsidRPr="003422D8" w:rsidR="00C10024">
        <w:rPr>
          <w:iCs/>
          <w:szCs w:val="24"/>
        </w:rPr>
        <w:t>(BE) 2017/1132</w:t>
      </w:r>
      <w:r w:rsidRPr="00DD6D6F" w:rsidR="00DD6D6F">
        <w:rPr>
          <w:iCs/>
          <w:szCs w:val="24"/>
        </w:rPr>
        <w:t xml:space="preserve">. </w:t>
      </w:r>
      <w:r w:rsidRPr="00C10024" w:rsidR="00C10024">
        <w:rPr>
          <w:iCs/>
          <w:szCs w:val="24"/>
        </w:rPr>
        <w:t xml:space="preserve">Përveç kuadrit ekzistues, praktika ka treguar se procedurat aktuale për bashkimet ndërkufitare janë shpesh të ngadalta dhe të paunifikuara, për shkak të mungesës së rregullimit të plotë të veprimeve ndërkufitare dhe të mekanizmave efikas për shkëmbimin elektronik të informacionit ndërmjet institucioneve. Gjithashtu mungon një kuadër i detajuar për pjesëmarrjen e punonjësve në procedurat ndërkufitare, siç kërkohet nga acquis-i i BE-së. Këto boshllëqe krijojnë pasiguri ligjore për bizneset dhe kufizojnë aftësinë e tyre për të operuar lirshëm në tregun e brendshëm evropian. </w:t>
      </w:r>
      <w:r w:rsidRPr="00DD6D6F" w:rsidR="00DD6D6F">
        <w:rPr>
          <w:iCs/>
          <w:szCs w:val="24"/>
        </w:rPr>
        <w:t xml:space="preserve">Nga </w:t>
      </w:r>
      <w:r w:rsidR="00C10024">
        <w:rPr>
          <w:iCs/>
          <w:szCs w:val="24"/>
        </w:rPr>
        <w:t>vlerwsimi i kryer</w:t>
      </w:r>
      <w:r w:rsidRPr="00DD6D6F" w:rsidR="00DD6D6F">
        <w:rPr>
          <w:iCs/>
          <w:szCs w:val="24"/>
        </w:rPr>
        <w:t xml:space="preserve"> rezulton se mungesa e përafrimit ligjor pengon direkt operacionet ndërkufitare të </w:t>
      </w:r>
      <w:r w:rsidR="00AE6BED">
        <w:rPr>
          <w:iCs/>
          <w:szCs w:val="24"/>
        </w:rPr>
        <w:t>shoqëri</w:t>
      </w:r>
      <w:r w:rsidRPr="00DD6D6F" w:rsidR="00DD6D6F">
        <w:rPr>
          <w:iCs/>
          <w:szCs w:val="24"/>
        </w:rPr>
        <w:t xml:space="preserve">ve shqiptare. Kjo bie ndesh me parimet e BE-së për transparencë, mbrojtje të aksionarëve dhe drejtësi konkurruese. Pa ndryshime, Shqipëria do të humbiste mundësitë për të nxitur investime të huaja direkte dhe për të eliminuar burokracitë e tepërta. Mungesa e një ligji të </w:t>
      </w:r>
      <w:r w:rsidR="00C10024">
        <w:rPr>
          <w:iCs/>
          <w:szCs w:val="24"/>
        </w:rPr>
        <w:t>dedikuar</w:t>
      </w:r>
      <w:r w:rsidRPr="00DD6D6F" w:rsidR="00C10024">
        <w:rPr>
          <w:iCs/>
          <w:szCs w:val="24"/>
        </w:rPr>
        <w:t xml:space="preserve"> </w:t>
      </w:r>
      <w:r w:rsidRPr="00DD6D6F" w:rsidR="00DD6D6F">
        <w:rPr>
          <w:iCs/>
          <w:szCs w:val="24"/>
        </w:rPr>
        <w:t>ço</w:t>
      </w:r>
      <w:r w:rsidR="00C10024">
        <w:rPr>
          <w:iCs/>
          <w:szCs w:val="24"/>
        </w:rPr>
        <w:t>n</w:t>
      </w:r>
      <w:r w:rsidRPr="00DD6D6F" w:rsidR="00DD6D6F">
        <w:rPr>
          <w:iCs/>
          <w:szCs w:val="24"/>
        </w:rPr>
        <w:t xml:space="preserve"> në ndërlikime procedurale, rritje të kostove administrative për bizneset që operojnë në BE dhe rritje të rrezikut fiskal nga penalitete për mosrespektimin e rregullave të konkurrencës së BE-së. Këto probleme renditen si pika strategjike që kërkojnë ndërhyrje, duke bërë të nevojshme miratimin e rregullave të qarta dhe të unifikuara.</w:t>
      </w:r>
      <w:r w:rsidR="00C10024">
        <w:rPr>
          <w:iCs/>
          <w:szCs w:val="24"/>
        </w:rPr>
        <w:t xml:space="preserve"> </w:t>
      </w:r>
      <w:r w:rsidRPr="00EC0E11" w:rsidR="009954C5">
        <w:rPr>
          <w:iCs/>
          <w:szCs w:val="24"/>
        </w:rPr>
        <w:t xml:space="preserve">BE ka rregulla të përbashkëta për </w:t>
      </w:r>
      <w:bookmarkStart w:name="_Hlk190175169" w:id="13"/>
      <w:r w:rsidRPr="00EC0E11" w:rsidR="009954C5">
        <w:rPr>
          <w:iCs/>
          <w:szCs w:val="24"/>
        </w:rPr>
        <w:t xml:space="preserve">bashkimet, ndarjet dhe </w:t>
      </w:r>
      <w:r w:rsidR="005B65BD">
        <w:rPr>
          <w:iCs/>
          <w:szCs w:val="24"/>
        </w:rPr>
        <w:t>shndërrimet</w:t>
      </w:r>
      <w:r w:rsidRPr="00EC0E11" w:rsidR="009954C5">
        <w:rPr>
          <w:iCs/>
          <w:szCs w:val="24"/>
        </w:rPr>
        <w:t xml:space="preserve"> ndërkufitare</w:t>
      </w:r>
      <w:r w:rsidR="005B65BD">
        <w:rPr>
          <w:iCs/>
          <w:szCs w:val="24"/>
        </w:rPr>
        <w:t>.</w:t>
      </w:r>
      <w:bookmarkEnd w:id="13"/>
    </w:p>
    <w:p w:rsidR="00B44A2F" w:rsidP="00057C47" w:rsidRDefault="00B44A2F" w14:paraId="2E26C2B3" w14:textId="77777777">
      <w:pPr>
        <w:spacing w:line="276" w:lineRule="auto"/>
        <w:jc w:val="both"/>
        <w:rPr>
          <w:iCs/>
          <w:szCs w:val="24"/>
        </w:rPr>
      </w:pPr>
    </w:p>
    <w:p w:rsidR="00B44A2F" w:rsidP="004205B4" w:rsidRDefault="00D41A06" w14:paraId="73496A02" w14:textId="53A7B335">
      <w:pPr>
        <w:spacing w:line="276" w:lineRule="auto"/>
        <w:jc w:val="both"/>
        <w:rPr>
          <w:iCs/>
          <w:szCs w:val="24"/>
        </w:rPr>
      </w:pPr>
      <w:r>
        <w:rPr>
          <w:iCs/>
          <w:szCs w:val="24"/>
        </w:rPr>
        <w:t>N</w:t>
      </w:r>
      <w:r w:rsidR="00F17944">
        <w:rPr>
          <w:iCs/>
          <w:szCs w:val="24"/>
        </w:rPr>
        <w:t>ë</w:t>
      </w:r>
      <w:r>
        <w:rPr>
          <w:iCs/>
          <w:szCs w:val="24"/>
        </w:rPr>
        <w:t xml:space="preserve"> k</w:t>
      </w:r>
      <w:r w:rsidR="00F17944">
        <w:rPr>
          <w:iCs/>
          <w:szCs w:val="24"/>
        </w:rPr>
        <w:t>ë</w:t>
      </w:r>
      <w:r>
        <w:rPr>
          <w:iCs/>
          <w:szCs w:val="24"/>
        </w:rPr>
        <w:t>t</w:t>
      </w:r>
      <w:r w:rsidR="00F17944">
        <w:rPr>
          <w:iCs/>
          <w:szCs w:val="24"/>
        </w:rPr>
        <w:t>ë</w:t>
      </w:r>
      <w:r>
        <w:rPr>
          <w:iCs/>
          <w:szCs w:val="24"/>
        </w:rPr>
        <w:t xml:space="preserve"> drejtim</w:t>
      </w:r>
      <w:r w:rsidRPr="003422D8" w:rsidR="003422D8">
        <w:rPr>
          <w:iCs/>
          <w:szCs w:val="24"/>
        </w:rPr>
        <w:t xml:space="preserve"> ka disa fusha ku ligji shqiptar ende nuk është plotësisht në përputhje me </w:t>
      </w:r>
      <w:r w:rsidRPr="003422D8" w:rsidR="00E75562">
        <w:rPr>
          <w:iCs/>
          <w:szCs w:val="24"/>
        </w:rPr>
        <w:t>Direktivën</w:t>
      </w:r>
      <w:r w:rsidRPr="003422D8" w:rsidR="003422D8">
        <w:rPr>
          <w:iCs/>
          <w:szCs w:val="24"/>
        </w:rPr>
        <w:t xml:space="preserve"> (BE) 2017/1132. </w:t>
      </w:r>
      <w:r w:rsidRPr="002E10AB" w:rsidR="002E10AB">
        <w:rPr>
          <w:iCs/>
          <w:szCs w:val="24"/>
        </w:rPr>
        <w:t>Kjo mospërputhje shkakton pasiguri ligjore për bizneset, duke kufizuar aftësinë e tyre për të operuar me efikasitet dhe transparencë, veçanërisht në transaksione ndërkufitare, dhe minon konkurrueshmërinë e tregut vendas. Për më tepër, ajo rrezikon përputhshmërinë me standardet e BE-së, duke penguar integrimin ekonomik dhe arritjen e objektivave të anëtarësimit deri në 2030, si dhe mbylljen e negociatave teknike brenda 2027-ës</w:t>
      </w:r>
      <w:r w:rsidR="00D00750">
        <w:rPr>
          <w:iCs/>
          <w:szCs w:val="24"/>
        </w:rPr>
        <w:t>.</w:t>
      </w:r>
    </w:p>
    <w:p w:rsidRPr="00EC0E11" w:rsidR="00AB336E" w:rsidP="00057C47" w:rsidRDefault="00AB336E" w14:paraId="31295108" w14:textId="77777777">
      <w:pPr>
        <w:spacing w:line="276" w:lineRule="auto"/>
        <w:jc w:val="both"/>
        <w:rPr>
          <w:iCs/>
          <w:szCs w:val="24"/>
        </w:rPr>
      </w:pPr>
    </w:p>
    <w:p w:rsidR="00AB336E" w:rsidP="00057C47" w:rsidRDefault="00AB336E" w14:paraId="0B5E07B0" w14:textId="77777777">
      <w:pPr>
        <w:jc w:val="both"/>
        <w:rPr>
          <w:u w:val="single"/>
          <w:lang w:eastAsia="en-US"/>
        </w:rPr>
      </w:pPr>
      <w:r w:rsidRPr="00AB336E">
        <w:rPr>
          <w:u w:val="single"/>
          <w:lang w:eastAsia="en-US"/>
        </w:rPr>
        <w:t>Natyra e problemit</w:t>
      </w:r>
    </w:p>
    <w:p w:rsidR="00D00750" w:rsidP="00D00750" w:rsidRDefault="00AB336E" w14:paraId="6CB96115" w14:textId="77777777">
      <w:pPr>
        <w:jc w:val="both"/>
        <w:rPr>
          <w:szCs w:val="24"/>
          <w:lang w:eastAsia="en-US"/>
        </w:rPr>
      </w:pPr>
      <w:r w:rsidRPr="00AB336E">
        <w:rPr>
          <w:szCs w:val="24"/>
          <w:lang w:eastAsia="en-US"/>
        </w:rPr>
        <w:br/>
      </w:r>
      <w:r w:rsidRPr="00D00750" w:rsidR="00D00750">
        <w:rPr>
          <w:szCs w:val="24"/>
          <w:lang w:eastAsia="en-US"/>
        </w:rPr>
        <w:t>Analiza e boshllëqeve ligjore (LGA) për Kapitullin 6 nxjerr në pah disa mangësi të rëndësishme në përafrimin e legjislacionit shqiptar me Direktivën (BE) 2017/1132, të ndryshuar nga Direktivat (BE) 2019/1151 dhe 2019/2121. Në fushën e operacioneve ndërkufitare, situata paraqitet më komplekse: shndërrimet ndërkufitare, të trajtuara në Titullin II, Kapitulli I të ligjit shqiptar nuk janë të transpozuara sipas Direktivës 2019/2121, ndërsa bashkimet ndërkufitare, të rregulluara po në këtë kapitull, janë pjesërisht të harmonizuara përmes Ligjit nr. 110/2012, por ende kërkojnë plotësim për të përmbushur kërkesat e plota të Direktivës 2019/2121 lidhur me procedurat dhe mbrojtjen e aksionarëve, çka e rendit nivelin e përafrimit si të lartë, por jo të plotë. Ndarjet ndërkufitare, të përfshira në Titullin II, Kapitulli IV, mbeten gjithashtu të patranspozuara plotësisht sipas Direktivës 2019/2121, duke treguar mungesë të përafrimit.</w:t>
      </w:r>
    </w:p>
    <w:p w:rsidR="004D06ED" w:rsidP="00D00750" w:rsidRDefault="004D06ED" w14:paraId="132AEF96" w14:textId="77777777">
      <w:pPr>
        <w:jc w:val="both"/>
        <w:rPr>
          <w:szCs w:val="24"/>
          <w:lang w:eastAsia="en-US"/>
        </w:rPr>
      </w:pPr>
    </w:p>
    <w:p w:rsidRPr="00A32E1F" w:rsidR="004D06ED" w:rsidP="004D06ED" w:rsidRDefault="004D06ED" w14:paraId="28BDAC89" w14:textId="77777777">
      <w:pPr>
        <w:jc w:val="both"/>
        <w:rPr>
          <w:szCs w:val="24"/>
          <w:lang w:eastAsia="en-US"/>
        </w:rPr>
      </w:pPr>
      <w:r w:rsidRPr="00A32E1F">
        <w:rPr>
          <w:szCs w:val="24"/>
          <w:lang w:eastAsia="en-US"/>
        </w:rPr>
        <w:t>Në fushën e shndërrimeve ndërkufitare, legjislacioni shqiptar paraqet mungesa të theksuara, pasi kërkesat e Direktivës (BE) 2019/2121 nuk janë transpozuar. Ligji aktual nuk përfshin dispozitat për raportin e menaxhimit dhe të ekspertëve, procedurat e kontrollit të ligjshmërisë në shtetin e origjinës dhe të destinacionit, mekanizmat e mbrojtjes së punonjësve dhe as rregullat e detajuara për mbrojtjen e aksionarëve kundërshtues. Po kështu, mungojnë dispozitat për shkëmbimin elektronik të informacionit ndërmjet autoriteteve kompetente, të cilat janë thelbësore për funksionimin e sigurt të operacioneve ndërkufitare.</w:t>
      </w:r>
    </w:p>
    <w:p w:rsidRPr="00A32E1F" w:rsidR="004D06ED" w:rsidP="004D06ED" w:rsidRDefault="004D06ED" w14:paraId="2C44B78E" w14:textId="77777777">
      <w:pPr>
        <w:jc w:val="both"/>
        <w:rPr>
          <w:szCs w:val="24"/>
          <w:lang w:eastAsia="en-US"/>
        </w:rPr>
      </w:pPr>
    </w:p>
    <w:p w:rsidRPr="00A32E1F" w:rsidR="004D06ED" w:rsidP="004D06ED" w:rsidRDefault="004D06ED" w14:paraId="0F90CB08" w14:textId="77777777">
      <w:pPr>
        <w:jc w:val="both"/>
        <w:rPr>
          <w:szCs w:val="24"/>
          <w:lang w:eastAsia="en-US"/>
        </w:rPr>
      </w:pPr>
      <w:r w:rsidRPr="00A32E1F">
        <w:rPr>
          <w:szCs w:val="24"/>
          <w:lang w:eastAsia="en-US"/>
        </w:rPr>
        <w:t>Edhe në fushën e bashkimeve ndërkufitare, harmonizimi me acquis-in është vetëm i pjesshëm. Ligji nr. 110/2012 mbulon disa elemente të rëndësishme të procedurës, por nuk përfshin të gjitha kërkesat e përditësuara të Direktivës 2019/2121. Në mungesë të përafrimit të plotë, mbeten boshllëqe lidhur me afatet e reja, transparencën e procesit, mbrojtjen e aksionarëve që nuk pajtohen me bashkimin, si dhe garancitë për kreditorët. Dispozitat e reja që kërkojnë përdorimin e mjeteve digjitale dhe verifikimin elektronik të identitetit nuk janë ende të reflektuara në ligjin shqiptar.</w:t>
      </w:r>
    </w:p>
    <w:p w:rsidR="004D06ED" w:rsidP="004D06ED" w:rsidRDefault="004D06ED" w14:paraId="3EF98E97" w14:textId="77777777">
      <w:pPr>
        <w:jc w:val="both"/>
        <w:rPr>
          <w:szCs w:val="24"/>
          <w:lang w:eastAsia="en-US"/>
        </w:rPr>
      </w:pPr>
    </w:p>
    <w:p w:rsidRPr="00A32E1F" w:rsidR="004D06ED" w:rsidP="004D06ED" w:rsidRDefault="004D06ED" w14:paraId="40C99B6B" w14:textId="26810716">
      <w:pPr>
        <w:jc w:val="both"/>
        <w:rPr>
          <w:szCs w:val="24"/>
          <w:lang w:eastAsia="en-US"/>
        </w:rPr>
      </w:pPr>
      <w:r w:rsidRPr="00A32E1F">
        <w:rPr>
          <w:szCs w:val="24"/>
          <w:lang w:eastAsia="en-US"/>
        </w:rPr>
        <w:t>Sa i përket ndarjeve ndërkufitare, kuadri ligjor shqiptar nuk është harmonizuar me kërkesat e Direktivës 2019/2121. Mungojnë procedurat e detajuara për ndarjen e pjesshme, themelimin e shoqërive të reja pas ndarjes, mekanizmat e transparencës dhe kontrollit të ligjshmërisë, si dhe rregullat për mbrojtjen e kreditorëve, aksionarëve dhe punonjësve. Këto përbëjnë boshllëqe të rëndësishme në një fushë ku veprimet ndërkufitare kërkojnë standarde të qarta dhe të unifikuara.</w:t>
      </w:r>
    </w:p>
    <w:p w:rsidRPr="00A32E1F" w:rsidR="004D06ED" w:rsidP="004D06ED" w:rsidRDefault="004D06ED" w14:paraId="33F10924" w14:textId="77777777">
      <w:pPr>
        <w:jc w:val="both"/>
        <w:rPr>
          <w:szCs w:val="24"/>
          <w:lang w:eastAsia="en-US"/>
        </w:rPr>
      </w:pPr>
    </w:p>
    <w:p w:rsidRPr="00A32E1F" w:rsidR="004D06ED" w:rsidP="004D06ED" w:rsidRDefault="004D06ED" w14:paraId="115C237A" w14:textId="35E882DC">
      <w:pPr>
        <w:jc w:val="both"/>
        <w:rPr>
          <w:szCs w:val="24"/>
          <w:lang w:eastAsia="en-US"/>
        </w:rPr>
      </w:pPr>
      <w:r w:rsidRPr="00A32E1F">
        <w:rPr>
          <w:szCs w:val="24"/>
          <w:lang w:eastAsia="en-US"/>
        </w:rPr>
        <w:t>Gjithashtu, pjesa që lidhet me përdorimin e mjeteve digjitale sipas Direktivës 2019/1151 nuk është përafruar në mënyrë të plotë. Në legjislacionin shqiptar mungojnë procedurat për dorëzimin, publikimin dhe verifikimin elektronik të dokumenteve të operacioneve ndërkufitare, si dhe ndërlidhja me sistemet evropiane të shkëmbimit të të dhënave (BRIS). Kjo e bën kuadrin ligjor shqiptar të papërshtatshëm për kërkesat moderne të administrimit të shoqërive dhe pengon përdorimin e proceseve të standardizuara digjitale.</w:t>
      </w:r>
    </w:p>
    <w:p w:rsidRPr="00D00750" w:rsidR="004D06ED" w:rsidP="00D00750" w:rsidRDefault="004D06ED" w14:paraId="769155C8" w14:textId="77777777">
      <w:pPr>
        <w:jc w:val="both"/>
        <w:rPr>
          <w:szCs w:val="24"/>
          <w:lang w:eastAsia="en-US"/>
        </w:rPr>
      </w:pPr>
    </w:p>
    <w:p w:rsidRPr="00A32E1F" w:rsidR="004D06ED" w:rsidP="004D06ED" w:rsidRDefault="004D06ED" w14:paraId="7D874EF2" w14:textId="77777777">
      <w:pPr>
        <w:jc w:val="both"/>
        <w:rPr>
          <w:szCs w:val="24"/>
          <w:lang w:eastAsia="en-US"/>
        </w:rPr>
      </w:pPr>
      <w:r w:rsidRPr="00A32E1F">
        <w:rPr>
          <w:szCs w:val="24"/>
          <w:lang w:eastAsia="en-US"/>
        </w:rPr>
        <w:t>Mungesa e harmonizimit të plotë me acquis-in krijon një nivel të lartë pasigurie juridike për bizneset shqiptare dhe të huaja që synojnë të kryejnë operacione ndërkufitare. Procedurat e papërditësuara dhe boshllëqet ligjore bëjnë që subjektet të hasin vështirësi në interpretim dhe zbatim, duke krijuar terren për vendimmarrje të paunifikuar nga gjykatat dhe institucionet përgjegjëse. Kjo pasiguri jo vetëm që frenon operacionet ndërkufitare, por rrit edhe rrezikun e kontesteve ligjore.</w:t>
      </w:r>
    </w:p>
    <w:p w:rsidRPr="00A32E1F" w:rsidR="004D06ED" w:rsidP="004D06ED" w:rsidRDefault="004D06ED" w14:paraId="4AEC9A91" w14:textId="77777777">
      <w:pPr>
        <w:jc w:val="both"/>
        <w:rPr>
          <w:szCs w:val="24"/>
          <w:lang w:eastAsia="en-US"/>
        </w:rPr>
      </w:pPr>
      <w:r w:rsidRPr="00A32E1F">
        <w:rPr>
          <w:szCs w:val="24"/>
          <w:lang w:eastAsia="en-US"/>
        </w:rPr>
        <w:t>Vonesat procedurale janë një tjetër problem i madh. Pa dispozitat e standardizuara të Direktivës 2019/2121, procedurat bëhen më të gjata, më të kushtueshme dhe kërkojnë dokumentacion shtesë, shpesh të panevojshëm sipas praktikave të BE-së. Mungesa e sistemeve të integruara elektronike dhe e shkëmbimit automatik të të dhënave midis autoriteteve rrit barrën administrative për bizneset, ngadalëson transaksionet dhe e zvogëlon atraktivitetin e Shqipërisë për investime.</w:t>
      </w:r>
    </w:p>
    <w:p w:rsidRPr="00A32E1F" w:rsidR="004D06ED" w:rsidP="004D06ED" w:rsidRDefault="004D06ED" w14:paraId="71F281DE" w14:textId="77777777">
      <w:pPr>
        <w:jc w:val="both"/>
        <w:rPr>
          <w:szCs w:val="24"/>
          <w:lang w:eastAsia="en-US"/>
        </w:rPr>
      </w:pPr>
      <w:r w:rsidRPr="00A32E1F">
        <w:rPr>
          <w:szCs w:val="24"/>
          <w:lang w:eastAsia="en-US"/>
        </w:rPr>
        <w:t>Pozita e aksionarëve dhe kreditorëve mbetet e pambrojtur në nivelin që kërkon BE-ja. Në mungesë të mekanizmave për kompensim të drejtë dhe të procedurave të detajuara për ankimin e vendimeve, aksionarët minoritarë mbeten të ekspozuar ndaj vendimeve që mund të cenojnë interesat e tyre. Po kështu, mungesa e garancive të qarta për kreditorët rrit rrezikun e mosshlyerjes së detyrimeve në operacionet ndërkufitare, duke cenuar besimin në sistemin ligjor shqiptar.</w:t>
      </w:r>
    </w:p>
    <w:p w:rsidRPr="00A32E1F" w:rsidR="004D06ED" w:rsidP="004D06ED" w:rsidRDefault="004D06ED" w14:paraId="73641324" w14:textId="77777777">
      <w:pPr>
        <w:jc w:val="both"/>
        <w:rPr>
          <w:szCs w:val="24"/>
          <w:lang w:eastAsia="en-US"/>
        </w:rPr>
      </w:pPr>
    </w:p>
    <w:p w:rsidRPr="00D12108" w:rsidR="004D06ED" w:rsidP="004D06ED" w:rsidRDefault="004D06ED" w14:paraId="7F6D0FA4" w14:textId="2B40E37E">
      <w:pPr>
        <w:jc w:val="both"/>
        <w:rPr>
          <w:szCs w:val="24"/>
          <w:lang w:eastAsia="en-US"/>
        </w:rPr>
      </w:pPr>
      <w:r w:rsidRPr="00A32E1F">
        <w:rPr>
          <w:szCs w:val="24"/>
          <w:lang w:eastAsia="en-US"/>
        </w:rPr>
        <w:t xml:space="preserve">Probleme të ndjeshme shfaqen edhe në drejtim të mbrojtjes së punonjësve. </w:t>
      </w:r>
      <w:r w:rsidRPr="00D12108">
        <w:rPr>
          <w:szCs w:val="24"/>
          <w:lang w:eastAsia="en-US"/>
        </w:rPr>
        <w:t>Pa rregulla të harmonizuara për pjesëmarrjen e punonjësve dhe informimin e tyre gjatë operacioneve ndërkufitare, ekziston rreziku real që të cenohen të drejtat e tyre dhe të krijohen praktika të pabarabarta krahasuar me vendet e BE-së. Kjo krijon një mospërputhje të drejtpërdrejtë me standardet evropiane për mbrojtjen sociale dhe të drejtave të punës.</w:t>
      </w:r>
    </w:p>
    <w:p w:rsidRPr="00D12108" w:rsidR="004D06ED" w:rsidP="004D06ED" w:rsidRDefault="004D06ED" w14:paraId="15FDF94C" w14:textId="77777777">
      <w:pPr>
        <w:jc w:val="both"/>
        <w:rPr>
          <w:szCs w:val="24"/>
          <w:lang w:eastAsia="en-US"/>
        </w:rPr>
      </w:pPr>
      <w:r w:rsidRPr="00D12108">
        <w:rPr>
          <w:szCs w:val="24"/>
          <w:lang w:eastAsia="en-US"/>
        </w:rPr>
        <w:t>Mungesa e harmonizimit krijon gjithashtu rrezik për abuzime dhe shmangie të detyrimeve financiare. Pa rregullat e reja të kontrollit të ligjshmërisë, operacionet ndërkufitare mund të përdoren për zhvendosje artificiale të selisë, shmangie fiskale ose shmangie të detyrimeve kontraktuale. Kontrolli i dyfishtë i parashikuar në acquis-in e BE-së është thelbësor për të shmangur këto praktika, dhe mungesa e tij në legjislacionin shqiptar krijon hapësira për manipulim.</w:t>
      </w:r>
    </w:p>
    <w:p w:rsidRPr="00D12108" w:rsidR="004D06ED" w:rsidP="004D06ED" w:rsidRDefault="004D06ED" w14:paraId="4B518FAE" w14:textId="77777777">
      <w:pPr>
        <w:jc w:val="both"/>
        <w:rPr>
          <w:szCs w:val="24"/>
          <w:lang w:eastAsia="en-US"/>
        </w:rPr>
      </w:pPr>
      <w:r w:rsidRPr="00D12108">
        <w:rPr>
          <w:szCs w:val="24"/>
          <w:lang w:eastAsia="en-US"/>
        </w:rPr>
        <w:t>Së fundi, kjo situatë cënon drejtpërdrejt aftësinë e Shqipërisë për t’u integruar në tregun e brendshëm të BE-së. Pa një kuadër të harmonizuar, Shqipëria nuk mund të garantojë standarde të krahasueshme me ato të shteteve anëtare, çka e bën vendin më pak konkurrues për investitorët e huaj dhe pengon lëvizjen e lirë të shoqërive. Po ashtu, mungesa e pajtueshmërisë me kërkesat digjitale e pamundëson lidhjen e plotë me sistemet e BE-së dhe e ngadalëson procesin e integrimit evropian nga perspektiva institucionale dhe ekonomike.</w:t>
      </w:r>
    </w:p>
    <w:p w:rsidRPr="00D00750" w:rsidR="00D00750" w:rsidP="00D00750" w:rsidRDefault="00D00750" w14:paraId="1ECE411E" w14:textId="77777777">
      <w:pPr>
        <w:jc w:val="both"/>
        <w:rPr>
          <w:szCs w:val="24"/>
          <w:lang w:eastAsia="en-US"/>
        </w:rPr>
      </w:pPr>
    </w:p>
    <w:p w:rsidRPr="00D00750" w:rsidR="00D00750" w:rsidP="00D00750" w:rsidRDefault="00D00750" w14:paraId="77A9FB89" w14:textId="77777777">
      <w:pPr>
        <w:jc w:val="both"/>
        <w:rPr>
          <w:szCs w:val="24"/>
          <w:lang w:eastAsia="en-US"/>
        </w:rPr>
      </w:pPr>
    </w:p>
    <w:p w:rsidRPr="0065501A" w:rsidR="004D06ED" w:rsidP="004D06ED" w:rsidRDefault="004D06ED" w14:paraId="599AD24C" w14:textId="79B2D56B">
      <w:pPr>
        <w:jc w:val="both"/>
        <w:rPr>
          <w:szCs w:val="24"/>
          <w:lang w:eastAsia="en-US"/>
        </w:rPr>
      </w:pPr>
      <w:r>
        <w:rPr>
          <w:szCs w:val="24"/>
          <w:lang w:eastAsia="en-US"/>
        </w:rPr>
        <w:t>N</w:t>
      </w:r>
      <w:r w:rsidRPr="00505D7A" w:rsidR="00505D7A">
        <w:rPr>
          <w:szCs w:val="24"/>
          <w:lang w:eastAsia="en-US"/>
        </w:rPr>
        <w:t xml:space="preserve">atyra e problemit </w:t>
      </w:r>
      <w:r w:rsidR="00E75562">
        <w:rPr>
          <w:szCs w:val="24"/>
          <w:lang w:eastAsia="en-US"/>
        </w:rPr>
        <w:t>është</w:t>
      </w:r>
      <w:r w:rsidRPr="00505D7A" w:rsidR="00505D7A">
        <w:rPr>
          <w:szCs w:val="24"/>
          <w:lang w:eastAsia="en-US"/>
        </w:rPr>
        <w:t xml:space="preserve"> e karakterit rregullator, pra mungesa e </w:t>
      </w:r>
      <w:r>
        <w:rPr>
          <w:szCs w:val="24"/>
          <w:lang w:eastAsia="en-US"/>
        </w:rPr>
        <w:t>harmonizimit tw</w:t>
      </w:r>
      <w:r w:rsidRPr="00505D7A" w:rsidR="00505D7A">
        <w:rPr>
          <w:szCs w:val="24"/>
          <w:lang w:eastAsia="en-US"/>
        </w:rPr>
        <w:t xml:space="preserve"> plotë e legjislacionit vendas me acquis-in e BE-së. Ligji nr. 110/2012 “Për Bashkimet Ndërkufitare të Shoqërive” nuk përafron </w:t>
      </w:r>
      <w:r w:rsidR="00182A48">
        <w:rPr>
          <w:szCs w:val="24"/>
          <w:lang w:eastAsia="en-US"/>
        </w:rPr>
        <w:t>aspektet e</w:t>
      </w:r>
      <w:r w:rsidRPr="00505D7A" w:rsidR="00182A48">
        <w:rPr>
          <w:szCs w:val="24"/>
          <w:lang w:eastAsia="en-US"/>
        </w:rPr>
        <w:t xml:space="preserve"> </w:t>
      </w:r>
      <w:r w:rsidRPr="00505D7A" w:rsidR="00505D7A">
        <w:rPr>
          <w:szCs w:val="24"/>
          <w:lang w:eastAsia="en-US"/>
        </w:rPr>
        <w:t>Direktivë</w:t>
      </w:r>
      <w:r w:rsidR="00182A48">
        <w:rPr>
          <w:szCs w:val="24"/>
          <w:lang w:eastAsia="en-US"/>
        </w:rPr>
        <w:t>s</w:t>
      </w:r>
      <w:r w:rsidRPr="00505D7A" w:rsidR="00505D7A">
        <w:rPr>
          <w:szCs w:val="24"/>
          <w:lang w:eastAsia="en-US"/>
        </w:rPr>
        <w:t xml:space="preserve"> (BE) 2017/1132, të ndryshuar nga Direktivat (BE) 2019/1151 dhe 2019/2121, veçanërisht për </w:t>
      </w:r>
      <w:r w:rsidR="00310532">
        <w:rPr>
          <w:szCs w:val="24"/>
          <w:lang w:eastAsia="en-US"/>
        </w:rPr>
        <w:t>shnd</w:t>
      </w:r>
      <w:r w:rsidR="00E75562">
        <w:rPr>
          <w:szCs w:val="24"/>
          <w:lang w:eastAsia="en-US"/>
        </w:rPr>
        <w:t>ë</w:t>
      </w:r>
      <w:r w:rsidR="00310532">
        <w:rPr>
          <w:szCs w:val="24"/>
          <w:lang w:eastAsia="en-US"/>
        </w:rPr>
        <w:t>rrimet</w:t>
      </w:r>
      <w:r w:rsidRPr="00505D7A" w:rsidR="00310532">
        <w:rPr>
          <w:szCs w:val="24"/>
          <w:lang w:eastAsia="en-US"/>
        </w:rPr>
        <w:t xml:space="preserve"> </w:t>
      </w:r>
      <w:r w:rsidRPr="00505D7A" w:rsidR="00505D7A">
        <w:rPr>
          <w:szCs w:val="24"/>
          <w:lang w:eastAsia="en-US"/>
        </w:rPr>
        <w:t>dhe ndarjet ndërkufitare</w:t>
      </w:r>
      <w:r w:rsidR="00310532">
        <w:rPr>
          <w:szCs w:val="24"/>
          <w:lang w:eastAsia="en-US"/>
        </w:rPr>
        <w:t xml:space="preserve">  dhe p</w:t>
      </w:r>
      <w:r w:rsidR="00E75562">
        <w:rPr>
          <w:szCs w:val="24"/>
          <w:lang w:eastAsia="en-US"/>
        </w:rPr>
        <w:t>ë</w:t>
      </w:r>
      <w:r w:rsidR="00310532">
        <w:rPr>
          <w:szCs w:val="24"/>
          <w:lang w:eastAsia="en-US"/>
        </w:rPr>
        <w:t>rafron pjes</w:t>
      </w:r>
      <w:r w:rsidR="00E75562">
        <w:rPr>
          <w:szCs w:val="24"/>
          <w:lang w:eastAsia="en-US"/>
        </w:rPr>
        <w:t>ë</w:t>
      </w:r>
      <w:r w:rsidR="00310532">
        <w:rPr>
          <w:szCs w:val="24"/>
          <w:lang w:eastAsia="en-US"/>
        </w:rPr>
        <w:t>risht at</w:t>
      </w:r>
      <w:r w:rsidR="00E75562">
        <w:rPr>
          <w:szCs w:val="24"/>
          <w:lang w:eastAsia="en-US"/>
        </w:rPr>
        <w:t>ë</w:t>
      </w:r>
      <w:r w:rsidR="00310532">
        <w:rPr>
          <w:szCs w:val="24"/>
          <w:lang w:eastAsia="en-US"/>
        </w:rPr>
        <w:t xml:space="preserve"> pjes</w:t>
      </w:r>
      <w:r w:rsidR="00E75562">
        <w:rPr>
          <w:szCs w:val="24"/>
          <w:lang w:eastAsia="en-US"/>
        </w:rPr>
        <w:t>ë</w:t>
      </w:r>
      <w:r w:rsidR="00310532">
        <w:rPr>
          <w:szCs w:val="24"/>
          <w:lang w:eastAsia="en-US"/>
        </w:rPr>
        <w:t xml:space="preserve"> t</w:t>
      </w:r>
      <w:r w:rsidR="00E75562">
        <w:rPr>
          <w:szCs w:val="24"/>
          <w:lang w:eastAsia="en-US"/>
        </w:rPr>
        <w:t>ë</w:t>
      </w:r>
      <w:r w:rsidR="00310532">
        <w:rPr>
          <w:szCs w:val="24"/>
          <w:lang w:eastAsia="en-US"/>
        </w:rPr>
        <w:t xml:space="preserve"> direktiv</w:t>
      </w:r>
      <w:r w:rsidR="00E75562">
        <w:rPr>
          <w:szCs w:val="24"/>
          <w:lang w:eastAsia="en-US"/>
        </w:rPr>
        <w:t>ë</w:t>
      </w:r>
      <w:r w:rsidR="00310532">
        <w:rPr>
          <w:szCs w:val="24"/>
          <w:lang w:eastAsia="en-US"/>
        </w:rPr>
        <w:t>s q</w:t>
      </w:r>
      <w:r w:rsidR="00E75562">
        <w:rPr>
          <w:szCs w:val="24"/>
          <w:lang w:eastAsia="en-US"/>
        </w:rPr>
        <w:t>ë</w:t>
      </w:r>
      <w:r w:rsidR="00310532">
        <w:rPr>
          <w:szCs w:val="24"/>
          <w:lang w:eastAsia="en-US"/>
        </w:rPr>
        <w:t xml:space="preserve"> rregullon bashkimet nd</w:t>
      </w:r>
      <w:r w:rsidR="00E75562">
        <w:rPr>
          <w:szCs w:val="24"/>
          <w:lang w:eastAsia="en-US"/>
        </w:rPr>
        <w:t>ë</w:t>
      </w:r>
      <w:r w:rsidR="00310532">
        <w:rPr>
          <w:szCs w:val="24"/>
          <w:lang w:eastAsia="en-US"/>
        </w:rPr>
        <w:t>rkufitare</w:t>
      </w:r>
      <w:r>
        <w:rPr>
          <w:szCs w:val="24"/>
          <w:lang w:eastAsia="en-US"/>
        </w:rPr>
        <w:t>, p</w:t>
      </w:r>
      <w:r w:rsidRPr="0065501A">
        <w:rPr>
          <w:szCs w:val="24"/>
          <w:lang w:eastAsia="en-US"/>
        </w:rPr>
        <w:t>ër pasojë, ekziston një boshllëk i dukshëm ligjor në lidhje me dy nga tre format kryesore të transformimeve ndërkufitare, ndërkohë që dispozitat ekzistuese për bashkimet janë të fragmentuara dhe të pa</w:t>
      </w:r>
      <w:r>
        <w:rPr>
          <w:szCs w:val="24"/>
          <w:lang w:eastAsia="en-US"/>
        </w:rPr>
        <w:t xml:space="preserve"> </w:t>
      </w:r>
      <w:r w:rsidRPr="0065501A">
        <w:rPr>
          <w:szCs w:val="24"/>
          <w:lang w:eastAsia="en-US"/>
        </w:rPr>
        <w:t>përditësuara me evoluimin e acquis-it.</w:t>
      </w:r>
    </w:p>
    <w:p w:rsidRPr="00505D7A" w:rsidR="00505D7A" w:rsidP="00D00750" w:rsidRDefault="00505D7A" w14:paraId="00D9EDCC" w14:textId="5CB2643A">
      <w:pPr>
        <w:jc w:val="both"/>
        <w:rPr>
          <w:szCs w:val="24"/>
          <w:lang w:eastAsia="en-US"/>
        </w:rPr>
      </w:pPr>
    </w:p>
    <w:p w:rsidRPr="00505D7A" w:rsidR="00505D7A" w:rsidP="00505D7A" w:rsidRDefault="00505D7A" w14:paraId="43845A64" w14:textId="77777777">
      <w:pPr>
        <w:jc w:val="both"/>
        <w:rPr>
          <w:szCs w:val="24"/>
          <w:lang w:eastAsia="en-US"/>
        </w:rPr>
      </w:pPr>
    </w:p>
    <w:p w:rsidR="00BE51A0" w:rsidP="00505D7A" w:rsidRDefault="00505D7A" w14:paraId="78500880" w14:textId="3FF57931">
      <w:pPr>
        <w:jc w:val="both"/>
        <w:rPr>
          <w:szCs w:val="24"/>
          <w:lang w:eastAsia="en-US"/>
        </w:rPr>
      </w:pPr>
      <w:r w:rsidRPr="00505D7A">
        <w:rPr>
          <w:szCs w:val="24"/>
          <w:lang w:eastAsia="en-US"/>
        </w:rPr>
        <w:t>Kjo mos përputh</w:t>
      </w:r>
      <w:r w:rsidR="004D06ED">
        <w:rPr>
          <w:szCs w:val="24"/>
          <w:lang w:eastAsia="en-US"/>
        </w:rPr>
        <w:t>je</w:t>
      </w:r>
      <w:r w:rsidRPr="00505D7A">
        <w:rPr>
          <w:szCs w:val="24"/>
          <w:lang w:eastAsia="en-US"/>
        </w:rPr>
        <w:t xml:space="preserve"> sjell pasiguri ligjore </w:t>
      </w:r>
      <w:r w:rsidR="004D06ED">
        <w:rPr>
          <w:szCs w:val="24"/>
          <w:lang w:eastAsia="en-US"/>
        </w:rPr>
        <w:t xml:space="preserve">gjithashtu </w:t>
      </w:r>
      <w:r w:rsidRPr="00505D7A">
        <w:rPr>
          <w:szCs w:val="24"/>
          <w:lang w:eastAsia="en-US"/>
        </w:rPr>
        <w:t>për investitorët, duke penguar krijimin e një mjedisi të qëndrueshëm dhe konkurrues. Gjithashtu, ajo rrezikon mosarritjen e objektivave për anëtarësimin në BE deri në 2030 dhe mbylljen e negociatave teknike brenda 2027-ës, duke vështirësuar integrimin e plotë të Shqipërisë në tregun e brendshëm evropian.</w:t>
      </w:r>
    </w:p>
    <w:p w:rsidR="00BE51A0" w:rsidP="00505D7A" w:rsidRDefault="00BE51A0" w14:paraId="2D67A8B1" w14:textId="77777777">
      <w:pPr>
        <w:jc w:val="both"/>
        <w:rPr>
          <w:szCs w:val="24"/>
          <w:lang w:eastAsia="en-US"/>
        </w:rPr>
      </w:pPr>
    </w:p>
    <w:p w:rsidRPr="0065501A" w:rsidR="0065501A" w:rsidP="0065501A" w:rsidRDefault="0065501A" w14:paraId="3E017261" w14:textId="63AD00AB">
      <w:pPr>
        <w:jc w:val="both"/>
        <w:rPr>
          <w:szCs w:val="24"/>
          <w:lang w:eastAsia="en-US"/>
        </w:rPr>
      </w:pPr>
    </w:p>
    <w:p w:rsidRPr="0065501A" w:rsidR="0065501A" w:rsidP="0065501A" w:rsidRDefault="0065501A" w14:paraId="588DD0AC" w14:textId="77777777">
      <w:pPr>
        <w:jc w:val="both"/>
        <w:rPr>
          <w:szCs w:val="24"/>
          <w:lang w:eastAsia="en-US"/>
        </w:rPr>
      </w:pPr>
    </w:p>
    <w:p w:rsidRPr="0065501A" w:rsidR="0065501A" w:rsidP="0065501A" w:rsidRDefault="0065501A" w14:paraId="538B43BB" w14:textId="77777777">
      <w:pPr>
        <w:jc w:val="both"/>
        <w:rPr>
          <w:szCs w:val="24"/>
          <w:lang w:eastAsia="en-US"/>
        </w:rPr>
      </w:pPr>
      <w:r w:rsidRPr="0065501A">
        <w:rPr>
          <w:szCs w:val="24"/>
          <w:lang w:eastAsia="en-US"/>
        </w:rPr>
        <w:t>Ky boshllëk krijon pasiguri juridike për shoqëritë tregtare që synojnë të ndryshojnë formën apo strukturën e tyre ligjore përmes një procesi ndërkufitar, duke kufizuar aftësinë e tyre për të transferuar regjistrimin, për të kombinuar operacionet ose për të ndarë pjesë të aktivitetit nëpërmjet kufijve shtetërorë në mënyrë të ligjshme, transparente dhe të kontrolluar. Në mungesë të dispozitave të posaçme, shoqëritë shqiptare janë të penguara të përfitojnë nga fleksibiliteti i tregut të brendshëm evropian, si dhe të integrohen në mënyrë të strukturuar në zinxhirët e vlerës ndërkombëtare, përmes partneriteteve ose rindërtimeve ligjore dhe financiare.</w:t>
      </w:r>
    </w:p>
    <w:p w:rsidRPr="0065501A" w:rsidR="0065501A" w:rsidP="0065501A" w:rsidRDefault="0065501A" w14:paraId="20B23055" w14:textId="77777777">
      <w:pPr>
        <w:jc w:val="both"/>
        <w:rPr>
          <w:szCs w:val="24"/>
          <w:lang w:eastAsia="en-US"/>
        </w:rPr>
      </w:pPr>
    </w:p>
    <w:p w:rsidRPr="0065501A" w:rsidR="0065501A" w:rsidP="0065501A" w:rsidRDefault="0065501A" w14:paraId="6EF4E6B9" w14:textId="77777777">
      <w:pPr>
        <w:jc w:val="both"/>
        <w:rPr>
          <w:szCs w:val="24"/>
          <w:lang w:eastAsia="en-US"/>
        </w:rPr>
      </w:pPr>
      <w:r w:rsidRPr="0065501A">
        <w:rPr>
          <w:szCs w:val="24"/>
          <w:lang w:eastAsia="en-US"/>
        </w:rPr>
        <w:t>Për më tepër, mungesa e rregullave procedurale për garantimin e të drejtave të aksionarëve, mbrojtjen e kreditorëve, transparencën ndaj punonjësve dhe kontrollin e ligjshmërisë së veprimeve ndërkufitare, përbën një rrezik të shtuar për abuzime dhe shmangie ligjore, përfshirë rastet e zhvendosjes artificiale të selisë, mashtrimit për qëllime taksash, apo shkeljes së detyrimeve kontraktuale dhe sociale. Kjo përbën jo vetëm një kërcënim për parimet e sigurisë juridike dhe barazisë së trajtimit, por edhe një mospërputhje serioze me kërkesat themelore të Direktivës (BE) 2019/2121, të cilat synojnë të parandalojnë “shndërrimet abuzive” dhe të garantojnë respektimin e të drejtave të palëve të treta në proceset e transformimit ndërkufitar.</w:t>
      </w:r>
    </w:p>
    <w:p w:rsidRPr="0065501A" w:rsidR="0065501A" w:rsidP="0065501A" w:rsidRDefault="0065501A" w14:paraId="1797367C" w14:textId="77777777">
      <w:pPr>
        <w:jc w:val="both"/>
        <w:rPr>
          <w:szCs w:val="24"/>
          <w:lang w:eastAsia="en-US"/>
        </w:rPr>
      </w:pPr>
    </w:p>
    <w:p w:rsidR="00AB336E" w:rsidP="00057C47" w:rsidRDefault="0065501A" w14:paraId="6DAB24C5" w14:textId="75256A12">
      <w:pPr>
        <w:jc w:val="both"/>
        <w:rPr>
          <w:szCs w:val="24"/>
          <w:lang w:eastAsia="en-US"/>
        </w:rPr>
      </w:pPr>
      <w:r w:rsidRPr="0065501A">
        <w:rPr>
          <w:szCs w:val="24"/>
          <w:lang w:eastAsia="en-US"/>
        </w:rPr>
        <w:t xml:space="preserve">Në përfundim, problemi nuk është thjesht formal apo normativ, por </w:t>
      </w:r>
      <w:r w:rsidR="004D06ED">
        <w:rPr>
          <w:szCs w:val="24"/>
          <w:lang w:eastAsia="en-US"/>
        </w:rPr>
        <w:t xml:space="preserve">wshtw gjithashtu edhe </w:t>
      </w:r>
      <w:r w:rsidRPr="0065501A">
        <w:rPr>
          <w:szCs w:val="24"/>
          <w:lang w:eastAsia="en-US"/>
        </w:rPr>
        <w:t>strukturor dhe funksional</w:t>
      </w:r>
      <w:r w:rsidR="00391D8B">
        <w:rPr>
          <w:szCs w:val="24"/>
          <w:lang w:eastAsia="en-US"/>
        </w:rPr>
        <w:t>.</w:t>
      </w:r>
      <w:r w:rsidRPr="0065501A">
        <w:rPr>
          <w:szCs w:val="24"/>
          <w:lang w:eastAsia="en-US"/>
        </w:rPr>
        <w:t xml:space="preserve"> Shqipëria nuk zotëron aktualisht një instrument të vetëm, të </w:t>
      </w:r>
      <w:r w:rsidR="00391D8B">
        <w:rPr>
          <w:szCs w:val="24"/>
          <w:lang w:eastAsia="en-US"/>
        </w:rPr>
        <w:t>aksesuesh</w:t>
      </w:r>
      <w:r w:rsidR="00E75562">
        <w:rPr>
          <w:szCs w:val="24"/>
          <w:lang w:eastAsia="en-US"/>
        </w:rPr>
        <w:t>ë</w:t>
      </w:r>
      <w:r w:rsidR="00391D8B">
        <w:rPr>
          <w:szCs w:val="24"/>
          <w:lang w:eastAsia="en-US"/>
        </w:rPr>
        <w:t>m</w:t>
      </w:r>
      <w:r w:rsidRPr="0065501A">
        <w:rPr>
          <w:szCs w:val="24"/>
          <w:lang w:eastAsia="en-US"/>
        </w:rPr>
        <w:t xml:space="preserve"> dhe të zbatueshëm që t’u mundësojë shoqërive shqiptare dhe të huaja të realizojnë </w:t>
      </w:r>
      <w:r w:rsidR="00391D8B">
        <w:rPr>
          <w:szCs w:val="24"/>
          <w:lang w:eastAsia="en-US"/>
        </w:rPr>
        <w:t>shnd</w:t>
      </w:r>
      <w:r w:rsidR="00E75562">
        <w:rPr>
          <w:szCs w:val="24"/>
          <w:lang w:eastAsia="en-US"/>
        </w:rPr>
        <w:t>ë</w:t>
      </w:r>
      <w:r w:rsidR="00391D8B">
        <w:rPr>
          <w:szCs w:val="24"/>
          <w:lang w:eastAsia="en-US"/>
        </w:rPr>
        <w:t>rrimet, bashkimet dhe ndarjet</w:t>
      </w:r>
      <w:r w:rsidRPr="0065501A">
        <w:rPr>
          <w:szCs w:val="24"/>
          <w:lang w:eastAsia="en-US"/>
        </w:rPr>
        <w:t xml:space="preserve"> ndërkufitare në përputhje me standardet evropiane. Hartimi i një ligji të ri të posaçëm është domosdoshmëri ligjore, institucionale dhe ekonomike për të përmbushur këtë boshllëk dhe për të garantuar sigurinë, konkurrencën dhe integritetin e veprimtarisë ndërkufitare të subjekteve juridike.</w:t>
      </w:r>
    </w:p>
    <w:p w:rsidRPr="00AB336E" w:rsidR="00D00750" w:rsidP="00057C47" w:rsidRDefault="00D00750" w14:paraId="64ABB2AC" w14:textId="77777777">
      <w:pPr>
        <w:jc w:val="both"/>
        <w:rPr>
          <w:lang w:eastAsia="en-US"/>
        </w:rPr>
      </w:pPr>
    </w:p>
    <w:p w:rsidRPr="00AB336E" w:rsidR="00AB336E" w:rsidP="00057C47" w:rsidRDefault="00AB336E" w14:paraId="55A65F9C" w14:textId="77777777">
      <w:pPr>
        <w:jc w:val="both"/>
        <w:rPr>
          <w:u w:val="single"/>
          <w:lang w:eastAsia="en-US"/>
        </w:rPr>
      </w:pPr>
      <w:r w:rsidRPr="00AB336E">
        <w:rPr>
          <w:u w:val="single"/>
          <w:lang w:eastAsia="en-US"/>
        </w:rPr>
        <w:t>Shkaqet e problemit</w:t>
      </w:r>
    </w:p>
    <w:p w:rsidRPr="00986496" w:rsidR="00986496" w:rsidP="00986496" w:rsidRDefault="00986496" w14:paraId="45B5C332" w14:textId="63C418AA">
      <w:pPr>
        <w:jc w:val="both"/>
        <w:rPr>
          <w:lang w:eastAsia="en-US"/>
        </w:rPr>
      </w:pPr>
    </w:p>
    <w:p w:rsidRPr="00345A72" w:rsidR="00345A72" w:rsidP="00345A72" w:rsidRDefault="00345A72" w14:paraId="4CBBF45B" w14:textId="2D291009">
      <w:pPr>
        <w:jc w:val="both"/>
        <w:rPr>
          <w:lang w:eastAsia="en-US"/>
        </w:rPr>
      </w:pPr>
      <w:r w:rsidRPr="00345A72">
        <w:rPr>
          <w:lang w:eastAsia="en-US"/>
        </w:rPr>
        <w:t>Shkaqet e problemit lidhen kryesisht me mungesën e përputhshmërisë ndërmjet kërkesave të Direktivës (BE) 2017/1132, të ndryshuar nga Direktiva (BE) 2019/2121, dhe kornizës ekzistuese ligjore të Shqipërisë në fushën e të drejtës së shoqërive</w:t>
      </w:r>
      <w:r>
        <w:rPr>
          <w:lang w:eastAsia="en-US"/>
        </w:rPr>
        <w:t xml:space="preserve"> tregtare</w:t>
      </w:r>
      <w:r w:rsidRPr="00345A72">
        <w:rPr>
          <w:lang w:eastAsia="en-US"/>
        </w:rPr>
        <w:t xml:space="preserve">, veçanërisht përsa i përket procedurave të shndërrimit, bashkimit dhe ndarjes ndërkufitare. Problemi buron nga boshllëqe të qarta </w:t>
      </w:r>
      <w:r>
        <w:rPr>
          <w:lang w:eastAsia="en-US"/>
        </w:rPr>
        <w:t xml:space="preserve">ligjore dhe </w:t>
      </w:r>
      <w:r w:rsidRPr="00345A72">
        <w:rPr>
          <w:lang w:eastAsia="en-US"/>
        </w:rPr>
        <w:t>rregullatore, vështirësi institucionale për zbatim të efektshëm dhe mungesë të infrastrukturës procedurale dhe digjitale për trajtimin e këtyre operacioneve të ndërlikuara ndërkufitare.</w:t>
      </w:r>
    </w:p>
    <w:p w:rsidRPr="00345A72" w:rsidR="00345A72" w:rsidP="00345A72" w:rsidRDefault="00345A72" w14:paraId="619A361A" w14:textId="77777777">
      <w:pPr>
        <w:jc w:val="both"/>
        <w:rPr>
          <w:lang w:eastAsia="en-US"/>
        </w:rPr>
      </w:pPr>
    </w:p>
    <w:p w:rsidRPr="00345A72" w:rsidR="00345A72" w:rsidP="00345A72" w:rsidRDefault="00345A72" w14:paraId="741A64A0" w14:textId="6D0F04F8">
      <w:pPr>
        <w:jc w:val="both"/>
        <w:rPr>
          <w:lang w:eastAsia="en-US"/>
        </w:rPr>
      </w:pPr>
      <w:r w:rsidRPr="00345A72">
        <w:rPr>
          <w:lang w:eastAsia="en-US"/>
        </w:rPr>
        <w:t xml:space="preserve">Së pari, vetë kuadri legjislativ shqiptar është i paplotë dhe i vjetruar përsa i përket </w:t>
      </w:r>
      <w:r w:rsidR="00DE171A">
        <w:rPr>
          <w:lang w:eastAsia="en-US"/>
        </w:rPr>
        <w:t>k</w:t>
      </w:r>
      <w:r w:rsidR="00E75562">
        <w:rPr>
          <w:lang w:eastAsia="en-US"/>
        </w:rPr>
        <w:t>ë</w:t>
      </w:r>
      <w:r w:rsidR="00DE171A">
        <w:rPr>
          <w:lang w:eastAsia="en-US"/>
        </w:rPr>
        <w:t xml:space="preserve">tyre </w:t>
      </w:r>
      <w:r w:rsidRPr="00345A72">
        <w:rPr>
          <w:lang w:eastAsia="en-US"/>
        </w:rPr>
        <w:t>çështjeve. Ligji nr. 110/2012 rregullon vetëm një pjesë të kufizuar të bashkimeve ndërkufitare dhe nuk parashikon asnjë dispozitë për shndërrimin ose ndarjen ndërkufitare. Këto janë tërësisht të pambuluara nga legjislacioni aktual dhe për pasojë krijojnë boshllëqe kritike në përputhshmërinë me direktivën. Po ashtu, dispozitat për mbrojtjen e kreditorëve, transparencën ndaj punëmarrësve, të drejtat e aksionarëve për informacion dhe e drejta për të dalë nga shoqëria nuk janë të standardizuara sipas kërkesave të Direktivës 2019/2121 dhe mungojnë në tekstin e Ligjit nr. 9901/2008.</w:t>
      </w:r>
    </w:p>
    <w:p w:rsidRPr="00345A72" w:rsidR="00345A72" w:rsidP="00345A72" w:rsidRDefault="00345A72" w14:paraId="33933E85" w14:textId="77777777">
      <w:pPr>
        <w:jc w:val="both"/>
        <w:rPr>
          <w:lang w:eastAsia="en-US"/>
        </w:rPr>
      </w:pPr>
    </w:p>
    <w:p w:rsidRPr="00345A72" w:rsidR="00345A72" w:rsidP="00345A72" w:rsidRDefault="00345A72" w14:paraId="32D2397A" w14:textId="77777777">
      <w:pPr>
        <w:jc w:val="both"/>
        <w:rPr>
          <w:lang w:eastAsia="en-US"/>
        </w:rPr>
      </w:pPr>
      <w:r w:rsidRPr="00345A72">
        <w:rPr>
          <w:lang w:eastAsia="en-US"/>
        </w:rPr>
        <w:t>Së dyti, mungesa e një strukture të centralizuar procedurale për realizimin e operacioneve ndërkufitare, e cila të përfshijë në mënyrë të integruar përgatitjen e planeve të transformimit, verifikimin e ligjshmërisë, mbrojtjen e palëve të treta dhe ndërveprimin me regjistrat e huaj, përbën një pengesë thelbësore. Aktualisht, procedurat gjyqësore dhe administrative që mund të aplikohen në mënyrë analogjike nuk janë të harmonizuara dhe nuk ofrojnë siguri për subjektet që duan të transformohen përtej kufijve kombëtarë.</w:t>
      </w:r>
    </w:p>
    <w:p w:rsidRPr="00345A72" w:rsidR="00345A72" w:rsidP="00345A72" w:rsidRDefault="00345A72" w14:paraId="45F3C9E6" w14:textId="77777777">
      <w:pPr>
        <w:jc w:val="both"/>
        <w:rPr>
          <w:lang w:eastAsia="en-US"/>
        </w:rPr>
      </w:pPr>
    </w:p>
    <w:p w:rsidRPr="00345A72" w:rsidR="00345A72" w:rsidP="00345A72" w:rsidRDefault="00345A72" w14:paraId="34954875" w14:textId="2D07F805">
      <w:pPr>
        <w:jc w:val="both"/>
        <w:rPr>
          <w:lang w:eastAsia="en-US"/>
        </w:rPr>
      </w:pPr>
      <w:r w:rsidRPr="00345A72">
        <w:rPr>
          <w:lang w:eastAsia="en-US"/>
        </w:rPr>
        <w:t xml:space="preserve">Së treti, pavarësisht ekzistencës së një infrastrukture për regjistrimin elektronik të subjekteve tregtare, Shqipëria nuk ka integruar ende sistemin e ndërlidhjes me regjistrat e vendeve të BE-së (BRIS), i cili është një kërkesë teknike e domosdoshme për të zbatuar në praktikë procedurat e miratimit dhe regjistrimit ndërkufitar. </w:t>
      </w:r>
      <w:r w:rsidR="00E75562">
        <w:rPr>
          <w:lang w:eastAsia="en-US"/>
        </w:rPr>
        <w:t>Megjithatë</w:t>
      </w:r>
      <w:r w:rsidR="006A516A">
        <w:rPr>
          <w:lang w:eastAsia="en-US"/>
        </w:rPr>
        <w:t xml:space="preserve"> kjo nd</w:t>
      </w:r>
      <w:r w:rsidR="00E75562">
        <w:rPr>
          <w:lang w:eastAsia="en-US"/>
        </w:rPr>
        <w:t>ë</w:t>
      </w:r>
      <w:r w:rsidR="006A516A">
        <w:rPr>
          <w:lang w:eastAsia="en-US"/>
        </w:rPr>
        <w:t>rhyrje do t</w:t>
      </w:r>
      <w:r w:rsidR="00E75562">
        <w:rPr>
          <w:lang w:eastAsia="en-US"/>
        </w:rPr>
        <w:t>ë</w:t>
      </w:r>
      <w:r w:rsidR="006A516A">
        <w:rPr>
          <w:lang w:eastAsia="en-US"/>
        </w:rPr>
        <w:t xml:space="preserve"> realizohet duke p</w:t>
      </w:r>
      <w:r w:rsidR="00E75562">
        <w:rPr>
          <w:lang w:eastAsia="en-US"/>
        </w:rPr>
        <w:t>ë</w:t>
      </w:r>
      <w:r w:rsidR="006A516A">
        <w:rPr>
          <w:lang w:eastAsia="en-US"/>
        </w:rPr>
        <w:t>rdit</w:t>
      </w:r>
      <w:r w:rsidR="00E75562">
        <w:rPr>
          <w:lang w:eastAsia="en-US"/>
        </w:rPr>
        <w:t>ë</w:t>
      </w:r>
      <w:r w:rsidR="006A516A">
        <w:rPr>
          <w:lang w:eastAsia="en-US"/>
        </w:rPr>
        <w:t>suar legjislacionin p</w:t>
      </w:r>
      <w:r w:rsidR="00E75562">
        <w:rPr>
          <w:lang w:eastAsia="en-US"/>
        </w:rPr>
        <w:t>ë</w:t>
      </w:r>
      <w:r w:rsidR="006A516A">
        <w:rPr>
          <w:lang w:eastAsia="en-US"/>
        </w:rPr>
        <w:t>r regjistrimin e biznesit si pjes</w:t>
      </w:r>
      <w:r w:rsidR="00E75562">
        <w:rPr>
          <w:lang w:eastAsia="en-US"/>
        </w:rPr>
        <w:t>ë</w:t>
      </w:r>
      <w:r w:rsidR="006A516A">
        <w:rPr>
          <w:lang w:eastAsia="en-US"/>
        </w:rPr>
        <w:t xml:space="preserve"> e po k</w:t>
      </w:r>
      <w:r w:rsidR="00E75562">
        <w:rPr>
          <w:lang w:eastAsia="en-US"/>
        </w:rPr>
        <w:t>ë</w:t>
      </w:r>
      <w:r w:rsidR="006A516A">
        <w:rPr>
          <w:lang w:eastAsia="en-US"/>
        </w:rPr>
        <w:t>saj pakete nd</w:t>
      </w:r>
      <w:r w:rsidR="00E75562">
        <w:rPr>
          <w:lang w:eastAsia="en-US"/>
        </w:rPr>
        <w:t>ë</w:t>
      </w:r>
      <w:r w:rsidR="006A516A">
        <w:rPr>
          <w:lang w:eastAsia="en-US"/>
        </w:rPr>
        <w:t xml:space="preserve">rhyrjesh ligjore dhe rregullatorë. </w:t>
      </w:r>
      <w:r w:rsidRPr="00345A72">
        <w:rPr>
          <w:lang w:eastAsia="en-US"/>
        </w:rPr>
        <w:t>QKB funksionon në mënyrë digjitale në nivel kombëtar, por nuk ka kapacitete të mjaftueshme për të përmbushur kërkesat e ndërlidhjes ndërkombëtare të të dhënave dhe verifikimit në kohë reale të ekzistencës, statusit dhe të dhënave të shoqërive partnere.</w:t>
      </w:r>
    </w:p>
    <w:p w:rsidRPr="00345A72" w:rsidR="00345A72" w:rsidP="00345A72" w:rsidRDefault="00345A72" w14:paraId="5E098A6B" w14:textId="77777777">
      <w:pPr>
        <w:jc w:val="both"/>
        <w:rPr>
          <w:lang w:eastAsia="en-US"/>
        </w:rPr>
      </w:pPr>
    </w:p>
    <w:p w:rsidRPr="00345A72" w:rsidR="00345A72" w:rsidP="00345A72" w:rsidRDefault="00345A72" w14:paraId="2F100383" w14:textId="77777777">
      <w:pPr>
        <w:jc w:val="both"/>
        <w:rPr>
          <w:lang w:eastAsia="en-US"/>
        </w:rPr>
      </w:pPr>
      <w:r w:rsidRPr="00345A72">
        <w:rPr>
          <w:lang w:eastAsia="en-US"/>
        </w:rPr>
        <w:t>Së katërti, aktualisht mungojnë akte nënligjore, udhëzime ose protokolle zbatimi që të mundësojnë përfshirjen e noterëve, gjykatave, QKB-së dhe strukturave të mbrojtjes së punëmarrësve në një mekanizëm të unifikuar për kontrollin e ligjshmërisë dhe zbatimin e të drejtave të palëve në këto lloj transformimesh. Kjo bën që edhe në rastet e aplikueshme, zbatimi të jetë fragmentar, joefektiv dhe i pambështetur në kapacitete të strukturuara.</w:t>
      </w:r>
    </w:p>
    <w:p w:rsidRPr="00345A72" w:rsidR="00345A72" w:rsidP="00345A72" w:rsidRDefault="00345A72" w14:paraId="14638DDC" w14:textId="77777777">
      <w:pPr>
        <w:jc w:val="both"/>
        <w:rPr>
          <w:lang w:eastAsia="en-US"/>
        </w:rPr>
      </w:pPr>
    </w:p>
    <w:p w:rsidRPr="00345A72" w:rsidR="00345A72" w:rsidP="00345A72" w:rsidRDefault="00345A72" w14:paraId="4A45FF85" w14:textId="37607F46">
      <w:pPr>
        <w:jc w:val="both"/>
        <w:rPr>
          <w:lang w:eastAsia="en-US"/>
        </w:rPr>
      </w:pPr>
      <w:r w:rsidRPr="00345A72">
        <w:rPr>
          <w:lang w:eastAsia="en-US"/>
        </w:rPr>
        <w:t>Edhe pse mbrojtja e punëmarrësve nuk është objekt i drejtpërdrejtë i këtij projektligji, duhet theksuar se sipas kërkesave të acquis-it dhe në kuadër të negociatave të Kapitullit 19, Shqipëria do të duhet të përmbushë në një moment të dytë detyrimet që burojnë nga Direktiva 2001/23/KE, e cila kërkon ruajtjen e të drejtave të punonjësve në rastet e transferimit të ndërmarrjeve ose pjesëve të tyre. Aktualisht, pjesa më e madhe e kësaj direktive është vetëm pjesërisht e reflektuar në Kodin e Punës, dhe mungesa e një ndërveprimi sistematik ndërmjet të drejtës së punës dhe të drejtës së shoqërive mund të përbëjë një problem gjatë implementimit të transformimeve ndërkufitare në praktikë.</w:t>
      </w:r>
    </w:p>
    <w:p w:rsidRPr="00345A72" w:rsidR="00345A72" w:rsidP="00345A72" w:rsidRDefault="00345A72" w14:paraId="7A687FE8" w14:textId="77777777">
      <w:pPr>
        <w:jc w:val="both"/>
        <w:rPr>
          <w:lang w:eastAsia="en-US"/>
        </w:rPr>
      </w:pPr>
    </w:p>
    <w:p w:rsidR="00E75562" w:rsidP="00057C47" w:rsidRDefault="00345A72" w14:paraId="4103DF91" w14:textId="77777777">
      <w:pPr>
        <w:jc w:val="both"/>
        <w:rPr>
          <w:lang w:eastAsia="en-US"/>
        </w:rPr>
      </w:pPr>
      <w:r w:rsidRPr="00345A72">
        <w:rPr>
          <w:lang w:eastAsia="en-US"/>
        </w:rPr>
        <w:t xml:space="preserve">Përmbledhtas, shkaku themelor i problemit që ky projektligj synon të adresojë është mungesa e një kuadri të </w:t>
      </w:r>
      <w:r w:rsidRPr="00345A72" w:rsidR="00E75562">
        <w:rPr>
          <w:lang w:eastAsia="en-US"/>
        </w:rPr>
        <w:t>vetë qëndrueshëm</w:t>
      </w:r>
      <w:r w:rsidRPr="00345A72">
        <w:rPr>
          <w:lang w:eastAsia="en-US"/>
        </w:rPr>
        <w:t>, të plotë dhe të përputhshëm me BE-në për trajtimin e procedurave ndërkufitare të transformimeve të shoqërive. Vetëm një ligj i ri, me strukturë të pavarur dhe të përqendruar, mund të ofrojë zgjidhje efektive, të qëndrueshme dhe të përafruara me acquis-in në këtë fushë.</w:t>
      </w:r>
    </w:p>
    <w:p w:rsidR="00E75562" w:rsidP="00057C47" w:rsidRDefault="00E75562" w14:paraId="628906C9" w14:textId="77777777">
      <w:pPr>
        <w:jc w:val="both"/>
        <w:rPr>
          <w:lang w:eastAsia="en-US"/>
        </w:rPr>
      </w:pPr>
    </w:p>
    <w:p w:rsidRPr="00687E80" w:rsidR="00AB336E" w:rsidP="00057C47" w:rsidRDefault="00AB336E" w14:paraId="19177A48" w14:textId="4CA49F88">
      <w:pPr>
        <w:jc w:val="both"/>
        <w:rPr>
          <w:szCs w:val="24"/>
          <w:u w:val="single"/>
          <w:lang w:eastAsia="en-US"/>
        </w:rPr>
      </w:pPr>
      <w:r w:rsidRPr="00687E80">
        <w:rPr>
          <w:szCs w:val="24"/>
          <w:u w:val="single"/>
          <w:lang w:eastAsia="en-US"/>
        </w:rPr>
        <w:t>Shtrirja e problemit</w:t>
      </w:r>
    </w:p>
    <w:p w:rsidRPr="00687E80" w:rsidR="00AB336E" w:rsidP="00057C47" w:rsidRDefault="00AB336E" w14:paraId="00DBDD91" w14:textId="4A34A1EE">
      <w:pPr>
        <w:spacing w:before="100" w:beforeAutospacing="1" w:after="100" w:afterAutospacing="1"/>
        <w:jc w:val="both"/>
        <w:rPr>
          <w:szCs w:val="24"/>
          <w:lang w:eastAsia="en-US"/>
        </w:rPr>
      </w:pPr>
      <w:r w:rsidRPr="00687E80">
        <w:rPr>
          <w:szCs w:val="24"/>
          <w:lang w:eastAsia="en-US"/>
        </w:rPr>
        <w:t xml:space="preserve">Problemi ka një shtrirje të gjerë, </w:t>
      </w:r>
      <w:r w:rsidRPr="00E53519" w:rsidR="00E53519">
        <w:rPr>
          <w:szCs w:val="24"/>
          <w:lang w:eastAsia="en-US"/>
        </w:rPr>
        <w:t xml:space="preserve">duke prekur të gjitha </w:t>
      </w:r>
      <w:r w:rsidR="00EF0CA4">
        <w:rPr>
          <w:szCs w:val="24"/>
          <w:lang w:eastAsia="en-US"/>
        </w:rPr>
        <w:t xml:space="preserve">ato </w:t>
      </w:r>
      <w:r w:rsidRPr="00E53519" w:rsidR="00E75562">
        <w:rPr>
          <w:szCs w:val="24"/>
          <w:lang w:eastAsia="en-US"/>
        </w:rPr>
        <w:t>shoqëri tregtare</w:t>
      </w:r>
      <w:r w:rsidRPr="00E53519" w:rsidR="00E53519">
        <w:rPr>
          <w:szCs w:val="24"/>
          <w:lang w:eastAsia="en-US"/>
        </w:rPr>
        <w:t xml:space="preserve"> në Shqipëri</w:t>
      </w:r>
      <w:r w:rsidR="00EF0CA4">
        <w:rPr>
          <w:szCs w:val="24"/>
          <w:lang w:eastAsia="en-US"/>
        </w:rPr>
        <w:t xml:space="preserve"> q</w:t>
      </w:r>
      <w:r w:rsidR="00E75562">
        <w:rPr>
          <w:szCs w:val="24"/>
          <w:lang w:eastAsia="en-US"/>
        </w:rPr>
        <w:t>ë</w:t>
      </w:r>
      <w:r w:rsidR="00EF0CA4">
        <w:rPr>
          <w:szCs w:val="24"/>
          <w:lang w:eastAsia="en-US"/>
        </w:rPr>
        <w:t xml:space="preserve"> potencialisht mund t</w:t>
      </w:r>
      <w:r w:rsidR="00E75562">
        <w:rPr>
          <w:szCs w:val="24"/>
          <w:lang w:eastAsia="en-US"/>
        </w:rPr>
        <w:t>ë</w:t>
      </w:r>
      <w:r w:rsidR="00EF0CA4">
        <w:rPr>
          <w:szCs w:val="24"/>
          <w:lang w:eastAsia="en-US"/>
        </w:rPr>
        <w:t xml:space="preserve"> p</w:t>
      </w:r>
      <w:r w:rsidR="00E75562">
        <w:rPr>
          <w:szCs w:val="24"/>
          <w:lang w:eastAsia="en-US"/>
        </w:rPr>
        <w:t>ë</w:t>
      </w:r>
      <w:r w:rsidR="00EF0CA4">
        <w:rPr>
          <w:szCs w:val="24"/>
          <w:lang w:eastAsia="en-US"/>
        </w:rPr>
        <w:t>rfshihen n</w:t>
      </w:r>
      <w:r w:rsidR="00E75562">
        <w:rPr>
          <w:szCs w:val="24"/>
          <w:lang w:eastAsia="en-US"/>
        </w:rPr>
        <w:t>ë</w:t>
      </w:r>
      <w:r w:rsidR="00EF0CA4">
        <w:rPr>
          <w:szCs w:val="24"/>
          <w:lang w:eastAsia="en-US"/>
        </w:rPr>
        <w:t xml:space="preserve"> operacione nd</w:t>
      </w:r>
      <w:r w:rsidR="00E75562">
        <w:rPr>
          <w:szCs w:val="24"/>
          <w:lang w:eastAsia="en-US"/>
        </w:rPr>
        <w:t>ë</w:t>
      </w:r>
      <w:r w:rsidR="00EF0CA4">
        <w:rPr>
          <w:szCs w:val="24"/>
          <w:lang w:eastAsia="en-US"/>
        </w:rPr>
        <w:t>rkufitare</w:t>
      </w:r>
      <w:r w:rsidRPr="00E53519" w:rsidR="00E53519">
        <w:rPr>
          <w:szCs w:val="24"/>
          <w:lang w:eastAsia="en-US"/>
        </w:rPr>
        <w:t>. Sipas raportit të INSTAT për 2023, nga 226,778 njësitë ligjore aktive, 28,292 SHPK dhe 716 SHA mund të ndikohen drejtpërdrejt nga mungesa e harmonizimit, ndërsa 5.3% e ndërmarrjeve me kapital të huaj (rreth 6,900 entitete) përballen me pengesa në transaksione ndërkufitare</w:t>
      </w:r>
      <w:r w:rsidR="007F5257">
        <w:rPr>
          <w:szCs w:val="24"/>
          <w:lang w:eastAsia="en-US"/>
        </w:rPr>
        <w:t xml:space="preserve">, </w:t>
      </w:r>
      <w:r w:rsidRPr="00E53519" w:rsidR="00E53519">
        <w:rPr>
          <w:szCs w:val="24"/>
          <w:lang w:eastAsia="en-US"/>
        </w:rPr>
        <w:t xml:space="preserve">për shembull, vonesa në regjistrimin e bashkimeve për shkak të mungesës së ndërveprueshmërisë me BRIS-in. Kjo situatë </w:t>
      </w:r>
      <w:r w:rsidR="0030472A">
        <w:rPr>
          <w:szCs w:val="24"/>
          <w:lang w:eastAsia="en-US"/>
        </w:rPr>
        <w:t xml:space="preserve">mund të </w:t>
      </w:r>
      <w:r w:rsidRPr="00E53519" w:rsidR="00E53519">
        <w:rPr>
          <w:szCs w:val="24"/>
          <w:lang w:eastAsia="en-US"/>
        </w:rPr>
        <w:t>sjell</w:t>
      </w:r>
      <w:r w:rsidR="0030472A">
        <w:rPr>
          <w:szCs w:val="24"/>
          <w:lang w:eastAsia="en-US"/>
        </w:rPr>
        <w:t>ë</w:t>
      </w:r>
      <w:r w:rsidRPr="00E53519" w:rsidR="00E53519">
        <w:rPr>
          <w:szCs w:val="24"/>
          <w:lang w:eastAsia="en-US"/>
        </w:rPr>
        <w:t xml:space="preserve"> pasoja ekonomike, duke përfshirë reduktimin e investimeve të huaja për shkak të pasigurisë ligjore dhe rritjen e barrës administrative për bizneset, sidomos NVM-të, të cilat përbëjnë 86.2% të ndërmarrjeve aktive dhe vuajnë nga kosto shtesë për përshtatje me standarde të paplot</w:t>
      </w:r>
      <w:r w:rsidRPr="00687E80">
        <w:rPr>
          <w:szCs w:val="24"/>
          <w:lang w:eastAsia="en-US"/>
        </w:rPr>
        <w:t>.</w:t>
      </w:r>
    </w:p>
    <w:p w:rsidRPr="005667C5" w:rsidR="005667C5" w:rsidP="005667C5" w:rsidRDefault="005667C5" w14:paraId="2628C422" w14:textId="72603F26">
      <w:pPr>
        <w:spacing w:before="100" w:beforeAutospacing="1" w:after="100" w:afterAutospacing="1"/>
        <w:jc w:val="both"/>
        <w:rPr>
          <w:szCs w:val="24"/>
          <w:lang w:eastAsia="en-US"/>
        </w:rPr>
      </w:pPr>
      <w:r w:rsidRPr="005667C5">
        <w:rPr>
          <w:szCs w:val="24"/>
          <w:lang w:eastAsia="en-US"/>
        </w:rPr>
        <w:t>Në nivel kombëtar</w:t>
      </w:r>
      <w:r>
        <w:rPr>
          <w:szCs w:val="24"/>
          <w:lang w:eastAsia="en-US"/>
        </w:rPr>
        <w:t xml:space="preserve"> problemi</w:t>
      </w:r>
      <w:r w:rsidRPr="005667C5">
        <w:rPr>
          <w:szCs w:val="24"/>
          <w:lang w:eastAsia="en-US"/>
        </w:rPr>
        <w:t xml:space="preserve"> prek të gjitha shoqëritë që mund të kryejnë </w:t>
      </w:r>
      <w:r>
        <w:rPr>
          <w:szCs w:val="24"/>
          <w:lang w:eastAsia="en-US"/>
        </w:rPr>
        <w:t>shndërrime</w:t>
      </w:r>
      <w:r w:rsidRPr="005667C5">
        <w:rPr>
          <w:szCs w:val="24"/>
          <w:lang w:eastAsia="en-US"/>
        </w:rPr>
        <w:t xml:space="preserve"> ndërkufitare dhe institucionet përgjegjëse për regjistrim, verifikim, kontroll ligjshmërie dhe mbikëqyrje.</w:t>
      </w:r>
    </w:p>
    <w:p w:rsidRPr="005667C5" w:rsidR="005667C5" w:rsidP="005667C5" w:rsidRDefault="005667C5" w14:paraId="61866226" w14:textId="1C1B1175">
      <w:pPr>
        <w:spacing w:before="100" w:beforeAutospacing="1" w:after="100" w:afterAutospacing="1"/>
        <w:jc w:val="both"/>
        <w:rPr>
          <w:szCs w:val="24"/>
          <w:lang w:eastAsia="en-US"/>
        </w:rPr>
      </w:pPr>
      <w:r w:rsidRPr="005667C5">
        <w:rPr>
          <w:szCs w:val="24"/>
          <w:lang w:eastAsia="en-US"/>
        </w:rPr>
        <w:t>Në nivel sektorial ndikimi është më i theksuar te</w:t>
      </w:r>
      <w:r>
        <w:rPr>
          <w:szCs w:val="24"/>
          <w:lang w:eastAsia="en-US"/>
        </w:rPr>
        <w:t>k</w:t>
      </w:r>
      <w:r w:rsidRPr="005667C5">
        <w:rPr>
          <w:szCs w:val="24"/>
          <w:lang w:eastAsia="en-US"/>
        </w:rPr>
        <w:t xml:space="preserve"> sektorët me prani/partneritete ndërkombëtare (shërbime, industri përpunuese, ICT, financë), ku ristrukturimet ndërkufitare janë më të shpeshta.</w:t>
      </w:r>
    </w:p>
    <w:p w:rsidRPr="00687E80" w:rsidR="00AB336E" w:rsidP="00AB336E" w:rsidRDefault="00AB336E" w14:paraId="0E6EAA97" w14:textId="4C1B1B98">
      <w:pPr>
        <w:spacing w:before="100" w:beforeAutospacing="1" w:after="100" w:afterAutospacing="1"/>
        <w:rPr>
          <w:szCs w:val="24"/>
          <w:lang w:eastAsia="en-US"/>
        </w:rPr>
      </w:pPr>
      <w:r w:rsidRPr="00687E80">
        <w:rPr>
          <w:szCs w:val="24"/>
          <w:u w:val="single"/>
          <w:lang w:eastAsia="en-US"/>
        </w:rPr>
        <w:t>Grupet kryesore që preken</w:t>
      </w:r>
      <w:r w:rsidRPr="00687E80">
        <w:rPr>
          <w:szCs w:val="24"/>
          <w:lang w:eastAsia="en-US"/>
        </w:rPr>
        <w:t xml:space="preserve"> nga ky problem janë:</w:t>
      </w:r>
    </w:p>
    <w:p w:rsidR="00CC422E" w:rsidP="00CC422E" w:rsidRDefault="00CC422E" w14:paraId="0015A6A0" w14:textId="0AAF337E">
      <w:pPr>
        <w:spacing w:before="100" w:beforeAutospacing="1" w:after="100" w:afterAutospacing="1"/>
        <w:jc w:val="both"/>
        <w:rPr>
          <w:szCs w:val="24"/>
          <w:lang w:eastAsia="en-US"/>
        </w:rPr>
      </w:pPr>
      <w:r w:rsidRPr="006D0DA9">
        <w:rPr>
          <w:szCs w:val="24"/>
          <w:lang w:eastAsia="en-US"/>
        </w:rPr>
        <w:t xml:space="preserve">Grupet kryesore të prekura nga mungesa e harmonizimit me Direktivën (BE) 2017/1132 mund të grupohen si më poshtë për të pasqyruar </w:t>
      </w:r>
      <w:r w:rsidR="00373564">
        <w:rPr>
          <w:szCs w:val="24"/>
          <w:lang w:eastAsia="en-US"/>
        </w:rPr>
        <w:t>ndikimin</w:t>
      </w:r>
      <w:r w:rsidRPr="006D0DA9">
        <w:rPr>
          <w:szCs w:val="24"/>
          <w:lang w:eastAsia="en-US"/>
        </w:rPr>
        <w:t xml:space="preserve"> e gjerë të këtij problemi. </w:t>
      </w:r>
    </w:p>
    <w:p w:rsidRPr="00E75562" w:rsidR="00B057C1" w:rsidP="00B057C1" w:rsidRDefault="00B057C1" w14:paraId="288038BA" w14:textId="7E57284F">
      <w:pPr>
        <w:spacing w:before="100" w:beforeAutospacing="1" w:after="100" w:afterAutospacing="1"/>
        <w:jc w:val="both"/>
        <w:rPr>
          <w:szCs w:val="24"/>
          <w:lang w:eastAsia="en-US"/>
        </w:rPr>
      </w:pPr>
      <w:r w:rsidRPr="00E75562">
        <w:rPr>
          <w:b/>
          <w:bCs/>
          <w:szCs w:val="24"/>
          <w:lang w:eastAsia="en-US"/>
        </w:rPr>
        <w:t>Së pari, institucionet shtetërore</w:t>
      </w:r>
      <w:r w:rsidRPr="00E75562">
        <w:rPr>
          <w:szCs w:val="24"/>
          <w:lang w:eastAsia="en-US"/>
        </w:rPr>
        <w:t xml:space="preserve"> – përfshirë Ministrinë përgjegjëse për Ekonominë, Qendrën Kombëtare të Biznesit (QKB), Dhomën Kombëtare të Noterisë, Ministrinë e Drejtësisë, si dhe gjykatat e juridiksionit të përgjithshëm – preken nga nevoja për të garantuar implementimin efektiv të dispozitave procedurale dhe materiale për operacionet ndërkufitare. QKB duhet të përditësojë sistemet digjitale dhe të përgatitet për ndërveprimin me sistemin e ndërlidhjes së regjistrave të BE-së (BRIS), ndërkohë që Dhomës së Noterisë i kërkohet të krijojë dhe mirëmbajë një listë të noterëve të certifikuar për kontrollin e ligjshmërisë së operacioneve ndërkufitare. Gjykatat do të pajisen me kompetenca për vlerësimin e kërkesave të kreditorëve dhe aksionarëve që kundërshtojnë një transformim, si dhe për dhënien e kompensimeve.</w:t>
      </w:r>
    </w:p>
    <w:p w:rsidRPr="00E75562" w:rsidR="00B057C1" w:rsidP="00B057C1" w:rsidRDefault="00B057C1" w14:paraId="5A0CF1B7" w14:textId="77777777">
      <w:pPr>
        <w:spacing w:before="100" w:beforeAutospacing="1" w:after="100" w:afterAutospacing="1"/>
        <w:jc w:val="both"/>
        <w:rPr>
          <w:szCs w:val="24"/>
          <w:lang w:eastAsia="en-US"/>
        </w:rPr>
      </w:pPr>
      <w:r w:rsidRPr="00E75562">
        <w:rPr>
          <w:b/>
          <w:bCs/>
          <w:szCs w:val="24"/>
          <w:lang w:eastAsia="en-US"/>
        </w:rPr>
        <w:t>Së dyti, shoqëritë tregtare</w:t>
      </w:r>
      <w:r w:rsidRPr="00E75562">
        <w:rPr>
          <w:szCs w:val="24"/>
          <w:lang w:eastAsia="en-US"/>
        </w:rPr>
        <w:t>, veçanërisht ato që operojnë në tregje ndërkombëtare ose që planifikojnë të realizojnë transformime strategjike, janë grupi kryesor ekonomik që preket nga ky boshllëk ligjor. Mungesa e rregullave të qarta për shndërrimet dhe ndarjet ndërkufitare ndalon ose ngadalëson procese që përndryshe do të ishin legjitime dhe strategjikisht të nevojshme për ristrukturimin e tyre. Ndikimi është më i madh për shoqëritë aksionare dhe ato me kapital të përbashkët ndërkombëtar, të cilat kërkojnë siguri procedurale, parashikueshmëri dhe garanci mbrojtjeje të palëve të treta. Sipas të dhënave të INSTAT për vitin 2023, nga 226,778 njësi ligjore aktive në Shqipëri, rreth 5.3% kanë kapital të huaj ose janë ndërmarrje të përbashkëta, me përqendrim të veçantë në Tiranë, Durrës dhe Vlorë – rajone që pritet të ndiejnë më shumë ndikimin e reformës.</w:t>
      </w:r>
    </w:p>
    <w:p w:rsidRPr="00E75562" w:rsidR="00B057C1" w:rsidP="00B057C1" w:rsidRDefault="00B057C1" w14:paraId="3DA1D186" w14:textId="77777777">
      <w:pPr>
        <w:spacing w:before="100" w:beforeAutospacing="1" w:after="100" w:afterAutospacing="1"/>
        <w:jc w:val="both"/>
        <w:rPr>
          <w:szCs w:val="24"/>
          <w:lang w:eastAsia="en-US"/>
        </w:rPr>
      </w:pPr>
      <w:r w:rsidRPr="00E75562">
        <w:rPr>
          <w:b/>
          <w:bCs/>
          <w:szCs w:val="24"/>
          <w:lang w:eastAsia="en-US"/>
        </w:rPr>
        <w:t>Së treti, ndërmarrjet e vogla dhe të mesme (NVM-të)</w:t>
      </w:r>
      <w:r w:rsidRPr="00E75562">
        <w:rPr>
          <w:szCs w:val="24"/>
          <w:lang w:eastAsia="en-US"/>
        </w:rPr>
        <w:t xml:space="preserve"> përbëjnë pjesën dërrmuese të subjekteve ekonomike në vend dhe megjithëse përfshihen më rrallë në operacione ndërkufitare, ato preken nga mungesa e një mjedisi të qartë rregullator dhe nga kufizimi i mundësisë për të hyrë në partneritete me investitorë të huaj ose për të realizuar ndarje strategjike në tregje të tjera. Një kuadër i paqartë ligjor ndikon negativisht në besueshmërinë e tyre në tregjet ndërkombëtare dhe në aftësinë për të aksesuar forma alternative financimi ose ristrukturimi.</w:t>
      </w:r>
    </w:p>
    <w:p w:rsidRPr="00E75562" w:rsidR="00B323F1" w:rsidP="00B323F1" w:rsidRDefault="00B057C1" w14:paraId="3DBB40BE" w14:textId="5ED6AD17">
      <w:pPr>
        <w:spacing w:before="100" w:beforeAutospacing="1" w:after="100" w:afterAutospacing="1"/>
        <w:jc w:val="both"/>
        <w:rPr>
          <w:szCs w:val="24"/>
          <w:lang w:eastAsia="en-US"/>
        </w:rPr>
      </w:pPr>
      <w:r w:rsidRPr="00E75562">
        <w:rPr>
          <w:b/>
          <w:bCs/>
          <w:szCs w:val="24"/>
          <w:lang w:eastAsia="en-US"/>
        </w:rPr>
        <w:t>Së katërti, noterët</w:t>
      </w:r>
      <w:r w:rsidRPr="00E75562">
        <w:rPr>
          <w:szCs w:val="24"/>
          <w:lang w:eastAsia="en-US"/>
        </w:rPr>
        <w:t xml:space="preserve"> </w:t>
      </w:r>
      <w:r w:rsidRPr="00E75562" w:rsidR="00B323F1">
        <w:rPr>
          <w:szCs w:val="24"/>
          <w:lang w:eastAsia="en-US"/>
        </w:rPr>
        <w:t xml:space="preserve">Direktiva 2005/56/KE, e cila trajtonte bashkimet ndërkufitare, është shfuqizuar dhe zëvendësuar nga Direktiva 2017/1132 (Direktiva e Kodifikuar), veçanërisht nga dispozitat që lidhen me shndërrimet ndërkufitare, bashkimet dhe ndarjet.  Ndryshimet kyçe që ndikojnë tek noterët në kontekstin e Direktives 2017/1132 lidhen me thjeshtimin e procedurave dhe futjen e rregullave më të qarta për implementimin e operacioneve ndërkufitare, duke përfshirë bashkimet dhe ndarjet. Edhe pse Direktiva origjinale kërkonte një proces certifikimi nga një autoritet (duke përfshirë noterët), Direktiva e Kodifikuar, në Recitalet 25 dhe 26, konsolidon këto kërkesa dhe përqendrohet në rritjen e efikasitetit dhe sigurisë në këto procese, duke siguruar që ato të jenë të qarta, transparente dhe në përputhje me standardet e BE-së. </w:t>
      </w:r>
    </w:p>
    <w:p w:rsidRPr="00E75562" w:rsidR="00B057C1" w:rsidP="00B323F1" w:rsidRDefault="00B323F1" w14:paraId="03EFC592" w14:textId="53AF7DE2">
      <w:pPr>
        <w:spacing w:before="100" w:beforeAutospacing="1" w:after="100" w:afterAutospacing="1"/>
        <w:jc w:val="both"/>
        <w:rPr>
          <w:szCs w:val="24"/>
          <w:lang w:eastAsia="en-US"/>
        </w:rPr>
      </w:pPr>
      <w:r w:rsidRPr="00E75562">
        <w:rPr>
          <w:szCs w:val="24"/>
          <w:lang w:eastAsia="en-US"/>
        </w:rPr>
        <w:t>Për noterët, ndikimi kryesor lidhet me rolin e tyre në procesin e verifikimit për operacionet ndërkufitare si bashkimet dhe shndërrimet. Noterët kanë detyrën të sigurojnë që kërkesat ligjore të shtetit të anëtarit të jenë plotësuar përpara regjistrimit në rastin e bashkimeve ose shndërrimeve. Kjo përfshin kontrollin e sa janë respektuar të drejtat e aksionarëve dhe të kreditorëve. Noterët gjithashtu duhet të sigurojnë që dokumentet e nevojshme të dorëzohen dhe të certifikohen për të vazhduar me regjistrimin. Gjithashtu, sipas direktivës së kodifikuar, mbetet kërkesa për noterët që të sigurojnë dokumentacionin e duhur dhe të konfirmojnë përputhshmërinë ligjore përpara regjistrimit. Megjithatë, ka një theks të shtuar në sigurinë që procedurat janë të efektshme dhe të harmonizuara me sistemet ndërkufitare të regjistrave, që do të përmirësojnë bashkëpunimin dhe transparencën ndërmjet shteteve anëtare. Kjo mund të kërkojë që noterët të përshtatin praktikat e tyre për t'iu përshtatur infrastrukturës digjitale të sistemeve të ndërlidhur për regjistrat e shoqërive në BE. Ndikimi rregullator për noterët është kryesisht i lidhur me këto përshtatje procedurale, duke siguruar përputhshmërinë me kuadrin e ri ligjor të BE-së dhe duke kontribuar në një proces më të thjeshtë dhe efikas për shoqëritë që angazhohen në operacione ndërkufitare brenda BE-së.</w:t>
      </w:r>
    </w:p>
    <w:p w:rsidRPr="00E75562" w:rsidR="00B057C1" w:rsidP="00B057C1" w:rsidRDefault="00B057C1" w14:paraId="207B14E2" w14:textId="6CBB421D">
      <w:pPr>
        <w:spacing w:before="100" w:beforeAutospacing="1" w:after="100" w:afterAutospacing="1"/>
        <w:jc w:val="both"/>
        <w:rPr>
          <w:szCs w:val="24"/>
          <w:lang w:eastAsia="en-US"/>
        </w:rPr>
      </w:pPr>
      <w:r w:rsidRPr="00E75562">
        <w:rPr>
          <w:b/>
          <w:bCs/>
          <w:szCs w:val="24"/>
          <w:lang w:eastAsia="en-US"/>
        </w:rPr>
        <w:t xml:space="preserve">Së pesti, </w:t>
      </w:r>
      <w:r w:rsidRPr="00E75562" w:rsidR="00462A0B">
        <w:rPr>
          <w:szCs w:val="24"/>
          <w:lang w:eastAsia="en-US"/>
        </w:rPr>
        <w:t>një tjetër ndikim vlerësohet për qëllime të konkurrencës, veçanërisht për transaksionet e bashkimeve dhe blerjeve. Ligji Nr. 9121, datë 28.7.2003 “Për mbrojtjen e konkurrencës”, i ndryshuar parashikon se, nëse shoqëritë e bashkuara përmbushin nivelet e xhirove apo nivelet e tjera të caktuara në lidhje me pjesën e tregut dhe të ardhurat, ato duhet të njoftojnë Autoritetin e Konkurrencës për miratimin e transaksionit. Autoriteti do të vlerësojë ndikimin e bashkimit në konkurrencë, duke u fokusuar te mundësia që ky bashkim të krijojë ose forcojë një pozicion dominues që mund të prishë konkurrencën në treg. Këto rregulla do të ndikojnë jo vetëm te shoqëritë që operojnë brenda tregut të brendshëm, por edhe te ato që janë të përfshira në operacione ndërkufitare, duke kërkuar që të përputhen me kërkesat e bashkimit dhe konkurrencës të harmonizuara me rregullat e BE-së. Kjo do të kërkojë që shoqëritë të sigurojnë përputhshmërinë me rregullat e konkurrencës dhe të njoftojnë Autoritetin e Konkurrencës kur ato përmbushin kriteret e përcaktuara për bashkime, për të shmangur pasojat ligjore dhe financiare që mund të lindin nga mosnjoftimi.</w:t>
      </w:r>
    </w:p>
    <w:p w:rsidRPr="00E75562" w:rsidR="00B057C1" w:rsidP="00B057C1" w:rsidRDefault="00B057C1" w14:paraId="2CDCE756" w14:textId="77777777">
      <w:pPr>
        <w:spacing w:before="100" w:beforeAutospacing="1" w:after="100" w:afterAutospacing="1"/>
        <w:jc w:val="both"/>
        <w:rPr>
          <w:szCs w:val="24"/>
          <w:lang w:eastAsia="en-US"/>
        </w:rPr>
      </w:pPr>
      <w:r w:rsidRPr="00E75562">
        <w:rPr>
          <w:b/>
          <w:bCs/>
          <w:szCs w:val="24"/>
          <w:lang w:eastAsia="en-US"/>
        </w:rPr>
        <w:t>Së gjashti, qytetarët dhe sipërmarrësit e rinj</w:t>
      </w:r>
      <w:r w:rsidRPr="00E75562">
        <w:rPr>
          <w:szCs w:val="24"/>
          <w:lang w:eastAsia="en-US"/>
        </w:rPr>
        <w:t xml:space="preserve"> janë gjithashtu të prekur në mënyrë të tërthortë, pasi mungesa e një rruge të ligjshme dhe të thjeshtuar për të transformuar një subjekt në një juridiksion tjetër ose për të bashkuar një njësi ekzistuese me një shoqëri të huaj, kufizon mundësitë për ndërkombëtarizim dhe për zgjerim në tregjet e BE-së. Për më tepër, individët përballen me mungesën e informacionit të standardizuar dhe mjeteve të aksesueshme digjitale që do t’i ndihmonin në orientimin në këto procedura.</w:t>
      </w:r>
    </w:p>
    <w:p w:rsidRPr="00E75562" w:rsidR="00B057C1" w:rsidP="00B057C1" w:rsidRDefault="00B057C1" w14:paraId="31A3A1CA" w14:textId="77777777">
      <w:pPr>
        <w:spacing w:before="100" w:beforeAutospacing="1" w:after="100" w:afterAutospacing="1"/>
        <w:jc w:val="both"/>
        <w:rPr>
          <w:szCs w:val="24"/>
          <w:lang w:eastAsia="en-US"/>
        </w:rPr>
      </w:pPr>
      <w:r w:rsidRPr="00E75562">
        <w:rPr>
          <w:b/>
          <w:bCs/>
          <w:szCs w:val="24"/>
          <w:lang w:eastAsia="en-US"/>
        </w:rPr>
        <w:t>Së shtati, shoqatat e biznesit dhe shoqëria civile</w:t>
      </w:r>
      <w:r w:rsidRPr="00E75562">
        <w:rPr>
          <w:szCs w:val="24"/>
          <w:lang w:eastAsia="en-US"/>
        </w:rPr>
        <w:t>, të cilat kanë rol në ndërmjetësimin e interesave dhe në mbështetjen me asistencë ligjore dhe teknike për bizneset, janë penguar nga mungesa e një baze ligjore të harmonizuar. Këto organizata kanë potencial për të qenë faktorë kyç në zbatimin e reformës, por për momentin operojnë në një mjedis të fragmentuar dhe jo të harmonizuar përsa i përket legjislacionit të transformimeve ndërkufitare.</w:t>
      </w:r>
    </w:p>
    <w:p w:rsidRPr="00687E80" w:rsidR="008771BC" w:rsidP="00AD5221" w:rsidRDefault="008771BC" w14:paraId="25047B74" w14:textId="634C9139">
      <w:pPr>
        <w:spacing w:before="100" w:beforeAutospacing="1" w:after="100" w:afterAutospacing="1"/>
        <w:jc w:val="both"/>
        <w:rPr>
          <w:szCs w:val="24"/>
          <w:lang w:eastAsia="en-US"/>
        </w:rPr>
      </w:pPr>
      <w:r w:rsidRPr="00687E80">
        <w:rPr>
          <w:szCs w:val="24"/>
          <w:lang w:eastAsia="en-US"/>
        </w:rPr>
        <w:t>Në lidhje me aktivitetet ndërkufitare, ndërmarrjet me kapital të huaj dhe të përbashkëta përbëjnë 5.3% të ndërmarrjeve aktive, me 63.1% të këtyre që kanë origjinë nga Europa. Pjesa më e madhe e këtyre ndërmarrjeve është e përqendruar në Tiranë, Durrës dhe Vlorë, që mbajnë një pjesë të përbashkët prej 65.6% të ndërmarrjeve të huaja dhe të përbashkëta.</w:t>
      </w:r>
    </w:p>
    <w:p w:rsidRPr="00687E80" w:rsidR="001828C9" w:rsidP="00B323F1" w:rsidRDefault="008771BC" w14:paraId="1FB2B218" w14:textId="1449251E">
      <w:pPr>
        <w:spacing w:before="100" w:beforeAutospacing="1" w:after="100" w:afterAutospacing="1"/>
        <w:jc w:val="both"/>
        <w:rPr>
          <w:szCs w:val="24"/>
          <w:lang w:eastAsia="en-US"/>
        </w:rPr>
      </w:pPr>
      <w:r w:rsidRPr="00687E80">
        <w:rPr>
          <w:szCs w:val="24"/>
          <w:lang w:eastAsia="en-US"/>
        </w:rPr>
        <w:t xml:space="preserve">Duke marrë parasysh këto statistika, ndryshimet që do të vendosen për harmonizimin e ligjit shqiptar me Direktivën 2017/1132 do të prekin të gjitha </w:t>
      </w:r>
      <w:r w:rsidRPr="00687E80" w:rsidR="00787159">
        <w:rPr>
          <w:szCs w:val="24"/>
          <w:lang w:eastAsia="en-US"/>
        </w:rPr>
        <w:t>shoqër</w:t>
      </w:r>
      <w:r w:rsidRPr="00687E80">
        <w:rPr>
          <w:szCs w:val="24"/>
          <w:lang w:eastAsia="en-US"/>
        </w:rPr>
        <w:t xml:space="preserve">itë, veçanërisht ato që janë angazhuar në operacione ndërkufitare. </w:t>
      </w:r>
      <w:r w:rsidRPr="00687E80" w:rsidR="00787159">
        <w:rPr>
          <w:szCs w:val="24"/>
          <w:lang w:eastAsia="en-US"/>
        </w:rPr>
        <w:t>Shoqër</w:t>
      </w:r>
      <w:r w:rsidRPr="00687E80">
        <w:rPr>
          <w:szCs w:val="24"/>
          <w:lang w:eastAsia="en-US"/>
        </w:rPr>
        <w:t xml:space="preserve">itë do të duhet të përditësojnë </w:t>
      </w:r>
      <w:r w:rsidRPr="00687E80" w:rsidR="008574B1">
        <w:rPr>
          <w:szCs w:val="24"/>
          <w:lang w:eastAsia="en-US"/>
        </w:rPr>
        <w:t xml:space="preserve">statutet </w:t>
      </w:r>
      <w:r w:rsidRPr="00687E80">
        <w:rPr>
          <w:szCs w:val="24"/>
          <w:lang w:eastAsia="en-US"/>
        </w:rPr>
        <w:t>dhe dokumentet e tyre organizative për të siguruar që ato përputhen me kërkesat e reja.</w:t>
      </w:r>
      <w:r w:rsidR="00501D0F">
        <w:rPr>
          <w:szCs w:val="24"/>
          <w:lang w:eastAsia="en-US"/>
        </w:rPr>
        <w:t xml:space="preserve"> Ato </w:t>
      </w:r>
      <w:r w:rsidRPr="00687E80">
        <w:rPr>
          <w:szCs w:val="24"/>
          <w:lang w:eastAsia="en-US"/>
        </w:rPr>
        <w:t xml:space="preserve">do të duhet të zbatojnë masa shtesë transparence në lidhje me të drejtat e aksionarëve dhe qeverisjen korporative. </w:t>
      </w:r>
    </w:p>
    <w:p w:rsidRPr="00687E80" w:rsidR="00F717B9" w:rsidP="00F717B9" w:rsidRDefault="00AB336E" w14:paraId="68B8A43D" w14:textId="77777777">
      <w:pPr>
        <w:jc w:val="both"/>
        <w:rPr>
          <w:u w:val="single"/>
          <w:lang w:eastAsia="en-US"/>
        </w:rPr>
      </w:pPr>
      <w:r w:rsidRPr="00687E80">
        <w:rPr>
          <w:u w:val="single"/>
          <w:lang w:eastAsia="en-US"/>
        </w:rPr>
        <w:t>Vlerësimi i mundësisë për të trajtuar problemin përmes një ndryshimi të politikave</w:t>
      </w:r>
    </w:p>
    <w:p w:rsidRPr="008F0C7E" w:rsidR="009954C5" w:rsidP="00BF2F80" w:rsidRDefault="00AB336E" w14:paraId="743F5965" w14:textId="335684C9">
      <w:pPr>
        <w:spacing w:before="100" w:beforeAutospacing="1" w:after="100" w:afterAutospacing="1"/>
        <w:jc w:val="both"/>
        <w:rPr>
          <w:szCs w:val="24"/>
          <w:lang w:eastAsia="en-US"/>
        </w:rPr>
      </w:pPr>
      <w:r w:rsidRPr="00687E80">
        <w:rPr>
          <w:szCs w:val="24"/>
          <w:lang w:eastAsia="en-US"/>
        </w:rPr>
        <w:t xml:space="preserve">Ky problem mund të trajtohet </w:t>
      </w:r>
      <w:r w:rsidR="003913B0">
        <w:rPr>
          <w:szCs w:val="24"/>
          <w:lang w:eastAsia="en-US"/>
        </w:rPr>
        <w:t>vetëm</w:t>
      </w:r>
      <w:r w:rsidRPr="00687E80">
        <w:rPr>
          <w:szCs w:val="24"/>
          <w:lang w:eastAsia="en-US"/>
        </w:rPr>
        <w:t xml:space="preserve"> përmes ndryshimit të politikave, </w:t>
      </w:r>
      <w:r w:rsidR="00BF2F80">
        <w:rPr>
          <w:szCs w:val="24"/>
          <w:lang w:eastAsia="en-US"/>
        </w:rPr>
        <w:t>nw mwnyrw qw tw</w:t>
      </w:r>
      <w:r w:rsidRPr="00687E80">
        <w:rPr>
          <w:szCs w:val="24"/>
          <w:lang w:eastAsia="en-US"/>
        </w:rPr>
        <w:t xml:space="preserve"> adreso</w:t>
      </w:r>
      <w:r w:rsidR="00BF2F80">
        <w:rPr>
          <w:szCs w:val="24"/>
          <w:lang w:eastAsia="en-US"/>
        </w:rPr>
        <w:t>hen</w:t>
      </w:r>
      <w:r w:rsidRPr="00687E80">
        <w:rPr>
          <w:szCs w:val="24"/>
          <w:lang w:eastAsia="en-US"/>
        </w:rPr>
        <w:t xml:space="preserve"> boshllëqet ekzistuese </w:t>
      </w:r>
      <w:r w:rsidR="00BF2F80">
        <w:rPr>
          <w:szCs w:val="24"/>
          <w:lang w:eastAsia="en-US"/>
        </w:rPr>
        <w:t xml:space="preserve">nw fushwn e bashkimeve dhe aktiviteteve ndwrkufitare </w:t>
      </w:r>
      <w:r w:rsidRPr="00AB336E">
        <w:rPr>
          <w:szCs w:val="24"/>
          <w:lang w:eastAsia="en-US"/>
        </w:rPr>
        <w:t>dhe do të krij</w:t>
      </w:r>
      <w:r w:rsidR="00BF2F80">
        <w:rPr>
          <w:szCs w:val="24"/>
          <w:lang w:eastAsia="en-US"/>
        </w:rPr>
        <w:t>ohet</w:t>
      </w:r>
      <w:r w:rsidRPr="00AB336E">
        <w:rPr>
          <w:szCs w:val="24"/>
          <w:lang w:eastAsia="en-US"/>
        </w:rPr>
        <w:t xml:space="preserve"> një mjedis ligjor </w:t>
      </w:r>
      <w:r w:rsidR="00BF2F80">
        <w:rPr>
          <w:szCs w:val="24"/>
          <w:lang w:eastAsia="en-US"/>
        </w:rPr>
        <w:t>i</w:t>
      </w:r>
      <w:r w:rsidRPr="00AB336E" w:rsidR="00BF2F80">
        <w:rPr>
          <w:szCs w:val="24"/>
          <w:lang w:eastAsia="en-US"/>
        </w:rPr>
        <w:t xml:space="preserve"> </w:t>
      </w:r>
      <w:r w:rsidRPr="00AB336E">
        <w:rPr>
          <w:szCs w:val="24"/>
          <w:lang w:eastAsia="en-US"/>
        </w:rPr>
        <w:t>harmonizuar plotësisht me standardet e BE-së</w:t>
      </w:r>
      <w:r w:rsidR="003913B0">
        <w:rPr>
          <w:szCs w:val="24"/>
          <w:lang w:eastAsia="en-US"/>
        </w:rPr>
        <w:t>, detyrim ky sipas nenit 70 të MSA-së</w:t>
      </w:r>
    </w:p>
    <w:p w:rsidRPr="00563378" w:rsidR="00563378" w:rsidP="00563378" w:rsidRDefault="002125B7" w14:paraId="3BAB313A" w14:textId="77777777">
      <w:pPr>
        <w:pStyle w:val="Heading1"/>
        <w:spacing w:line="276" w:lineRule="auto"/>
        <w:rPr>
          <w:rFonts w:ascii="Times New Roman" w:hAnsi="Times New Roman" w:cs="Times New Roman"/>
          <w:sz w:val="24"/>
          <w:szCs w:val="24"/>
        </w:rPr>
      </w:pPr>
      <w:bookmarkStart w:name="_Hlk191987022" w:id="14"/>
      <w:r w:rsidRPr="00325A1F">
        <w:rPr>
          <w:rFonts w:ascii="Times New Roman" w:hAnsi="Times New Roman" w:cs="Times New Roman"/>
          <w:sz w:val="24"/>
          <w:szCs w:val="24"/>
        </w:rPr>
        <w:t xml:space="preserve">Arsyeja e ndërhyrjes </w:t>
      </w:r>
      <w:bookmarkEnd w:id="12"/>
    </w:p>
    <w:sdt>
      <w:sdtPr>
        <w:id w:val="-1161541828"/>
        <w:lock w:val="contentLocked"/>
        <w:placeholder>
          <w:docPart w:val="DefaultPlaceholder_1081868574"/>
        </w:placeholder>
      </w:sdtPr>
      <w:sdtEndPr>
        <w:rPr>
          <w:sz w:val="24"/>
          <w:szCs w:val="24"/>
        </w:rPr>
      </w:sdtEndPr>
      <w:sdtContent>
        <w:p w:rsidRPr="00372979" w:rsidR="00372979" w:rsidP="0000379A" w:rsidRDefault="00372979" w14:paraId="318C5EBB" w14:textId="77777777">
          <w:pPr>
            <w:pStyle w:val="ListParagraph"/>
            <w:numPr>
              <w:ilvl w:val="0"/>
              <w:numId w:val="5"/>
            </w:numPr>
            <w:spacing w:after="0" w:line="276" w:lineRule="auto"/>
            <w:jc w:val="both"/>
            <w:rPr>
              <w:rFonts w:ascii="Times New Roman" w:hAnsi="Times New Roman" w:eastAsiaTheme="majorEastAsia"/>
              <w:i/>
              <w:sz w:val="24"/>
              <w:szCs w:val="24"/>
            </w:rPr>
          </w:pPr>
          <w:r w:rsidRPr="00372979">
            <w:rPr>
              <w:rFonts w:ascii="Times New Roman" w:hAnsi="Times New Roman" w:eastAsiaTheme="majorEastAsia"/>
              <w:i/>
              <w:sz w:val="24"/>
              <w:szCs w:val="24"/>
            </w:rPr>
            <w:t>Shpjegoni pse qeveria e sheh të nevojshme të ndërhyjë.</w:t>
          </w:r>
        </w:p>
        <w:p w:rsidRPr="00372979" w:rsidR="00372979" w:rsidP="0000379A" w:rsidRDefault="00372979" w14:paraId="711AEB8C" w14:textId="77777777">
          <w:pPr>
            <w:pStyle w:val="ListParagraph"/>
            <w:numPr>
              <w:ilvl w:val="0"/>
              <w:numId w:val="5"/>
            </w:numPr>
            <w:spacing w:after="0" w:line="276" w:lineRule="auto"/>
            <w:jc w:val="both"/>
            <w:rPr>
              <w:rFonts w:ascii="Times New Roman" w:hAnsi="Times New Roman" w:eastAsiaTheme="majorEastAsia"/>
              <w:i/>
              <w:sz w:val="24"/>
              <w:szCs w:val="24"/>
            </w:rPr>
          </w:pPr>
          <w:r w:rsidRPr="00372979">
            <w:rPr>
              <w:rFonts w:ascii="Times New Roman" w:hAnsi="Times New Roman" w:eastAsiaTheme="majorEastAsia"/>
              <w:i/>
              <w:sz w:val="24"/>
              <w:szCs w:val="24"/>
            </w:rPr>
            <w:t>Shpjegoni se çfarë shpreson të trajtojë qeveria nëpërmjet kësaj ndërhyrjeje.</w:t>
          </w:r>
        </w:p>
        <w:p w:rsidRPr="00372979" w:rsidR="00372979" w:rsidP="0000379A" w:rsidRDefault="00372979" w14:paraId="30CB3BDE" w14:textId="77777777">
          <w:pPr>
            <w:pStyle w:val="ListParagraph"/>
            <w:numPr>
              <w:ilvl w:val="0"/>
              <w:numId w:val="5"/>
            </w:numPr>
            <w:spacing w:after="0" w:line="276" w:lineRule="auto"/>
            <w:jc w:val="both"/>
            <w:rPr>
              <w:rFonts w:ascii="Times New Roman" w:hAnsi="Times New Roman" w:eastAsiaTheme="majorEastAsia"/>
              <w:i/>
              <w:sz w:val="24"/>
              <w:szCs w:val="24"/>
            </w:rPr>
          </w:pPr>
          <w:r w:rsidRPr="00372979">
            <w:rPr>
              <w:rFonts w:ascii="Times New Roman" w:hAnsi="Times New Roman" w:eastAsiaTheme="majorEastAsia"/>
              <w:i/>
              <w:sz w:val="24"/>
              <w:szCs w:val="24"/>
            </w:rPr>
            <w:t>Shpjegoni se si i mbështet kjo ndërhyrje objektivat e nivelit të lartë të qeverisë.</w:t>
          </w:r>
        </w:p>
        <w:p w:rsidRPr="003424A8" w:rsidR="004403B3" w:rsidP="0000379A" w:rsidRDefault="00372979" w14:paraId="18E2CAEA" w14:textId="5B88B803">
          <w:pPr>
            <w:pStyle w:val="ListParagraph"/>
            <w:numPr>
              <w:ilvl w:val="0"/>
              <w:numId w:val="5"/>
            </w:numPr>
            <w:spacing w:after="0" w:line="276" w:lineRule="auto"/>
            <w:jc w:val="both"/>
            <w:rPr>
              <w:rFonts w:ascii="Times New Roman" w:hAnsi="Times New Roman" w:eastAsiaTheme="majorEastAsia"/>
              <w:i/>
              <w:sz w:val="24"/>
              <w:szCs w:val="24"/>
            </w:rPr>
          </w:pPr>
          <w:r w:rsidRPr="00372979">
            <w:rPr>
              <w:rFonts w:ascii="Times New Roman" w:hAnsi="Times New Roman" w:eastAsiaTheme="majorEastAsia"/>
              <w:i/>
              <w:sz w:val="24"/>
              <w:szCs w:val="24"/>
            </w:rPr>
            <w:t>Rendisni punën ekzistuese që është realizuar tashmë.</w:t>
          </w:r>
        </w:p>
      </w:sdtContent>
    </w:sdt>
    <w:bookmarkStart w:name="_Toc506919735" w:displacedByCustomXml="prev" w:id="15"/>
    <w:bookmarkEnd w:id="14"/>
    <w:p w:rsidR="00632794" w:rsidP="00243798" w:rsidRDefault="00632794" w14:paraId="7E63B94D" w14:textId="77777777">
      <w:pPr>
        <w:spacing w:after="160" w:line="259" w:lineRule="auto"/>
        <w:rPr>
          <w:rFonts w:eastAsiaTheme="majorEastAsia"/>
          <w:b/>
          <w:bCs/>
        </w:rPr>
      </w:pPr>
    </w:p>
    <w:p w:rsidRPr="00885315" w:rsidR="00243798" w:rsidP="00243798" w:rsidRDefault="00243798" w14:paraId="30136180" w14:textId="097C3E03">
      <w:pPr>
        <w:spacing w:after="160" w:line="259" w:lineRule="auto"/>
      </w:pPr>
      <w:r w:rsidRPr="00885315">
        <w:rPr>
          <w:rFonts w:eastAsiaTheme="majorEastAsia"/>
          <w:b/>
          <w:bCs/>
        </w:rPr>
        <w:t>Arsyeja për Ndërhyrje</w:t>
      </w:r>
    </w:p>
    <w:p w:rsidRPr="004C6368" w:rsidR="004C6368" w:rsidP="004C6368" w:rsidRDefault="004C6368" w14:paraId="4353D849" w14:textId="040FD034">
      <w:pPr>
        <w:spacing w:after="60" w:line="216" w:lineRule="auto"/>
        <w:jc w:val="both"/>
        <w:rPr>
          <w:szCs w:val="24"/>
        </w:rPr>
      </w:pPr>
      <w:r w:rsidRPr="004C6368">
        <w:rPr>
          <w:szCs w:val="24"/>
        </w:rPr>
        <w:t xml:space="preserve">Qeveria e Republikës së Shqipërisë vlerëson se ndërhyrja për të siguruar përputhshmëri të plotë me Direktivën (BE) 2019/2121, e cila ka standardizuar procedurat e </w:t>
      </w:r>
      <w:r w:rsidR="00017609">
        <w:rPr>
          <w:szCs w:val="24"/>
        </w:rPr>
        <w:t>shndërrimeve</w:t>
      </w:r>
      <w:r w:rsidRPr="004C6368" w:rsidR="00017609">
        <w:rPr>
          <w:szCs w:val="24"/>
        </w:rPr>
        <w:t xml:space="preserve"> </w:t>
      </w:r>
      <w:r w:rsidRPr="004C6368">
        <w:rPr>
          <w:szCs w:val="24"/>
        </w:rPr>
        <w:t>ndërkufitare në nivel të BE-së duke zëvendësuar qasjet kombëtare të fragmentuara</w:t>
      </w:r>
      <w:r w:rsidR="00A97A8A">
        <w:rPr>
          <w:szCs w:val="24"/>
        </w:rPr>
        <w:t>, pasi</w:t>
      </w:r>
      <w:r w:rsidRPr="004C6368">
        <w:rPr>
          <w:szCs w:val="24"/>
        </w:rPr>
        <w:t xml:space="preserve"> Shqipëria nuk ka aktualisht asnjë dispozitë në fuqi që të rregullojë shndërrimet dhe ndarjet ndërkufitare, dhe ligji ekzistues për bashkimet ndërkufitare (Ligji nr. 110/2012) është i kufizuar dhe i vjetëruar, pasi pasqyron vetëm direktivën e mëparshme 2005/56/KE tashmë të shfuqizuar.</w:t>
      </w:r>
    </w:p>
    <w:p w:rsidRPr="004C6368" w:rsidR="004C6368" w:rsidP="004C6368" w:rsidRDefault="004C6368" w14:paraId="029D3939" w14:textId="77777777">
      <w:pPr>
        <w:spacing w:after="60" w:line="216" w:lineRule="auto"/>
        <w:jc w:val="both"/>
        <w:rPr>
          <w:szCs w:val="24"/>
        </w:rPr>
      </w:pPr>
    </w:p>
    <w:p w:rsidR="0077456A" w:rsidP="00AC168C" w:rsidRDefault="004C6368" w14:paraId="542A062C" w14:textId="71E8FD02">
      <w:pPr>
        <w:jc w:val="both"/>
        <w:rPr>
          <w:szCs w:val="24"/>
        </w:rPr>
      </w:pPr>
      <w:r w:rsidRPr="004C6368">
        <w:rPr>
          <w:szCs w:val="24"/>
        </w:rPr>
        <w:t>Ndërhyrja bëhet veçanërisht e domosdoshme në kontekstin e procesit të negociatave të anëtarësimit në BE, konkretisht për Kapitullin 6 – E drejta e shoqërive, ku Shqipëria ka për detyrë të arrijë përputhshmëri të plotë me acquis-in e BE-së deri në vitin 2027 dhe të jetë e gatshme për integrim të plotë në tregun e brendshëm deri në vitin 2030, siç përcaktohet në Pozicionin Negociues për Kapitullin 6 (janar 2025) dhe në Strategjinë Kombëtare për Zhvillim dhe Integrim Evropian 2030. Kjo ndërhyrje nuk është thjesht një detyrim teknik, por një hap i domosdoshëm strategjik për të siguruar siguri juridike, parashikueshmëri procedurale, transparencë tregtare, dhe për të krijuar kushte të barabarta për shoqëritë shqiptare që synojnë të operojnë përtej kufijve kombëtarë.</w:t>
      </w:r>
    </w:p>
    <w:p w:rsidR="00A97A8A" w:rsidP="00A32E1F" w:rsidRDefault="00A97A8A" w14:paraId="5D209ACF" w14:textId="5D67BF5B">
      <w:pPr>
        <w:spacing w:before="100" w:beforeAutospacing="1" w:after="100" w:afterAutospacing="1"/>
        <w:jc w:val="both"/>
        <w:rPr>
          <w:szCs w:val="24"/>
          <w:lang w:eastAsia="en-US"/>
        </w:rPr>
      </w:pPr>
      <w:r>
        <w:rPr>
          <w:szCs w:val="24"/>
        </w:rPr>
        <w:t xml:space="preserve">Pra, </w:t>
      </w:r>
      <w:r>
        <w:rPr>
          <w:szCs w:val="24"/>
          <w:lang w:eastAsia="en-US"/>
        </w:rPr>
        <w:t>ndwrhyrja e qeverisw</w:t>
      </w:r>
      <w:r w:rsidRPr="00B06FF2">
        <w:rPr>
          <w:szCs w:val="24"/>
          <w:lang w:eastAsia="en-US"/>
        </w:rPr>
        <w:t xml:space="preserve"> është </w:t>
      </w:r>
      <w:r>
        <w:rPr>
          <w:szCs w:val="24"/>
          <w:lang w:eastAsia="en-US"/>
        </w:rPr>
        <w:t>e</w:t>
      </w:r>
      <w:r w:rsidRPr="00B06FF2">
        <w:rPr>
          <w:szCs w:val="24"/>
          <w:lang w:eastAsia="en-US"/>
        </w:rPr>
        <w:t xml:space="preserve"> nevojsh</w:t>
      </w:r>
      <w:r>
        <w:rPr>
          <w:szCs w:val="24"/>
          <w:lang w:eastAsia="en-US"/>
        </w:rPr>
        <w:t>me</w:t>
      </w:r>
      <w:r w:rsidRPr="00B06FF2">
        <w:rPr>
          <w:szCs w:val="24"/>
          <w:lang w:eastAsia="en-US"/>
        </w:rPr>
        <w:t xml:space="preserve"> në dy drejtime kryesore. Së pari, politikisht, ai përfaqëson një angazhim të marrë në kuadër të negociatave të anëtarësimit në BE, ku përafrimi me acquis-in, përfshirë Direktivën (BE) 2017/1132, është një prioritet për mbylljen e Kapitullit 6 dhe avancimin e procesit të integrimit. Së dyti, ligjërisht, ky ndryshim rrjedh nga detyrimet e përcaktuara në Nenin 70 të Marrëveshjes së Stabilizim-Asociimit (MSA), e cila angazhon Shqipërinë për të harmonizuar gradualisht legjislacionin vendas me atë të BE-së. </w:t>
      </w:r>
    </w:p>
    <w:p w:rsidR="001975FE" w:rsidP="0077456A" w:rsidRDefault="001975FE" w14:paraId="5002B012" w14:textId="77777777">
      <w:pPr>
        <w:rPr>
          <w:rFonts w:eastAsiaTheme="majorEastAsia"/>
        </w:rPr>
      </w:pPr>
    </w:p>
    <w:p w:rsidR="0077456A" w:rsidP="0077456A" w:rsidRDefault="0077456A" w14:paraId="3486298C" w14:textId="103ECC23">
      <w:pPr>
        <w:rPr>
          <w:rFonts w:eastAsiaTheme="majorEastAsia"/>
          <w:u w:val="single"/>
        </w:rPr>
      </w:pPr>
      <w:r w:rsidRPr="0077456A">
        <w:rPr>
          <w:rFonts w:eastAsiaTheme="majorEastAsia"/>
          <w:u w:val="single"/>
        </w:rPr>
        <w:t>Çfarë shpreson të trajtojë qeveria nëpërmjet kësaj ndërhyrjeje</w:t>
      </w:r>
    </w:p>
    <w:p w:rsidRPr="0077456A" w:rsidR="0077456A" w:rsidP="0077456A" w:rsidRDefault="0077456A" w14:paraId="066F8F6D" w14:textId="77777777">
      <w:pPr>
        <w:rPr>
          <w:rFonts w:eastAsiaTheme="majorEastAsia"/>
          <w:u w:val="single"/>
        </w:rPr>
      </w:pPr>
    </w:p>
    <w:p w:rsidRPr="00E75562" w:rsidR="00905D5B" w:rsidP="00905D5B" w:rsidRDefault="00905D5B" w14:paraId="4A78073F" w14:textId="77777777">
      <w:pPr>
        <w:spacing w:after="160" w:line="259" w:lineRule="auto"/>
        <w:jc w:val="both"/>
        <w:rPr>
          <w:rFonts w:eastAsiaTheme="majorEastAsia"/>
        </w:rPr>
      </w:pPr>
      <w:r w:rsidRPr="00E75562">
        <w:rPr>
          <w:rFonts w:eastAsiaTheme="majorEastAsia"/>
        </w:rPr>
        <w:t>Qeveria synon të adresojë pesë problematika themelore përmes miratimit të këtij ligji të ri:</w:t>
      </w:r>
    </w:p>
    <w:p w:rsidRPr="00E75562" w:rsidR="00905D5B" w:rsidP="0000379A" w:rsidRDefault="00905D5B" w14:paraId="79BAD14D" w14:textId="123F1A22">
      <w:pPr>
        <w:numPr>
          <w:ilvl w:val="0"/>
          <w:numId w:val="19"/>
        </w:numPr>
        <w:spacing w:after="160" w:line="259" w:lineRule="auto"/>
        <w:jc w:val="both"/>
        <w:rPr>
          <w:rFonts w:eastAsiaTheme="majorEastAsia"/>
        </w:rPr>
      </w:pPr>
      <w:r w:rsidRPr="00E75562">
        <w:rPr>
          <w:rFonts w:eastAsiaTheme="majorEastAsia"/>
        </w:rPr>
        <w:t xml:space="preserve">Mungesën e dispozitave procedurale për </w:t>
      </w:r>
      <w:r w:rsidR="007C0890">
        <w:rPr>
          <w:rFonts w:eastAsiaTheme="majorEastAsia"/>
        </w:rPr>
        <w:t>shnd</w:t>
      </w:r>
      <w:r w:rsidR="00E75562">
        <w:rPr>
          <w:rFonts w:eastAsiaTheme="majorEastAsia"/>
        </w:rPr>
        <w:t>ë</w:t>
      </w:r>
      <w:r w:rsidR="007C0890">
        <w:rPr>
          <w:rFonts w:eastAsiaTheme="majorEastAsia"/>
        </w:rPr>
        <w:t>rrimet</w:t>
      </w:r>
      <w:r w:rsidRPr="00E75562">
        <w:rPr>
          <w:rFonts w:eastAsiaTheme="majorEastAsia"/>
        </w:rPr>
        <w:t xml:space="preserve"> ndërkufitare, të cilat aktualisht nuk janë të rregulluara në mënyrë të qartë, duke penguar aftësinë e shoqërive shqiptare për të realizuar shndërrime, bashkime ose ndarje me partnerë të huaj në përputhje me standardet e BE-së.</w:t>
      </w:r>
    </w:p>
    <w:p w:rsidRPr="00E75562" w:rsidR="00905D5B" w:rsidP="0000379A" w:rsidRDefault="00905D5B" w14:paraId="0EFC79E0" w14:textId="77777777">
      <w:pPr>
        <w:numPr>
          <w:ilvl w:val="0"/>
          <w:numId w:val="19"/>
        </w:numPr>
        <w:spacing w:after="160" w:line="259" w:lineRule="auto"/>
        <w:jc w:val="both"/>
        <w:rPr>
          <w:rFonts w:eastAsiaTheme="majorEastAsia"/>
        </w:rPr>
      </w:pPr>
      <w:r w:rsidRPr="00E75562">
        <w:rPr>
          <w:rFonts w:eastAsiaTheme="majorEastAsia"/>
        </w:rPr>
        <w:t>Pasigurinë juridike që rezulton nga mungesa e mbrojtjes së kreditorëve, të drejtave të aksionarëve pakicë, dhe përfshirjes së punëmarrësve në operacionet ndërkufitare, siç kërkohet nga direktiva.</w:t>
      </w:r>
    </w:p>
    <w:p w:rsidRPr="00E75562" w:rsidR="00905D5B" w:rsidP="0000379A" w:rsidRDefault="00905D5B" w14:paraId="06DC4671" w14:textId="77777777">
      <w:pPr>
        <w:numPr>
          <w:ilvl w:val="0"/>
          <w:numId w:val="19"/>
        </w:numPr>
        <w:spacing w:after="160" w:line="259" w:lineRule="auto"/>
        <w:jc w:val="both"/>
        <w:rPr>
          <w:rFonts w:eastAsiaTheme="majorEastAsia"/>
        </w:rPr>
      </w:pPr>
      <w:r w:rsidRPr="00E75562">
        <w:rPr>
          <w:rFonts w:eastAsiaTheme="majorEastAsia"/>
        </w:rPr>
        <w:t>Mungesën e autoriteteve të verifikimit të ligjshmërisë, që është një kërkesë eksplicite e direktivës, e cila parashikon që çdo shtet anëtar të caktojë një organ (p.sh. noterë ose gjykata) për të certifikuar përputhshmërinë para regjistrimit të transformimeve ndërkufitare.</w:t>
      </w:r>
    </w:p>
    <w:p w:rsidRPr="00E75562" w:rsidR="00905D5B" w:rsidP="0000379A" w:rsidRDefault="00905D5B" w14:paraId="4B871C24" w14:textId="77777777">
      <w:pPr>
        <w:numPr>
          <w:ilvl w:val="0"/>
          <w:numId w:val="19"/>
        </w:numPr>
        <w:spacing w:after="160" w:line="259" w:lineRule="auto"/>
        <w:jc w:val="both"/>
        <w:rPr>
          <w:rFonts w:eastAsiaTheme="majorEastAsia"/>
        </w:rPr>
      </w:pPr>
      <w:r w:rsidRPr="00E75562">
        <w:rPr>
          <w:rFonts w:eastAsiaTheme="majorEastAsia"/>
        </w:rPr>
        <w:t>Nevojën për një mekanizëm të standardizuar komunikimi ndërmjet regjistrave tregtarë, i cili përmes BRIS do të mundësojë verifikimin dhe regjistrimin ndërkufitar në mënyrë të sinkronizuar.</w:t>
      </w:r>
    </w:p>
    <w:p w:rsidRPr="00E75562" w:rsidR="00905D5B" w:rsidP="0000379A" w:rsidRDefault="00905D5B" w14:paraId="194F68AC" w14:textId="77777777">
      <w:pPr>
        <w:numPr>
          <w:ilvl w:val="0"/>
          <w:numId w:val="19"/>
        </w:numPr>
        <w:spacing w:after="160" w:line="259" w:lineRule="auto"/>
        <w:jc w:val="both"/>
        <w:rPr>
          <w:rFonts w:eastAsiaTheme="majorEastAsia"/>
        </w:rPr>
      </w:pPr>
      <w:r w:rsidRPr="00E75562">
        <w:rPr>
          <w:rFonts w:eastAsiaTheme="majorEastAsia"/>
        </w:rPr>
        <w:t>Nevojën për të siguruar një nivel të ri të transparencës dhe llogaridhënies përmes planeve të transformimit, raporteve të administratorëve dhe aksesit të gjerë publik në dokumentacionin e depozituar.</w:t>
      </w:r>
    </w:p>
    <w:p w:rsidRPr="00A32E1F" w:rsidR="00A97A8A" w:rsidP="00A97A8A" w:rsidRDefault="00A97A8A" w14:paraId="71DDC78D" w14:textId="77777777">
      <w:pPr>
        <w:spacing w:after="160" w:line="259" w:lineRule="auto"/>
        <w:jc w:val="both"/>
        <w:rPr>
          <w:rFonts w:eastAsiaTheme="majorEastAsia"/>
        </w:rPr>
      </w:pPr>
      <w:r w:rsidRPr="00A32E1F">
        <w:rPr>
          <w:rFonts w:eastAsiaTheme="majorEastAsia"/>
        </w:rPr>
        <w:t>Qeveria synon para së gjithash të zgjidhë mungesën e rregullave të qarta ligjore për shndërrimet ndërkufitare, një boshllëk që e ka penguar prej vitesh aftësinë e shoqërive shqiptare për të kryer transformime, bashkime ose ndarje me subjekte të huaja në përputhje me standardet evropiane. Duke qenë se këto procedura nuk janë të transpozuara sipas Direktivës (BE) 2019/2121, qeveria synon të krijojë një bazë ligjore të qartë, të harmonizuar dhe të zbatueshme që i mundëson shoqërive shqiptare të operojnë lirshëm në tregun e brendshëm të BE-së dhe të jenë konkurruese në operacione ndërkufitare.</w:t>
      </w:r>
    </w:p>
    <w:p w:rsidRPr="00A32E1F" w:rsidR="00A97A8A" w:rsidP="00A97A8A" w:rsidRDefault="00A97A8A" w14:paraId="643D726B" w14:textId="77777777">
      <w:pPr>
        <w:spacing w:after="160" w:line="259" w:lineRule="auto"/>
        <w:jc w:val="both"/>
        <w:rPr>
          <w:rFonts w:eastAsiaTheme="majorEastAsia"/>
        </w:rPr>
      </w:pPr>
      <w:r w:rsidRPr="00A32E1F">
        <w:rPr>
          <w:rFonts w:eastAsiaTheme="majorEastAsia"/>
        </w:rPr>
        <w:t>Një tjetër objektiv i rëndësishëm është rritja e sigurisë juridike për të gjitha palët e përfshira në operacionet ndërkufitare. Aktualisht mungon një kuadër i plotë për mbrojtjen e kreditorëve, garantimin e të drejtave të aksionarëve pakicë dhe sigurimin e pjesëmarrjes së punëmarrësve. Këto janë elemente të detyrueshme sipas acquis-it, dhe mungesa e tyre krijon rreziqe të larta ligjore dhe ekonomike. Përmes ligjit të ri, qeveria synon të vendosë standarde të qarta, të parashikueshme dhe të harmonizuara që mbrojnë interesat e të gjitha palëve dhe shmangin praktikat abuzive.</w:t>
      </w:r>
    </w:p>
    <w:p w:rsidRPr="00A32E1F" w:rsidR="00A97A8A" w:rsidP="00A97A8A" w:rsidRDefault="00A97A8A" w14:paraId="245B5900" w14:textId="77777777">
      <w:pPr>
        <w:spacing w:after="160" w:line="259" w:lineRule="auto"/>
        <w:jc w:val="both"/>
        <w:rPr>
          <w:rFonts w:eastAsiaTheme="majorEastAsia"/>
        </w:rPr>
      </w:pPr>
      <w:r w:rsidRPr="00A32E1F">
        <w:rPr>
          <w:rFonts w:eastAsiaTheme="majorEastAsia"/>
        </w:rPr>
        <w:t>Qeveria synon gjithashtu të plotësojë boshllëkun lidhur me autoritetet e verifikimit të ligjshmërisë – një komponent kyç i Direktivës 2019/2121. Aktualisht, Shqipëria nuk ka të përcaktuar një organ të posaçëm (si gjykatat, noterët ose një autoritet administrativ) që të certifikojë përputhshmërinë ligjore të transformimeve ndërkufitare para regjistrimit. Kjo mungesë jo vetëm pengon procesin, por edhe e bën vendin të papërgatitur për integrim të plotë me praktikat e BE-së. Me këtë ndërhyrje, synohet krijimi i një mekanizmi të qartë verifikues që garanton ligjshmërinë, transparencën dhe sigurinë e transaksioneve ndërkufitare.</w:t>
      </w:r>
    </w:p>
    <w:p w:rsidRPr="00A32E1F" w:rsidR="00A97A8A" w:rsidP="00A97A8A" w:rsidRDefault="00A97A8A" w14:paraId="5F721E94" w14:textId="36C5D56D">
      <w:pPr>
        <w:spacing w:after="160" w:line="259" w:lineRule="auto"/>
        <w:jc w:val="both"/>
        <w:rPr>
          <w:rFonts w:eastAsiaTheme="majorEastAsia"/>
        </w:rPr>
      </w:pPr>
      <w:r w:rsidRPr="00A32E1F">
        <w:rPr>
          <w:rFonts w:eastAsiaTheme="majorEastAsia"/>
        </w:rPr>
        <w:t>Një tjetër fushë ku qeveria synon të ndërhyjë është komunikimi ndërmjet regjistrave tregtarë, i cili aktualisht nuk është i standardizuar dhe nuk është i lidhur me BRIS</w:t>
      </w:r>
      <w:r>
        <w:rPr>
          <w:rFonts w:eastAsiaTheme="majorEastAsia"/>
        </w:rPr>
        <w:t>,</w:t>
      </w:r>
      <w:r w:rsidRPr="00A32E1F">
        <w:rPr>
          <w:rFonts w:eastAsiaTheme="majorEastAsia"/>
        </w:rPr>
        <w:t xml:space="preserve"> sistemin e BE-së për shkëmbimin elektronik të informacionit të shoqërive tregtare. Kjo mungesë pengon regjistrimin e sinkronizuar të transformimeve ndërkufitare, bën të pamundur verifikimin e të dhënave në kohë reale dhe krijon rrezik për pasaktësi ose abuzime. Ligji i ri synon të krijojë mekanizma modernë digjitalë, të përputhshëm me kërkesat e BE-së, duke garantuar komunikim të sigurt dhe të automatizuar ndërmjet autoriteteve regjistruese.</w:t>
      </w:r>
    </w:p>
    <w:p w:rsidRPr="00A32E1F" w:rsidR="00A97A8A" w:rsidP="00A97A8A" w:rsidRDefault="00A97A8A" w14:paraId="380BFBD8" w14:textId="42F3DCCE">
      <w:pPr>
        <w:spacing w:after="160" w:line="259" w:lineRule="auto"/>
        <w:jc w:val="both"/>
        <w:rPr>
          <w:rFonts w:eastAsiaTheme="majorEastAsia"/>
        </w:rPr>
      </w:pPr>
      <w:r w:rsidRPr="00A32E1F">
        <w:rPr>
          <w:rFonts w:eastAsiaTheme="majorEastAsia"/>
        </w:rPr>
        <w:t>Së fundi, qeveria shpreson të rrisë transparencën, llogaridhënien dhe aksesin publik në dokumentacionin e operacioneve ndërkufitare. Legjislacioni aktual nuk parashikon forma të standardizuara të planeve të transformimit, raporteve të administratorëve apo mekanizma të qartë publikimi. Duke vendosur detyrime të reja për hartimin, publikimin dhe konsultimin e dokumenteve të transformimit, ligji synon të forcojë qartësinë e procesit, të shtojë mbikëqyrjen dhe të garantojë që të gjithë aktorët, përfshirë publikun, aksionarët dhe punonjësit – të kenë informacion të plotë mbi çdo hap të operacionit ndërkufitar.</w:t>
      </w:r>
    </w:p>
    <w:p w:rsidRPr="00E75562" w:rsidR="00A97A8A" w:rsidP="00905D5B" w:rsidRDefault="00A97A8A" w14:paraId="20E9118C" w14:textId="77777777">
      <w:pPr>
        <w:spacing w:after="160" w:line="259" w:lineRule="auto"/>
        <w:jc w:val="both"/>
        <w:rPr>
          <w:rFonts w:eastAsiaTheme="majorEastAsia"/>
        </w:rPr>
      </w:pPr>
    </w:p>
    <w:p w:rsidRPr="008723CC" w:rsidR="0077456A" w:rsidP="0077456A" w:rsidRDefault="0077456A" w14:paraId="386DBDEB" w14:textId="77777777">
      <w:pPr>
        <w:spacing w:after="160" w:line="259" w:lineRule="auto"/>
        <w:rPr>
          <w:rFonts w:eastAsiaTheme="majorEastAsia"/>
          <w:u w:val="single"/>
        </w:rPr>
      </w:pPr>
      <w:r w:rsidRPr="008723CC">
        <w:rPr>
          <w:rFonts w:eastAsiaTheme="majorEastAsia"/>
          <w:u w:val="single"/>
        </w:rPr>
        <w:t>Si i mbështet kjo ndërhyrje objektivat e nivelit të lartë të qeverisë</w:t>
      </w:r>
    </w:p>
    <w:p w:rsidRPr="006D0DA9" w:rsidR="00E63F98" w:rsidP="00E63F98" w:rsidRDefault="0077456A" w14:paraId="12D9D20B" w14:textId="4A412543">
      <w:pPr>
        <w:spacing w:after="160" w:line="259" w:lineRule="auto"/>
        <w:jc w:val="both"/>
        <w:rPr>
          <w:rFonts w:eastAsiaTheme="majorEastAsia"/>
        </w:rPr>
      </w:pPr>
      <w:r w:rsidRPr="008723CC">
        <w:rPr>
          <w:rFonts w:eastAsiaTheme="majorEastAsia"/>
        </w:rPr>
        <w:t xml:space="preserve">Kjo ndërhyrje mbështet objektivat e nivelit të lartë të qeverisë për integrimin në Bashkimin Evropian dhe krijimin e një mjedisi të qëndrueshëm dhe konkurrues për zhvillimin ekonomik. Harmonizimi është një hap kyç për të siguruar që Shqipëria të përmbushë kriteret e kërkuara për anëtarësim në BE dhe për të rritur pozicionin e saj në tregjet ndërkombëtare. </w:t>
      </w:r>
      <w:r w:rsidRPr="006D0DA9" w:rsidR="00E63F98">
        <w:rPr>
          <w:rFonts w:eastAsiaTheme="majorEastAsia"/>
        </w:rPr>
        <w:t xml:space="preserve">Harmonizimi </w:t>
      </w:r>
      <w:r w:rsidR="00E63F98">
        <w:rPr>
          <w:rFonts w:eastAsiaTheme="majorEastAsia"/>
        </w:rPr>
        <w:t>realizohet</w:t>
      </w:r>
      <w:r w:rsidRPr="006D0DA9" w:rsidR="00E63F98">
        <w:rPr>
          <w:rFonts w:eastAsiaTheme="majorEastAsia"/>
        </w:rPr>
        <w:t xml:space="preserve"> duke u mbështetur në disa dokumente strategjike kyçe:</w:t>
      </w:r>
    </w:p>
    <w:p w:rsidRPr="006D0DA9" w:rsidR="00E63F98" w:rsidP="0000379A" w:rsidRDefault="00E63F98" w14:paraId="5F1362AA" w14:textId="1653662C">
      <w:pPr>
        <w:numPr>
          <w:ilvl w:val="0"/>
          <w:numId w:val="18"/>
        </w:numPr>
        <w:spacing w:after="160" w:line="259" w:lineRule="auto"/>
        <w:jc w:val="both"/>
        <w:rPr>
          <w:rFonts w:eastAsiaTheme="majorEastAsia"/>
        </w:rPr>
      </w:pPr>
      <w:r w:rsidRPr="006D0DA9">
        <w:rPr>
          <w:rFonts w:eastAsiaTheme="majorEastAsia"/>
          <w:b/>
          <w:bCs/>
        </w:rPr>
        <w:t>Marrëveshja e Stabilizim-Asociimit (MSA)</w:t>
      </w:r>
      <w:r w:rsidRPr="006D0DA9">
        <w:rPr>
          <w:rFonts w:eastAsiaTheme="majorEastAsia"/>
        </w:rPr>
        <w:t>: Sipas Nenit 70 të MSA-së, Shqipëria është e detyruar të përafrojë gradualisht legjislacionin e saj me atë të BE-së. Kjo ndërhyrje rregullatore plotëson këtë kërkesë duke harmonizuar legjislacionin e shoqërive tregtare me Direktivën (BE) 2017/1132, duke forcuar kështu bazën ligjore për anëtarësimin në BE.</w:t>
      </w:r>
    </w:p>
    <w:p w:rsidRPr="006D0DA9" w:rsidR="00E63F98" w:rsidP="0000379A" w:rsidRDefault="00E63F98" w14:paraId="4085C39E" w14:textId="437A5F94">
      <w:pPr>
        <w:numPr>
          <w:ilvl w:val="0"/>
          <w:numId w:val="18"/>
        </w:numPr>
        <w:spacing w:after="160" w:line="259" w:lineRule="auto"/>
        <w:jc w:val="both"/>
        <w:rPr>
          <w:rFonts w:eastAsiaTheme="majorEastAsia"/>
        </w:rPr>
      </w:pPr>
      <w:r w:rsidRPr="006D0DA9">
        <w:rPr>
          <w:rFonts w:eastAsiaTheme="majorEastAsia"/>
          <w:b/>
          <w:bCs/>
        </w:rPr>
        <w:t>Plani Kombëtar për Integrimin Evropian (PKIE) 2025-2027</w:t>
      </w:r>
      <w:r w:rsidRPr="006D0DA9">
        <w:rPr>
          <w:rFonts w:eastAsiaTheme="majorEastAsia"/>
        </w:rPr>
        <w:t xml:space="preserve">: Harmonizimi me </w:t>
      </w:r>
      <w:r w:rsidRPr="006D0DA9">
        <w:rPr>
          <w:rFonts w:eastAsiaTheme="majorEastAsia"/>
          <w:i/>
          <w:iCs/>
        </w:rPr>
        <w:t>acquis</w:t>
      </w:r>
      <w:r w:rsidRPr="006D0DA9">
        <w:rPr>
          <w:rFonts w:eastAsiaTheme="majorEastAsia"/>
        </w:rPr>
        <w:t>-in e BE-së është një prioritet i përcaktuar në PKIE, veçanërisht për mbylljen e Kapitullit 6 të negociatave me BE brenda vitit 2027. Kjo ndërhyrje është një hap konkret drejt përmbushjes së këtij objektivi, duke avancuar negociatat teknike dhe përgatitjen për tregun e brendshëm evropian.</w:t>
      </w:r>
    </w:p>
    <w:p w:rsidRPr="006D0DA9" w:rsidR="00E63F98" w:rsidP="0000379A" w:rsidRDefault="00E63F98" w14:paraId="4BEBEA1D" w14:textId="15971C20">
      <w:pPr>
        <w:numPr>
          <w:ilvl w:val="0"/>
          <w:numId w:val="18"/>
        </w:numPr>
        <w:spacing w:after="160" w:line="259" w:lineRule="auto"/>
        <w:jc w:val="both"/>
        <w:rPr>
          <w:rFonts w:eastAsiaTheme="majorEastAsia"/>
        </w:rPr>
      </w:pPr>
      <w:r w:rsidRPr="006D0DA9">
        <w:rPr>
          <w:rFonts w:eastAsiaTheme="majorEastAsia"/>
          <w:b/>
          <w:bCs/>
        </w:rPr>
        <w:t>Strategjia Kombëtare për Zhvillim dhe Integrim (SKZHI) 2030</w:t>
      </w:r>
      <w:r w:rsidRPr="006D0DA9">
        <w:rPr>
          <w:rFonts w:eastAsiaTheme="majorEastAsia"/>
        </w:rPr>
        <w:t>: Kjo ndërhyrje mbështet vizionin afatgjatë të SKZHI 2030 për anëtarësimin e Shqipërisë në BE deri në vitin 2030. Duke përafruar standardet rregullatore me ato të BE-së, ajo siguron që vendi të jetë i gatshëm për integrimin e plotë në tregun evropian, duke kontribuar në stabilitetin dhe prosperitetin ekonomik.</w:t>
      </w:r>
    </w:p>
    <w:p w:rsidRPr="006D0DA9" w:rsidR="00CD5B12" w:rsidP="0000379A" w:rsidRDefault="005C4CBC" w14:paraId="23B307E5" w14:textId="698E91C4">
      <w:pPr>
        <w:numPr>
          <w:ilvl w:val="0"/>
          <w:numId w:val="18"/>
        </w:numPr>
        <w:spacing w:after="160" w:line="259" w:lineRule="auto"/>
        <w:jc w:val="both"/>
        <w:rPr>
          <w:rFonts w:eastAsiaTheme="majorEastAsia"/>
        </w:rPr>
      </w:pPr>
      <w:r w:rsidRPr="006D0DA9">
        <w:rPr>
          <w:rFonts w:eastAsiaTheme="majorEastAsia"/>
          <w:b/>
          <w:bCs/>
        </w:rPr>
        <w:t>Strategjia Kombëtare e Zhvillimit të Sipërmarrjes Inovative 2025-2030</w:t>
      </w:r>
      <w:r w:rsidRPr="006D0DA9">
        <w:rPr>
          <w:rFonts w:eastAsiaTheme="majorEastAsia"/>
        </w:rPr>
        <w:t>: Sipas këtij dokumenti, të hartuar në bashkëpunim me Bankën Evropiane për Rindërtim dhe Zhvillim dhe të miratuar nga Këshilli i Ministrave, ndërhyrja rregullatore përkon me qëllimin për të stimuluar rritjen e ekosistemit të startup-eve dhe për të zhvilluar sektorët me prioritet ekonomik si turizmi, energjia, bujqësia dhe ICT/BPO. Kjo strategji synon të rrisë produktivitetin dhe konkurrueshmërinë e këtyre sektorëve duke mbështetur sipërmarrjen inovative, dhe harmonizimi i ligjit të shoqërive tregtare me BE-në—përfshirë modernizimin digjital dhe operacionet ndërkufitare—fuqizon bizneset shqiptare për të çelur tregje të reja dhe për të konkurruar në nivel ndërkombëtar, duke përshpejtuar rrugëtimin drejt BE-së 2030.</w:t>
      </w:r>
    </w:p>
    <w:p w:rsidRPr="006D0DA9" w:rsidR="005F301A" w:rsidP="0000379A" w:rsidRDefault="00E63F98" w14:paraId="5C59BC29" w14:textId="2620C8D9">
      <w:pPr>
        <w:numPr>
          <w:ilvl w:val="0"/>
          <w:numId w:val="18"/>
        </w:numPr>
        <w:spacing w:after="160" w:line="259" w:lineRule="auto"/>
        <w:jc w:val="both"/>
        <w:rPr>
          <w:rFonts w:eastAsiaTheme="majorEastAsia"/>
        </w:rPr>
      </w:pPr>
      <w:r w:rsidRPr="006D0DA9">
        <w:rPr>
          <w:rFonts w:eastAsiaTheme="majorEastAsia"/>
          <w:b/>
          <w:bCs/>
        </w:rPr>
        <w:t>Strategjia për Zhvillimin e Biznesit dhe Investimeve (BIDS)</w:t>
      </w:r>
      <w:r w:rsidRPr="006D0DA9">
        <w:rPr>
          <w:rFonts w:eastAsiaTheme="majorEastAsia"/>
        </w:rPr>
        <w:t xml:space="preserve">: </w:t>
      </w:r>
      <w:r w:rsidRPr="006D0DA9" w:rsidR="005F301A">
        <w:rPr>
          <w:rFonts w:eastAsiaTheme="majorEastAsia"/>
        </w:rPr>
        <w:t>Në linjë me objektivat e saj për të përmirësuar klimën e biznesit, kjo ndërhyrje nxit zhvillimin e sektorit privat përmes forcimit të qeverisjes korporative dhe mbrojtjes së të drejtave të aksionarëve, duke e bërë Shqipërinë më tërheqëse për investime të huaja të drejtpërdrejta dhe duke mbështetur rritjen ekonomike.</w:t>
      </w:r>
    </w:p>
    <w:p w:rsidRPr="008723CC" w:rsidR="0077456A" w:rsidP="008723CC" w:rsidRDefault="005F301A" w14:paraId="651BBA95" w14:textId="6BC8ECEB">
      <w:pPr>
        <w:spacing w:after="160" w:line="259" w:lineRule="auto"/>
        <w:jc w:val="both"/>
        <w:rPr>
          <w:rFonts w:eastAsiaTheme="majorEastAsia"/>
        </w:rPr>
      </w:pPr>
      <w:r w:rsidRPr="006D0DA9">
        <w:rPr>
          <w:rFonts w:eastAsiaTheme="majorEastAsia"/>
        </w:rPr>
        <w:t xml:space="preserve">Duke harmonizuar legjislacionin </w:t>
      </w:r>
      <w:r w:rsidR="001851C2">
        <w:rPr>
          <w:rFonts w:eastAsiaTheme="majorEastAsia"/>
        </w:rPr>
        <w:t xml:space="preserve">shqiptar </w:t>
      </w:r>
      <w:r w:rsidRPr="006D0DA9">
        <w:rPr>
          <w:rFonts w:eastAsiaTheme="majorEastAsia"/>
        </w:rPr>
        <w:t>me standardet e BE-së, kjo ndërhyrje jo vetëm që përmbush kërkesat për integrim evropian, por edhe krijon mundësi të reja për investime dhe inovacion, veçanërisht për startup-et dhe sektorët strategjikë të identifikuar në Strategjinë e Sipërmarrjes Inovative. Ajo rrit konkurrueshmërinë e ekonomisë shqiptare duke lehtësuar qasjen në tregjet ndërkombëtare dhe duke forcuar stabilitetin ekonomik, në përputhje të plotë me prioritetet e qeverisë për zhvillim dhe integrim afatgjatë.</w:t>
      </w:r>
    </w:p>
    <w:p w:rsidRPr="00F232CD" w:rsidR="0077456A" w:rsidP="0077456A" w:rsidRDefault="0077456A" w14:paraId="54BDB0BA" w14:textId="77777777">
      <w:pPr>
        <w:spacing w:after="160" w:line="259" w:lineRule="auto"/>
        <w:rPr>
          <w:rFonts w:eastAsiaTheme="majorEastAsia"/>
          <w:u w:val="single"/>
        </w:rPr>
      </w:pPr>
      <w:r w:rsidRPr="00F232CD">
        <w:rPr>
          <w:rFonts w:eastAsiaTheme="majorEastAsia"/>
          <w:u w:val="single"/>
        </w:rPr>
        <w:t>Punën ekzistuese që është realizuar tashmë</w:t>
      </w:r>
    </w:p>
    <w:p w:rsidRPr="00E75562" w:rsidR="00194002" w:rsidP="00A5588D" w:rsidRDefault="009C2E11" w14:paraId="0ECC5A0D" w14:textId="3A22EA49">
      <w:pPr>
        <w:spacing w:after="160" w:line="259" w:lineRule="auto"/>
        <w:jc w:val="both"/>
        <w:rPr>
          <w:szCs w:val="24"/>
        </w:rPr>
      </w:pPr>
      <w:bookmarkStart w:name="_Hlk185437108" w:id="16"/>
      <w:r w:rsidRPr="00E75562">
        <w:rPr>
          <w:szCs w:val="24"/>
        </w:rPr>
        <w:t xml:space="preserve">Në kuadër të përpjekjeve për harmonizimin me acquis-in e BE-së për Kapitullin 6, </w:t>
      </w:r>
      <w:r w:rsidR="00F94202">
        <w:rPr>
          <w:szCs w:val="24"/>
        </w:rPr>
        <w:t xml:space="preserve">ME, </w:t>
      </w:r>
      <w:r w:rsidRPr="00E75562">
        <w:rPr>
          <w:szCs w:val="24"/>
        </w:rPr>
        <w:t xml:space="preserve"> në bashkëpunim me Grupin Negociator të Integrimit Evropian, ka ndërmarrë punë të rëndësishme për të avancuar procesin e harmonizimit të legjislacionit të shoqërive tregtare, duke u mbështetur në analizat e detajuara si Vlerësimi i Boshllëqeve Legjislative (LGA), Vlerësimi i Boshllëqeve Institucionale dhe Administrative (IAGA), dhe Vlerësimi i Ndikimit të Politikave (PIA) për Qeverisjen Korporative të Shoqërive të Listuara.</w:t>
      </w:r>
    </w:p>
    <w:p w:rsidRPr="00E75562" w:rsidR="00A5588D" w:rsidP="00A5588D" w:rsidRDefault="00A5588D" w14:paraId="511BD36B" w14:textId="4B22BD7E">
      <w:pPr>
        <w:spacing w:after="160" w:line="259" w:lineRule="auto"/>
        <w:jc w:val="both"/>
        <w:rPr>
          <w:b/>
          <w:bCs/>
          <w:szCs w:val="24"/>
        </w:rPr>
      </w:pPr>
      <w:r w:rsidRPr="00E75562">
        <w:rPr>
          <w:b/>
          <w:bCs/>
          <w:szCs w:val="24"/>
        </w:rPr>
        <w:t xml:space="preserve">LGA: </w:t>
      </w:r>
      <w:r w:rsidRPr="00E75562">
        <w:rPr>
          <w:szCs w:val="24"/>
        </w:rPr>
        <w:t>LGA-ja, identifikon boshllëqe mes legjislacionit shqiptar dhe Direktivës 2017/1132, duke treguar përafrim të mirë por mangësi në çështjet e përmendura përgjatë kësaj RIA, si dhe nevojën për harmonizim të plotë, duke propozuar ndërhyrje legjislative për përmbushjen e standardeve të BE-së.</w:t>
      </w:r>
    </w:p>
    <w:p w:rsidRPr="00E75562" w:rsidR="00A5588D" w:rsidP="00A5588D" w:rsidRDefault="00A5588D" w14:paraId="5B3F3FA8" w14:textId="181F32CB">
      <w:pPr>
        <w:spacing w:after="160" w:line="259" w:lineRule="auto"/>
        <w:jc w:val="both"/>
        <w:rPr>
          <w:szCs w:val="24"/>
        </w:rPr>
      </w:pPr>
      <w:r w:rsidRPr="00E75562">
        <w:rPr>
          <w:b/>
          <w:bCs/>
          <w:szCs w:val="24"/>
        </w:rPr>
        <w:t xml:space="preserve">IAGA: </w:t>
      </w:r>
      <w:r w:rsidRPr="00E75562">
        <w:rPr>
          <w:szCs w:val="24"/>
        </w:rPr>
        <w:t>IAGA-ja thekson nevojën për forcimin e kapaciteteve institucionale dhe administrative për interpretimin, transpozimin, zbatimin dhe monitorimin e ligjit të BE-së për shoqëritë, duke përfshirë krijimin e kushteve për formimin online të shoqërive, përmirësimin e funksionalitetit të regjistrit kombëtar, dhe trajnimet për institucionet, si dhe pavarësinë financiare të organeve të mbikëqyrjes së auditimit, duke ofruar një udhërrëfyes për zbatimin efektiv të acquis-it.</w:t>
      </w:r>
    </w:p>
    <w:p w:rsidRPr="00E75562" w:rsidR="00BF4CAF" w:rsidP="009B239D" w:rsidRDefault="009B239D" w14:paraId="4764E2AE" w14:textId="43E8F981">
      <w:pPr>
        <w:spacing w:after="160" w:line="259" w:lineRule="auto"/>
        <w:jc w:val="both"/>
        <w:rPr>
          <w:szCs w:val="24"/>
        </w:rPr>
      </w:pPr>
      <w:r w:rsidRPr="00E75562">
        <w:rPr>
          <w:b/>
          <w:bCs/>
          <w:szCs w:val="24"/>
        </w:rPr>
        <w:t>Vlerësimi i Ndikimit të Politikave (PIA):</w:t>
      </w:r>
      <w:r w:rsidRPr="00E75562">
        <w:rPr>
          <w:szCs w:val="24"/>
        </w:rPr>
        <w:t xml:space="preserve"> i hartuar nga </w:t>
      </w:r>
      <w:r w:rsidR="00A32E1F">
        <w:rPr>
          <w:szCs w:val="24"/>
        </w:rPr>
        <w:t>MEI</w:t>
      </w:r>
      <w:r w:rsidRPr="00E75562">
        <w:rPr>
          <w:szCs w:val="24"/>
        </w:rPr>
        <w:t xml:space="preserve"> dhe GNIE, ofron një analizë ndërsektoriale të çështjeve të Kapitullit 6, duke u fokusuar në harmonizimin e qeverisjes korporative për </w:t>
      </w:r>
      <w:r w:rsidR="00AE6BED">
        <w:rPr>
          <w:szCs w:val="24"/>
        </w:rPr>
        <w:t>shoqëri</w:t>
      </w:r>
      <w:r w:rsidRPr="00E75562">
        <w:rPr>
          <w:szCs w:val="24"/>
        </w:rPr>
        <w:t xml:space="preserve">të e listuara me acquis-in e BE-së, si Direktiva 2007/36/EC (SRD I), Direktiva 2017/828 (SRD II), dhe Direktiva 2022/2381 për balancën gjinore në bordet e shoqërive të lisutara. PIA identifikon boshllëqe në legjislacionin shqiptar, si mungesa e rregullave për ndërmjetësit financiarë dhe politikat e angazhimit të aksionarëve, dhe propozon opsione si amendimi i Ligjit për Tregjet e Kapitalit dhe miratimi i një Kodi të Qeverisjes Korporative për </w:t>
      </w:r>
      <w:r w:rsidR="00AE6BED">
        <w:rPr>
          <w:szCs w:val="24"/>
        </w:rPr>
        <w:t>shoqëri</w:t>
      </w:r>
      <w:r w:rsidRPr="00E75562">
        <w:rPr>
          <w:szCs w:val="24"/>
        </w:rPr>
        <w:t xml:space="preserve">të e listuara deri në 2028, duke përfshirë institucionet si Autoriteti i Mbikëqyrjes Financiare (AMF) </w:t>
      </w:r>
      <w:r w:rsidRPr="00E75562" w:rsidR="00357288">
        <w:rPr>
          <w:szCs w:val="24"/>
        </w:rPr>
        <w:t xml:space="preserve"> </w:t>
      </w:r>
      <w:r w:rsidRPr="00E75562">
        <w:rPr>
          <w:szCs w:val="24"/>
        </w:rPr>
        <w:t xml:space="preserve">Ky dokument plotëson LGA-në dhe IAGA-në duke ofruar një analizë specifike për </w:t>
      </w:r>
      <w:r w:rsidR="00AE6BED">
        <w:rPr>
          <w:szCs w:val="24"/>
        </w:rPr>
        <w:t>shoqëri</w:t>
      </w:r>
      <w:r w:rsidRPr="00E75562">
        <w:rPr>
          <w:szCs w:val="24"/>
        </w:rPr>
        <w:t>të e listuara, duke evidentuar nevojën për koordinim mes MEI dhe AMF-së për të adresuar mangësitë e identifikuara</w:t>
      </w:r>
      <w:r w:rsidRPr="00E75562" w:rsidR="00357288">
        <w:rPr>
          <w:szCs w:val="24"/>
        </w:rPr>
        <w:t xml:space="preserve">. </w:t>
      </w:r>
      <w:r w:rsidRPr="00E75562">
        <w:rPr>
          <w:szCs w:val="24"/>
        </w:rPr>
        <w:t>PIA gjithashtu vlerëson ndikimet ekonomike dhe administrative, duke theksuar përfitimet për konkurrueshmërinë dhe investimet e huaja, dhe propozon një udhërrëfyes me afate për harmonizim deri në 2025-2028</w:t>
      </w:r>
      <w:r w:rsidRPr="00E75562" w:rsidR="00357288">
        <w:rPr>
          <w:szCs w:val="24"/>
        </w:rPr>
        <w:t>.</w:t>
      </w:r>
    </w:p>
    <w:p w:rsidRPr="00325A1F" w:rsidR="002125B7" w:rsidP="009D13F4" w:rsidRDefault="00FF616D" w14:paraId="5348F215" w14:textId="77777777">
      <w:pPr>
        <w:pStyle w:val="Heading1"/>
        <w:spacing w:line="276" w:lineRule="auto"/>
        <w:rPr>
          <w:rFonts w:ascii="Times New Roman" w:hAnsi="Times New Roman" w:cs="Times New Roman"/>
          <w:sz w:val="24"/>
          <w:szCs w:val="24"/>
        </w:rPr>
      </w:pPr>
      <w:bookmarkStart w:name="_Hlk191987072" w:id="17"/>
      <w:bookmarkEnd w:id="16"/>
      <w:r w:rsidRPr="00325A1F">
        <w:rPr>
          <w:rFonts w:ascii="Times New Roman" w:hAnsi="Times New Roman" w:cs="Times New Roman"/>
          <w:sz w:val="24"/>
          <w:szCs w:val="24"/>
        </w:rPr>
        <w:t>Objektivi i pol</w:t>
      </w:r>
      <w:r w:rsidRPr="00325A1F" w:rsidR="009E64A4">
        <w:rPr>
          <w:rFonts w:ascii="Times New Roman" w:hAnsi="Times New Roman" w:cs="Times New Roman"/>
          <w:sz w:val="24"/>
          <w:szCs w:val="24"/>
        </w:rPr>
        <w:t>i</w:t>
      </w:r>
      <w:r w:rsidRPr="00325A1F" w:rsidR="002125B7">
        <w:rPr>
          <w:rFonts w:ascii="Times New Roman" w:hAnsi="Times New Roman" w:cs="Times New Roman"/>
          <w:sz w:val="24"/>
          <w:szCs w:val="24"/>
        </w:rPr>
        <w:t>tikës</w:t>
      </w:r>
      <w:bookmarkEnd w:id="15"/>
    </w:p>
    <w:sdt>
      <w:sdtPr>
        <w:rPr>
          <w:rFonts w:ascii="Times New Roman" w:hAnsi="Times New Roman"/>
          <w:sz w:val="24"/>
          <w:szCs w:val="24"/>
        </w:rPr>
        <w:id w:val="-531503755"/>
        <w:lock w:val="contentLocked"/>
        <w:placeholder>
          <w:docPart w:val="DefaultPlaceholder_1081868574"/>
        </w:placeholder>
      </w:sdtPr>
      <w:sdtContent>
        <w:p w:rsidRPr="0032145B" w:rsidR="009E64A4" w:rsidP="0000379A" w:rsidRDefault="009E64A4" w14:paraId="307BFF0C" w14:textId="77777777">
          <w:pPr>
            <w:pStyle w:val="ListParagraph"/>
            <w:numPr>
              <w:ilvl w:val="0"/>
              <w:numId w:val="6"/>
            </w:numPr>
            <w:spacing w:after="0" w:line="276" w:lineRule="auto"/>
            <w:rPr>
              <w:rFonts w:ascii="Times New Roman" w:hAnsi="Times New Roman"/>
              <w:i/>
              <w:sz w:val="24"/>
              <w:szCs w:val="24"/>
            </w:rPr>
          </w:pPr>
          <w:r w:rsidRPr="0032145B">
            <w:rPr>
              <w:rFonts w:ascii="Times New Roman" w:hAnsi="Times New Roman"/>
              <w:i/>
              <w:sz w:val="24"/>
              <w:szCs w:val="24"/>
            </w:rPr>
            <w:t>Vendosni objektiva që korrespondojnë me problemin dhe shkaqet e tij.</w:t>
          </w:r>
        </w:p>
        <w:p w:rsidRPr="0032145B" w:rsidR="009E64A4" w:rsidP="0000379A" w:rsidRDefault="009E64A4" w14:paraId="1FF44D06" w14:textId="77777777">
          <w:pPr>
            <w:pStyle w:val="ListParagraph"/>
            <w:numPr>
              <w:ilvl w:val="0"/>
              <w:numId w:val="6"/>
            </w:numPr>
            <w:spacing w:after="0" w:line="276" w:lineRule="auto"/>
            <w:rPr>
              <w:rFonts w:ascii="Times New Roman" w:hAnsi="Times New Roman"/>
              <w:i/>
              <w:sz w:val="24"/>
              <w:szCs w:val="24"/>
            </w:rPr>
          </w:pPr>
          <w:r w:rsidRPr="0032145B">
            <w:rPr>
              <w:rFonts w:ascii="Times New Roman" w:hAnsi="Times New Roman"/>
              <w:i/>
              <w:sz w:val="24"/>
              <w:szCs w:val="24"/>
            </w:rPr>
            <w:t xml:space="preserve">Sigurohuni që objektivat e vendosur të korrespondojnë me ato të dhëna në përmbledhjen ekzekutive, por më të detajuara. </w:t>
          </w:r>
        </w:p>
        <w:p w:rsidRPr="00325A1F" w:rsidR="009E64A4" w:rsidP="0000379A" w:rsidRDefault="009E64A4" w14:paraId="7A3B949A" w14:textId="77777777">
          <w:pPr>
            <w:pStyle w:val="ListParagraph"/>
            <w:numPr>
              <w:ilvl w:val="0"/>
              <w:numId w:val="6"/>
            </w:numPr>
            <w:spacing w:after="0" w:line="276" w:lineRule="auto"/>
            <w:rPr>
              <w:rFonts w:ascii="Times New Roman" w:hAnsi="Times New Roman"/>
              <w:sz w:val="24"/>
              <w:szCs w:val="24"/>
            </w:rPr>
          </w:pPr>
          <w:r w:rsidRPr="0032145B">
            <w:rPr>
              <w:rFonts w:ascii="Times New Roman" w:hAnsi="Times New Roman"/>
              <w:i/>
              <w:sz w:val="24"/>
              <w:szCs w:val="24"/>
            </w:rPr>
            <w:t>Sigurohuni që objektivat janë specifikë, të matshëm, të arritshëm, realë dhe në kohë.</w:t>
          </w:r>
        </w:p>
      </w:sdtContent>
      <w:sdtEndPr>
        <w:rPr>
          <w:rFonts w:ascii="Times New Roman" w:hAnsi="Times New Roman"/>
          <w:sz w:val="24"/>
          <w:szCs w:val="24"/>
        </w:rPr>
      </w:sdtEndPr>
    </w:sdt>
    <w:bookmarkEnd w:id="17"/>
    <w:p w:rsidR="00DE7CA9" w:rsidP="00DE7CA9" w:rsidRDefault="00DE7CA9" w14:paraId="5AC0C557" w14:textId="77777777">
      <w:pPr>
        <w:spacing w:after="160" w:line="259" w:lineRule="auto"/>
        <w:rPr>
          <w:b/>
          <w:bCs/>
        </w:rPr>
      </w:pPr>
    </w:p>
    <w:p w:rsidRPr="00EC124D" w:rsidR="00EC124D" w:rsidP="00EC124D" w:rsidRDefault="00EC124D" w14:paraId="184CB161" w14:textId="2E1A59AB">
      <w:pPr>
        <w:spacing w:after="160" w:line="259" w:lineRule="auto"/>
        <w:jc w:val="both"/>
      </w:pPr>
      <w:r w:rsidRPr="00EC124D">
        <w:t>Objektivi themelor i kësaj ndërhyrjeje është krijimi i një kuadri të ri ligjor të posaçëm i cili siguron transpozimin e plotë, të qartë dhe të zbatueshëm të dispozitave të Direktivës (BE) 2019/2121 në lidhje me shndërrimet, bashkimet dhe ndarjet ndërkufitare të shoqërive tregtare. Qëllimi është të përmbushet angazhimi i Shqipërisë për harmonizim të plotë me acquis-in e BE-së në fushën e të drejtës së shoqërive, në kuadër të mbylljes së negociatave për Kapitullin 6 brenda vitit 2027 dhe integrimit në tregun e përbashkët evropian deri në vitin 2030, siç parashikohet në dokumentet kombëtare strategjike dhe pozicionet negociuese zyrtare.</w:t>
      </w:r>
    </w:p>
    <w:p w:rsidRPr="00EC124D" w:rsidR="00EC124D" w:rsidP="00EC124D" w:rsidRDefault="00EC124D" w14:paraId="42C76CE9" w14:textId="77777777">
      <w:pPr>
        <w:spacing w:after="160" w:line="259" w:lineRule="auto"/>
        <w:jc w:val="both"/>
      </w:pPr>
      <w:r w:rsidRPr="00EC124D">
        <w:t>Ky objektiv mbështet transformimin e kuadrit normativ shqiptar nga një sistem i pjesshëm dhe i fragmentuar në një arkitekturë të integruar, të përputhshme dhe funksionale, që i mundëson shoqërive shqiptare të kryejnë operacione ndërkufitare me të njëjtat garanci dhe standarde ligjore si shoqëritë në shtetet anëtare të BE-së. Në mënyrë të veçantë, ky objektiv përfshin:</w:t>
      </w:r>
    </w:p>
    <w:p w:rsidRPr="00F14EE4" w:rsidR="00EC124D" w:rsidP="00EC124D" w:rsidRDefault="00EC124D" w14:paraId="77A9EDC0" w14:textId="77777777">
      <w:pPr>
        <w:spacing w:after="160" w:line="259" w:lineRule="auto"/>
        <w:jc w:val="both"/>
        <w:rPr>
          <w:szCs w:val="24"/>
        </w:rPr>
      </w:pPr>
    </w:p>
    <w:p w:rsidRPr="00F73E80" w:rsidR="00EC124D" w:rsidP="0000379A" w:rsidRDefault="00EC124D" w14:paraId="646B1191" w14:textId="6F3F5DB4">
      <w:pPr>
        <w:pStyle w:val="ListParagraph"/>
        <w:numPr>
          <w:ilvl w:val="0"/>
          <w:numId w:val="17"/>
        </w:numPr>
        <w:spacing w:after="160" w:line="259" w:lineRule="auto"/>
        <w:jc w:val="both"/>
        <w:rPr>
          <w:szCs w:val="24"/>
        </w:rPr>
      </w:pPr>
      <w:r w:rsidRPr="00E75562">
        <w:rPr>
          <w:rFonts w:ascii="Times New Roman" w:hAnsi="Times New Roman"/>
          <w:sz w:val="24"/>
          <w:szCs w:val="24"/>
        </w:rPr>
        <w:t xml:space="preserve">Krijimi </w:t>
      </w:r>
      <w:r w:rsidR="008D6A2B">
        <w:rPr>
          <w:rFonts w:ascii="Times New Roman" w:hAnsi="Times New Roman"/>
          <w:sz w:val="24"/>
          <w:szCs w:val="24"/>
        </w:rPr>
        <w:t>i</w:t>
      </w:r>
      <w:r w:rsidRPr="00E75562">
        <w:rPr>
          <w:rFonts w:ascii="Times New Roman" w:hAnsi="Times New Roman"/>
          <w:sz w:val="24"/>
          <w:szCs w:val="24"/>
        </w:rPr>
        <w:t xml:space="preserve"> një baze procedurale për shndërrimet, bashkimet dhe ndarjet ndërkufitare, përfshirë rregulla të detajuara për planifikimin, transparencën, mbrojtjen e palëve të treta dhe përfundimin e procedurës me efekt juridik të drejtpërdrejtë në regjistrin kombëtar</w:t>
      </w:r>
      <w:r w:rsidR="008D6A2B">
        <w:rPr>
          <w:rFonts w:ascii="Times New Roman" w:hAnsi="Times New Roman"/>
          <w:sz w:val="24"/>
          <w:szCs w:val="24"/>
        </w:rPr>
        <w:t>, brenda vitit 2026</w:t>
      </w:r>
      <w:r w:rsidRPr="00E75562">
        <w:rPr>
          <w:rFonts w:ascii="Times New Roman" w:hAnsi="Times New Roman"/>
          <w:sz w:val="24"/>
          <w:szCs w:val="24"/>
        </w:rPr>
        <w:t>;</w:t>
      </w:r>
    </w:p>
    <w:p w:rsidRPr="00F73E80" w:rsidR="00EC124D" w:rsidP="0000379A" w:rsidRDefault="00EC124D" w14:paraId="2CBE45AF" w14:textId="6B9AAC71">
      <w:pPr>
        <w:pStyle w:val="ListParagraph"/>
        <w:numPr>
          <w:ilvl w:val="0"/>
          <w:numId w:val="17"/>
        </w:numPr>
        <w:spacing w:after="160" w:line="259" w:lineRule="auto"/>
        <w:jc w:val="both"/>
        <w:rPr>
          <w:szCs w:val="24"/>
        </w:rPr>
      </w:pPr>
      <w:r w:rsidRPr="00E75562">
        <w:rPr>
          <w:rFonts w:ascii="Times New Roman" w:hAnsi="Times New Roman"/>
          <w:sz w:val="24"/>
          <w:szCs w:val="24"/>
        </w:rPr>
        <w:t xml:space="preserve">Garantimi </w:t>
      </w:r>
      <w:r w:rsidR="008D6A2B">
        <w:rPr>
          <w:rFonts w:ascii="Times New Roman" w:hAnsi="Times New Roman"/>
          <w:sz w:val="24"/>
          <w:szCs w:val="24"/>
        </w:rPr>
        <w:t>i</w:t>
      </w:r>
      <w:r w:rsidRPr="00E75562">
        <w:rPr>
          <w:rFonts w:ascii="Times New Roman" w:hAnsi="Times New Roman"/>
          <w:sz w:val="24"/>
          <w:szCs w:val="24"/>
        </w:rPr>
        <w:t xml:space="preserve"> të drejtave të kreditorëve, punëmarrësve dhe aksionarëve të pakicës, duke siguruar që çdo transformim të mos shkelë parimet e barazisë, përfaqësimit dhe aksesit në drejtësi;</w:t>
      </w:r>
    </w:p>
    <w:p w:rsidRPr="00E75562" w:rsidR="00F14EE4" w:rsidP="0000379A" w:rsidRDefault="00EC124D" w14:paraId="6DDFEA67" w14:textId="672576A3">
      <w:pPr>
        <w:pStyle w:val="ListParagraph"/>
        <w:numPr>
          <w:ilvl w:val="0"/>
          <w:numId w:val="17"/>
        </w:numPr>
        <w:spacing w:after="160" w:line="259" w:lineRule="auto"/>
        <w:jc w:val="both"/>
        <w:rPr>
          <w:rFonts w:ascii="Times New Roman" w:hAnsi="Times New Roman"/>
          <w:sz w:val="24"/>
          <w:szCs w:val="24"/>
        </w:rPr>
      </w:pPr>
      <w:r w:rsidRPr="00E75562">
        <w:rPr>
          <w:rFonts w:ascii="Times New Roman" w:hAnsi="Times New Roman"/>
          <w:sz w:val="24"/>
          <w:szCs w:val="24"/>
        </w:rPr>
        <w:t xml:space="preserve">Zbatimi </w:t>
      </w:r>
      <w:r w:rsidR="008D6A2B">
        <w:rPr>
          <w:rFonts w:ascii="Times New Roman" w:hAnsi="Times New Roman"/>
          <w:sz w:val="24"/>
          <w:szCs w:val="24"/>
        </w:rPr>
        <w:t>i</w:t>
      </w:r>
      <w:r w:rsidRPr="00E75562">
        <w:rPr>
          <w:rFonts w:ascii="Times New Roman" w:hAnsi="Times New Roman"/>
          <w:sz w:val="24"/>
          <w:szCs w:val="24"/>
        </w:rPr>
        <w:t xml:space="preserve"> rolit të autoritetit të kontrollit të ligjshmërisë (p.sh. noterit ose një organi tjetër të caktuar), si parakusht për lëshimin e certifikatës së miratimit për transformimet ndërkufitare</w:t>
      </w:r>
      <w:r w:rsidR="008D6A2B">
        <w:rPr>
          <w:rFonts w:ascii="Times New Roman" w:hAnsi="Times New Roman"/>
          <w:sz w:val="24"/>
          <w:szCs w:val="24"/>
        </w:rPr>
        <w:t>, brenda vitit 2026</w:t>
      </w:r>
      <w:r w:rsidRPr="00E75562">
        <w:rPr>
          <w:rFonts w:ascii="Times New Roman" w:hAnsi="Times New Roman"/>
          <w:sz w:val="24"/>
          <w:szCs w:val="24"/>
        </w:rPr>
        <w:t>;</w:t>
      </w:r>
    </w:p>
    <w:p w:rsidR="00E75562" w:rsidP="003A4286" w:rsidRDefault="00EC124D" w14:paraId="0B28E8ED" w14:textId="77777777">
      <w:pPr>
        <w:spacing w:after="160" w:line="259" w:lineRule="auto"/>
        <w:jc w:val="both"/>
      </w:pPr>
      <w:r w:rsidRPr="00F73E80">
        <w:rPr>
          <w:szCs w:val="24"/>
        </w:rPr>
        <w:t>Përmirësimin e ndërveprueshmërisë ndërmjet regjistrave tregtarë, përmes krijimit të kushteve për zbatimin e standardeve teknike të BRIS (në përputhje me Rregulloren e Zbatimit të Komisionit (BE) 2021/1042), me qëllim që të mundësohet verifikimi, shkëmbimi dhe regjistrimi ndërkufitar në mënyrë të sigurt dhe të sinkronizuar</w:t>
      </w:r>
      <w:r w:rsidRPr="00F14EE4">
        <w:t>.</w:t>
      </w:r>
    </w:p>
    <w:p w:rsidR="003A4286" w:rsidP="003A4286" w:rsidRDefault="003A4286" w14:paraId="4D46205C" w14:textId="6B788F93">
      <w:pPr>
        <w:spacing w:after="160" w:line="259" w:lineRule="auto"/>
        <w:jc w:val="both"/>
        <w:rPr>
          <w:u w:val="single"/>
        </w:rPr>
      </w:pPr>
      <w:r w:rsidRPr="003A4286">
        <w:rPr>
          <w:u w:val="single"/>
        </w:rPr>
        <w:t>Sigurimi që objektivat janë specifikë, të matshëm, të arritshëm, realë dhe në kohë</w:t>
      </w:r>
    </w:p>
    <w:p w:rsidRPr="00E75562" w:rsidR="00755AAD" w:rsidP="00755AAD" w:rsidRDefault="00755AAD" w14:paraId="435259B4" w14:textId="179B4536">
      <w:pPr>
        <w:spacing w:after="160" w:line="259" w:lineRule="auto"/>
        <w:jc w:val="both"/>
      </w:pPr>
      <w:r w:rsidRPr="00E75562">
        <w:t xml:space="preserve">Në zbatim të qëllimit të përgjithshëm të ndërhyrjes, </w:t>
      </w:r>
      <w:r w:rsidRPr="00E75562" w:rsidR="00E75562">
        <w:t>politikë bërja</w:t>
      </w:r>
      <w:r w:rsidRPr="00E75562">
        <w:t xml:space="preserve"> synon arritjen e objektivave të mëposhtëm deri në fund të vitit 2027:</w:t>
      </w:r>
    </w:p>
    <w:p w:rsidRPr="00E75562" w:rsidR="00755AAD" w:rsidRDefault="00755AAD" w14:paraId="49481B0B" w14:textId="028248CE">
      <w:pPr>
        <w:numPr>
          <w:ilvl w:val="0"/>
          <w:numId w:val="26"/>
        </w:numPr>
        <w:spacing w:after="160" w:line="259" w:lineRule="auto"/>
        <w:jc w:val="both"/>
      </w:pPr>
      <w:r w:rsidRPr="00E75562">
        <w:t xml:space="preserve">Transpozimi integral dhe i drejtpërdrejtë i Direktivës (BE) </w:t>
      </w:r>
      <w:r w:rsidRPr="006A1F7A" w:rsidR="006A1F7A">
        <w:t>2019/212</w:t>
      </w:r>
      <w:r w:rsidRPr="00E75562">
        <w:t>, përmes një ligji të ri të posaçëm, i cili zëvendëson Ligjin nr. 110/2012 dhe unifikon procedurat e shndërrimeve, bashkimeve dhe ndarjeve ndërkufitare në një instrument të vetëm juridik</w:t>
      </w:r>
      <w:r w:rsidR="008D6A2B">
        <w:t>, brenda vitit 2026</w:t>
      </w:r>
      <w:r w:rsidRPr="00E75562">
        <w:t>.</w:t>
      </w:r>
    </w:p>
    <w:p w:rsidRPr="008D6A2B" w:rsidR="008D6A2B" w:rsidRDefault="008D6A2B" w14:paraId="7AD4E135" w14:textId="77777777">
      <w:pPr>
        <w:numPr>
          <w:ilvl w:val="0"/>
          <w:numId w:val="26"/>
        </w:numPr>
        <w:spacing w:after="160" w:line="259" w:lineRule="auto"/>
        <w:jc w:val="both"/>
      </w:pPr>
      <w:r w:rsidRPr="00A32E1F">
        <w:t>Aktivizimi i autoritetit të kontrollit të ligjshmërisë</w:t>
      </w:r>
      <w:r w:rsidRPr="008D6A2B">
        <w:t>, përmes përcaktimit dhe funksionalizimit të noterëve të specializuar (ose një autoriteti tjetër të përzgjedhur), si organ përgjegjës për verifikimin e ligjshmërisë së operacioneve ndërkufitare brenda vitit 2026.</w:t>
      </w:r>
    </w:p>
    <w:p w:rsidRPr="008D6A2B" w:rsidR="008D6A2B" w:rsidRDefault="008D6A2B" w14:paraId="0B4D7705" w14:textId="4F4B460E">
      <w:pPr>
        <w:numPr>
          <w:ilvl w:val="0"/>
          <w:numId w:val="26"/>
        </w:numPr>
        <w:spacing w:after="160" w:line="259" w:lineRule="auto"/>
        <w:jc w:val="both"/>
      </w:pPr>
      <w:r w:rsidRPr="00A32E1F">
        <w:t>Krijimi i regjistrit të autorizimeve dhe trajnimeve profesionale</w:t>
      </w:r>
      <w:r w:rsidRPr="008D6A2B">
        <w:t xml:space="preserve"> për autoritetin e kontrollit të ligjshmërisë deri në fund të vitit 2026, në bashkëpunim me Dhomën Kombëtare të Noterisë dhe Ministrinë e Drejtësisë.</w:t>
      </w:r>
    </w:p>
    <w:p w:rsidRPr="00E75562" w:rsidR="00755AAD" w:rsidRDefault="008D6A2B" w14:paraId="4B82DC07" w14:textId="6790595F">
      <w:pPr>
        <w:numPr>
          <w:ilvl w:val="0"/>
          <w:numId w:val="26"/>
        </w:numPr>
        <w:spacing w:after="160" w:line="259" w:lineRule="auto"/>
        <w:jc w:val="both"/>
        <w:rPr/>
      </w:pPr>
      <w:r w:rsidR="008D6A2B">
        <w:rPr/>
        <w:t>Sigurimi i një kuadri të plotë procedural dhe standardizues për operacionet ndërkufitare</w:t>
      </w:r>
      <w:r w:rsidR="008D6A2B">
        <w:rPr/>
        <w:t>,</w:t>
      </w:r>
      <w:r w:rsidR="008D6A2B">
        <w:rPr/>
        <w:t xml:space="preserve"> përfshirë modelet e planeve të transformimit, format standarde të raporteve të administratorëve, rregullat e njoftimit dhe afatet e kundërshtimit</w:t>
      </w:r>
      <w:r w:rsidR="008D6A2B">
        <w:rPr/>
        <w:t>,</w:t>
      </w:r>
      <w:r w:rsidR="008D6A2B">
        <w:rPr/>
        <w:t xml:space="preserve"> </w:t>
      </w:r>
      <w:r w:rsidR="008D6A2B">
        <w:rPr/>
        <w:t>brenda</w:t>
      </w:r>
      <w:r w:rsidR="008D6A2B">
        <w:rPr/>
        <w:t xml:space="preserve"> vitit 2026.</w:t>
      </w:r>
      <w:r w:rsidR="00755AAD">
        <w:rPr/>
        <w:t>N</w:t>
      </w:r>
    </w:p>
    <w:p w:rsidRPr="00E75562" w:rsidR="00755AAD" w:rsidRDefault="008D6A2B" w14:paraId="4C2DF924" w14:textId="039A9C80">
      <w:pPr>
        <w:numPr>
          <w:ilvl w:val="0"/>
          <w:numId w:val="26"/>
        </w:numPr>
        <w:spacing w:after="160" w:line="259" w:lineRule="auto"/>
        <w:jc w:val="both"/>
        <w:rPr/>
      </w:pPr>
      <w:r w:rsidR="00755AAD">
        <w:rPr/>
        <w:t xml:space="preserve">dërtimi i </w:t>
      </w:r>
      <w:r w:rsidR="00755AAD">
        <w:rPr/>
        <w:t>ndërveprueshmërisë</w:t>
      </w:r>
      <w:r w:rsidR="00755AAD">
        <w:rPr/>
        <w:t xml:space="preserve"> teknike me BRIS, përmes përafrimit të sistemit të Qendrës Kombëtare të Biznesit me standardet e Rregullores së Zbatimit (BE) 2021/1042, për të mundësuar komunikimin </w:t>
      </w:r>
      <w:r w:rsidR="00E75562">
        <w:rPr/>
        <w:t>midis regjistrave</w:t>
      </w:r>
      <w:r w:rsidR="00755AAD">
        <w:rPr/>
        <w:t xml:space="preserve"> dhe ndarjen e të dhënave për operacionet ndërkufitare brenda vitit 2027.</w:t>
      </w:r>
    </w:p>
    <w:p w:rsidRPr="00E75562" w:rsidR="00755AAD" w:rsidRDefault="00755AAD" w14:paraId="1ABBB2DF" w14:textId="77777777">
      <w:pPr>
        <w:numPr>
          <w:ilvl w:val="0"/>
          <w:numId w:val="26"/>
        </w:numPr>
        <w:spacing w:after="160" w:line="259" w:lineRule="auto"/>
        <w:jc w:val="both"/>
      </w:pPr>
      <w:r w:rsidRPr="00E75562">
        <w:t>Krijimi i moduleve të posaçme digjitale në QKB, që lejojnë gjurmueshmërinë e operacioneve ndërkufitare dhe depozitimin online të dokumentacionit shoqërues, në përputhje me kërkesat e direktivës dhe praktikat e shteteve anëtare.</w:t>
      </w:r>
    </w:p>
    <w:p w:rsidRPr="00E75562" w:rsidR="00755AAD" w:rsidRDefault="00755AAD" w14:paraId="2DC9D1DB" w14:textId="77777777">
      <w:pPr>
        <w:numPr>
          <w:ilvl w:val="0"/>
          <w:numId w:val="26"/>
        </w:numPr>
        <w:spacing w:after="160" w:line="259" w:lineRule="auto"/>
        <w:jc w:val="both"/>
      </w:pPr>
      <w:r w:rsidRPr="00E75562">
        <w:t>Rritja e transparencës dhe e aksesit publik në informacion, duke siguruar që të gjitha certifikatat e miratimit, dokumentet e transformimit dhe aktet e regjistrimit të jenë të publikuara në mënyrë të hapur dhe të aksesueshme në format elektronik, jo më vonë se fundi i vitit 2026.</w:t>
      </w:r>
    </w:p>
    <w:p w:rsidRPr="00AC168C" w:rsidR="00755AAD" w:rsidP="00755AAD" w:rsidRDefault="00755AAD" w14:paraId="328484EB" w14:textId="48B7D4E4">
      <w:pPr>
        <w:spacing w:after="160" w:line="259" w:lineRule="auto"/>
        <w:jc w:val="both"/>
      </w:pPr>
    </w:p>
    <w:p w:rsidRPr="00E75562" w:rsidR="00755AAD" w:rsidP="00755AAD" w:rsidRDefault="00755AAD" w14:paraId="20EBF45A" w14:textId="77777777">
      <w:pPr>
        <w:spacing w:after="160" w:line="259" w:lineRule="auto"/>
        <w:jc w:val="both"/>
        <w:rPr>
          <w:lang w:val="it-IT"/>
        </w:rPr>
      </w:pPr>
      <w:r w:rsidRPr="00E75562">
        <w:rPr>
          <w:lang w:val="it-IT"/>
        </w:rPr>
        <w:t>Objektiva të lidhura me rezultatet afatgjata</w:t>
      </w:r>
    </w:p>
    <w:p w:rsidRPr="00E75562" w:rsidR="00755AAD" w:rsidP="0000379A" w:rsidRDefault="00755AAD" w14:paraId="1709F764" w14:textId="77777777">
      <w:pPr>
        <w:numPr>
          <w:ilvl w:val="0"/>
          <w:numId w:val="21"/>
        </w:numPr>
        <w:spacing w:after="160" w:line="259" w:lineRule="auto"/>
        <w:jc w:val="both"/>
        <w:rPr>
          <w:lang w:val="it-IT"/>
        </w:rPr>
      </w:pPr>
      <w:r w:rsidRPr="00E75562">
        <w:rPr>
          <w:lang w:val="it-IT"/>
        </w:rPr>
        <w:t>Lehtësimi i integrimit të shoqërive shqiptare në tregun e brendshëm të BE-së, përmes rregullave që shmangin pasigurinë juridike dhe abuzimet procedurale (në përputhje me Recitalin 6 të Direktivës).</w:t>
      </w:r>
    </w:p>
    <w:p w:rsidRPr="00E75562" w:rsidR="00755AAD" w:rsidP="0000379A" w:rsidRDefault="00755AAD" w14:paraId="4C4B0808" w14:textId="77777777">
      <w:pPr>
        <w:numPr>
          <w:ilvl w:val="0"/>
          <w:numId w:val="21"/>
        </w:numPr>
        <w:spacing w:after="160" w:line="259" w:lineRule="auto"/>
        <w:jc w:val="both"/>
        <w:rPr>
          <w:lang w:val="it-IT"/>
        </w:rPr>
      </w:pPr>
      <w:r w:rsidRPr="00E75562">
        <w:rPr>
          <w:lang w:val="it-IT"/>
        </w:rPr>
        <w:t>Përmirësimi i mjedisit të biznesit dhe rritja e atraktivitetit për investimet e huaja, përmes garantimit të lëvizjes së lirë të kapitalit dhe strukturave të korporatave ndërkufitare.</w:t>
      </w:r>
    </w:p>
    <w:p w:rsidRPr="00E75562" w:rsidR="00755AAD" w:rsidP="003A4286" w:rsidRDefault="00755AAD" w14:paraId="2353F688" w14:textId="77777777">
      <w:pPr>
        <w:spacing w:after="160" w:line="259" w:lineRule="auto"/>
        <w:jc w:val="both"/>
        <w:rPr>
          <w:lang w:val="it-IT"/>
        </w:rPr>
      </w:pPr>
    </w:p>
    <w:p w:rsidRPr="00325A1F" w:rsidR="002125B7" w:rsidP="009D13F4" w:rsidRDefault="002125B7" w14:paraId="1EAC9D44" w14:textId="77777777">
      <w:pPr>
        <w:pStyle w:val="Heading1"/>
        <w:spacing w:line="276" w:lineRule="auto"/>
        <w:rPr>
          <w:rFonts w:ascii="Times New Roman" w:hAnsi="Times New Roman" w:cs="Times New Roman"/>
          <w:sz w:val="24"/>
          <w:szCs w:val="24"/>
        </w:rPr>
      </w:pPr>
      <w:bookmarkStart w:name="_Hlk191987099" w:id="18"/>
      <w:r w:rsidRPr="00325A1F">
        <w:rPr>
          <w:rFonts w:ascii="Times New Roman" w:hAnsi="Times New Roman" w:cs="Times New Roman"/>
          <w:sz w:val="24"/>
          <w:szCs w:val="24"/>
        </w:rPr>
        <w:t>Përshkrimi i opsioneve të shqyrtuara</w:t>
      </w:r>
    </w:p>
    <w:sdt>
      <w:sdtPr>
        <w:rPr>
          <w:rFonts w:ascii="Times New Roman" w:hAnsi="Times New Roman"/>
          <w:sz w:val="24"/>
          <w:szCs w:val="24"/>
        </w:rPr>
        <w:id w:val="483215"/>
        <w:lock w:val="contentLocked"/>
        <w:placeholder>
          <w:docPart w:val="DefaultPlaceholder_1081868574"/>
        </w:placeholder>
      </w:sdtPr>
      <w:sdtEndPr>
        <w:rPr>
          <w:rFonts w:ascii="Times New Roman" w:hAnsi="Times New Roman"/>
          <w:i w:val="1"/>
          <w:iCs w:val="1"/>
          <w:sz w:val="24"/>
          <w:szCs w:val="24"/>
        </w:rPr>
      </w:sdtEndPr>
      <w:sdtContent>
        <w:p w:rsidRPr="0032145B" w:rsidR="009E64A4" w:rsidP="0000379A" w:rsidRDefault="009E64A4" w14:paraId="5F19F6B1" w14:textId="77777777">
          <w:pPr>
            <w:pStyle w:val="ListParagraph"/>
            <w:numPr>
              <w:ilvl w:val="0"/>
              <w:numId w:val="7"/>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Përshkruani opsionin e status quo-së. </w:t>
          </w:r>
        </w:p>
        <w:p w:rsidRPr="0032145B" w:rsidR="009E64A4" w:rsidP="0000379A" w:rsidRDefault="009E64A4" w14:paraId="0219DEF6" w14:textId="77777777">
          <w:pPr>
            <w:pStyle w:val="ListParagraph"/>
            <w:numPr>
              <w:ilvl w:val="0"/>
              <w:numId w:val="7"/>
            </w:numPr>
            <w:spacing w:after="0" w:line="276" w:lineRule="auto"/>
            <w:jc w:val="both"/>
            <w:rPr>
              <w:rFonts w:ascii="Times New Roman" w:hAnsi="Times New Roman"/>
              <w:i/>
              <w:sz w:val="24"/>
              <w:szCs w:val="24"/>
            </w:rPr>
          </w:pPr>
          <w:r w:rsidRPr="0032145B">
            <w:rPr>
              <w:rFonts w:ascii="Times New Roman" w:hAnsi="Times New Roman"/>
              <w:i/>
              <w:sz w:val="24"/>
              <w:szCs w:val="24"/>
            </w:rPr>
            <w:t>Identifikoni dhe përshkruani të gjitha opsionet e politikave që keni marrë parasysh.</w:t>
          </w:r>
        </w:p>
        <w:p w:rsidRPr="0032145B" w:rsidR="009E64A4" w:rsidP="0000379A" w:rsidRDefault="009E64A4" w14:paraId="358B441B" w14:textId="77777777">
          <w:pPr>
            <w:pStyle w:val="ListParagraph"/>
            <w:numPr>
              <w:ilvl w:val="0"/>
              <w:numId w:val="7"/>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Shpjegoni se si janë identifikuar opsionet e politikës.  </w:t>
          </w:r>
        </w:p>
      </w:sdtContent>
    </w:sdt>
    <w:bookmarkEnd w:id="18"/>
    <w:p w:rsidR="0027240D" w:rsidP="003E47B8" w:rsidRDefault="0027240D" w14:paraId="04668004" w14:textId="77777777">
      <w:pPr>
        <w:jc w:val="both"/>
        <w:rPr>
          <w:b/>
          <w:bCs/>
          <w:lang w:val="it-IT"/>
        </w:rPr>
      </w:pPr>
    </w:p>
    <w:p w:rsidR="00D6521D" w:rsidP="003E47B8" w:rsidRDefault="00D6521D" w14:paraId="7B1525DB" w14:textId="6AF0E5F4">
      <w:pPr>
        <w:jc w:val="both"/>
        <w:rPr>
          <w:color w:val="000000" w:themeColor="text1"/>
          <w:szCs w:val="24"/>
          <w:lang w:bidi="en-US"/>
        </w:rPr>
      </w:pPr>
      <w:r w:rsidRPr="003E47B8">
        <w:rPr>
          <w:b/>
          <w:bCs/>
          <w:color w:val="000000" w:themeColor="text1"/>
          <w:szCs w:val="24"/>
        </w:rPr>
        <w:t xml:space="preserve">Opsioni 0  (status quo)- </w:t>
      </w:r>
      <w:r w:rsidRPr="00AC168C" w:rsidR="00D432F5">
        <w:rPr>
          <w:color w:val="000000" w:themeColor="text1"/>
          <w:szCs w:val="24"/>
        </w:rPr>
        <w:t>n</w:t>
      </w:r>
      <w:r w:rsidRPr="00D432F5" w:rsidR="00D432F5">
        <w:rPr>
          <w:bCs/>
          <w:color w:val="000000" w:themeColor="text1"/>
          <w:szCs w:val="24"/>
        </w:rPr>
        <w:t xml:space="preserve">ënkupton vijimin me kuadrin aktual ligjor, konkretisht me Ligjin nr. 110/2012, i cili rregullon vetëm pjesërisht bashkimet ndërkufitare sipas standardeve të mëparshme të Direktivës 2005/56/EC. Ky opsion nënkupton mosmiratimin e një ligji të ri dhe mbajtjen në fuqi të ligjit ekzistues, pa përfshirë dispozita për ndarjet dhe shndërrimet ndërkufitare dhe pa reflektuar mekanizmat mbrojtës për palët e treta, punonjësit dhe aksionarët kundërshtues siç kërkohet nga Direktivës 2019/2121. Ky opsion është i pamundur për t’u zbatuar, pasi Shqipëria, si shtet kandidat për në Bashkimin Evropian, është e detyruar të përafrojë plotësisht legjislacionin e saj kombëtar me acquis-in e BE-së, në përputhje me nenin 70 të Marrëveshjes së Stabilizim-Asociimit (MSA) dhe angazhimet e marra në kuadër të Kapitullit 6. Nëse status quo-ja ruhet, Shqipëria do të mbetet në mospërputhje me standardet minimale të Bashkimit Evropian, duke e pamundësuar mbylljen e negociatave për Kapitullin 6 dhe duke dëmtuar reputacionin e saj si vend reformues në fushën e të drejtës tregtare. </w:t>
      </w:r>
    </w:p>
    <w:p w:rsidRPr="003E47B8" w:rsidR="003E47B8" w:rsidP="003E47B8" w:rsidRDefault="003E47B8" w14:paraId="739AEB2C" w14:textId="77777777">
      <w:pPr>
        <w:jc w:val="both"/>
        <w:rPr>
          <w:b/>
          <w:bCs/>
          <w:szCs w:val="24"/>
        </w:rPr>
      </w:pPr>
    </w:p>
    <w:p w:rsidRPr="00716C4D" w:rsidR="00716C4D" w:rsidP="00716C4D" w:rsidRDefault="00D6521D" w14:paraId="2F19E2A6" w14:textId="2785A6A9">
      <w:pPr>
        <w:jc w:val="both"/>
        <w:rPr>
          <w:szCs w:val="24"/>
        </w:rPr>
      </w:pPr>
      <w:r w:rsidRPr="00155C6A">
        <w:rPr>
          <w:b/>
          <w:bCs/>
          <w:szCs w:val="24"/>
        </w:rPr>
        <w:t xml:space="preserve">Opsioni 1 </w:t>
      </w:r>
      <w:r w:rsidR="00716C4D">
        <w:rPr>
          <w:szCs w:val="24"/>
        </w:rPr>
        <w:t>–(</w:t>
      </w:r>
      <w:r w:rsidRPr="00716C4D" w:rsidR="00716C4D">
        <w:rPr>
          <w:szCs w:val="24"/>
        </w:rPr>
        <w:t xml:space="preserve">Miratimi i një ligji të ri të posaçëm për </w:t>
      </w:r>
      <w:r w:rsidR="00716C4D">
        <w:rPr>
          <w:szCs w:val="24"/>
        </w:rPr>
        <w:t>shnd</w:t>
      </w:r>
      <w:r w:rsidR="00E75562">
        <w:rPr>
          <w:szCs w:val="24"/>
        </w:rPr>
        <w:t>ë</w:t>
      </w:r>
      <w:r w:rsidR="00716C4D">
        <w:rPr>
          <w:szCs w:val="24"/>
        </w:rPr>
        <w:t>rrimet, bashkimet dhe ndarjet nd</w:t>
      </w:r>
      <w:r w:rsidR="00E75562">
        <w:rPr>
          <w:szCs w:val="24"/>
        </w:rPr>
        <w:t>ë</w:t>
      </w:r>
      <w:r w:rsidR="00716C4D">
        <w:rPr>
          <w:szCs w:val="24"/>
        </w:rPr>
        <w:t>rkufitare t</w:t>
      </w:r>
      <w:r w:rsidR="00E75562">
        <w:rPr>
          <w:szCs w:val="24"/>
        </w:rPr>
        <w:t>ë</w:t>
      </w:r>
      <w:r w:rsidR="00716C4D">
        <w:rPr>
          <w:szCs w:val="24"/>
        </w:rPr>
        <w:t xml:space="preserve"> shoq</w:t>
      </w:r>
      <w:r w:rsidR="00E75562">
        <w:rPr>
          <w:szCs w:val="24"/>
        </w:rPr>
        <w:t>ë</w:t>
      </w:r>
      <w:r w:rsidR="00716C4D">
        <w:rPr>
          <w:szCs w:val="24"/>
        </w:rPr>
        <w:t>rive tregtare</w:t>
      </w:r>
      <w:r w:rsidRPr="00716C4D" w:rsidR="00716C4D">
        <w:rPr>
          <w:szCs w:val="24"/>
        </w:rPr>
        <w:t xml:space="preserve"> – opsioni i preferuar) konsiston në hartimin dhe miratimin e një ligji të ri, të veçantë, që transpozon në mënyrë të plotë pjesën përkatëse të Direktivës (BE) 2017/1132, të ndryshuar nga Direktiva (BE) 2019/2121, që rregullon shndërrimet, bashkimet dhe ndarjet ndërkufitare të shoqërive. Ky opsion zëvendëson Ligjin nr. 110/2012 me një ligj tërësisht të ri duke siguruar koherencë të brendshme dhe përputhshmëri të drejtpërdrejtë me tekstin e direktivës. Kjo qasje u zgjodh pas një analize të detajuar të boshllëqeve të konstatuara në legjislacionin ekzistues, përmes metodologjisë së përkufizuar në LGA dhe IAGA të vitit 2024.</w:t>
      </w:r>
    </w:p>
    <w:p w:rsidRPr="00716C4D" w:rsidR="00716C4D" w:rsidP="00716C4D" w:rsidRDefault="00716C4D" w14:paraId="0F18B38E" w14:textId="77777777">
      <w:pPr>
        <w:jc w:val="both"/>
        <w:rPr>
          <w:szCs w:val="24"/>
        </w:rPr>
      </w:pPr>
    </w:p>
    <w:p w:rsidR="00F8607C" w:rsidP="00E75562" w:rsidRDefault="00716C4D" w14:paraId="6E7CEE62" w14:textId="47FD94DD">
      <w:pPr>
        <w:jc w:val="both"/>
        <w:rPr>
          <w:szCs w:val="24"/>
        </w:rPr>
      </w:pPr>
      <w:r w:rsidRPr="00716C4D">
        <w:rPr>
          <w:szCs w:val="24"/>
        </w:rPr>
        <w:t>Ky opsion përjashton ndërhyrjen në ligje të tjera të karakterit të përgjithshëm si Ligji nr. 9901/2008 apo Ligji nr. 9723/2007 dhe fokusohet vetëm në krijimin e një akti të veçantë horizontal, i cili mund të zbatohet paralelisht me dispozitat e ligjeve të tjera kur bëhet fjalë për operacione ndërkufitare. Kjo zgjedhje u vlerësua si më e përshtatshmja, për shkak se lejon përafrim të drejtpërdrejtë dispozitë për dispozitë, nuk ngatërron sistematikën e ligjeve ekzistuese dhe ofron siguri juridike për subjektet që duan të kryejnë operacione ndërkufitare në përputhje me standardet e BE-së. Ligji i ri do të përmbajë rregullime të hollësishme mbi mbrojtjen e kreditorëve dhe aksionarëve, mbi kontrollin ex ante dhe ex post nga gjykatat ose organet administrative dhe do të përcaktojë mekanizmat për shmangien e abuzimeve dhe shmangies nga ligji për qëllime të paarsyeshme tatimore apo për të cenuar të drejtat e palëve të treta.</w:t>
      </w:r>
    </w:p>
    <w:p w:rsidR="00F849F5" w:rsidP="00E75562" w:rsidRDefault="00F849F5" w14:paraId="23181E56" w14:textId="77777777">
      <w:pPr>
        <w:jc w:val="both"/>
        <w:rPr>
          <w:szCs w:val="24"/>
        </w:rPr>
      </w:pPr>
    </w:p>
    <w:p w:rsidRPr="00A32E1F" w:rsidR="00F849F5" w:rsidP="00F849F5" w:rsidRDefault="00F849F5" w14:paraId="5B8BF349" w14:textId="77777777">
      <w:pPr>
        <w:jc w:val="both"/>
        <w:rPr>
          <w:szCs w:val="24"/>
        </w:rPr>
      </w:pPr>
      <w:r w:rsidRPr="00A32E1F">
        <w:rPr>
          <w:szCs w:val="24"/>
        </w:rPr>
        <w:t>Ky opsion ofron një qasje të qartë dhe të strukturuar, e cila rrit sigurinë juridike dhe parashikueshmërinë për subjektet që kryejnë operacione ndërkufitare. Përmes krijimit të një ligji të veçantë, mundësohet harmonizim i plotë i procedurave me standardet e BE-së, duke përfshirë mekanizmat për mbrojtjen e kreditorëve, aksionarëve minoritarë dhe punonjësve. Një avantazh i rëndësishëm është gjithashtu mundësia për të ndjekur një qasje horizontale, që nuk ndërhyn në sistemin ekzistues të ligjeve të tjera, duke ruajtur koherencën e përgjithshme të kuadrit ligjor dhe duke e bërë më të lehtë për autoritetet dhe bizneset zbatimin e tij. Për më tepër, ky opsion krijon një bazë të fortë për përdorimin e mjeteve digjitale dhe për integrimin e regjistrave ndërkufitarë me sistemet e BE-së, duke përmirësuar transparencën dhe efektivitetin e procedurave.</w:t>
      </w:r>
    </w:p>
    <w:p w:rsidRPr="00A32E1F" w:rsidR="00F849F5" w:rsidP="00F849F5" w:rsidRDefault="00F849F5" w14:paraId="2E0A3786" w14:textId="77777777">
      <w:pPr>
        <w:jc w:val="both"/>
        <w:rPr>
          <w:b/>
          <w:bCs/>
          <w:szCs w:val="24"/>
        </w:rPr>
      </w:pPr>
    </w:p>
    <w:p w:rsidRPr="00155C6A" w:rsidR="00D6521D" w:rsidP="00155C6A" w:rsidRDefault="00F849F5" w14:paraId="755A4D9F" w14:textId="322D0DD0">
      <w:pPr>
        <w:jc w:val="both"/>
        <w:rPr>
          <w:szCs w:val="24"/>
        </w:rPr>
      </w:pPr>
      <w:r w:rsidRPr="00A32E1F">
        <w:rPr>
          <w:szCs w:val="24"/>
        </w:rPr>
        <w:t>Nga ana tjetër, ky opsion kërkon një investim të konsiderueshëm kohor dhe administrativ për të krijuar dhe zbatuar një ligj të ri të veçantë, përfshirë trajnimin e personelit dhe përshtatjen e sistemeve ekzistuese. Implementimi mund të përballet me rezistencë nga aktorët e përfshirë, veçanërisht në rast të ndryshimeve në procedura dhe përgjegjësi, duke rritur nevojën për komunikim dhe koordinim ndërinstitucional. Një tjetër disavantazh është se fokusi i vetëm tek një ligj i veçantë mund të mos adresojë menjëherë boshllëqet që lidhen me ligje të tjera të përgjithshme, të cilat ndërveprojnë me operacionet ndërkufitare, dhe mund të kërkojë ndërhyrje të mëtejshme për të siguruar një koordinim të plotë mes të gjitha instrumenteve ligjore ekzistuese.</w:t>
      </w:r>
    </w:p>
    <w:p w:rsidR="00563378" w:rsidP="00EB1641" w:rsidRDefault="00D6521D" w14:paraId="02B0D253" w14:textId="0F873CA6">
      <w:pPr>
        <w:pStyle w:val="CommentText"/>
        <w:jc w:val="both"/>
        <w:rPr>
          <w:sz w:val="24"/>
          <w:szCs w:val="24"/>
        </w:rPr>
      </w:pPr>
      <w:r w:rsidRPr="00AE1C8F">
        <w:rPr>
          <w:b/>
          <w:bCs/>
          <w:sz w:val="24"/>
          <w:szCs w:val="24"/>
        </w:rPr>
        <w:t>Opsioni 2 (</w:t>
      </w:r>
      <w:r w:rsidRPr="00AE1C8F" w:rsidR="00EB1641">
        <w:rPr>
          <w:b/>
          <w:bCs/>
          <w:sz w:val="24"/>
          <w:szCs w:val="24"/>
        </w:rPr>
        <w:t>(Integrimi i dispozitave në ligjet ekzistuese përmes amendimeve të pjesshme</w:t>
      </w:r>
      <w:r w:rsidRPr="00A32E1F" w:rsidR="00F849F5">
        <w:rPr>
          <w:sz w:val="24"/>
          <w:szCs w:val="24"/>
        </w:rPr>
        <w:t xml:space="preserve">, (si </w:t>
      </w:r>
      <w:r w:rsidR="00F849F5">
        <w:rPr>
          <w:sz w:val="24"/>
          <w:szCs w:val="24"/>
        </w:rPr>
        <w:t>l</w:t>
      </w:r>
      <w:r w:rsidRPr="00A32E1F" w:rsidR="00F849F5">
        <w:rPr>
          <w:sz w:val="24"/>
          <w:szCs w:val="24"/>
        </w:rPr>
        <w:t xml:space="preserve">igji nr. 9901/2008 apo </w:t>
      </w:r>
      <w:r w:rsidR="00F849F5">
        <w:rPr>
          <w:sz w:val="24"/>
          <w:szCs w:val="24"/>
        </w:rPr>
        <w:t>l</w:t>
      </w:r>
      <w:r w:rsidRPr="00A32E1F" w:rsidR="00F849F5">
        <w:rPr>
          <w:sz w:val="24"/>
          <w:szCs w:val="24"/>
        </w:rPr>
        <w:t>igji nr. 9723/2007</w:t>
      </w:r>
      <w:r w:rsidRPr="00F849F5" w:rsidR="00EB1641">
        <w:rPr>
          <w:b/>
          <w:bCs/>
          <w:sz w:val="24"/>
          <w:szCs w:val="24"/>
        </w:rPr>
        <w:t xml:space="preserve">) </w:t>
      </w:r>
      <w:r w:rsidRPr="00F849F5" w:rsidR="00EB1641">
        <w:rPr>
          <w:sz w:val="24"/>
          <w:szCs w:val="24"/>
        </w:rPr>
        <w:t>parashikon</w:t>
      </w:r>
      <w:r w:rsidRPr="00AC168C" w:rsidR="00EB1641">
        <w:rPr>
          <w:sz w:val="24"/>
          <w:szCs w:val="24"/>
        </w:rPr>
        <w:t xml:space="preserve"> përfshirjen e dispozitave të Direktivës (BE) 2019/2121 për shndërrimet, bashkimet dhe ndarjet ndërkufitare brenda strukturës së ligjeve ekzistuese, duke amenduar në mënyrë të fragmentuar Ligjin nr. 9901/2008 dhe Ligjin nr. 110/2012. Megjithëse ky opsion ishte i diskutuar në fazat paraprake të analizës, ai u konsiderua më pak efikas për shkak të ngarkesës sistematike që do t’i shkaktonte ligjeve ekzistuese, vështirësisë në ndarjen e qartë të operacioneve ndërkombëtare nga ato të brendshme dhe potencialit për pasiguri juridike dhe mbivendosje normash. Për më tepër, kjo zgjidhje nuk do të mundësonte ndërtimin e një arkitekture</w:t>
      </w:r>
      <w:r w:rsidRPr="00AE1C8F" w:rsidR="00EB1641">
        <w:rPr>
          <w:sz w:val="24"/>
          <w:szCs w:val="24"/>
        </w:rPr>
        <w:t xml:space="preserve"> t</w:t>
      </w:r>
      <w:r w:rsidRPr="00AE1C8F" w:rsidR="00E75562">
        <w:rPr>
          <w:sz w:val="24"/>
          <w:szCs w:val="24"/>
        </w:rPr>
        <w:t>ë</w:t>
      </w:r>
      <w:r w:rsidRPr="00AE1C8F" w:rsidR="00EB1641">
        <w:rPr>
          <w:sz w:val="24"/>
          <w:szCs w:val="24"/>
        </w:rPr>
        <w:t xml:space="preserve"> qart</w:t>
      </w:r>
      <w:r w:rsidRPr="00AE1C8F" w:rsidR="00E75562">
        <w:rPr>
          <w:sz w:val="24"/>
          <w:szCs w:val="24"/>
        </w:rPr>
        <w:t>ë</w:t>
      </w:r>
      <w:r w:rsidRPr="00AE1C8F" w:rsidR="00EB1641">
        <w:rPr>
          <w:sz w:val="24"/>
          <w:szCs w:val="24"/>
        </w:rPr>
        <w:t xml:space="preserve"> t</w:t>
      </w:r>
      <w:r w:rsidRPr="00AE1C8F" w:rsidR="00E75562">
        <w:rPr>
          <w:sz w:val="24"/>
          <w:szCs w:val="24"/>
        </w:rPr>
        <w:t>ë</w:t>
      </w:r>
      <w:r w:rsidRPr="00AE1C8F" w:rsidR="00EB1641">
        <w:rPr>
          <w:sz w:val="24"/>
          <w:szCs w:val="24"/>
        </w:rPr>
        <w:t xml:space="preserve"> ligjit as nga pik</w:t>
      </w:r>
      <w:r w:rsidRPr="00AE1C8F" w:rsidR="00E75562">
        <w:rPr>
          <w:sz w:val="24"/>
          <w:szCs w:val="24"/>
        </w:rPr>
        <w:t>ë</w:t>
      </w:r>
      <w:r w:rsidRPr="00AE1C8F" w:rsidR="00EB1641">
        <w:rPr>
          <w:sz w:val="24"/>
          <w:szCs w:val="24"/>
        </w:rPr>
        <w:t>pamja e teknik</w:t>
      </w:r>
      <w:r w:rsidRPr="00AE1C8F" w:rsidR="00E75562">
        <w:rPr>
          <w:sz w:val="24"/>
          <w:szCs w:val="24"/>
        </w:rPr>
        <w:t>ë</w:t>
      </w:r>
      <w:r w:rsidRPr="00AE1C8F" w:rsidR="00EB1641">
        <w:rPr>
          <w:sz w:val="24"/>
          <w:szCs w:val="24"/>
        </w:rPr>
        <w:t>s legjislative dhe as nga ana praktike duke qen</w:t>
      </w:r>
      <w:r w:rsidRPr="00AE1C8F" w:rsidR="00E75562">
        <w:rPr>
          <w:sz w:val="24"/>
          <w:szCs w:val="24"/>
        </w:rPr>
        <w:t>ë</w:t>
      </w:r>
      <w:r w:rsidRPr="00AE1C8F" w:rsidR="00EB1641">
        <w:rPr>
          <w:sz w:val="24"/>
          <w:szCs w:val="24"/>
        </w:rPr>
        <w:t xml:space="preserve"> se ndryshimet q</w:t>
      </w:r>
      <w:r w:rsidRPr="00AE1C8F" w:rsidR="00E75562">
        <w:rPr>
          <w:sz w:val="24"/>
          <w:szCs w:val="24"/>
        </w:rPr>
        <w:t>ë</w:t>
      </w:r>
      <w:r w:rsidRPr="00AE1C8F" w:rsidR="00EB1641">
        <w:rPr>
          <w:sz w:val="24"/>
          <w:szCs w:val="24"/>
        </w:rPr>
        <w:t xml:space="preserve"> sjell p</w:t>
      </w:r>
      <w:r w:rsidRPr="00AE1C8F" w:rsidR="00E75562">
        <w:rPr>
          <w:sz w:val="24"/>
          <w:szCs w:val="24"/>
        </w:rPr>
        <w:t>ë</w:t>
      </w:r>
      <w:r w:rsidRPr="00AE1C8F" w:rsidR="00EB1641">
        <w:rPr>
          <w:sz w:val="24"/>
          <w:szCs w:val="24"/>
        </w:rPr>
        <w:t>rafrimi jan</w:t>
      </w:r>
      <w:r w:rsidRPr="00AE1C8F" w:rsidR="00E75562">
        <w:rPr>
          <w:sz w:val="24"/>
          <w:szCs w:val="24"/>
        </w:rPr>
        <w:t>ë</w:t>
      </w:r>
      <w:r w:rsidRPr="00AE1C8F" w:rsidR="00EB1641">
        <w:rPr>
          <w:sz w:val="24"/>
          <w:szCs w:val="24"/>
        </w:rPr>
        <w:t xml:space="preserve"> disa her</w:t>
      </w:r>
      <w:r w:rsidRPr="00AE1C8F" w:rsidR="00E75562">
        <w:rPr>
          <w:sz w:val="24"/>
          <w:szCs w:val="24"/>
        </w:rPr>
        <w:t>ë</w:t>
      </w:r>
      <w:r w:rsidRPr="00AE1C8F" w:rsidR="00EB1641">
        <w:rPr>
          <w:sz w:val="24"/>
          <w:szCs w:val="24"/>
        </w:rPr>
        <w:t xml:space="preserve"> m</w:t>
      </w:r>
      <w:r w:rsidRPr="00AE1C8F" w:rsidR="00E75562">
        <w:rPr>
          <w:sz w:val="24"/>
          <w:szCs w:val="24"/>
        </w:rPr>
        <w:t>ë</w:t>
      </w:r>
      <w:r w:rsidRPr="00AE1C8F" w:rsidR="00EB1641">
        <w:rPr>
          <w:sz w:val="24"/>
          <w:szCs w:val="24"/>
        </w:rPr>
        <w:t xml:space="preserve"> t</w:t>
      </w:r>
      <w:r w:rsidRPr="00AE1C8F" w:rsidR="00E75562">
        <w:rPr>
          <w:sz w:val="24"/>
          <w:szCs w:val="24"/>
        </w:rPr>
        <w:t>ë</w:t>
      </w:r>
      <w:r w:rsidRPr="00AE1C8F" w:rsidR="00EB1641">
        <w:rPr>
          <w:sz w:val="24"/>
          <w:szCs w:val="24"/>
        </w:rPr>
        <w:t xml:space="preserve"> m</w:t>
      </w:r>
      <w:r w:rsidRPr="00AE1C8F" w:rsidR="00E75562">
        <w:rPr>
          <w:sz w:val="24"/>
          <w:szCs w:val="24"/>
        </w:rPr>
        <w:t>ë</w:t>
      </w:r>
      <w:r w:rsidRPr="00AE1C8F" w:rsidR="00EB1641">
        <w:rPr>
          <w:sz w:val="24"/>
          <w:szCs w:val="24"/>
        </w:rPr>
        <w:t>dha n</w:t>
      </w:r>
      <w:r w:rsidRPr="00AE1C8F" w:rsidR="00E75562">
        <w:rPr>
          <w:sz w:val="24"/>
          <w:szCs w:val="24"/>
        </w:rPr>
        <w:t>ë</w:t>
      </w:r>
      <w:r w:rsidRPr="00AE1C8F" w:rsidR="00EB1641">
        <w:rPr>
          <w:sz w:val="24"/>
          <w:szCs w:val="24"/>
        </w:rPr>
        <w:t xml:space="preserve"> volum dhe p</w:t>
      </w:r>
      <w:r w:rsidRPr="00AE1C8F" w:rsidR="00E75562">
        <w:rPr>
          <w:sz w:val="24"/>
          <w:szCs w:val="24"/>
        </w:rPr>
        <w:t>ë</w:t>
      </w:r>
      <w:r w:rsidRPr="00AE1C8F" w:rsidR="00EB1641">
        <w:rPr>
          <w:sz w:val="24"/>
          <w:szCs w:val="24"/>
        </w:rPr>
        <w:t>rmbajtje sesa p</w:t>
      </w:r>
      <w:r w:rsidRPr="00AE1C8F" w:rsidR="00E75562">
        <w:rPr>
          <w:sz w:val="24"/>
          <w:szCs w:val="24"/>
        </w:rPr>
        <w:t>ë</w:t>
      </w:r>
      <w:r w:rsidRPr="00AE1C8F" w:rsidR="00EB1641">
        <w:rPr>
          <w:sz w:val="24"/>
          <w:szCs w:val="24"/>
        </w:rPr>
        <w:t>rmbajtja ekzistuese e ligjit</w:t>
      </w:r>
      <w:r w:rsidRPr="00AE1C8F" w:rsidR="008F5D7B">
        <w:rPr>
          <w:sz w:val="24"/>
          <w:szCs w:val="24"/>
        </w:rPr>
        <w:t>. Kjo do t</w:t>
      </w:r>
      <w:r w:rsidRPr="00AE1C8F" w:rsidR="00E75562">
        <w:rPr>
          <w:sz w:val="24"/>
          <w:szCs w:val="24"/>
        </w:rPr>
        <w:t>ë</w:t>
      </w:r>
      <w:r w:rsidRPr="00AE1C8F" w:rsidR="008F5D7B">
        <w:rPr>
          <w:sz w:val="24"/>
          <w:szCs w:val="24"/>
        </w:rPr>
        <w:t xml:space="preserve"> k</w:t>
      </w:r>
      <w:r w:rsidRPr="00AE1C8F" w:rsidR="00E75562">
        <w:rPr>
          <w:sz w:val="24"/>
          <w:szCs w:val="24"/>
        </w:rPr>
        <w:t>ë</w:t>
      </w:r>
      <w:r w:rsidRPr="00AE1C8F" w:rsidR="008F5D7B">
        <w:rPr>
          <w:sz w:val="24"/>
          <w:szCs w:val="24"/>
        </w:rPr>
        <w:t>rkonte ndryshime aq thelb</w:t>
      </w:r>
      <w:r w:rsidRPr="00AE1C8F" w:rsidR="00E75562">
        <w:rPr>
          <w:sz w:val="24"/>
          <w:szCs w:val="24"/>
        </w:rPr>
        <w:t>ë</w:t>
      </w:r>
      <w:r w:rsidRPr="00AE1C8F" w:rsidR="008F5D7B">
        <w:rPr>
          <w:sz w:val="24"/>
          <w:szCs w:val="24"/>
        </w:rPr>
        <w:t>sore strukturore se arkitektura ekzsituese e ligjit nuk i akomodon dot pa prishur vet</w:t>
      </w:r>
      <w:r w:rsidRPr="00AE1C8F" w:rsidR="00E75562">
        <w:rPr>
          <w:sz w:val="24"/>
          <w:szCs w:val="24"/>
        </w:rPr>
        <w:t>ë</w:t>
      </w:r>
      <w:r w:rsidRPr="00AE1C8F" w:rsidR="008F5D7B">
        <w:rPr>
          <w:sz w:val="24"/>
          <w:szCs w:val="24"/>
        </w:rPr>
        <w:t xml:space="preserve"> struktur</w:t>
      </w:r>
      <w:r w:rsidRPr="00AE1C8F" w:rsidR="00E75562">
        <w:rPr>
          <w:sz w:val="24"/>
          <w:szCs w:val="24"/>
        </w:rPr>
        <w:t>ë</w:t>
      </w:r>
      <w:r w:rsidRPr="00AE1C8F" w:rsidR="008F5D7B">
        <w:rPr>
          <w:sz w:val="24"/>
          <w:szCs w:val="24"/>
        </w:rPr>
        <w:t>n ekzistuese, çka shkon ndesh me standardet e hartimit t</w:t>
      </w:r>
      <w:r w:rsidRPr="00AE1C8F" w:rsidR="00E75562">
        <w:rPr>
          <w:sz w:val="24"/>
          <w:szCs w:val="24"/>
        </w:rPr>
        <w:t>ë</w:t>
      </w:r>
      <w:r w:rsidRPr="00AE1C8F" w:rsidR="008F5D7B">
        <w:rPr>
          <w:sz w:val="24"/>
          <w:szCs w:val="24"/>
        </w:rPr>
        <w:t xml:space="preserve"> legjislacionit n</w:t>
      </w:r>
      <w:r w:rsidRPr="00AE1C8F" w:rsidR="00E75562">
        <w:rPr>
          <w:sz w:val="24"/>
          <w:szCs w:val="24"/>
        </w:rPr>
        <w:t>ë</w:t>
      </w:r>
      <w:r w:rsidRPr="00AE1C8F" w:rsidR="008F5D7B">
        <w:rPr>
          <w:sz w:val="24"/>
          <w:szCs w:val="24"/>
        </w:rPr>
        <w:t xml:space="preserve"> Shqip</w:t>
      </w:r>
      <w:r w:rsidRPr="00AE1C8F" w:rsidR="00E75562">
        <w:rPr>
          <w:sz w:val="24"/>
          <w:szCs w:val="24"/>
        </w:rPr>
        <w:t>ë</w:t>
      </w:r>
      <w:r w:rsidRPr="00AE1C8F" w:rsidR="008F5D7B">
        <w:rPr>
          <w:sz w:val="24"/>
          <w:szCs w:val="24"/>
        </w:rPr>
        <w:t xml:space="preserve">ri. </w:t>
      </w:r>
      <w:r w:rsidRPr="00AC168C" w:rsidR="00EB1641">
        <w:rPr>
          <w:sz w:val="24"/>
          <w:szCs w:val="24"/>
        </w:rPr>
        <w:t xml:space="preserve"> </w:t>
      </w:r>
    </w:p>
    <w:p w:rsidR="00F849F5" w:rsidP="00EB1641" w:rsidRDefault="00F849F5" w14:paraId="27767B96" w14:textId="77777777">
      <w:pPr>
        <w:pStyle w:val="CommentText"/>
        <w:jc w:val="both"/>
        <w:rPr>
          <w:sz w:val="24"/>
          <w:szCs w:val="24"/>
        </w:rPr>
      </w:pPr>
    </w:p>
    <w:p w:rsidRPr="00A32E1F" w:rsidR="00F849F5" w:rsidP="00F849F5" w:rsidRDefault="00F849F5" w14:paraId="5AD1D5D7" w14:textId="77777777">
      <w:pPr>
        <w:pStyle w:val="CommentText"/>
        <w:jc w:val="both"/>
        <w:rPr>
          <w:sz w:val="24"/>
          <w:szCs w:val="24"/>
        </w:rPr>
      </w:pPr>
      <w:r w:rsidRPr="00A32E1F">
        <w:rPr>
          <w:sz w:val="24"/>
          <w:szCs w:val="24"/>
        </w:rPr>
        <w:t>Ky opsion ofron një qasje më të shpejtë dhe me kosto fillestare më të ulët, pasi nuk kërkon krijimin e një ligji të ri, por vetëm amendimin e ligjeve ekzistuese. Ai mund të lehtësojë integrimin e elementeve të Direktivës (BE) 2019/2121 në kuadër të strukturës tashmë të njohur ligjore, duke shfrytëzuar instrumente që administrata dhe bizneset i kanë tashmë të përvetësuara. Për më tepër, kjo qasje mund të shmangë një proces të gjatë legjislativ për miratimin e një akti të ri dhe mund të realizohet me një koordinim më të drejtpërdrejtë midis njësive të ndryshme që administrojnë ligjet ekzistuese.</w:t>
      </w:r>
    </w:p>
    <w:p w:rsidRPr="00A32E1F" w:rsidR="00F849F5" w:rsidP="00F849F5" w:rsidRDefault="00F849F5" w14:paraId="3F05744C" w14:textId="22860B13">
      <w:pPr>
        <w:pStyle w:val="CommentText"/>
        <w:jc w:val="both"/>
        <w:rPr>
          <w:b/>
          <w:bCs/>
          <w:sz w:val="24"/>
          <w:szCs w:val="24"/>
        </w:rPr>
      </w:pPr>
    </w:p>
    <w:p w:rsidRPr="00F849F5" w:rsidR="003542E0" w:rsidP="00F52D35" w:rsidRDefault="00F849F5" w14:paraId="6F2B1D95" w14:textId="0577BB8F">
      <w:pPr>
        <w:pStyle w:val="CommentText"/>
        <w:jc w:val="both"/>
        <w:rPr>
          <w:sz w:val="24"/>
          <w:szCs w:val="24"/>
        </w:rPr>
      </w:pPr>
      <w:r w:rsidRPr="00A32E1F">
        <w:rPr>
          <w:sz w:val="24"/>
          <w:szCs w:val="24"/>
        </w:rPr>
        <w:t>Megjithatë, opsioni paraqet rreziqe të rëndësishme përsa i përket koherencës dhe qartësisë ligjore. Amendimet fragmentare mund të çojnë në mbivendosje normash, konflikte interpretimi dhe pasiguri juridike për subjektet që kryejnë operacione ndërkufitare. Për më tepër, ndryshimet që kërkon përafrimi janë voluminoze dhe komplekse, gjë që e bën të vështirë integrimin e tyre brenda strukturës ekzistuese pa prishur arkitekturën e ligjit. Kjo mund të çojë në një kuadër ligjor të paqëndrueshëm, ku ndarja e qartë midis operacioneve ndërkombëtare dhe atyre të brendshme mbetet e paqartë, dhe do të kërkonte rregullime shtesë për të arritur një përputhshmëri funksionale me standardet e BE-së.</w:t>
      </w:r>
    </w:p>
    <w:p w:rsidRPr="007854D4" w:rsidR="003542E0" w:rsidP="00F52D35" w:rsidRDefault="003542E0" w14:paraId="7434286F" w14:textId="76D90F30">
      <w:pPr>
        <w:pStyle w:val="CommentText"/>
        <w:jc w:val="both"/>
        <w:rPr>
          <w:b/>
          <w:bCs/>
          <w:sz w:val="24"/>
          <w:szCs w:val="24"/>
        </w:rPr>
      </w:pPr>
      <w:r w:rsidRPr="007854D4">
        <w:rPr>
          <w:b/>
          <w:bCs/>
          <w:sz w:val="24"/>
          <w:szCs w:val="24"/>
        </w:rPr>
        <w:t>Opsioni 3 (Jo rregullator)</w:t>
      </w:r>
    </w:p>
    <w:p w:rsidRPr="007854D4" w:rsidR="003542E0" w:rsidP="00F52D35" w:rsidRDefault="003542E0" w14:paraId="34BA681F" w14:textId="77777777">
      <w:pPr>
        <w:pStyle w:val="CommentText"/>
        <w:jc w:val="both"/>
        <w:rPr>
          <w:sz w:val="24"/>
          <w:szCs w:val="24"/>
        </w:rPr>
      </w:pPr>
    </w:p>
    <w:p w:rsidR="00F849F5" w:rsidP="00F849F5" w:rsidRDefault="003542E0" w14:paraId="07E44DF2" w14:textId="4B575CBB">
      <w:pPr>
        <w:spacing w:before="100" w:beforeAutospacing="1" w:after="100" w:afterAutospacing="1"/>
        <w:jc w:val="both"/>
        <w:rPr>
          <w:szCs w:val="24"/>
          <w:lang w:eastAsia="en-US"/>
        </w:rPr>
      </w:pPr>
      <w:r w:rsidRPr="007854D4">
        <w:rPr>
          <w:szCs w:val="24"/>
        </w:rPr>
        <w:t>Një qasje jo rregullatore do të nënkuptonte lejimin e bizneseve dhe aktorëve të tjerë relevantë të funksionojnë pa një kuadër të detajuar rregullator ose me ndërhyrje minimale nga shteti. Në këtë opsion, bizneset do të kishin lirinë për të vetë-</w:t>
      </w:r>
      <w:r w:rsidRPr="007854D4" w:rsidR="00E75562">
        <w:rPr>
          <w:szCs w:val="24"/>
        </w:rPr>
        <w:t>rregulluar</w:t>
      </w:r>
      <w:r w:rsidRPr="007854D4">
        <w:rPr>
          <w:szCs w:val="24"/>
        </w:rPr>
        <w:t xml:space="preserve"> dhe për t’u pajtuar vullnetarisht me standardet bazë të BE-së, pa asnjë detyrim ligjor për të zbatuar rregulla të detajuara që lidhen </w:t>
      </w:r>
      <w:r w:rsidR="009434B1">
        <w:rPr>
          <w:szCs w:val="24"/>
        </w:rPr>
        <w:t>me</w:t>
      </w:r>
      <w:r w:rsidRPr="007854D4">
        <w:rPr>
          <w:szCs w:val="24"/>
        </w:rPr>
        <w:t xml:space="preserve"> operacionet ndërkufitare ose qeverisjen </w:t>
      </w:r>
      <w:r w:rsidR="009434B1">
        <w:rPr>
          <w:szCs w:val="24"/>
        </w:rPr>
        <w:t>korporatave t</w:t>
      </w:r>
      <w:r w:rsidR="00E75562">
        <w:rPr>
          <w:szCs w:val="24"/>
        </w:rPr>
        <w:t>ë</w:t>
      </w:r>
      <w:r w:rsidR="009434B1">
        <w:rPr>
          <w:szCs w:val="24"/>
        </w:rPr>
        <w:t xml:space="preserve"> tyre.</w:t>
      </w:r>
      <w:r w:rsidR="00F849F5">
        <w:rPr>
          <w:szCs w:val="24"/>
          <w:lang w:eastAsia="en-US"/>
        </w:rPr>
        <w:t xml:space="preserve"> Si masa jorregullatore mund tw pwrmendim</w:t>
      </w:r>
      <w:r w:rsidRPr="00B06FF2" w:rsidR="00F849F5">
        <w:rPr>
          <w:szCs w:val="24"/>
          <w:lang w:eastAsia="en-US"/>
        </w:rPr>
        <w:t>, organizimi</w:t>
      </w:r>
      <w:r w:rsidR="00F849F5">
        <w:rPr>
          <w:szCs w:val="24"/>
          <w:lang w:eastAsia="en-US"/>
        </w:rPr>
        <w:t>n</w:t>
      </w:r>
      <w:r w:rsidRPr="00B06FF2" w:rsidR="00F849F5">
        <w:rPr>
          <w:szCs w:val="24"/>
          <w:lang w:eastAsia="en-US"/>
        </w:rPr>
        <w:t xml:space="preserve"> </w:t>
      </w:r>
      <w:r w:rsidR="00F849F5">
        <w:rPr>
          <w:szCs w:val="24"/>
          <w:lang w:eastAsia="en-US"/>
        </w:rPr>
        <w:t>e</w:t>
      </w:r>
      <w:r w:rsidRPr="00B06FF2" w:rsidR="00F849F5">
        <w:rPr>
          <w:szCs w:val="24"/>
          <w:lang w:eastAsia="en-US"/>
        </w:rPr>
        <w:t xml:space="preserve"> trajnimeve për profesionistët ligjorë dhe punonjësit e institucioneve si Qendra Kombëtare e Biznesit (QKB) apo ME mund të rrisë kapacitetet për të kuptuar dhe zbatuar kërkesat komplekse të Direktivës. Po ashtu, ofrimi i mbështetjes teknike dhe programeve t</w:t>
      </w:r>
      <w:r w:rsidR="00F849F5">
        <w:rPr>
          <w:szCs w:val="24"/>
          <w:lang w:eastAsia="en-US"/>
        </w:rPr>
        <w:t xml:space="preserve">rajnuese </w:t>
      </w:r>
      <w:r w:rsidRPr="00B06FF2" w:rsidR="00F849F5">
        <w:rPr>
          <w:szCs w:val="24"/>
          <w:lang w:eastAsia="en-US"/>
        </w:rPr>
        <w:t xml:space="preserve">për bizneset dhe zyrtarët mund të lehtësojë përshtatjen me rregullat e reja dhe të përshpejtojë zbatimin praktik të reformave. </w:t>
      </w:r>
      <w:r w:rsidRPr="00865139" w:rsidR="00F849F5">
        <w:rPr>
          <w:szCs w:val="24"/>
          <w:lang w:eastAsia="en-US"/>
        </w:rPr>
        <w:t>Fushatat e ndërgjegjësimit publik dhe për bizneset, veçanërisht për ndërmarrjet e vogla dhe të mesme (NVM), mund të rrisin njohuritë për përfitimet e një kuadri ligjor të harmonizuar</w:t>
      </w:r>
      <w:r w:rsidR="00F849F5">
        <w:rPr>
          <w:szCs w:val="24"/>
          <w:lang w:eastAsia="en-US"/>
        </w:rPr>
        <w:t xml:space="preserve">. </w:t>
      </w:r>
      <w:r w:rsidRPr="00865139" w:rsidR="00F849F5">
        <w:rPr>
          <w:szCs w:val="24"/>
          <w:lang w:eastAsia="en-US"/>
        </w:rPr>
        <w:t>Konsultimet me palët e interesuara, si shoqatat e biznesit dhe përfaqësuesit e shoqërisë civile, mund të ndihmojnë në identifikimin e nevojave specifike dhe në përshtatjen e zbatimit të rregullave të reja për të minimizuar sfidat praktike, duke krijuar një proces më gjithëpërfshirës dhe të mbështetur. Gjithashtu, ofrimi i asistencës teknike</w:t>
      </w:r>
      <w:r w:rsidR="00F849F5">
        <w:rPr>
          <w:szCs w:val="24"/>
          <w:lang w:eastAsia="en-US"/>
        </w:rPr>
        <w:t xml:space="preserve"> </w:t>
      </w:r>
      <w:r w:rsidRPr="00865139" w:rsidR="00F849F5">
        <w:rPr>
          <w:szCs w:val="24"/>
          <w:lang w:eastAsia="en-US"/>
        </w:rPr>
        <w:t>përmes bashkëpunimit me partnerë ndërkombëtarë si GIZ ose institucione të BE</w:t>
      </w:r>
      <w:r w:rsidR="00F849F5">
        <w:rPr>
          <w:szCs w:val="24"/>
          <w:lang w:eastAsia="en-US"/>
        </w:rPr>
        <w:t xml:space="preserve"> </w:t>
      </w:r>
      <w:r w:rsidRPr="00865139" w:rsidR="00F849F5">
        <w:rPr>
          <w:szCs w:val="24"/>
          <w:lang w:eastAsia="en-US"/>
        </w:rPr>
        <w:t>së</w:t>
      </w:r>
      <w:r w:rsidR="00F849F5">
        <w:rPr>
          <w:szCs w:val="24"/>
          <w:lang w:eastAsia="en-US"/>
        </w:rPr>
        <w:t xml:space="preserve"> </w:t>
      </w:r>
      <w:r w:rsidRPr="00865139" w:rsidR="00F849F5">
        <w:rPr>
          <w:szCs w:val="24"/>
          <w:lang w:eastAsia="en-US"/>
        </w:rPr>
        <w:t xml:space="preserve">mund të mbështesë zhvillimin e infrastrukturës digjitale të QKB-së dhe përmirësimin e aftësive administrative për të plotësuar standardet teknike të </w:t>
      </w:r>
      <w:r w:rsidR="00F849F5">
        <w:rPr>
          <w:szCs w:val="24"/>
          <w:lang w:eastAsia="en-US"/>
        </w:rPr>
        <w:t xml:space="preserve">ndërlidhjes </w:t>
      </w:r>
      <w:r w:rsidRPr="00865139" w:rsidR="00F849F5">
        <w:rPr>
          <w:szCs w:val="24"/>
          <w:lang w:eastAsia="en-US"/>
        </w:rPr>
        <w:t>me sistemin BRIS.</w:t>
      </w:r>
    </w:p>
    <w:p w:rsidRPr="00F849F5" w:rsidR="003542E0" w:rsidP="00F849F5" w:rsidRDefault="00F849F5" w14:paraId="073C3872" w14:textId="5C8EF69C">
      <w:pPr>
        <w:pStyle w:val="CommentText"/>
        <w:jc w:val="both"/>
        <w:rPr>
          <w:sz w:val="24"/>
          <w:szCs w:val="24"/>
        </w:rPr>
      </w:pPr>
      <w:r w:rsidRPr="00A32E1F">
        <w:rPr>
          <w:sz w:val="24"/>
          <w:szCs w:val="24"/>
          <w:lang w:eastAsia="en-US"/>
        </w:rPr>
        <w:t>Këto masa, ndonëse të dobishme për të adresuar sfidat e mbetura dhe për të përmirësuar efikasitetin, mbeten dytësore dhe nuk mund të kompensojnë mungesën e një kuadri ligjor të plotë dhe të zbatueshëm, i cili mbetet thelbësor për zgjidhjen përfundimtare të problemit</w:t>
      </w:r>
    </w:p>
    <w:p w:rsidRPr="007854D4" w:rsidR="005815D5" w:rsidP="003542E0" w:rsidRDefault="005815D5" w14:paraId="7E470039" w14:textId="77777777">
      <w:pPr>
        <w:pStyle w:val="CommentText"/>
        <w:jc w:val="both"/>
        <w:rPr>
          <w:sz w:val="24"/>
          <w:szCs w:val="24"/>
        </w:rPr>
      </w:pPr>
    </w:p>
    <w:p w:rsidRPr="007854D4" w:rsidR="003542E0" w:rsidP="003542E0" w:rsidRDefault="009C22A4" w14:paraId="4B2889D2" w14:textId="11C3AEE1">
      <w:pPr>
        <w:pStyle w:val="CommentText"/>
        <w:jc w:val="both"/>
        <w:rPr>
          <w:sz w:val="24"/>
          <w:szCs w:val="24"/>
        </w:rPr>
      </w:pPr>
      <w:r>
        <w:rPr>
          <w:sz w:val="24"/>
          <w:szCs w:val="24"/>
        </w:rPr>
        <w:t>K</w:t>
      </w:r>
      <w:r w:rsidRPr="007854D4" w:rsidR="003542E0">
        <w:rPr>
          <w:sz w:val="24"/>
          <w:szCs w:val="24"/>
        </w:rPr>
        <w:t>y opsion jo rregullator nuk mund të konsiderohet si një mundësi e vlefshme për Shqipërinë për disa arsye:</w:t>
      </w:r>
    </w:p>
    <w:p w:rsidRPr="007854D4" w:rsidR="00AA063E" w:rsidP="003542E0" w:rsidRDefault="00AA063E" w14:paraId="6D02B85E" w14:textId="77777777">
      <w:pPr>
        <w:pStyle w:val="CommentText"/>
        <w:jc w:val="both"/>
        <w:rPr>
          <w:sz w:val="24"/>
          <w:szCs w:val="24"/>
        </w:rPr>
      </w:pPr>
    </w:p>
    <w:p w:rsidRPr="007854D4" w:rsidR="003542E0" w:rsidP="0000379A" w:rsidRDefault="003542E0" w14:paraId="6D3C1926" w14:textId="6002C626">
      <w:pPr>
        <w:pStyle w:val="CommentText"/>
        <w:numPr>
          <w:ilvl w:val="0"/>
          <w:numId w:val="15"/>
        </w:numPr>
        <w:jc w:val="both"/>
        <w:rPr>
          <w:sz w:val="24"/>
          <w:szCs w:val="24"/>
        </w:rPr>
      </w:pPr>
      <w:r w:rsidRPr="007854D4">
        <w:rPr>
          <w:sz w:val="24"/>
          <w:szCs w:val="24"/>
        </w:rPr>
        <w:t xml:space="preserve">Si një shtet kandidat për në BE, </w:t>
      </w:r>
      <w:r w:rsidRPr="007854D4" w:rsidR="00AA063E">
        <w:rPr>
          <w:sz w:val="24"/>
          <w:szCs w:val="24"/>
        </w:rPr>
        <w:t>dhe n</w:t>
      </w:r>
      <w:r w:rsidRPr="007854D4" w:rsidR="00F17944">
        <w:rPr>
          <w:sz w:val="24"/>
          <w:szCs w:val="24"/>
        </w:rPr>
        <w:t>ë</w:t>
      </w:r>
      <w:r w:rsidRPr="007854D4" w:rsidR="00AA063E">
        <w:rPr>
          <w:sz w:val="24"/>
          <w:szCs w:val="24"/>
        </w:rPr>
        <w:t xml:space="preserve"> zbatim t</w:t>
      </w:r>
      <w:r w:rsidRPr="007854D4" w:rsidR="00F17944">
        <w:rPr>
          <w:sz w:val="24"/>
          <w:szCs w:val="24"/>
        </w:rPr>
        <w:t>ë</w:t>
      </w:r>
      <w:r w:rsidRPr="007854D4" w:rsidR="00AA063E">
        <w:rPr>
          <w:sz w:val="24"/>
          <w:szCs w:val="24"/>
        </w:rPr>
        <w:t xml:space="preserve"> nenit 70 t</w:t>
      </w:r>
      <w:r w:rsidRPr="007854D4" w:rsidR="00F17944">
        <w:rPr>
          <w:sz w:val="24"/>
          <w:szCs w:val="24"/>
        </w:rPr>
        <w:t>ë</w:t>
      </w:r>
      <w:r w:rsidRPr="007854D4" w:rsidR="00AA063E">
        <w:rPr>
          <w:sz w:val="24"/>
          <w:szCs w:val="24"/>
        </w:rPr>
        <w:t xml:space="preserve"> MSA-s</w:t>
      </w:r>
      <w:r w:rsidRPr="007854D4" w:rsidR="00F17944">
        <w:rPr>
          <w:sz w:val="24"/>
          <w:szCs w:val="24"/>
        </w:rPr>
        <w:t>ë</w:t>
      </w:r>
      <w:r w:rsidRPr="007854D4" w:rsidR="00AA063E">
        <w:rPr>
          <w:sz w:val="24"/>
          <w:szCs w:val="24"/>
        </w:rPr>
        <w:t xml:space="preserve">, </w:t>
      </w:r>
      <w:r w:rsidRPr="007854D4">
        <w:rPr>
          <w:sz w:val="24"/>
          <w:szCs w:val="24"/>
        </w:rPr>
        <w:t xml:space="preserve">Shqipëria është e detyruar ligjërisht të harmonizojë legjislacionin e saj kombëtar me rregulloret e BE-së si pjesë e procesit të integrimit në BE. Bashkimi </w:t>
      </w:r>
      <w:r w:rsidRPr="007854D4" w:rsidR="00E75562">
        <w:rPr>
          <w:sz w:val="24"/>
          <w:szCs w:val="24"/>
        </w:rPr>
        <w:t>Evropian</w:t>
      </w:r>
      <w:r w:rsidRPr="007854D4">
        <w:rPr>
          <w:sz w:val="24"/>
          <w:szCs w:val="24"/>
        </w:rPr>
        <w:t xml:space="preserve"> ka vendosur një kuadër rregullator të detyrueshëm, në të cilin shtetet anëtare duhet të funksionojnë, veçanërisht në fushat </w:t>
      </w:r>
      <w:r w:rsidR="005E5AE4">
        <w:rPr>
          <w:sz w:val="24"/>
          <w:szCs w:val="24"/>
        </w:rPr>
        <w:t xml:space="preserve">e </w:t>
      </w:r>
      <w:r w:rsidRPr="007854D4">
        <w:rPr>
          <w:sz w:val="24"/>
          <w:szCs w:val="24"/>
        </w:rPr>
        <w:t xml:space="preserve">operacioneve ndërkufitare dhe qeverisjes korporative. </w:t>
      </w:r>
      <w:r w:rsidR="000B5867">
        <w:rPr>
          <w:sz w:val="24"/>
          <w:szCs w:val="24"/>
        </w:rPr>
        <w:t>Pa</w:t>
      </w:r>
      <w:r w:rsidRPr="007854D4" w:rsidR="000B5867">
        <w:rPr>
          <w:sz w:val="24"/>
          <w:szCs w:val="24"/>
        </w:rPr>
        <w:t xml:space="preserve">pajtueshmëria </w:t>
      </w:r>
      <w:r w:rsidRPr="007854D4">
        <w:rPr>
          <w:sz w:val="24"/>
          <w:szCs w:val="24"/>
        </w:rPr>
        <w:t>me këto rregullore do të minonte procesin e integrimit të Shqipërisë dhe do ta shtynte më tej anëtarësimin e saj në BE.</w:t>
      </w:r>
    </w:p>
    <w:p w:rsidRPr="007854D4" w:rsidR="003542E0" w:rsidP="0000379A" w:rsidRDefault="003542E0" w14:paraId="359DBB2B" w14:textId="1D5A70B8">
      <w:pPr>
        <w:pStyle w:val="CommentText"/>
        <w:numPr>
          <w:ilvl w:val="0"/>
          <w:numId w:val="15"/>
        </w:numPr>
        <w:jc w:val="both"/>
        <w:rPr>
          <w:sz w:val="24"/>
          <w:szCs w:val="24"/>
        </w:rPr>
      </w:pPr>
      <w:r w:rsidRPr="007854D4">
        <w:rPr>
          <w:sz w:val="24"/>
          <w:szCs w:val="24"/>
        </w:rPr>
        <w:t>Mungesa e një kuadri të qartë rregullator do të krijonte pasiguri të konsiderueshme për investitorët, bizneset dhe aktorët relevantë. Pa një grup të rregullave të detajuara në vend, Shqipëria nuk do të mund të garantojë mbrojtjen e investimeve, funksionimin e duhur të tregut të brendshëm dhe konkurrencën e drejtë. Bizneset nuk do të kishin sigurinë se investimet e tyre janë të mbrojtura</w:t>
      </w:r>
      <w:r w:rsidR="005E5AE4">
        <w:rPr>
          <w:sz w:val="24"/>
          <w:szCs w:val="24"/>
        </w:rPr>
        <w:t>.</w:t>
      </w:r>
      <w:r w:rsidRPr="007854D4">
        <w:rPr>
          <w:sz w:val="24"/>
          <w:szCs w:val="24"/>
        </w:rPr>
        <w:t xml:space="preserve"> Ky skenar do të çonte në tërheqjen e pakët të investimeve të huaja, të cilat janë thelbësore për zhvillimin ekonomik të Shqipërisë.</w:t>
      </w:r>
    </w:p>
    <w:p w:rsidRPr="007854D4" w:rsidR="003542E0" w:rsidP="0000379A" w:rsidRDefault="003542E0" w14:paraId="7F223DE7" w14:textId="0FC5E3E6">
      <w:pPr>
        <w:pStyle w:val="CommentText"/>
        <w:numPr>
          <w:ilvl w:val="0"/>
          <w:numId w:val="15"/>
        </w:numPr>
        <w:jc w:val="both"/>
        <w:rPr>
          <w:sz w:val="24"/>
          <w:szCs w:val="24"/>
        </w:rPr>
      </w:pPr>
      <w:r w:rsidRPr="007854D4">
        <w:rPr>
          <w:sz w:val="24"/>
          <w:szCs w:val="24"/>
        </w:rPr>
        <w:t xml:space="preserve">Bashkimi </w:t>
      </w:r>
      <w:r w:rsidRPr="007854D4" w:rsidR="00E75562">
        <w:rPr>
          <w:sz w:val="24"/>
          <w:szCs w:val="24"/>
        </w:rPr>
        <w:t>Evropian</w:t>
      </w:r>
      <w:r w:rsidRPr="007854D4">
        <w:rPr>
          <w:sz w:val="24"/>
          <w:szCs w:val="24"/>
        </w:rPr>
        <w:t xml:space="preserve"> kërkon masa specifike për të mbrojtur interesat e palëve të interesuara, për të siguruar transparencë dhe për të promovuar praktika të drejta biznesi. Një qasje jo rregullatore do të injoronte këto kërkesa dhe do të lënte Shqipërinë jashtë përputhshmërisë me BE-në. Një situatë e tillë do të pengonte Shqipërinë të merrte pjesë plotësisht në tregun e brendshëm të BE-së dhe mund të rezultonte në sanksione ose barriera tregtare me shtetet anëtare të BE-së.</w:t>
      </w:r>
    </w:p>
    <w:p w:rsidRPr="007854D4" w:rsidR="003542E0" w:rsidP="0000379A" w:rsidRDefault="003542E0" w14:paraId="5FADCC97" w14:textId="6A0AA054">
      <w:pPr>
        <w:pStyle w:val="CommentText"/>
        <w:numPr>
          <w:ilvl w:val="0"/>
          <w:numId w:val="15"/>
        </w:numPr>
        <w:jc w:val="both"/>
        <w:rPr>
          <w:sz w:val="24"/>
          <w:szCs w:val="24"/>
        </w:rPr>
      </w:pPr>
      <w:r w:rsidRPr="007854D4">
        <w:rPr>
          <w:sz w:val="24"/>
          <w:szCs w:val="24"/>
        </w:rPr>
        <w:t xml:space="preserve">Nëse do të lihen </w:t>
      </w:r>
      <w:r w:rsidRPr="007854D4" w:rsidR="00787159">
        <w:rPr>
          <w:sz w:val="24"/>
          <w:szCs w:val="24"/>
        </w:rPr>
        <w:t>shoqër</w:t>
      </w:r>
      <w:r w:rsidRPr="007854D4">
        <w:rPr>
          <w:sz w:val="24"/>
          <w:szCs w:val="24"/>
        </w:rPr>
        <w:t>itë dhe institucionet të vetë-</w:t>
      </w:r>
      <w:r w:rsidRPr="007854D4" w:rsidR="00E75562">
        <w:rPr>
          <w:sz w:val="24"/>
          <w:szCs w:val="24"/>
        </w:rPr>
        <w:t>rregullohen</w:t>
      </w:r>
      <w:r w:rsidRPr="007854D4">
        <w:rPr>
          <w:sz w:val="24"/>
          <w:szCs w:val="24"/>
        </w:rPr>
        <w:t xml:space="preserve">, do të ketë një rrezik të madh për praktika të pasqaruara, ku disa biznese mund të përmbushin praktikat më të mira ndërkombëtare ndërsa të tjera jo. Ky skenar do të çonte në një treg të fragmentuar ku </w:t>
      </w:r>
      <w:r w:rsidRPr="007854D4" w:rsidR="00787159">
        <w:rPr>
          <w:sz w:val="24"/>
          <w:szCs w:val="24"/>
        </w:rPr>
        <w:t>shoqër</w:t>
      </w:r>
      <w:r w:rsidRPr="007854D4">
        <w:rPr>
          <w:sz w:val="24"/>
          <w:szCs w:val="24"/>
        </w:rPr>
        <w:t>itë që respektojnë standardet ndërkombëtare do të ishin në një pozitë disavantazhi krahasuar me ato që shmangin detyrimet rregullatore. Kjo gjithashtu do të dobësonte aftësinë e shtetit për të monitoruar dhe zbatuar përputhshmërinë ligjore në mënyrë efektive, duke çuar në mundësi të abuzimit dhe praktika të padrejta.</w:t>
      </w:r>
    </w:p>
    <w:p w:rsidRPr="007854D4" w:rsidR="003542E0" w:rsidP="0000379A" w:rsidRDefault="003542E0" w14:paraId="298E987F" w14:textId="333660D5">
      <w:pPr>
        <w:pStyle w:val="CommentText"/>
        <w:numPr>
          <w:ilvl w:val="0"/>
          <w:numId w:val="15"/>
        </w:numPr>
        <w:jc w:val="both"/>
        <w:rPr>
          <w:sz w:val="24"/>
          <w:szCs w:val="24"/>
        </w:rPr>
      </w:pPr>
      <w:r w:rsidRPr="007854D4">
        <w:rPr>
          <w:sz w:val="24"/>
          <w:szCs w:val="24"/>
        </w:rPr>
        <w:t xml:space="preserve">Qëllimi i strategjisë së integrimit të Shqipërisë në BE është harmonizimi i standardeve të saj me ato </w:t>
      </w:r>
      <w:r w:rsidRPr="007854D4" w:rsidR="00E75562">
        <w:rPr>
          <w:sz w:val="24"/>
          <w:szCs w:val="24"/>
        </w:rPr>
        <w:t>evropiane</w:t>
      </w:r>
      <w:r w:rsidRPr="007854D4">
        <w:rPr>
          <w:sz w:val="24"/>
          <w:szCs w:val="24"/>
        </w:rPr>
        <w:t xml:space="preserve"> për të fituar akses në përfitimet e anëtarësimit, si rritja ekonomike, stabiliteti politik dhe integrimi në treg. Një qasje jo rregullatore do të shkelte këtë strategji dhe do të funksiononte kundër objektivave për miratimin e ligjeve dhe </w:t>
      </w:r>
      <w:r w:rsidR="00AB0C89">
        <w:rPr>
          <w:sz w:val="24"/>
          <w:szCs w:val="24"/>
        </w:rPr>
        <w:t>përputhjes</w:t>
      </w:r>
      <w:r w:rsidRPr="007854D4">
        <w:rPr>
          <w:sz w:val="24"/>
          <w:szCs w:val="24"/>
        </w:rPr>
        <w:t xml:space="preserve"> me BE-në.</w:t>
      </w:r>
    </w:p>
    <w:p w:rsidRPr="007854D4" w:rsidR="00BE22F7" w:rsidP="003542E0" w:rsidRDefault="00BE22F7" w14:paraId="1B4D9C23" w14:textId="77777777">
      <w:pPr>
        <w:pStyle w:val="CommentText"/>
        <w:jc w:val="both"/>
        <w:rPr>
          <w:sz w:val="24"/>
          <w:szCs w:val="24"/>
        </w:rPr>
      </w:pPr>
    </w:p>
    <w:p w:rsidRPr="007854D4" w:rsidR="003542E0" w:rsidP="003542E0" w:rsidRDefault="003542E0" w14:paraId="5E7CF93B" w14:textId="34A10A5B">
      <w:pPr>
        <w:pStyle w:val="CommentText"/>
        <w:jc w:val="both"/>
        <w:rPr>
          <w:sz w:val="24"/>
          <w:szCs w:val="24"/>
        </w:rPr>
      </w:pPr>
      <w:r w:rsidRPr="007854D4">
        <w:rPr>
          <w:sz w:val="24"/>
          <w:szCs w:val="24"/>
        </w:rPr>
        <w:t xml:space="preserve">Për këto arsye, opsioni jo rregullator nuk mund të konsiderohet si një mundësi e vlefshme për harmonizimin e ligjit të shoqërive të Shqipërisë me rregulloret e BE-së. Vendi duhet të </w:t>
      </w:r>
      <w:r w:rsidR="00AB0C89">
        <w:rPr>
          <w:sz w:val="24"/>
          <w:szCs w:val="24"/>
        </w:rPr>
        <w:t>zbatojë</w:t>
      </w:r>
      <w:r w:rsidRPr="007854D4">
        <w:rPr>
          <w:sz w:val="24"/>
          <w:szCs w:val="24"/>
        </w:rPr>
        <w:t xml:space="preserve"> masa rregullatore të plota për të përmbushur angazhimet e tij për integrimin në BE, për të promovuar besueshmërinë e investitorëve, për të siguruar kushte të drejta konkurruese dhe për të mbrojtur të drejtat e palëve të interesuara në një mënyrë që është në përputhje me standardet </w:t>
      </w:r>
      <w:r w:rsidRPr="007854D4" w:rsidR="00AB0C89">
        <w:rPr>
          <w:sz w:val="24"/>
          <w:szCs w:val="24"/>
        </w:rPr>
        <w:t>evropiane</w:t>
      </w:r>
      <w:r w:rsidRPr="007854D4">
        <w:rPr>
          <w:sz w:val="24"/>
          <w:szCs w:val="24"/>
        </w:rPr>
        <w:t>.</w:t>
      </w:r>
    </w:p>
    <w:p w:rsidRPr="00F52D35" w:rsidR="003542E0" w:rsidP="00F52D35" w:rsidRDefault="003542E0" w14:paraId="25C8895D" w14:textId="167FDDB9">
      <w:pPr>
        <w:pStyle w:val="CommentText"/>
        <w:jc w:val="both"/>
        <w:rPr>
          <w:sz w:val="24"/>
          <w:szCs w:val="24"/>
        </w:rPr>
      </w:pPr>
    </w:p>
    <w:p w:rsidRPr="00325A1F" w:rsidR="00D3286E" w:rsidP="009D13F4" w:rsidRDefault="002125B7" w14:paraId="54817259" w14:textId="77777777">
      <w:pPr>
        <w:pStyle w:val="Heading1"/>
        <w:spacing w:line="276" w:lineRule="auto"/>
        <w:rPr>
          <w:rFonts w:ascii="Times New Roman" w:hAnsi="Times New Roman" w:cs="Times New Roman"/>
          <w:sz w:val="24"/>
          <w:szCs w:val="24"/>
        </w:rPr>
      </w:pPr>
      <w:bookmarkStart w:name="_Hlk191987130" w:id="19"/>
      <w:r w:rsidRPr="00325A1F">
        <w:rPr>
          <w:rFonts w:ascii="Times New Roman" w:hAnsi="Times New Roman" w:cs="Times New Roman"/>
          <w:sz w:val="24"/>
          <w:szCs w:val="24"/>
        </w:rPr>
        <w:t>Vlerësimi i opsioneve/analizimi i ndikimeve</w:t>
      </w:r>
      <w:r w:rsidRPr="00325A1F" w:rsidR="002005F1">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Pr="001155AF" w:rsidR="00D3286E">
        <w:rPr>
          <w:rFonts w:ascii="Times New Roman" w:hAnsi="Times New Roman" w:cs="Times New Roman"/>
          <w:sz w:val="24"/>
          <w:szCs w:val="24"/>
          <w:lang w:val="it-IT"/>
        </w:rPr>
        <w:instrText xml:space="preserve"> FORMTEXT </w:instrText>
      </w:r>
      <w:r w:rsidRPr="00325A1F" w:rsidR="002005F1">
        <w:rPr>
          <w:rFonts w:ascii="Times New Roman" w:hAnsi="Times New Roman" w:cs="Times New Roman"/>
          <w:sz w:val="24"/>
          <w:szCs w:val="24"/>
        </w:rPr>
      </w:r>
      <w:r w:rsidRPr="00325A1F" w:rsidR="002005F1">
        <w:rPr>
          <w:rFonts w:ascii="Times New Roman" w:hAnsi="Times New Roman" w:cs="Times New Roman"/>
          <w:sz w:val="24"/>
          <w:szCs w:val="24"/>
        </w:rPr>
        <w:fldChar w:fldCharType="separate"/>
      </w:r>
      <w:r w:rsidRPr="00325A1F" w:rsidR="00D3286E">
        <w:rPr>
          <w:rFonts w:ascii="Times New Roman" w:hAnsi="Times New Roman" w:cs="Times New Roman"/>
          <w:noProof/>
          <w:sz w:val="24"/>
          <w:szCs w:val="24"/>
        </w:rPr>
        <w:t> </w:t>
      </w:r>
      <w:r w:rsidRPr="00325A1F" w:rsidR="00D3286E">
        <w:rPr>
          <w:rFonts w:ascii="Times New Roman" w:hAnsi="Times New Roman" w:cs="Times New Roman"/>
          <w:noProof/>
          <w:sz w:val="24"/>
          <w:szCs w:val="24"/>
        </w:rPr>
        <w:t> </w:t>
      </w:r>
      <w:r w:rsidRPr="00325A1F" w:rsidR="00D3286E">
        <w:rPr>
          <w:rFonts w:ascii="Times New Roman" w:hAnsi="Times New Roman" w:cs="Times New Roman"/>
          <w:noProof/>
          <w:sz w:val="24"/>
          <w:szCs w:val="24"/>
        </w:rPr>
        <w:t> </w:t>
      </w:r>
      <w:r w:rsidRPr="00325A1F" w:rsidR="00D3286E">
        <w:rPr>
          <w:rFonts w:ascii="Times New Roman" w:hAnsi="Times New Roman" w:cs="Times New Roman"/>
          <w:noProof/>
          <w:sz w:val="24"/>
          <w:szCs w:val="24"/>
        </w:rPr>
        <w:t> </w:t>
      </w:r>
      <w:r w:rsidRPr="00325A1F" w:rsidR="00D3286E">
        <w:rPr>
          <w:rFonts w:ascii="Times New Roman" w:hAnsi="Times New Roman" w:cs="Times New Roman"/>
          <w:noProof/>
          <w:sz w:val="24"/>
          <w:szCs w:val="24"/>
        </w:rPr>
        <w:t> </w:t>
      </w:r>
      <w:r w:rsidRPr="00325A1F" w:rsidR="002005F1">
        <w:rPr>
          <w:rFonts w:ascii="Times New Roman" w:hAnsi="Times New Roman" w:cs="Times New Roman"/>
          <w:sz w:val="24"/>
          <w:szCs w:val="24"/>
        </w:rPr>
        <w:fldChar w:fldCharType="end"/>
      </w:r>
    </w:p>
    <w:sdt>
      <w:sdtPr>
        <w:id w:val="1457907593"/>
        <w:lock w:val="contentLocked"/>
        <w:placeholder>
          <w:docPart w:val="DefaultPlaceholder_1081868574"/>
        </w:placeholder>
        <w:rPr>
          <w:rFonts w:cs="Times New Roman"/>
          <w:i w:val="1"/>
          <w:iCs w:val="1"/>
          <w:sz w:val="24"/>
          <w:szCs w:val="24"/>
        </w:rPr>
      </w:sdtPr>
      <w:sdtContent>
        <w:p w:rsidRPr="0032145B" w:rsidR="0097570D" w:rsidP="0000379A" w:rsidRDefault="0097570D" w14:paraId="050CA305" w14:textId="77777777">
          <w:pPr>
            <w:pStyle w:val="BodyText"/>
            <w:numPr>
              <w:ilvl w:val="0"/>
              <w:numId w:val="4"/>
            </w:numPr>
            <w:tabs>
              <w:tab w:val="left" w:pos="567"/>
            </w:tabs>
            <w:spacing w:after="0" w:line="276" w:lineRule="auto"/>
            <w:jc w:val="both"/>
            <w:rPr>
              <w:rFonts w:cs="Times New Roman"/>
              <w:i/>
              <w:sz w:val="24"/>
              <w:szCs w:val="24"/>
            </w:rPr>
          </w:pPr>
          <w:r w:rsidRPr="0032145B">
            <w:rPr>
              <w:rFonts w:cs="Times New Roman"/>
              <w:i/>
              <w:sz w:val="24"/>
              <w:szCs w:val="24"/>
            </w:rPr>
            <w:t>Identifikoni grupet e prekura.</w:t>
          </w:r>
        </w:p>
        <w:p w:rsidRPr="0032145B" w:rsidR="0097570D" w:rsidP="0000379A" w:rsidRDefault="0097570D" w14:paraId="50D6A366" w14:textId="77777777">
          <w:pPr>
            <w:pStyle w:val="BodyText"/>
            <w:numPr>
              <w:ilvl w:val="0"/>
              <w:numId w:val="4"/>
            </w:numPr>
            <w:tabs>
              <w:tab w:val="left" w:pos="567"/>
            </w:tabs>
            <w:spacing w:after="0" w:line="276" w:lineRule="auto"/>
            <w:ind w:left="540" w:hanging="180"/>
            <w:jc w:val="both"/>
            <w:rPr>
              <w:rFonts w:cs="Times New Roman"/>
              <w:i/>
              <w:sz w:val="24"/>
              <w:szCs w:val="24"/>
            </w:rPr>
          </w:pPr>
          <w:r w:rsidRPr="0032145B">
            <w:rPr>
              <w:rFonts w:cs="Times New Roman"/>
              <w:i/>
              <w:sz w:val="24"/>
              <w:szCs w:val="24"/>
            </w:rPr>
            <w:t>Identifikoni llojet e ndikimeve për secilin grup të prekur, bëni dallimin midis ndikimeve të drejtpërdrejta dhe jo të drejtpërdrejta.</w:t>
          </w:r>
        </w:p>
        <w:p w:rsidRPr="0032145B" w:rsidR="0097570D" w:rsidP="0000379A" w:rsidRDefault="0097570D" w14:paraId="55475CD1" w14:textId="77777777">
          <w:pPr>
            <w:pStyle w:val="BodyText"/>
            <w:numPr>
              <w:ilvl w:val="0"/>
              <w:numId w:val="4"/>
            </w:numPr>
            <w:tabs>
              <w:tab w:val="left" w:pos="567"/>
            </w:tabs>
            <w:spacing w:after="0" w:line="276" w:lineRule="auto"/>
            <w:jc w:val="both"/>
            <w:rPr>
              <w:rFonts w:cs="Times New Roman"/>
              <w:i/>
              <w:sz w:val="24"/>
              <w:szCs w:val="24"/>
            </w:rPr>
          </w:pPr>
          <w:r w:rsidRPr="0032145B">
            <w:rPr>
              <w:rFonts w:cs="Times New Roman"/>
              <w:i/>
              <w:sz w:val="24"/>
              <w:szCs w:val="24"/>
            </w:rPr>
            <w:t>Për ndikimet e drejtpërdrejta:</w:t>
          </w:r>
        </w:p>
        <w:p w:rsidRPr="0032145B" w:rsidR="0097570D" w:rsidP="009D13F4" w:rsidRDefault="0097570D" w14:paraId="2DC092D2" w14:textId="77777777">
          <w:pPr>
            <w:pStyle w:val="BodyText"/>
            <w:spacing w:after="0" w:line="276" w:lineRule="auto"/>
            <w:ind w:left="720"/>
            <w:jc w:val="both"/>
            <w:rPr>
              <w:rFonts w:cs="Times New Roman"/>
              <w:i/>
              <w:sz w:val="24"/>
              <w:szCs w:val="24"/>
            </w:rPr>
          </w:pPr>
          <w:r w:rsidRPr="0032145B">
            <w:rPr>
              <w:rFonts w:cs="Times New Roman"/>
              <w:i/>
              <w:sz w:val="24"/>
              <w:szCs w:val="24"/>
            </w:rPr>
            <w:t xml:space="preserve"> </w:t>
          </w:r>
        </w:p>
        <w:p w:rsidRPr="0032145B" w:rsidR="0097570D" w:rsidP="0000379A" w:rsidRDefault="0097570D" w14:paraId="4FCD5469" w14:textId="77777777">
          <w:pPr>
            <w:pStyle w:val="BodyText"/>
            <w:numPr>
              <w:ilvl w:val="1"/>
              <w:numId w:val="4"/>
            </w:numPr>
            <w:tabs>
              <w:tab w:val="left" w:pos="567"/>
            </w:tabs>
            <w:spacing w:after="0" w:line="276" w:lineRule="auto"/>
            <w:jc w:val="both"/>
            <w:rPr>
              <w:rFonts w:cs="Times New Roman" w:eastAsiaTheme="majorEastAsia"/>
              <w:i/>
              <w:sz w:val="24"/>
              <w:szCs w:val="24"/>
            </w:rPr>
          </w:pPr>
          <w:r w:rsidRPr="0032145B">
            <w:rPr>
              <w:rFonts w:cs="Times New Roman" w:eastAsiaTheme="majorEastAsia"/>
              <w:i/>
              <w:sz w:val="24"/>
              <w:szCs w:val="24"/>
            </w:rPr>
            <w:t>Përshkruani nga ana cilësore ndikimet e drejtpërdrejta mbi grupet e prekura.</w:t>
          </w:r>
        </w:p>
        <w:p w:rsidRPr="0032145B" w:rsidR="0097570D" w:rsidP="0000379A" w:rsidRDefault="0097570D" w14:paraId="132C1CFC" w14:textId="77777777">
          <w:pPr>
            <w:pStyle w:val="BodyText"/>
            <w:numPr>
              <w:ilvl w:val="1"/>
              <w:numId w:val="4"/>
            </w:numPr>
            <w:tabs>
              <w:tab w:val="left" w:pos="567"/>
            </w:tabs>
            <w:spacing w:after="0" w:line="276" w:lineRule="auto"/>
            <w:jc w:val="both"/>
            <w:rPr>
              <w:rFonts w:cs="Times New Roman" w:eastAsiaTheme="majorEastAsia"/>
              <w:i/>
              <w:sz w:val="24"/>
              <w:szCs w:val="24"/>
            </w:rPr>
          </w:pPr>
          <w:r w:rsidRPr="0032145B">
            <w:rPr>
              <w:rFonts w:cs="Times New Roman" w:eastAsiaTheme="majorEastAsia"/>
              <w:i/>
              <w:sz w:val="24"/>
              <w:szCs w:val="24"/>
            </w:rPr>
            <w:t>Analizoni nga ana sasiore ndikimet më të rëndësishme të drejtpërdrejta.</w:t>
          </w:r>
        </w:p>
        <w:p w:rsidRPr="0032145B" w:rsidR="0097570D" w:rsidP="0000379A" w:rsidRDefault="0097570D" w14:paraId="1E60A50C" w14:textId="77777777">
          <w:pPr>
            <w:pStyle w:val="BodyText"/>
            <w:numPr>
              <w:ilvl w:val="1"/>
              <w:numId w:val="4"/>
            </w:numPr>
            <w:tabs>
              <w:tab w:val="left" w:pos="567"/>
            </w:tabs>
            <w:spacing w:after="0" w:line="276" w:lineRule="auto"/>
            <w:jc w:val="both"/>
            <w:rPr>
              <w:rFonts w:cs="Times New Roman" w:eastAsiaTheme="majorEastAsia"/>
              <w:i/>
              <w:sz w:val="24"/>
              <w:szCs w:val="24"/>
            </w:rPr>
          </w:pPr>
          <w:r w:rsidRPr="0032145B">
            <w:rPr>
              <w:rFonts w:cs="Times New Roman" w:eastAsiaTheme="majorEastAsia"/>
              <w:i/>
              <w:sz w:val="24"/>
              <w:szCs w:val="24"/>
            </w:rPr>
            <w:t xml:space="preserve">Përcaktoni vlerën monetare të ndikimeve më të rëndësishme të drejtpërdrejta aty ku është e mundur (përdor tabelën në </w:t>
          </w:r>
          <w:r w:rsidR="00BD1479">
            <w:rPr>
              <w:rFonts w:cs="Times New Roman" w:eastAsiaTheme="majorEastAsia"/>
              <w:i/>
              <w:sz w:val="24"/>
              <w:szCs w:val="24"/>
            </w:rPr>
            <w:t>A</w:t>
          </w:r>
          <w:r w:rsidRPr="0032145B">
            <w:rPr>
              <w:rFonts w:cs="Times New Roman" w:eastAsiaTheme="majorEastAsia"/>
              <w:i/>
              <w:sz w:val="24"/>
              <w:szCs w:val="24"/>
            </w:rPr>
            <w:t>neksin 2/a të këtij dokumenti).</w:t>
          </w:r>
        </w:p>
        <w:p w:rsidRPr="0032145B" w:rsidR="0097570D" w:rsidP="0000379A" w:rsidRDefault="0097570D" w14:paraId="7CA88B5B" w14:textId="77777777">
          <w:pPr>
            <w:pStyle w:val="BodyText"/>
            <w:numPr>
              <w:ilvl w:val="1"/>
              <w:numId w:val="4"/>
            </w:numPr>
            <w:tabs>
              <w:tab w:val="left" w:pos="567"/>
            </w:tabs>
            <w:spacing w:line="276" w:lineRule="auto"/>
            <w:jc w:val="both"/>
            <w:rPr>
              <w:rFonts w:cs="Times New Roman"/>
              <w:i/>
              <w:sz w:val="24"/>
              <w:szCs w:val="24"/>
            </w:rPr>
          </w:pPr>
          <w:r w:rsidRPr="0032145B">
            <w:rPr>
              <w:rFonts w:cs="Times New Roman" w:eastAsiaTheme="majorEastAsia"/>
              <w:i/>
              <w:sz w:val="24"/>
              <w:szCs w:val="24"/>
            </w:rPr>
            <w:t>Analizoni ndikimin mbi ndërmarrjet e vogla dhe të mesme (nëse ka).</w:t>
          </w:r>
        </w:p>
        <w:p w:rsidRPr="0032145B" w:rsidR="0097570D" w:rsidP="0000379A" w:rsidRDefault="0097570D" w14:paraId="68F725A1" w14:textId="77777777">
          <w:pPr>
            <w:pStyle w:val="BodyText"/>
            <w:numPr>
              <w:ilvl w:val="0"/>
              <w:numId w:val="4"/>
            </w:numPr>
            <w:tabs>
              <w:tab w:val="left" w:pos="567"/>
            </w:tabs>
            <w:spacing w:after="0" w:line="276" w:lineRule="auto"/>
            <w:jc w:val="both"/>
            <w:rPr>
              <w:rFonts w:cs="Times New Roman"/>
              <w:i/>
              <w:sz w:val="24"/>
              <w:szCs w:val="24"/>
            </w:rPr>
          </w:pPr>
          <w:r w:rsidRPr="0032145B">
            <w:rPr>
              <w:rFonts w:cs="Times New Roman"/>
              <w:i/>
              <w:sz w:val="24"/>
              <w:szCs w:val="24"/>
            </w:rPr>
            <w:t>Për ndikimet jo të drejtpërdrejta:</w:t>
          </w:r>
        </w:p>
        <w:p w:rsidRPr="0032145B" w:rsidR="0097570D" w:rsidP="0000379A" w:rsidRDefault="0097570D" w14:paraId="6C6B9031" w14:textId="77777777">
          <w:pPr>
            <w:pStyle w:val="BodyText"/>
            <w:numPr>
              <w:ilvl w:val="1"/>
              <w:numId w:val="4"/>
            </w:numPr>
            <w:tabs>
              <w:tab w:val="left" w:pos="567"/>
            </w:tabs>
            <w:spacing w:after="0" w:line="276" w:lineRule="auto"/>
            <w:jc w:val="both"/>
            <w:rPr>
              <w:rFonts w:cs="Times New Roman"/>
              <w:i/>
              <w:sz w:val="24"/>
              <w:szCs w:val="24"/>
            </w:rPr>
          </w:pPr>
          <w:r w:rsidRPr="0032145B">
            <w:rPr>
              <w:rFonts w:cs="Times New Roman" w:eastAsiaTheme="majorEastAsia"/>
              <w:i/>
              <w:sz w:val="24"/>
              <w:szCs w:val="24"/>
            </w:rPr>
            <w:t>Përshkruani nga ana cilësore ndikimet jo të drejtpërdrejta mbi grupet e prekura.</w:t>
          </w:r>
        </w:p>
        <w:p w:rsidRPr="0032145B" w:rsidR="0097570D" w:rsidP="0000379A" w:rsidRDefault="0097570D" w14:paraId="7587878E" w14:textId="77777777">
          <w:pPr>
            <w:pStyle w:val="BodyText"/>
            <w:numPr>
              <w:ilvl w:val="1"/>
              <w:numId w:val="4"/>
            </w:numPr>
            <w:tabs>
              <w:tab w:val="left" w:pos="567"/>
            </w:tabs>
            <w:spacing w:line="276" w:lineRule="auto"/>
            <w:jc w:val="both"/>
            <w:rPr>
              <w:rFonts w:cs="Times New Roman"/>
              <w:i/>
              <w:sz w:val="24"/>
              <w:szCs w:val="24"/>
            </w:rPr>
          </w:pPr>
          <w:r w:rsidRPr="0032145B">
            <w:rPr>
              <w:rFonts w:cs="Times New Roman" w:eastAsiaTheme="majorEastAsia"/>
              <w:i/>
              <w:sz w:val="24"/>
              <w:szCs w:val="24"/>
            </w:rPr>
            <w:t>Analizoni ndikimin mbi konkurrencën.</w:t>
          </w:r>
          <w:r w:rsidRPr="0032145B">
            <w:rPr>
              <w:rFonts w:cs="Times New Roman"/>
              <w:i/>
              <w:sz w:val="24"/>
              <w:szCs w:val="24"/>
            </w:rPr>
            <w:t xml:space="preserve">  </w:t>
          </w:r>
        </w:p>
        <w:p w:rsidRPr="0032145B" w:rsidR="0097570D" w:rsidP="0000379A" w:rsidRDefault="0097570D" w14:paraId="6B68582E" w14:textId="77777777">
          <w:pPr>
            <w:pStyle w:val="BodyText"/>
            <w:numPr>
              <w:ilvl w:val="0"/>
              <w:numId w:val="4"/>
            </w:numPr>
            <w:tabs>
              <w:tab w:val="left" w:pos="567"/>
            </w:tabs>
            <w:spacing w:after="0" w:line="276" w:lineRule="auto"/>
            <w:jc w:val="both"/>
            <w:rPr>
              <w:rFonts w:cs="Times New Roman"/>
              <w:i/>
              <w:sz w:val="24"/>
              <w:szCs w:val="24"/>
            </w:rPr>
          </w:pPr>
          <w:r w:rsidRPr="0032145B">
            <w:rPr>
              <w:rFonts w:cs="Times New Roman"/>
              <w:i/>
              <w:sz w:val="24"/>
              <w:szCs w:val="24"/>
            </w:rPr>
            <w:t>Diskutoni kufizimin e analizës:</w:t>
          </w:r>
        </w:p>
        <w:p w:rsidRPr="0032145B" w:rsidR="0097570D" w:rsidP="0000379A" w:rsidRDefault="0097570D" w14:paraId="1D0BD7D2" w14:textId="77777777">
          <w:pPr>
            <w:pStyle w:val="BodyText"/>
            <w:numPr>
              <w:ilvl w:val="1"/>
              <w:numId w:val="4"/>
            </w:numPr>
            <w:tabs>
              <w:tab w:val="left" w:pos="567"/>
            </w:tabs>
            <w:spacing w:after="0" w:line="276" w:lineRule="auto"/>
            <w:jc w:val="both"/>
            <w:rPr>
              <w:rFonts w:cs="Times New Roman"/>
              <w:i/>
              <w:sz w:val="24"/>
              <w:szCs w:val="24"/>
            </w:rPr>
          </w:pPr>
          <w:bookmarkStart w:name="_Hlk506917230" w:id="20"/>
          <w:r w:rsidRPr="0032145B">
            <w:rPr>
              <w:rFonts w:cs="Times New Roman"/>
              <w:i/>
              <w:sz w:val="24"/>
              <w:szCs w:val="24"/>
            </w:rPr>
            <w:t>Jepni supozimet në të cilat janë bazuar parashikimet dhe risqet, të cilave ato u nënshtrohen.</w:t>
          </w:r>
        </w:p>
        <w:p w:rsidRPr="0032145B" w:rsidR="0097570D" w:rsidP="0000379A" w:rsidRDefault="0097570D" w14:paraId="6A63578C" w14:textId="77777777">
          <w:pPr>
            <w:pStyle w:val="BodyText"/>
            <w:numPr>
              <w:ilvl w:val="1"/>
              <w:numId w:val="4"/>
            </w:numPr>
            <w:tabs>
              <w:tab w:val="left" w:pos="567"/>
            </w:tabs>
            <w:spacing w:line="276" w:lineRule="auto"/>
            <w:jc w:val="both"/>
            <w:rPr>
              <w:rFonts w:cs="Times New Roman"/>
              <w:i/>
              <w:sz w:val="24"/>
              <w:szCs w:val="24"/>
            </w:rPr>
          </w:pPr>
          <w:r w:rsidRPr="0032145B">
            <w:rPr>
              <w:rFonts w:cs="Times New Roman"/>
              <w:i/>
              <w:sz w:val="24"/>
              <w:szCs w:val="24"/>
            </w:rPr>
            <w:t>Tregoni se çfarë mund të pengojë realizimin e përfitimeve, të rrisë kostot ose të sjellë pasoja të papritura.</w:t>
          </w:r>
        </w:p>
        <w:p w:rsidRPr="0032145B" w:rsidR="0097570D" w:rsidP="0000379A" w:rsidRDefault="0097570D" w14:paraId="002281E9" w14:textId="77777777">
          <w:pPr>
            <w:pStyle w:val="BodyText"/>
            <w:numPr>
              <w:ilvl w:val="0"/>
              <w:numId w:val="4"/>
            </w:numPr>
            <w:tabs>
              <w:tab w:val="left" w:pos="567"/>
            </w:tabs>
            <w:spacing w:after="0" w:line="276" w:lineRule="auto"/>
            <w:jc w:val="both"/>
            <w:rPr>
              <w:rFonts w:cs="Times New Roman"/>
              <w:i/>
              <w:sz w:val="24"/>
              <w:szCs w:val="24"/>
            </w:rPr>
          </w:pPr>
          <w:r w:rsidRPr="0032145B">
            <w:rPr>
              <w:rFonts w:cs="Times New Roman"/>
              <w:i/>
              <w:sz w:val="24"/>
              <w:szCs w:val="24"/>
            </w:rPr>
            <w:t>Përmblidhni vlerësimin e opsioneve:</w:t>
          </w:r>
        </w:p>
        <w:p w:rsidRPr="0032145B" w:rsidR="0097570D" w:rsidP="0000379A" w:rsidRDefault="0097570D" w14:paraId="46DE7846" w14:textId="77777777">
          <w:pPr>
            <w:pStyle w:val="BodyText"/>
            <w:numPr>
              <w:ilvl w:val="1"/>
              <w:numId w:val="4"/>
            </w:numPr>
            <w:tabs>
              <w:tab w:val="left" w:pos="567"/>
            </w:tabs>
            <w:spacing w:after="0" w:line="276" w:lineRule="auto"/>
            <w:jc w:val="both"/>
            <w:rPr>
              <w:rFonts w:cs="Times New Roman"/>
              <w:i/>
              <w:sz w:val="24"/>
              <w:szCs w:val="24"/>
            </w:rPr>
          </w:pPr>
          <w:r w:rsidRPr="0032145B">
            <w:rPr>
              <w:rFonts w:cs="Times New Roman"/>
              <w:i/>
              <w:sz w:val="24"/>
              <w:szCs w:val="24"/>
            </w:rPr>
            <w:t>Paraqisni një pasqyrë përmbledhëse të të gjitha ndikimeve të opsioneve të analizuara.</w:t>
          </w:r>
        </w:p>
        <w:p w:rsidRPr="0032145B" w:rsidR="0097570D" w:rsidP="0000379A" w:rsidRDefault="0097570D" w14:paraId="5FB8EAD9" w14:textId="77777777">
          <w:pPr>
            <w:pStyle w:val="BodyText"/>
            <w:numPr>
              <w:ilvl w:val="1"/>
              <w:numId w:val="4"/>
            </w:numPr>
            <w:tabs>
              <w:tab w:val="left" w:pos="567"/>
            </w:tabs>
            <w:spacing w:after="0" w:line="276" w:lineRule="auto"/>
            <w:jc w:val="both"/>
            <w:rPr>
              <w:rFonts w:cs="Times New Roman"/>
              <w:i/>
              <w:sz w:val="24"/>
              <w:szCs w:val="24"/>
            </w:rPr>
          </w:pPr>
          <w:r w:rsidRPr="0032145B">
            <w:rPr>
              <w:rFonts w:cs="Times New Roman"/>
              <w:i/>
              <w:sz w:val="24"/>
              <w:szCs w:val="24"/>
            </w:rPr>
            <w:t>Shpjegoni se si ndikimet e të gjitha opsioneve të analizuara krahasohen me njëra-tjetrën.</w:t>
          </w:r>
        </w:p>
        <w:p w:rsidRPr="0032145B" w:rsidR="002125B7" w:rsidP="0000379A" w:rsidRDefault="0097570D" w14:paraId="541671C1" w14:textId="77777777">
          <w:pPr>
            <w:pStyle w:val="BodyText"/>
            <w:numPr>
              <w:ilvl w:val="1"/>
              <w:numId w:val="4"/>
            </w:numPr>
            <w:tabs>
              <w:tab w:val="left" w:pos="567"/>
            </w:tabs>
            <w:spacing w:after="0" w:line="276" w:lineRule="auto"/>
            <w:jc w:val="both"/>
            <w:rPr>
              <w:rFonts w:cs="Times New Roman"/>
              <w:i/>
              <w:sz w:val="24"/>
              <w:szCs w:val="24"/>
            </w:rPr>
          </w:pPr>
          <w:r w:rsidRPr="0032145B">
            <w:rPr>
              <w:rFonts w:cs="Times New Roman"/>
              <w:i/>
              <w:sz w:val="24"/>
              <w:szCs w:val="24"/>
            </w:rPr>
            <w:t xml:space="preserve">Paraqisni përllogaritjet më të mira të përgjithshme neto të ndikimit me vlerë monetare të përcaktuar për çdo opsion </w:t>
          </w:r>
          <w:r w:rsidR="00372979">
            <w:rPr>
              <w:rFonts w:cs="Times New Roman" w:eastAsiaTheme="majorEastAsia"/>
              <w:i/>
              <w:sz w:val="24"/>
              <w:szCs w:val="24"/>
            </w:rPr>
            <w:t>(përdor tabelën në A</w:t>
          </w:r>
          <w:r w:rsidRPr="0032145B">
            <w:rPr>
              <w:rFonts w:cs="Times New Roman" w:eastAsiaTheme="majorEastAsia"/>
              <w:i/>
              <w:sz w:val="24"/>
              <w:szCs w:val="24"/>
            </w:rPr>
            <w:t>neksin 2/b të këtij dokumenti).</w:t>
          </w:r>
        </w:p>
      </w:sdtContent>
      <w:sdtEndPr>
        <w:rPr>
          <w:rFonts w:cs="Times New Roman"/>
          <w:i w:val="1"/>
          <w:iCs w:val="1"/>
          <w:sz w:val="24"/>
          <w:szCs w:val="24"/>
        </w:rPr>
      </w:sdtEndPr>
    </w:sdt>
    <w:bookmarkStart w:name="_Toc506919738" w:displacedByCustomXml="prev" w:id="21"/>
    <w:bookmarkEnd w:id="19"/>
    <w:bookmarkEnd w:id="21"/>
    <w:p w:rsidRPr="00F74152" w:rsidR="00274855" w:rsidP="00990D4F" w:rsidRDefault="00274855" w14:paraId="35EE127F" w14:textId="77777777">
      <w:pPr>
        <w:pBdr>
          <w:top w:val="nil"/>
          <w:left w:val="nil"/>
          <w:bottom w:val="nil"/>
          <w:right w:val="nil"/>
          <w:between w:val="nil"/>
          <w:bar w:val="nil"/>
        </w:pBdr>
        <w:spacing w:line="276" w:lineRule="auto"/>
        <w:ind w:right="20"/>
        <w:jc w:val="both"/>
        <w:rPr>
          <w:color w:val="000000" w:themeColor="text1"/>
          <w:szCs w:val="24"/>
        </w:rPr>
      </w:pPr>
    </w:p>
    <w:p w:rsidR="00274855" w:rsidP="00274855" w:rsidRDefault="00274855" w14:paraId="557DF894" w14:textId="311CF625">
      <w:pPr>
        <w:pBdr>
          <w:top w:val="nil"/>
          <w:left w:val="nil"/>
          <w:bottom w:val="nil"/>
          <w:right w:val="nil"/>
          <w:between w:val="nil"/>
          <w:bar w:val="nil"/>
        </w:pBdr>
        <w:spacing w:line="276" w:lineRule="auto"/>
        <w:ind w:right="20"/>
        <w:jc w:val="both"/>
        <w:rPr>
          <w:color w:val="000000" w:themeColor="text1"/>
          <w:szCs w:val="24"/>
          <w:u w:val="single"/>
          <w:lang w:val="it-IT"/>
        </w:rPr>
      </w:pPr>
      <w:r w:rsidRPr="00274855">
        <w:rPr>
          <w:color w:val="000000" w:themeColor="text1"/>
          <w:szCs w:val="24"/>
          <w:u w:val="single"/>
          <w:lang w:val="it-IT"/>
        </w:rPr>
        <w:t>Identifikimi i grupeve të prekura:</w:t>
      </w:r>
    </w:p>
    <w:p w:rsidRPr="00274855" w:rsidR="00274855" w:rsidP="00274855" w:rsidRDefault="00274855" w14:paraId="2716D338" w14:textId="77777777">
      <w:pPr>
        <w:pBdr>
          <w:top w:val="nil"/>
          <w:left w:val="nil"/>
          <w:bottom w:val="nil"/>
          <w:right w:val="nil"/>
          <w:between w:val="nil"/>
          <w:bar w:val="nil"/>
        </w:pBdr>
        <w:spacing w:line="276" w:lineRule="auto"/>
        <w:ind w:right="20"/>
        <w:jc w:val="both"/>
        <w:rPr>
          <w:color w:val="000000" w:themeColor="text1"/>
          <w:szCs w:val="24"/>
          <w:u w:val="single"/>
          <w:lang w:val="it-IT"/>
        </w:rPr>
      </w:pPr>
    </w:p>
    <w:p w:rsidRPr="00274855" w:rsidR="00274855" w:rsidP="0000379A" w:rsidRDefault="00274855" w14:paraId="5CB61C88" w14:textId="77777777">
      <w:pPr>
        <w:numPr>
          <w:ilvl w:val="0"/>
          <w:numId w:val="1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Bizneset, veçanërisht ato të mëdha dhe të huaja</w:t>
      </w:r>
    </w:p>
    <w:p w:rsidRPr="00274855" w:rsidR="00274855" w:rsidP="0000379A" w:rsidRDefault="00274855" w14:paraId="51717448" w14:textId="77777777">
      <w:pPr>
        <w:numPr>
          <w:ilvl w:val="0"/>
          <w:numId w:val="1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Ndërmarrjet e vogla dhe të mesme (SMEs)</w:t>
      </w:r>
    </w:p>
    <w:p w:rsidRPr="00AB0C89" w:rsidR="00274855" w:rsidP="0000379A" w:rsidRDefault="00274855" w14:paraId="0886D70F" w14:textId="77777777">
      <w:pPr>
        <w:numPr>
          <w:ilvl w:val="0"/>
          <w:numId w:val="11"/>
        </w:num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Institucionet shtetërore</w:t>
      </w:r>
    </w:p>
    <w:p w:rsidRPr="00AB0C89" w:rsidR="00274855" w:rsidP="0000379A" w:rsidRDefault="00274855" w14:paraId="37F51951" w14:textId="6B9785BA">
      <w:pPr>
        <w:numPr>
          <w:ilvl w:val="0"/>
          <w:numId w:val="11"/>
        </w:num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Shoqëria civile dhe sektori i mbikëqyrjes</w:t>
      </w:r>
      <w:r w:rsidRPr="00AB0C89" w:rsidR="00426BB9">
        <w:rPr>
          <w:color w:val="000000" w:themeColor="text1"/>
          <w:szCs w:val="24"/>
        </w:rPr>
        <w:t xml:space="preserve"> </w:t>
      </w:r>
    </w:p>
    <w:p w:rsidRPr="00AB0C89" w:rsidR="00274855" w:rsidP="0000379A" w:rsidRDefault="00274855" w14:paraId="50D8FB1C" w14:textId="77777777">
      <w:pPr>
        <w:numPr>
          <w:ilvl w:val="0"/>
          <w:numId w:val="11"/>
        </w:num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Investitorët e huaj dhe ata vendas</w:t>
      </w:r>
    </w:p>
    <w:p w:rsidRPr="00AB0C89" w:rsidR="00274855" w:rsidP="0000379A" w:rsidRDefault="00274855" w14:paraId="2F265457" w14:textId="59C72019">
      <w:pPr>
        <w:numPr>
          <w:ilvl w:val="0"/>
          <w:numId w:val="11"/>
        </w:num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 xml:space="preserve">Profesionalët ligjorë </w:t>
      </w:r>
    </w:p>
    <w:p w:rsidRPr="00AB0C89" w:rsidR="00274855" w:rsidP="0000379A" w:rsidRDefault="00274855" w14:paraId="6C7E480C" w14:textId="78C2B3CA">
      <w:pPr>
        <w:numPr>
          <w:ilvl w:val="0"/>
          <w:numId w:val="11"/>
        </w:num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Aksionarët/ortakët (përfshirë aksionarët e pakicës)</w:t>
      </w:r>
    </w:p>
    <w:p w:rsidRPr="00AB0C89" w:rsidR="007E5591" w:rsidP="0000379A" w:rsidRDefault="007E5591" w14:paraId="1C24033C" w14:textId="1D677467">
      <w:pPr>
        <w:numPr>
          <w:ilvl w:val="0"/>
          <w:numId w:val="11"/>
        </w:num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Noterët</w:t>
      </w:r>
    </w:p>
    <w:p w:rsidRPr="00AB0C89" w:rsidR="00A510CA" w:rsidP="009E6C01" w:rsidRDefault="00A510CA" w14:paraId="33E7F2DA" w14:textId="77777777">
      <w:pPr>
        <w:pBdr>
          <w:top w:val="nil"/>
          <w:left w:val="nil"/>
          <w:bottom w:val="nil"/>
          <w:right w:val="nil"/>
          <w:between w:val="nil"/>
          <w:bar w:val="nil"/>
        </w:pBdr>
        <w:spacing w:line="276" w:lineRule="auto"/>
        <w:ind w:right="20"/>
        <w:jc w:val="both"/>
        <w:rPr>
          <w:color w:val="000000" w:themeColor="text1"/>
          <w:szCs w:val="24"/>
        </w:rPr>
      </w:pPr>
    </w:p>
    <w:p w:rsidRPr="00AB0C89" w:rsidR="009E6C01" w:rsidP="009E6C01" w:rsidRDefault="009E6C01" w14:paraId="17360C86" w14:textId="582F42EA">
      <w:pPr>
        <w:pBdr>
          <w:top w:val="nil"/>
          <w:left w:val="nil"/>
          <w:bottom w:val="nil"/>
          <w:right w:val="nil"/>
          <w:between w:val="nil"/>
          <w:bar w:val="nil"/>
        </w:pBdr>
        <w:spacing w:line="276" w:lineRule="auto"/>
        <w:ind w:right="20"/>
        <w:jc w:val="both"/>
        <w:rPr>
          <w:color w:val="000000" w:themeColor="text1"/>
          <w:szCs w:val="24"/>
        </w:rPr>
      </w:pPr>
      <w:r w:rsidRPr="00AB0C89">
        <w:rPr>
          <w:color w:val="000000" w:themeColor="text1"/>
          <w:szCs w:val="24"/>
        </w:rPr>
        <w:t>Ndryshimet ligjore do të ndikojnë në mënyrë të drejtpërdrejtë dhe tërthorazi në këto grupe. Ndërmarrjet dhe sektorët që operojnë në tregje ndërkombëtare, si dhe institucionet që mbikëqyrin këto aktivitete, do të përballen me sfida dhe mundësi për shkak të kërkesave të reja për transparencë, qeverisje korporative dhe operacione ndërkufitare.</w:t>
      </w:r>
    </w:p>
    <w:p w:rsidR="009E6C01" w:rsidP="009E6C01" w:rsidRDefault="009E6C01" w14:paraId="1FD3E942" w14:textId="77777777">
      <w:pPr>
        <w:pBdr>
          <w:top w:val="nil"/>
          <w:left w:val="nil"/>
          <w:bottom w:val="nil"/>
          <w:right w:val="nil"/>
          <w:between w:val="nil"/>
          <w:bar w:val="nil"/>
        </w:pBdr>
        <w:spacing w:line="276" w:lineRule="auto"/>
        <w:ind w:right="20"/>
        <w:jc w:val="both"/>
        <w:rPr>
          <w:color w:val="000000" w:themeColor="text1"/>
          <w:szCs w:val="24"/>
        </w:rPr>
      </w:pPr>
    </w:p>
    <w:p w:rsidR="00715340" w:rsidP="009E6C01" w:rsidRDefault="00715340" w14:paraId="0C989639" w14:textId="5C78AC1B">
      <w:pPr>
        <w:pBdr>
          <w:top w:val="nil"/>
          <w:left w:val="nil"/>
          <w:bottom w:val="nil"/>
          <w:right w:val="nil"/>
          <w:between w:val="nil"/>
          <w:bar w:val="nil"/>
        </w:pBdr>
        <w:spacing w:line="276" w:lineRule="auto"/>
        <w:ind w:right="20"/>
        <w:jc w:val="both"/>
        <w:rPr>
          <w:color w:val="000000" w:themeColor="text1"/>
          <w:szCs w:val="24"/>
        </w:rPr>
      </w:pPr>
      <w:r>
        <w:rPr>
          <w:color w:val="000000" w:themeColor="text1"/>
          <w:szCs w:val="24"/>
        </w:rPr>
        <w:t>Mw poshtw po paraqesim nw mwnyrw tw pwrmbledhur ndikimet e mundshme pwr secilin grup tw prekur:</w:t>
      </w:r>
    </w:p>
    <w:p w:rsidR="00715340" w:rsidP="009E6C01" w:rsidRDefault="00715340" w14:paraId="6955912D" w14:textId="77777777">
      <w:pPr>
        <w:pBdr>
          <w:top w:val="nil"/>
          <w:left w:val="nil"/>
          <w:bottom w:val="nil"/>
          <w:right w:val="nil"/>
          <w:between w:val="nil"/>
          <w:bar w:val="nil"/>
        </w:pBdr>
        <w:spacing w:line="276" w:lineRule="auto"/>
        <w:ind w:right="20"/>
        <w:jc w:val="both"/>
        <w:rPr>
          <w:color w:val="000000" w:themeColor="text1"/>
          <w:szCs w:val="24"/>
        </w:rPr>
      </w:pPr>
    </w:p>
    <w:p w:rsidR="00715340" w:rsidP="00715340" w:rsidRDefault="00715340" w14:paraId="4DC66BA3" w14:textId="77777777">
      <w:pPr>
        <w:rPr>
          <w:b/>
          <w:bCs/>
        </w:rPr>
      </w:pPr>
      <w:r w:rsidRPr="003D6D8E">
        <w:rPr>
          <w:b/>
          <w:bCs/>
        </w:rPr>
        <w:t>Bizneset (përfshirë ndërmarrjet e vogla dhe të mesme – SMEs, dhe shoqëritë me kapital të huaj)</w:t>
      </w:r>
    </w:p>
    <w:p w:rsidR="00715340" w:rsidP="00715340" w:rsidRDefault="00715340" w14:paraId="6AF388ED" w14:textId="77777777">
      <w:pPr>
        <w:rPr>
          <w:b/>
          <w:bCs/>
        </w:rPr>
      </w:pPr>
    </w:p>
    <w:p w:rsidRPr="00A32E1F" w:rsidR="00715340" w:rsidP="00715340" w:rsidRDefault="00715340" w14:paraId="501C1C03" w14:textId="5D630C01">
      <w:pPr>
        <w:rPr>
          <w:b/>
          <w:bCs/>
        </w:rPr>
      </w:pPr>
      <w:r w:rsidRPr="00A32E1F">
        <w:rPr>
          <w:color w:val="000000" w:themeColor="text1"/>
          <w:szCs w:val="24"/>
        </w:rPr>
        <w:t xml:space="preserve">Për bizneset, zbatimi i ligjeve të reja do të krijojë një mjedis më të qartë dhe të parashikueshëm, duke rritur besimin dhe duke krijuar mundësi më të mira për të bërë biznes, sidomos për shoqëritë ndërkombëtare që kërkojnë një kuadër ligjor të besueshëm për operacionet ndërkufitare. Përshtatja e legjislacionit do të ndihmojë në tërheqjen e investitorëve të rinj dhe do të hapë mundësi të reja për bizneset lokale, sidomos në sektorët e teknologjisë dhe industrisë, duke rritur konkurrencën dhe duke krijuar një mjedis të favorshëm për rritjen e diversifikimit ekonomik. </w:t>
      </w:r>
    </w:p>
    <w:p w:rsidRPr="003D6D8E" w:rsidR="00715340" w:rsidP="00715340" w:rsidRDefault="00715340" w14:paraId="616B8A16" w14:textId="77777777">
      <w:pPr>
        <w:rPr>
          <w:lang w:val="en-US"/>
        </w:rPr>
      </w:pPr>
      <w:r w:rsidRPr="003D6D8E">
        <w:rPr>
          <w:b/>
          <w:bCs/>
          <w:lang w:val="en-US"/>
        </w:rPr>
        <w:t>Ndikime ekonomike:</w:t>
      </w:r>
    </w:p>
    <w:p w:rsidRPr="003D6D8E" w:rsidR="00715340" w:rsidRDefault="00715340" w14:paraId="759D5684" w14:textId="77777777">
      <w:pPr>
        <w:numPr>
          <w:ilvl w:val="0"/>
          <w:numId w:val="27"/>
        </w:numPr>
        <w:jc w:val="both"/>
        <w:rPr>
          <w:lang w:val="it-IT"/>
        </w:rPr>
      </w:pPr>
      <w:r w:rsidRPr="003D6D8E">
        <w:rPr>
          <w:lang w:val="en-US"/>
        </w:rPr>
        <w:t xml:space="preserve">Përmirësimi i klimës së biznesit: Harmonizimi i ligjit krijon një mjedis më transparent dhe të parashikueshëm për operacionet ndërkufitare, duke ulur pasigurinë ligjore dhe burokratike. </w:t>
      </w:r>
      <w:r w:rsidRPr="003D6D8E">
        <w:rPr>
          <w:lang w:val="it-IT"/>
        </w:rPr>
        <w:t>Kjo rrit besimin e investitorëve dhe përmirëson perspektivat për investime afatgjata.</w:t>
      </w:r>
    </w:p>
    <w:p w:rsidRPr="003D6D8E" w:rsidR="00715340" w:rsidRDefault="00715340" w14:paraId="300CEEB4" w14:textId="77777777">
      <w:pPr>
        <w:numPr>
          <w:ilvl w:val="0"/>
          <w:numId w:val="27"/>
        </w:numPr>
        <w:jc w:val="both"/>
        <w:rPr>
          <w:lang w:val="it-IT"/>
        </w:rPr>
      </w:pPr>
      <w:r w:rsidRPr="003D6D8E">
        <w:rPr>
          <w:lang w:val="it-IT"/>
        </w:rPr>
        <w:t>Zgjerimi i tregjeve: Procedurat standarde për shndërrimet, bashkimet dhe ndarjet ndërkufitare u lejojnë bizneseve shqiptare të hyjnë më lehtë në tregjet e BE-së dhe të krijojnë partneritete ndërkombëtare.</w:t>
      </w:r>
    </w:p>
    <w:p w:rsidRPr="003D6D8E" w:rsidR="00715340" w:rsidRDefault="00715340" w14:paraId="7B2E46D4" w14:textId="77777777">
      <w:pPr>
        <w:numPr>
          <w:ilvl w:val="0"/>
          <w:numId w:val="27"/>
        </w:numPr>
        <w:jc w:val="both"/>
        <w:rPr>
          <w:lang w:val="it-IT"/>
        </w:rPr>
      </w:pPr>
      <w:r w:rsidRPr="003D6D8E">
        <w:rPr>
          <w:lang w:val="it-IT"/>
        </w:rPr>
        <w:t>Rritja e konkurrencës: Standardizimi i praktikave biznesore përmirëson konkurrencën dhe inkurajon inovacionin, duke e bërë tregun vendas më efikas dhe duke eliminuar avantazhet e padrejta.</w:t>
      </w:r>
    </w:p>
    <w:p w:rsidRPr="00A32E1F" w:rsidR="00715340" w:rsidP="00715340" w:rsidRDefault="00715340" w14:paraId="3960323F" w14:textId="77777777">
      <w:pPr>
        <w:rPr>
          <w:b/>
          <w:bCs/>
          <w:lang w:val="it-IT"/>
        </w:rPr>
      </w:pPr>
    </w:p>
    <w:p w:rsidR="00715340" w:rsidP="00715340" w:rsidRDefault="00715340" w14:paraId="3A745ED9" w14:textId="77777777">
      <w:pPr>
        <w:rPr>
          <w:b/>
          <w:bCs/>
          <w:lang w:val="en-US"/>
        </w:rPr>
      </w:pPr>
      <w:r w:rsidRPr="003D6D8E">
        <w:rPr>
          <w:b/>
          <w:bCs/>
          <w:lang w:val="en-US"/>
        </w:rPr>
        <w:t>Ndikime sociale:</w:t>
      </w:r>
    </w:p>
    <w:p w:rsidRPr="003D6D8E" w:rsidR="00715340" w:rsidP="00715340" w:rsidRDefault="00715340" w14:paraId="1D677B02" w14:textId="77777777">
      <w:pPr>
        <w:rPr>
          <w:lang w:val="en-US"/>
        </w:rPr>
      </w:pPr>
    </w:p>
    <w:p w:rsidRPr="003D6D8E" w:rsidR="00715340" w:rsidRDefault="00715340" w14:paraId="25E6BCD7" w14:textId="77777777">
      <w:pPr>
        <w:numPr>
          <w:ilvl w:val="0"/>
          <w:numId w:val="28"/>
        </w:numPr>
        <w:jc w:val="both"/>
        <w:rPr>
          <w:lang w:val="en-US"/>
        </w:rPr>
      </w:pPr>
      <w:r w:rsidRPr="003D6D8E">
        <w:rPr>
          <w:lang w:val="en-US"/>
        </w:rPr>
        <w:t>Rritja e profesionalizmit: Bizneset do të duhet të adaptojnë praktikat e menaxhimit dhe qeverisjes korporative, duke përmirësuar kulturën organizative dhe transparencën.</w:t>
      </w:r>
    </w:p>
    <w:p w:rsidRPr="003D6D8E" w:rsidR="00715340" w:rsidRDefault="00715340" w14:paraId="1FE75807" w14:textId="77777777">
      <w:pPr>
        <w:numPr>
          <w:ilvl w:val="0"/>
          <w:numId w:val="28"/>
        </w:numPr>
        <w:jc w:val="both"/>
        <w:rPr>
          <w:lang w:val="en-US"/>
        </w:rPr>
      </w:pPr>
      <w:r w:rsidRPr="003D6D8E">
        <w:rPr>
          <w:lang w:val="en-US"/>
        </w:rPr>
        <w:t>Përfitimi i punonjësve: Një mjedis më i qëndrueshëm dhe i harmonizuar ekonomikisht rrit sigurinë e punës dhe mundësitë për zhvillim profesional.</w:t>
      </w:r>
    </w:p>
    <w:p w:rsidRPr="003D6D8E" w:rsidR="00715340" w:rsidP="00715340" w:rsidRDefault="00715340" w14:paraId="0928C8CE" w14:textId="77777777">
      <w:pPr>
        <w:jc w:val="both"/>
        <w:rPr>
          <w:lang w:val="en-US"/>
        </w:rPr>
      </w:pPr>
    </w:p>
    <w:p w:rsidR="00715340" w:rsidP="00715340" w:rsidRDefault="00715340" w14:paraId="7CAC4C84" w14:textId="77777777">
      <w:pPr>
        <w:rPr>
          <w:b/>
          <w:bCs/>
          <w:lang w:val="en-US"/>
        </w:rPr>
      </w:pPr>
      <w:r w:rsidRPr="003D6D8E">
        <w:rPr>
          <w:b/>
          <w:bCs/>
          <w:lang w:val="en-US"/>
        </w:rPr>
        <w:t>Ndikime financiare:</w:t>
      </w:r>
    </w:p>
    <w:p w:rsidRPr="003D6D8E" w:rsidR="00715340" w:rsidP="00715340" w:rsidRDefault="00715340" w14:paraId="7900614E" w14:textId="77777777">
      <w:pPr>
        <w:rPr>
          <w:lang w:val="en-US"/>
        </w:rPr>
      </w:pPr>
    </w:p>
    <w:p w:rsidRPr="003D6D8E" w:rsidR="00715340" w:rsidRDefault="00715340" w14:paraId="1EA1E932" w14:textId="77777777">
      <w:pPr>
        <w:numPr>
          <w:ilvl w:val="0"/>
          <w:numId w:val="29"/>
        </w:numPr>
        <w:jc w:val="both"/>
        <w:rPr>
          <w:lang w:val="en-US"/>
        </w:rPr>
      </w:pPr>
      <w:r w:rsidRPr="003D6D8E">
        <w:rPr>
          <w:lang w:val="en-US"/>
        </w:rPr>
        <w:t>Reduktimi i kostove të pasigurta: Procedurat të standardizuara ulin rrezikun ligjor dhe kostot transaksionale për bizneset që kryejnë operacione ndërkufitare.</w:t>
      </w:r>
    </w:p>
    <w:p w:rsidRPr="003D6D8E" w:rsidR="00715340" w:rsidRDefault="00715340" w14:paraId="447BE061" w14:textId="77777777">
      <w:pPr>
        <w:numPr>
          <w:ilvl w:val="0"/>
          <w:numId w:val="29"/>
        </w:numPr>
        <w:jc w:val="both"/>
        <w:rPr>
          <w:lang w:val="en-US"/>
        </w:rPr>
      </w:pPr>
      <w:r w:rsidRPr="003D6D8E">
        <w:rPr>
          <w:lang w:val="en-US"/>
        </w:rPr>
        <w:t>Rritja e mundësive për financim: Investimet e huaja të drejtpërdrejta (FDI) dhe qasja në fonde ndërkombëtare do të jenë më të lehta për shoqëritë shqiptare.</w:t>
      </w:r>
    </w:p>
    <w:p w:rsidRPr="003D6D8E" w:rsidR="00715340" w:rsidP="00715340" w:rsidRDefault="00715340" w14:paraId="5F5BD270" w14:textId="77777777">
      <w:pPr>
        <w:jc w:val="both"/>
        <w:rPr>
          <w:lang w:val="en-US"/>
        </w:rPr>
      </w:pPr>
    </w:p>
    <w:p w:rsidR="00715340" w:rsidP="00715340" w:rsidRDefault="00715340" w14:paraId="60A4ED6D" w14:textId="77777777">
      <w:pPr>
        <w:rPr>
          <w:b/>
          <w:bCs/>
          <w:lang w:val="en-US"/>
        </w:rPr>
      </w:pPr>
      <w:r w:rsidRPr="003D6D8E">
        <w:rPr>
          <w:b/>
          <w:bCs/>
          <w:lang w:val="en-US"/>
        </w:rPr>
        <w:t>Ndikime jo të drejtpërdrejta:</w:t>
      </w:r>
    </w:p>
    <w:p w:rsidRPr="003D6D8E" w:rsidR="00715340" w:rsidP="00715340" w:rsidRDefault="00715340" w14:paraId="3235472A" w14:textId="77777777">
      <w:pPr>
        <w:rPr>
          <w:lang w:val="en-US"/>
        </w:rPr>
      </w:pPr>
    </w:p>
    <w:p w:rsidRPr="003D6D8E" w:rsidR="00715340" w:rsidRDefault="00715340" w14:paraId="40F7E48F" w14:textId="77777777">
      <w:pPr>
        <w:numPr>
          <w:ilvl w:val="0"/>
          <w:numId w:val="30"/>
        </w:numPr>
        <w:tabs>
          <w:tab w:val="clear" w:pos="360"/>
          <w:tab w:val="num" w:pos="720"/>
        </w:tabs>
        <w:rPr>
          <w:lang w:val="en-US"/>
        </w:rPr>
      </w:pPr>
      <w:r w:rsidRPr="003D6D8E">
        <w:rPr>
          <w:lang w:val="en-US"/>
        </w:rPr>
        <w:t>Përshtatja me rregullat e reja: SME-të mund të përballen me sfida fillestare për të kuptuar dhe zbatuar kërkesat e reja; për këtë, trajnime dhe asistencë teknike janë thelbësore.</w:t>
      </w:r>
    </w:p>
    <w:p w:rsidRPr="003D6D8E" w:rsidR="00715340" w:rsidRDefault="00715340" w14:paraId="010814AD" w14:textId="77777777">
      <w:pPr>
        <w:numPr>
          <w:ilvl w:val="0"/>
          <w:numId w:val="30"/>
        </w:numPr>
        <w:tabs>
          <w:tab w:val="clear" w:pos="360"/>
          <w:tab w:val="num" w:pos="720"/>
        </w:tabs>
        <w:rPr>
          <w:lang w:val="en-US"/>
        </w:rPr>
      </w:pPr>
      <w:r w:rsidRPr="003D6D8E">
        <w:rPr>
          <w:lang w:val="en-US"/>
        </w:rPr>
        <w:t>Rritja e besimit në treg: Një kuadër i harmonizuar ligjor forcon reputacionin e vendit dhe mund të tërheqë partnerë të rinj dhe investime të mëdha.</w:t>
      </w:r>
    </w:p>
    <w:p w:rsidRPr="003D6D8E" w:rsidR="00715340" w:rsidP="00715340" w:rsidRDefault="00715340" w14:paraId="2E0DD258" w14:textId="77777777">
      <w:pPr>
        <w:rPr>
          <w:lang w:val="en-US"/>
        </w:rPr>
      </w:pPr>
    </w:p>
    <w:p w:rsidRPr="003D6D8E" w:rsidR="00715340" w:rsidP="00715340" w:rsidRDefault="00715340" w14:paraId="634B34DD" w14:textId="77777777">
      <w:pPr>
        <w:rPr>
          <w:b/>
          <w:bCs/>
          <w:lang w:val="en-US"/>
        </w:rPr>
      </w:pPr>
      <w:r w:rsidRPr="003D6D8E">
        <w:rPr>
          <w:b/>
          <w:bCs/>
          <w:lang w:val="en-US"/>
        </w:rPr>
        <w:t>2. Institucionet shtetërore (ME, QKB, Autoriteti i Konkurrencës, AMF, gjykatat, noterët)</w:t>
      </w:r>
    </w:p>
    <w:p w:rsidR="00715340" w:rsidP="00715340" w:rsidRDefault="00715340" w14:paraId="5737DEC8" w14:textId="77777777">
      <w:pPr>
        <w:rPr>
          <w:b/>
          <w:bCs/>
          <w:lang w:val="en-US"/>
        </w:rPr>
      </w:pPr>
      <w:r w:rsidRPr="003D6D8E">
        <w:rPr>
          <w:b/>
          <w:bCs/>
          <w:lang w:val="en-US"/>
        </w:rPr>
        <w:t>Ndikime ekonomike:</w:t>
      </w:r>
    </w:p>
    <w:p w:rsidR="00715340" w:rsidP="00715340" w:rsidRDefault="00715340" w14:paraId="156A94BF" w14:textId="77777777">
      <w:pPr>
        <w:rPr>
          <w:lang w:val="en-US"/>
        </w:rPr>
      </w:pPr>
    </w:p>
    <w:p w:rsidRPr="00F74152" w:rsidR="00715340" w:rsidP="00715340" w:rsidRDefault="00715340" w14:paraId="2C67703A" w14:textId="77777777">
      <w:pPr>
        <w:pBdr>
          <w:top w:val="nil"/>
          <w:left w:val="nil"/>
          <w:bottom w:val="nil"/>
          <w:right w:val="nil"/>
          <w:between w:val="nil"/>
          <w:bar w:val="nil"/>
        </w:pBdr>
        <w:spacing w:line="276" w:lineRule="auto"/>
        <w:ind w:right="20"/>
        <w:jc w:val="both"/>
        <w:rPr>
          <w:color w:val="000000" w:themeColor="text1"/>
          <w:szCs w:val="24"/>
        </w:rPr>
      </w:pPr>
      <w:r w:rsidRPr="00F74152">
        <w:rPr>
          <w:color w:val="000000" w:themeColor="text1"/>
          <w:szCs w:val="24"/>
        </w:rPr>
        <w:t>Institucionet shtetërore, përfshirë QKB-në,</w:t>
      </w:r>
      <w:r>
        <w:rPr>
          <w:color w:val="000000" w:themeColor="text1"/>
          <w:szCs w:val="24"/>
        </w:rPr>
        <w:t xml:space="preserve"> </w:t>
      </w:r>
      <w:r w:rsidRPr="00F74152">
        <w:rPr>
          <w:color w:val="000000" w:themeColor="text1"/>
          <w:szCs w:val="24"/>
        </w:rPr>
        <w:t>ME etj, do të përballen me nevojën për të përmirësuar kapacitetet e tyre për të monitoruar dhe zbatuar ligjet e reja. Përshtatja me rregulloret e BE-së do të kërkojë burime shtesë, trajnime dhe mbështetje teknike, por kjo do të ndihmojë në krijimin e një sistemi më të fortë dhe më efikas të mbikëqyrjes dhe monitorimit të tregut të biznesit. Përshtatja e këtyre institucioneve do të kontribuoni në një mbikëqyrje më të besueshme dhe në përputhshmëri të ligjshme me standardet e BE-së.</w:t>
      </w:r>
    </w:p>
    <w:p w:rsidRPr="00F74152" w:rsidR="00715340" w:rsidP="00715340" w:rsidRDefault="00715340" w14:paraId="17493D16" w14:textId="77777777">
      <w:pPr>
        <w:pBdr>
          <w:top w:val="nil"/>
          <w:left w:val="nil"/>
          <w:bottom w:val="nil"/>
          <w:right w:val="nil"/>
          <w:between w:val="nil"/>
          <w:bar w:val="nil"/>
        </w:pBdr>
        <w:spacing w:line="276" w:lineRule="auto"/>
        <w:ind w:right="20"/>
        <w:jc w:val="both"/>
        <w:rPr>
          <w:color w:val="000000" w:themeColor="text1"/>
          <w:szCs w:val="24"/>
        </w:rPr>
      </w:pPr>
    </w:p>
    <w:p w:rsidRPr="00A32E1F" w:rsidR="00715340" w:rsidP="00715340" w:rsidRDefault="00715340" w14:paraId="4A70D848" w14:textId="68BC7443">
      <w:pPr>
        <w:rPr>
          <w:b/>
          <w:bCs/>
        </w:rPr>
      </w:pPr>
      <w:r w:rsidRPr="00A32E1F">
        <w:rPr>
          <w:b/>
          <w:bCs/>
        </w:rPr>
        <w:t>Ndikime ekonomike:</w:t>
      </w:r>
    </w:p>
    <w:p w:rsidRPr="00A32E1F" w:rsidR="00715340" w:rsidP="00715340" w:rsidRDefault="00715340" w14:paraId="0C1E338E" w14:textId="77777777"/>
    <w:p w:rsidRPr="003D6D8E" w:rsidR="00715340" w:rsidP="00715340" w:rsidRDefault="00715340" w14:paraId="34D9210E" w14:textId="77777777">
      <w:pPr>
        <w:rPr>
          <w:lang w:val="it-IT"/>
        </w:rPr>
      </w:pPr>
      <w:r w:rsidRPr="003D6D8E">
        <w:rPr>
          <w:lang w:val="it-IT"/>
        </w:rPr>
        <w:t>Investime në kapacitete: Zbatimi i ligjit kërkon investime në trajnime, sisteme dixhitale dhe staf të specializuar. Këto janë shpenzime fillestare, por përmirësojnë efikasitetin dhe efektivitetin e monitorimit të tregut.</w:t>
      </w:r>
    </w:p>
    <w:p w:rsidRPr="00A32E1F" w:rsidR="00715340" w:rsidP="00715340" w:rsidRDefault="00715340" w14:paraId="08D5DC5F" w14:textId="77777777">
      <w:pPr>
        <w:rPr>
          <w:b/>
          <w:bCs/>
          <w:lang w:val="it-IT"/>
        </w:rPr>
      </w:pPr>
    </w:p>
    <w:p w:rsidR="00715340" w:rsidP="00715340" w:rsidRDefault="00715340" w14:paraId="0F73EA87" w14:textId="77777777">
      <w:pPr>
        <w:rPr>
          <w:b/>
          <w:bCs/>
          <w:lang w:val="en-US"/>
        </w:rPr>
      </w:pPr>
      <w:r w:rsidRPr="003D6D8E">
        <w:rPr>
          <w:b/>
          <w:bCs/>
          <w:lang w:val="en-US"/>
        </w:rPr>
        <w:t>Ndikime sociale:</w:t>
      </w:r>
    </w:p>
    <w:p w:rsidRPr="003D6D8E" w:rsidR="00715340" w:rsidP="00715340" w:rsidRDefault="00715340" w14:paraId="6CF8F17E" w14:textId="77777777">
      <w:pPr>
        <w:rPr>
          <w:lang w:val="en-US"/>
        </w:rPr>
      </w:pPr>
    </w:p>
    <w:p w:rsidRPr="003D6D8E" w:rsidR="00715340" w:rsidRDefault="00715340" w14:paraId="25554E4F" w14:textId="77777777">
      <w:pPr>
        <w:numPr>
          <w:ilvl w:val="0"/>
          <w:numId w:val="31"/>
        </w:numPr>
        <w:jc w:val="both"/>
        <w:rPr>
          <w:lang w:val="en-US"/>
        </w:rPr>
      </w:pPr>
      <w:r w:rsidRPr="003D6D8E">
        <w:rPr>
          <w:lang w:val="en-US"/>
        </w:rPr>
        <w:t>Rritja e kapaciteteve profesionale: Trajnimet për profesionistët e institucionit dhe noterët forcojnë njohuritë teknike dhe aftësitë e zbatimit të ligjit.</w:t>
      </w:r>
    </w:p>
    <w:p w:rsidRPr="003D6D8E" w:rsidR="00715340" w:rsidRDefault="00715340" w14:paraId="54A9F6F4" w14:textId="77777777">
      <w:pPr>
        <w:numPr>
          <w:ilvl w:val="0"/>
          <w:numId w:val="31"/>
        </w:numPr>
        <w:jc w:val="both"/>
        <w:rPr>
          <w:lang w:val="it-IT"/>
        </w:rPr>
      </w:pPr>
      <w:r w:rsidRPr="003D6D8E">
        <w:rPr>
          <w:lang w:val="it-IT"/>
        </w:rPr>
        <w:t>Forcimi i transparencës: Procedurat e qarta për ndërveprim me bizneset dhe publikun rrisin besimin në sistemin e administratës publike.</w:t>
      </w:r>
    </w:p>
    <w:p w:rsidRPr="00A32E1F" w:rsidR="00715340" w:rsidP="00715340" w:rsidRDefault="00715340" w14:paraId="1773C8B5" w14:textId="77777777">
      <w:pPr>
        <w:rPr>
          <w:b/>
          <w:bCs/>
          <w:lang w:val="it-IT"/>
        </w:rPr>
      </w:pPr>
    </w:p>
    <w:p w:rsidR="00715340" w:rsidP="00715340" w:rsidRDefault="00715340" w14:paraId="4FE787F8" w14:textId="77777777">
      <w:pPr>
        <w:rPr>
          <w:b/>
          <w:bCs/>
          <w:lang w:val="en-US"/>
        </w:rPr>
      </w:pPr>
      <w:r w:rsidRPr="003D6D8E">
        <w:rPr>
          <w:b/>
          <w:bCs/>
          <w:lang w:val="en-US"/>
        </w:rPr>
        <w:t>Ndikime financiare:</w:t>
      </w:r>
    </w:p>
    <w:p w:rsidRPr="003D6D8E" w:rsidR="00715340" w:rsidP="00715340" w:rsidRDefault="00715340" w14:paraId="00580220" w14:textId="77777777">
      <w:pPr>
        <w:rPr>
          <w:lang w:val="en-US"/>
        </w:rPr>
      </w:pPr>
    </w:p>
    <w:p w:rsidRPr="003D6D8E" w:rsidR="00715340" w:rsidRDefault="00715340" w14:paraId="4B562E9C" w14:textId="77777777">
      <w:pPr>
        <w:numPr>
          <w:ilvl w:val="0"/>
          <w:numId w:val="32"/>
        </w:numPr>
        <w:jc w:val="both"/>
        <w:rPr>
          <w:lang w:val="en-US"/>
        </w:rPr>
      </w:pPr>
      <w:r w:rsidRPr="003D6D8E">
        <w:rPr>
          <w:lang w:val="en-US"/>
        </w:rPr>
        <w:t>Kosto operative: Implementimi i sistemit të ri, përfshirë ndërlidhjen me BRIS dhe certifikimet, ka kosto fillestare, por afatgjatë redukton shpenzimet për moszbatim dhe konflikt ligjor.</w:t>
      </w:r>
    </w:p>
    <w:p w:rsidRPr="003D6D8E" w:rsidR="00715340" w:rsidRDefault="00715340" w14:paraId="4446FE39" w14:textId="77777777">
      <w:pPr>
        <w:numPr>
          <w:ilvl w:val="0"/>
          <w:numId w:val="32"/>
        </w:numPr>
        <w:jc w:val="both"/>
        <w:rPr>
          <w:lang w:val="it-IT"/>
        </w:rPr>
      </w:pPr>
      <w:r w:rsidRPr="003D6D8E">
        <w:rPr>
          <w:lang w:val="it-IT"/>
        </w:rPr>
        <w:t>Optimizimi i resurseve: Standardizimi i procedurave dhe digitalizimi i regjistrave lehtësojnë monitorimin dhe reduktojnë barrën administrative.</w:t>
      </w:r>
    </w:p>
    <w:p w:rsidRPr="00A32E1F" w:rsidR="00715340" w:rsidP="00715340" w:rsidRDefault="00715340" w14:paraId="7293B9FB" w14:textId="77777777">
      <w:pPr>
        <w:rPr>
          <w:b/>
          <w:bCs/>
          <w:lang w:val="it-IT"/>
        </w:rPr>
      </w:pPr>
    </w:p>
    <w:p w:rsidR="00715340" w:rsidP="00715340" w:rsidRDefault="00715340" w14:paraId="2852B3E4" w14:textId="77777777">
      <w:pPr>
        <w:rPr>
          <w:b/>
          <w:bCs/>
          <w:lang w:val="en-US"/>
        </w:rPr>
      </w:pPr>
      <w:r w:rsidRPr="003D6D8E">
        <w:rPr>
          <w:b/>
          <w:bCs/>
          <w:lang w:val="en-US"/>
        </w:rPr>
        <w:t>Ndikime jo të drejtpërdrejta:</w:t>
      </w:r>
    </w:p>
    <w:p w:rsidRPr="003D6D8E" w:rsidR="00715340" w:rsidP="00715340" w:rsidRDefault="00715340" w14:paraId="07CC0647" w14:textId="77777777">
      <w:pPr>
        <w:rPr>
          <w:lang w:val="en-US"/>
        </w:rPr>
      </w:pPr>
    </w:p>
    <w:p w:rsidRPr="003D6D8E" w:rsidR="00715340" w:rsidRDefault="00715340" w14:paraId="39197A1B" w14:textId="77777777">
      <w:pPr>
        <w:numPr>
          <w:ilvl w:val="0"/>
          <w:numId w:val="33"/>
        </w:numPr>
        <w:jc w:val="both"/>
        <w:rPr>
          <w:lang w:val="en-US"/>
        </w:rPr>
      </w:pPr>
      <w:r w:rsidRPr="003D6D8E">
        <w:rPr>
          <w:lang w:val="en-US"/>
        </w:rPr>
        <w:t>Efikasitet më i lartë institucional: Koordinimi ndërinstitucional dhe shkëmbimi i të dhënave ndër regjistra kontribuojnë në një administratë më të integruar dhe funksionale.</w:t>
      </w:r>
    </w:p>
    <w:p w:rsidRPr="003D6D8E" w:rsidR="00715340" w:rsidRDefault="00715340" w14:paraId="216E2D03" w14:textId="77777777">
      <w:pPr>
        <w:numPr>
          <w:ilvl w:val="0"/>
          <w:numId w:val="33"/>
        </w:numPr>
        <w:jc w:val="both"/>
        <w:rPr>
          <w:lang w:val="it-IT"/>
        </w:rPr>
      </w:pPr>
      <w:r w:rsidRPr="003D6D8E">
        <w:rPr>
          <w:lang w:val="it-IT"/>
        </w:rPr>
        <w:t>Besimi i investitorëve: Zbatimi i rregullave në mënyrë të qartë dhe të parashikueshme forcon reputacionin e institucioneve dhe besimin e tregut.</w:t>
      </w:r>
    </w:p>
    <w:p w:rsidRPr="00A32E1F" w:rsidR="00715340" w:rsidP="00715340" w:rsidRDefault="00715340" w14:paraId="1AC17F58" w14:textId="77777777">
      <w:pPr>
        <w:jc w:val="both"/>
        <w:rPr>
          <w:lang w:val="it-IT"/>
        </w:rPr>
      </w:pPr>
    </w:p>
    <w:p w:rsidRPr="003D6D8E" w:rsidR="00715340" w:rsidP="00715340" w:rsidRDefault="00715340" w14:paraId="0C3F0FBD" w14:textId="77777777">
      <w:pPr>
        <w:rPr>
          <w:b/>
          <w:bCs/>
          <w:lang w:val="it-IT"/>
        </w:rPr>
      </w:pPr>
      <w:r w:rsidRPr="003D6D8E">
        <w:rPr>
          <w:b/>
          <w:bCs/>
          <w:lang w:val="it-IT"/>
        </w:rPr>
        <w:t>3. Aksionarët dhe investitorët</w:t>
      </w:r>
    </w:p>
    <w:p w:rsidR="00715340" w:rsidP="00715340" w:rsidRDefault="00715340" w14:paraId="6A4B850C" w14:textId="77777777">
      <w:pPr>
        <w:rPr>
          <w:b/>
          <w:bCs/>
          <w:lang w:val="it-IT"/>
        </w:rPr>
      </w:pPr>
    </w:p>
    <w:p w:rsidR="00715340" w:rsidP="00715340" w:rsidRDefault="00715340" w14:paraId="1AF2EB2E" w14:textId="77777777">
      <w:pPr>
        <w:pBdr>
          <w:top w:val="nil"/>
          <w:left w:val="nil"/>
          <w:bottom w:val="nil"/>
          <w:right w:val="nil"/>
          <w:between w:val="nil"/>
          <w:bar w:val="nil"/>
        </w:pBdr>
        <w:spacing w:line="276" w:lineRule="auto"/>
        <w:ind w:right="20"/>
        <w:jc w:val="both"/>
        <w:rPr>
          <w:iCs/>
          <w:color w:val="000000" w:themeColor="text1"/>
          <w:szCs w:val="24"/>
        </w:rPr>
      </w:pPr>
      <w:r w:rsidRPr="00F74152">
        <w:rPr>
          <w:color w:val="000000" w:themeColor="text1"/>
          <w:szCs w:val="24"/>
        </w:rPr>
        <w:t>Për aksionarët, zbatimi i këtyre rregulloreve do të përmirësojë mbrojtjen e të drejtave të tyre dhe do të sigurojë një mjedis ligjor më të sigurt dhe më të qartë. Kjo do të rrisë besimin e investitorëve, duke u siguruar atyre mundësi për të ushtruar të drejtat e tyre në mënyrë të transparencës dhe të rregulluar, duke kontribuar në stabilitetin e tregut dhe duke rritur besimin në strukturat korporative.</w:t>
      </w:r>
      <w:r w:rsidRPr="0059302C">
        <w:rPr>
          <w:iCs/>
          <w:color w:val="000000" w:themeColor="text1"/>
          <w:szCs w:val="24"/>
        </w:rPr>
        <w:t xml:space="preserve"> </w:t>
      </w:r>
    </w:p>
    <w:p w:rsidR="00715340" w:rsidP="00715340" w:rsidRDefault="00715340" w14:paraId="743511EF" w14:textId="77777777">
      <w:pPr>
        <w:pBdr>
          <w:top w:val="nil"/>
          <w:left w:val="nil"/>
          <w:bottom w:val="nil"/>
          <w:right w:val="nil"/>
          <w:between w:val="nil"/>
          <w:bar w:val="nil"/>
        </w:pBdr>
        <w:spacing w:line="276" w:lineRule="auto"/>
        <w:ind w:right="20"/>
        <w:jc w:val="both"/>
        <w:rPr>
          <w:iCs/>
          <w:color w:val="000000" w:themeColor="text1"/>
          <w:szCs w:val="24"/>
        </w:rPr>
      </w:pPr>
    </w:p>
    <w:p w:rsidRPr="00990D4F" w:rsidR="00715340" w:rsidP="00715340" w:rsidRDefault="00715340" w14:paraId="32FDEFF1" w14:textId="77777777">
      <w:pPr>
        <w:pBdr>
          <w:top w:val="nil"/>
          <w:left w:val="nil"/>
          <w:bottom w:val="nil"/>
          <w:right w:val="nil"/>
          <w:between w:val="nil"/>
          <w:bar w:val="nil"/>
        </w:pBdr>
        <w:spacing w:line="276" w:lineRule="auto"/>
        <w:ind w:right="20"/>
        <w:jc w:val="both"/>
        <w:rPr>
          <w:color w:val="000000" w:themeColor="text1"/>
          <w:szCs w:val="24"/>
        </w:rPr>
      </w:pPr>
      <w:r w:rsidRPr="00990D4F">
        <w:rPr>
          <w:color w:val="000000" w:themeColor="text1"/>
          <w:szCs w:val="24"/>
        </w:rPr>
        <w:t>Këto ndryshime nuk do të prekin vetëm kuadrin ligjor dhe rregullator, por do të luajnë gjithashtu një rol kyç në përmirësimin e mjedisit të biznesit në Shqipëri, rritjen e tërheqjes për investimet e huaja  dhe përshpejtimin e integrimit të Shqipërisë në BE. Kjo pjesë do të vlerësojë ndikimet ekonomike, sociale dhe institucionale të pritura, duke marrë parasysh si efektet afatshkurtra ashtu edhe ato afatgjata, si dhe kostot dhe përfitimet e mundshme që lidhen me secilin opsion të politikës.</w:t>
      </w:r>
    </w:p>
    <w:p w:rsidRPr="00A32E1F" w:rsidR="00715340" w:rsidP="00715340" w:rsidRDefault="00715340" w14:paraId="66DA13C9" w14:textId="77777777">
      <w:pPr>
        <w:rPr>
          <w:b/>
          <w:bCs/>
        </w:rPr>
      </w:pPr>
    </w:p>
    <w:p w:rsidR="00715340" w:rsidP="00715340" w:rsidRDefault="00715340" w14:paraId="6E3C10D2" w14:textId="77777777">
      <w:pPr>
        <w:rPr>
          <w:b/>
          <w:bCs/>
          <w:lang w:val="it-IT"/>
        </w:rPr>
      </w:pPr>
      <w:r w:rsidRPr="003D6D8E">
        <w:rPr>
          <w:b/>
          <w:bCs/>
          <w:lang w:val="it-IT"/>
        </w:rPr>
        <w:t>Ndikime ekonomike:</w:t>
      </w:r>
    </w:p>
    <w:p w:rsidRPr="003D6D8E" w:rsidR="00715340" w:rsidP="00715340" w:rsidRDefault="00715340" w14:paraId="115E44F9" w14:textId="77777777">
      <w:pPr>
        <w:rPr>
          <w:lang w:val="it-IT"/>
        </w:rPr>
      </w:pPr>
    </w:p>
    <w:p w:rsidRPr="003D6D8E" w:rsidR="00715340" w:rsidRDefault="00715340" w14:paraId="6888C185" w14:textId="77777777">
      <w:pPr>
        <w:numPr>
          <w:ilvl w:val="0"/>
          <w:numId w:val="34"/>
        </w:numPr>
        <w:jc w:val="both"/>
        <w:rPr>
          <w:lang w:val="it-IT"/>
        </w:rPr>
      </w:pPr>
      <w:r w:rsidRPr="003D6D8E">
        <w:rPr>
          <w:lang w:val="it-IT"/>
        </w:rPr>
        <w:t>Siguria e kapitalit: Rritja e transparencës dhe mbrojtja e të drejtave të aksionarëve të pakicës ul rreziqet financiare dhe përmirëson qasjen në kapitale të huaja.</w:t>
      </w:r>
    </w:p>
    <w:p w:rsidRPr="003D6D8E" w:rsidR="00715340" w:rsidRDefault="00715340" w14:paraId="61750CF1" w14:textId="77777777">
      <w:pPr>
        <w:numPr>
          <w:ilvl w:val="0"/>
          <w:numId w:val="34"/>
        </w:numPr>
        <w:jc w:val="both"/>
        <w:rPr>
          <w:lang w:val="it-IT"/>
        </w:rPr>
      </w:pPr>
      <w:r w:rsidRPr="003D6D8E">
        <w:rPr>
          <w:lang w:val="it-IT"/>
        </w:rPr>
        <w:t>Stabiliteti i tregut: Standardizimi i procedurave ndërkufitare përmirëson besueshmërinë e operacioneve dhe redukton pasigurinë e tregut.</w:t>
      </w:r>
    </w:p>
    <w:p w:rsidRPr="00A32E1F" w:rsidR="00715340" w:rsidP="00715340" w:rsidRDefault="00715340" w14:paraId="627E5C87" w14:textId="77777777">
      <w:pPr>
        <w:rPr>
          <w:b/>
          <w:bCs/>
          <w:lang w:val="it-IT"/>
        </w:rPr>
      </w:pPr>
    </w:p>
    <w:p w:rsidRPr="00D12108" w:rsidR="00715340" w:rsidP="00715340" w:rsidRDefault="00715340" w14:paraId="24B0A539" w14:textId="77777777">
      <w:pPr>
        <w:rPr>
          <w:lang w:val="it-IT"/>
        </w:rPr>
      </w:pPr>
      <w:r w:rsidRPr="00D12108">
        <w:rPr>
          <w:b/>
          <w:bCs/>
          <w:lang w:val="it-IT"/>
        </w:rPr>
        <w:t>Ndikime sociale:</w:t>
      </w:r>
    </w:p>
    <w:p w:rsidRPr="00D12108" w:rsidR="00715340" w:rsidP="00715340" w:rsidRDefault="00715340" w14:paraId="27BF510D" w14:textId="77777777">
      <w:pPr>
        <w:jc w:val="both"/>
        <w:rPr>
          <w:lang w:val="it-IT"/>
        </w:rPr>
      </w:pPr>
      <w:r w:rsidRPr="00D12108">
        <w:rPr>
          <w:lang w:val="it-IT"/>
        </w:rPr>
        <w:t>Përmirësimi i drejtësisë dhe transparencës: Aksionarët mund të ushtrojnë të drejtat e tyre në mënyrë të rregulluar dhe të parashikueshme, duke ndihmuar në rritjen e kulturës së përgjegjësisë korporative.</w:t>
      </w:r>
    </w:p>
    <w:p w:rsidRPr="00D12108" w:rsidR="00715340" w:rsidP="00715340" w:rsidRDefault="00715340" w14:paraId="7195354A" w14:textId="77777777">
      <w:pPr>
        <w:jc w:val="both"/>
        <w:rPr>
          <w:lang w:val="it-IT"/>
        </w:rPr>
      </w:pPr>
    </w:p>
    <w:p w:rsidR="00715340" w:rsidP="00715340" w:rsidRDefault="00715340" w14:paraId="042A425C" w14:textId="77777777">
      <w:pPr>
        <w:rPr>
          <w:b/>
          <w:bCs/>
          <w:lang w:val="en-US"/>
        </w:rPr>
      </w:pPr>
      <w:r w:rsidRPr="003D6D8E">
        <w:rPr>
          <w:b/>
          <w:bCs/>
          <w:lang w:val="en-US"/>
        </w:rPr>
        <w:t>Ndikime financiare:</w:t>
      </w:r>
    </w:p>
    <w:p w:rsidRPr="003D6D8E" w:rsidR="00715340" w:rsidP="00715340" w:rsidRDefault="00715340" w14:paraId="64407B3E" w14:textId="77777777">
      <w:pPr>
        <w:rPr>
          <w:lang w:val="en-US"/>
        </w:rPr>
      </w:pPr>
    </w:p>
    <w:p w:rsidRPr="003D6D8E" w:rsidR="00715340" w:rsidRDefault="00715340" w14:paraId="18C4DFBA" w14:textId="77777777">
      <w:pPr>
        <w:numPr>
          <w:ilvl w:val="0"/>
          <w:numId w:val="35"/>
        </w:numPr>
        <w:jc w:val="both"/>
        <w:rPr>
          <w:lang w:val="en-US"/>
        </w:rPr>
      </w:pPr>
      <w:r w:rsidRPr="003D6D8E">
        <w:rPr>
          <w:lang w:val="en-US"/>
        </w:rPr>
        <w:t>Rritja e të ardhurave nga investimet: Përfitimet nga investimet bëhen më të qarta dhe më të sigurta, duke nxitur investime të mëtejshme.</w:t>
      </w:r>
    </w:p>
    <w:p w:rsidRPr="003D6D8E" w:rsidR="00715340" w:rsidRDefault="00715340" w14:paraId="53C7B31E" w14:textId="77777777">
      <w:pPr>
        <w:numPr>
          <w:ilvl w:val="0"/>
          <w:numId w:val="35"/>
        </w:numPr>
        <w:jc w:val="both"/>
        <w:rPr>
          <w:lang w:val="en-US"/>
        </w:rPr>
      </w:pPr>
      <w:r w:rsidRPr="003D6D8E">
        <w:rPr>
          <w:lang w:val="en-US"/>
        </w:rPr>
        <w:t>Reduktimi i humbjeve: Masat për mbrojtjen e aksionarëve zvogëlojnë mundësinë e abuzimeve ose keqpërdorimit të kapitalit.</w:t>
      </w:r>
    </w:p>
    <w:p w:rsidR="00715340" w:rsidP="00715340" w:rsidRDefault="00715340" w14:paraId="2F2F69DB" w14:textId="77777777">
      <w:pPr>
        <w:rPr>
          <w:b/>
          <w:bCs/>
          <w:lang w:val="en-US"/>
        </w:rPr>
      </w:pPr>
    </w:p>
    <w:p w:rsidR="00715340" w:rsidP="00715340" w:rsidRDefault="00715340" w14:paraId="48FCB5DF" w14:textId="77777777">
      <w:pPr>
        <w:rPr>
          <w:b/>
          <w:bCs/>
          <w:lang w:val="en-US"/>
        </w:rPr>
      </w:pPr>
      <w:r w:rsidRPr="003D6D8E">
        <w:rPr>
          <w:b/>
          <w:bCs/>
          <w:lang w:val="en-US"/>
        </w:rPr>
        <w:t>Ndikime jo të drejtpërdrejta:</w:t>
      </w:r>
    </w:p>
    <w:p w:rsidRPr="003D6D8E" w:rsidR="00715340" w:rsidP="00715340" w:rsidRDefault="00715340" w14:paraId="21DA1883" w14:textId="77777777">
      <w:pPr>
        <w:rPr>
          <w:lang w:val="en-US"/>
        </w:rPr>
      </w:pPr>
    </w:p>
    <w:p w:rsidRPr="003D6D8E" w:rsidR="00715340" w:rsidRDefault="00715340" w14:paraId="46EB0DAA" w14:textId="77777777">
      <w:pPr>
        <w:numPr>
          <w:ilvl w:val="0"/>
          <w:numId w:val="36"/>
        </w:numPr>
        <w:jc w:val="both"/>
        <w:rPr>
          <w:lang w:val="it-IT"/>
        </w:rPr>
      </w:pPr>
      <w:r w:rsidRPr="003D6D8E">
        <w:rPr>
          <w:lang w:val="it-IT"/>
        </w:rPr>
        <w:t>Besimi afatgjatë: Përmirësimi i kuadrit ligjor rrit besimin e tregut dhe stabilitetin e ekosistemit të investimeve.</w:t>
      </w:r>
    </w:p>
    <w:p w:rsidRPr="003D6D8E" w:rsidR="00715340" w:rsidRDefault="00715340" w14:paraId="427815D0" w14:textId="77777777">
      <w:pPr>
        <w:numPr>
          <w:ilvl w:val="0"/>
          <w:numId w:val="36"/>
        </w:numPr>
        <w:jc w:val="both"/>
        <w:rPr>
          <w:lang w:val="it-IT"/>
        </w:rPr>
      </w:pPr>
      <w:r w:rsidRPr="003D6D8E">
        <w:rPr>
          <w:lang w:val="it-IT"/>
        </w:rPr>
        <w:t>Përforcimi i marrëdhënieve ndërkombëtare: Investitorët e huaj do të ndihen më të sigurt për të hyrë në tregun shqiptar, duke përmirësuar reputacionin e vendit.</w:t>
      </w:r>
    </w:p>
    <w:p w:rsidRPr="00A32E1F" w:rsidR="00715340" w:rsidP="00715340" w:rsidRDefault="00715340" w14:paraId="13E9AB5A" w14:textId="77777777">
      <w:pPr>
        <w:jc w:val="both"/>
        <w:rPr>
          <w:lang w:val="it-IT"/>
        </w:rPr>
      </w:pPr>
    </w:p>
    <w:p w:rsidRPr="00A32E1F" w:rsidR="00715340" w:rsidP="00715340" w:rsidRDefault="00715340" w14:paraId="065F468F" w14:textId="77777777">
      <w:pPr>
        <w:rPr>
          <w:b/>
          <w:bCs/>
          <w:lang w:val="it-IT"/>
        </w:rPr>
      </w:pPr>
      <w:r w:rsidRPr="00A32E1F">
        <w:rPr>
          <w:b/>
          <w:bCs/>
          <w:lang w:val="it-IT"/>
        </w:rPr>
        <w:t>4. Publiku dhe shoqëria civile</w:t>
      </w:r>
    </w:p>
    <w:p w:rsidRPr="00A32E1F" w:rsidR="00715340" w:rsidP="00715340" w:rsidRDefault="00715340" w14:paraId="10228B88" w14:textId="77777777">
      <w:pPr>
        <w:rPr>
          <w:b/>
          <w:bCs/>
          <w:lang w:val="it-IT"/>
        </w:rPr>
      </w:pPr>
    </w:p>
    <w:p w:rsidRPr="00A32E1F" w:rsidR="00715340" w:rsidP="00715340" w:rsidRDefault="00715340" w14:paraId="184FA0FF" w14:textId="77777777">
      <w:pPr>
        <w:rPr>
          <w:lang w:val="it-IT"/>
        </w:rPr>
      </w:pPr>
      <w:r w:rsidRPr="00A32E1F">
        <w:rPr>
          <w:b/>
          <w:bCs/>
          <w:lang w:val="it-IT"/>
        </w:rPr>
        <w:t>Ndikime ekonomike:</w:t>
      </w:r>
    </w:p>
    <w:p w:rsidRPr="00A32E1F" w:rsidR="00715340" w:rsidP="00715340" w:rsidRDefault="00715340" w14:paraId="41E02024" w14:textId="77777777">
      <w:pPr>
        <w:rPr>
          <w:b/>
          <w:bCs/>
          <w:lang w:val="it-IT"/>
        </w:rPr>
      </w:pPr>
    </w:p>
    <w:p w:rsidRPr="00A32E1F" w:rsidR="00715340" w:rsidP="00715340" w:rsidRDefault="00715340" w14:paraId="4E3DE62F" w14:textId="77777777">
      <w:pPr>
        <w:jc w:val="both"/>
        <w:rPr>
          <w:lang w:val="it-IT"/>
        </w:rPr>
      </w:pPr>
      <w:r w:rsidRPr="00A32E1F">
        <w:rPr>
          <w:lang w:val="it-IT"/>
        </w:rPr>
        <w:t>Përfitimet indirekte nga zhvillimi ekonomik: Rritja e investimeve dhe aktivitetit ndërkombëtar mund të krijojë vende pune dhe të rrisë të ardhurat kombëtare.</w:t>
      </w:r>
    </w:p>
    <w:p w:rsidRPr="00A32E1F" w:rsidR="00715340" w:rsidP="00715340" w:rsidRDefault="00715340" w14:paraId="37B48280" w14:textId="77777777">
      <w:pPr>
        <w:jc w:val="both"/>
        <w:rPr>
          <w:lang w:val="it-IT"/>
        </w:rPr>
      </w:pPr>
    </w:p>
    <w:p w:rsidR="00715340" w:rsidP="00715340" w:rsidRDefault="00715340" w14:paraId="22FF31C8" w14:textId="77777777">
      <w:pPr>
        <w:rPr>
          <w:b/>
          <w:bCs/>
          <w:lang w:val="en-US"/>
        </w:rPr>
      </w:pPr>
      <w:r w:rsidRPr="003D6D8E">
        <w:rPr>
          <w:b/>
          <w:bCs/>
          <w:lang w:val="en-US"/>
        </w:rPr>
        <w:t>Ndikime sociale:</w:t>
      </w:r>
    </w:p>
    <w:p w:rsidRPr="003D6D8E" w:rsidR="00715340" w:rsidP="00715340" w:rsidRDefault="00715340" w14:paraId="332591DC" w14:textId="77777777">
      <w:pPr>
        <w:rPr>
          <w:lang w:val="en-US"/>
        </w:rPr>
      </w:pPr>
    </w:p>
    <w:p w:rsidRPr="003D6D8E" w:rsidR="00715340" w:rsidRDefault="00715340" w14:paraId="43597459" w14:textId="77777777">
      <w:pPr>
        <w:numPr>
          <w:ilvl w:val="0"/>
          <w:numId w:val="37"/>
        </w:numPr>
        <w:jc w:val="both"/>
        <w:rPr>
          <w:lang w:val="en-US"/>
        </w:rPr>
      </w:pPr>
      <w:r w:rsidRPr="003D6D8E">
        <w:rPr>
          <w:lang w:val="en-US"/>
        </w:rPr>
        <w:t>Rritja e transparencës dhe llogaridhënies: Standardizimi i procedurave dhe rregullat për njoftimin publik sigurojnë që shoqëria civile të ketë qasje në informacion dhe mundësi për të ndikuar në praktikat korporative.</w:t>
      </w:r>
    </w:p>
    <w:p w:rsidRPr="003D6D8E" w:rsidR="00715340" w:rsidRDefault="00715340" w14:paraId="59D1427D" w14:textId="77777777">
      <w:pPr>
        <w:numPr>
          <w:ilvl w:val="0"/>
          <w:numId w:val="37"/>
        </w:numPr>
        <w:jc w:val="both"/>
        <w:rPr>
          <w:lang w:val="en-US"/>
        </w:rPr>
      </w:pPr>
      <w:r w:rsidRPr="003D6D8E">
        <w:rPr>
          <w:lang w:val="en-US"/>
        </w:rPr>
        <w:t>Përmirësimi i praktikave të qeverisjes korporative: Një ambient më transparent i jep publikut siguri dhe rrit besimin në sistemin ekonomik dhe ligjor.</w:t>
      </w:r>
    </w:p>
    <w:p w:rsidR="00715340" w:rsidP="00715340" w:rsidRDefault="00715340" w14:paraId="4BF08C2D" w14:textId="77777777">
      <w:pPr>
        <w:rPr>
          <w:b/>
          <w:bCs/>
          <w:lang w:val="en-US"/>
        </w:rPr>
      </w:pPr>
    </w:p>
    <w:p w:rsidR="00715340" w:rsidP="00715340" w:rsidRDefault="00715340" w14:paraId="663E8139" w14:textId="77777777">
      <w:pPr>
        <w:rPr>
          <w:b/>
          <w:bCs/>
          <w:lang w:val="en-US"/>
        </w:rPr>
      </w:pPr>
      <w:r w:rsidRPr="003D6D8E">
        <w:rPr>
          <w:b/>
          <w:bCs/>
          <w:lang w:val="en-US"/>
        </w:rPr>
        <w:t>Ndikime financiare:</w:t>
      </w:r>
    </w:p>
    <w:p w:rsidRPr="003D6D8E" w:rsidR="00715340" w:rsidP="00715340" w:rsidRDefault="00715340" w14:paraId="06F0509C" w14:textId="77777777">
      <w:pPr>
        <w:rPr>
          <w:lang w:val="en-US"/>
        </w:rPr>
      </w:pPr>
    </w:p>
    <w:p w:rsidRPr="003D6D8E" w:rsidR="00715340" w:rsidP="00715340" w:rsidRDefault="00715340" w14:paraId="4C512F89" w14:textId="77777777">
      <w:pPr>
        <w:rPr>
          <w:lang w:val="en-US"/>
        </w:rPr>
      </w:pPr>
      <w:r w:rsidRPr="003D6D8E">
        <w:rPr>
          <w:lang w:val="en-US"/>
        </w:rPr>
        <w:t>Përfitimet indirekte nga rritja e aktivitetit ekonomik: Një treg më i shëndetshëm dhe investime të reja rrisin të ardhurat e taksave dhe stabilitetin buxhetor.</w:t>
      </w:r>
    </w:p>
    <w:p w:rsidRPr="003D6D8E" w:rsidR="00715340" w:rsidP="00715340" w:rsidRDefault="00715340" w14:paraId="619983D1" w14:textId="77777777">
      <w:pPr>
        <w:rPr>
          <w:lang w:val="en-US"/>
        </w:rPr>
      </w:pPr>
    </w:p>
    <w:p w:rsidRPr="00A32E1F" w:rsidR="00715340" w:rsidP="00715340" w:rsidRDefault="00715340" w14:paraId="57883E21"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A32E1F">
        <w:rPr>
          <w:b/>
          <w:bCs/>
          <w:color w:val="000000" w:themeColor="text1"/>
          <w:szCs w:val="24"/>
          <w:lang w:val="it-IT"/>
        </w:rPr>
        <w:t>4. Shoqëria civile dhe sektori i mbikëqyrjes</w:t>
      </w:r>
    </w:p>
    <w:p w:rsidRPr="00715340" w:rsidR="00715340" w:rsidP="00715340" w:rsidRDefault="00715340" w14:paraId="20C464B6"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715340" w:rsidRDefault="00715340" w14:paraId="29586319" w14:textId="77777777">
      <w:pPr>
        <w:numPr>
          <w:ilvl w:val="0"/>
          <w:numId w:val="38"/>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Ndikimi ekonomik është indirekt, përmes përmirësimit të mjedisit të biznesit dhe rritjes së investimeve. Një treg më transparent dhe i harmonizuar mund të rrisë aktivitetin ekonomik dhe të gjenerojë burime të reja për projekte sociale dhe monitorim.</w:t>
      </w:r>
    </w:p>
    <w:p w:rsidRPr="00715340" w:rsidR="00715340" w:rsidP="00715340" w:rsidRDefault="00715340" w14:paraId="3EDE8CC6"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715340" w:rsidRDefault="00715340" w14:paraId="7ACB67D6" w14:textId="77777777">
      <w:pPr>
        <w:numPr>
          <w:ilvl w:val="0"/>
          <w:numId w:val="3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Rritja e transparencës dhe qartësisë ligjore i jep shoqërisë civile mundësi për të monitoruar praktikat e korporatave dhe të raportojë në mënyrë të pavarur për keqpërdorimet ose mosrespektimin e rregullave.</w:t>
      </w:r>
    </w:p>
    <w:p w:rsidRPr="00715340" w:rsidR="00715340" w:rsidRDefault="00715340" w14:paraId="685B69C3" w14:textId="77777777">
      <w:pPr>
        <w:numPr>
          <w:ilvl w:val="0"/>
          <w:numId w:val="3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Forcimi i llogaridhënies së bizneseve dhe institucioneve shtetërore kontribuon në përmirësimin e besimit publik dhe promovon kulturën e përgjegjësisë.</w:t>
      </w:r>
    </w:p>
    <w:p w:rsidRPr="00715340" w:rsidR="00715340" w:rsidP="00715340" w:rsidRDefault="00715340" w14:paraId="15F542C5"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715340" w:rsidR="00715340" w:rsidRDefault="00715340" w14:paraId="7D0F4CBD" w14:textId="77777777">
      <w:pPr>
        <w:numPr>
          <w:ilvl w:val="0"/>
          <w:numId w:val="40"/>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Përdorimi i informacionit të qasshëm nga regjistrat e harmonizuar mund të mundësojë analizë më të mirë të tregut dhe projektimit të politikave publike, duke optimizuar përdorimin e fondeve për monitorim dhe mbështetje institucionale.</w:t>
      </w:r>
    </w:p>
    <w:p w:rsidRPr="00715340" w:rsidR="00715340" w:rsidP="00715340" w:rsidRDefault="00715340" w14:paraId="4EFFF24F" w14:textId="6538EE53">
      <w:pPr>
        <w:pBdr>
          <w:top w:val="nil"/>
          <w:left w:val="nil"/>
          <w:bottom w:val="nil"/>
          <w:right w:val="nil"/>
          <w:between w:val="nil"/>
          <w:bar w:val="nil"/>
        </w:pBdr>
        <w:spacing w:line="276" w:lineRule="auto"/>
        <w:ind w:right="20"/>
        <w:jc w:val="both"/>
        <w:rPr>
          <w:color w:val="000000" w:themeColor="text1"/>
          <w:szCs w:val="24"/>
          <w:lang w:val="en-US"/>
        </w:rPr>
      </w:pPr>
    </w:p>
    <w:p w:rsidRPr="00A32E1F" w:rsidR="00715340" w:rsidP="00715340" w:rsidRDefault="00715340" w14:paraId="4BFFA015"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A32E1F">
        <w:rPr>
          <w:b/>
          <w:bCs/>
          <w:color w:val="000000" w:themeColor="text1"/>
          <w:szCs w:val="24"/>
          <w:lang w:val="it-IT"/>
        </w:rPr>
        <w:t>5. Investitorët e huaj dhe ata vendas</w:t>
      </w:r>
    </w:p>
    <w:p w:rsidRPr="00715340" w:rsidR="00715340" w:rsidP="00715340" w:rsidRDefault="00715340" w14:paraId="28AD283C"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A32E1F" w:rsidR="00715340" w:rsidRDefault="00715340" w14:paraId="15ED6123" w14:textId="77777777">
      <w:pPr>
        <w:numPr>
          <w:ilvl w:val="0"/>
          <w:numId w:val="41"/>
        </w:numPr>
        <w:pBdr>
          <w:top w:val="nil"/>
          <w:left w:val="nil"/>
          <w:bottom w:val="nil"/>
          <w:right w:val="nil"/>
          <w:between w:val="nil"/>
          <w:bar w:val="nil"/>
        </w:pBdr>
        <w:spacing w:line="276" w:lineRule="auto"/>
        <w:ind w:right="20"/>
        <w:jc w:val="both"/>
        <w:rPr>
          <w:color w:val="000000" w:themeColor="text1"/>
          <w:szCs w:val="24"/>
          <w:lang w:val="it-IT"/>
        </w:rPr>
      </w:pPr>
      <w:r w:rsidRPr="00A32E1F">
        <w:rPr>
          <w:color w:val="000000" w:themeColor="text1"/>
          <w:szCs w:val="24"/>
          <w:lang w:val="it-IT"/>
        </w:rPr>
        <w:t>Përmirësimi i klimës së biznesit dhe harmonizimi me standardet e BE-së rrit besimin e investitorëve dhe mundësinë e investimeve të reja.</w:t>
      </w:r>
    </w:p>
    <w:p w:rsidRPr="00A32E1F" w:rsidR="00715340" w:rsidRDefault="00715340" w14:paraId="4EB43F4D" w14:textId="77777777">
      <w:pPr>
        <w:numPr>
          <w:ilvl w:val="0"/>
          <w:numId w:val="41"/>
        </w:numPr>
        <w:pBdr>
          <w:top w:val="nil"/>
          <w:left w:val="nil"/>
          <w:bottom w:val="nil"/>
          <w:right w:val="nil"/>
          <w:between w:val="nil"/>
          <w:bar w:val="nil"/>
        </w:pBdr>
        <w:spacing w:line="276" w:lineRule="auto"/>
        <w:ind w:right="20"/>
        <w:jc w:val="both"/>
        <w:rPr>
          <w:color w:val="000000" w:themeColor="text1"/>
          <w:szCs w:val="24"/>
          <w:lang w:val="it-IT"/>
        </w:rPr>
      </w:pPr>
      <w:r w:rsidRPr="00A32E1F">
        <w:rPr>
          <w:color w:val="000000" w:themeColor="text1"/>
          <w:szCs w:val="24"/>
          <w:lang w:val="it-IT"/>
        </w:rPr>
        <w:t>Procedurat standarde për transformime, bashkime dhe ndarje ndërkufitare lehtësojnë hyrjen dhe daljen e kapitalit, duke krijuar mundësi për zgjerim dhe diversifikim të portofolit të investimeve.</w:t>
      </w:r>
    </w:p>
    <w:p w:rsidRPr="00715340" w:rsidR="00715340" w:rsidP="00715340" w:rsidRDefault="00715340" w14:paraId="73ED40AA"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715340" w:rsidRDefault="00715340" w14:paraId="6FD6B5D6" w14:textId="77777777">
      <w:pPr>
        <w:numPr>
          <w:ilvl w:val="0"/>
          <w:numId w:val="42"/>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Siguria e investimeve dhe parashikueshmëria e kuadrit ligjor forcojnë marrëdhëniet ndërkombëtare dhe reputacionin e vendit si destinacion investimi të besueshëm.</w:t>
      </w:r>
    </w:p>
    <w:p w:rsidRPr="00715340" w:rsidR="00715340" w:rsidP="00715340" w:rsidRDefault="00715340" w14:paraId="1B0ACB28"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A32E1F" w:rsidR="00715340" w:rsidRDefault="00715340" w14:paraId="08206D1D" w14:textId="77777777">
      <w:pPr>
        <w:numPr>
          <w:ilvl w:val="0"/>
          <w:numId w:val="43"/>
        </w:numPr>
        <w:pBdr>
          <w:top w:val="nil"/>
          <w:left w:val="nil"/>
          <w:bottom w:val="nil"/>
          <w:right w:val="nil"/>
          <w:between w:val="nil"/>
          <w:bar w:val="nil"/>
        </w:pBdr>
        <w:spacing w:line="276" w:lineRule="auto"/>
        <w:ind w:right="20"/>
        <w:jc w:val="both"/>
        <w:rPr>
          <w:color w:val="000000" w:themeColor="text1"/>
          <w:szCs w:val="24"/>
          <w:lang w:val="it-IT"/>
        </w:rPr>
      </w:pPr>
      <w:r w:rsidRPr="00A32E1F">
        <w:rPr>
          <w:color w:val="000000" w:themeColor="text1"/>
          <w:szCs w:val="24"/>
          <w:lang w:val="it-IT"/>
        </w:rPr>
        <w:t>Reduktimi i kostove transaksionale dhe zvogëlimi i rrezikut ligjor rrisin kthimin e investimeve.</w:t>
      </w:r>
    </w:p>
    <w:p w:rsidRPr="00A32E1F" w:rsidR="00715340" w:rsidRDefault="00715340" w14:paraId="5F06B21F" w14:textId="77777777">
      <w:pPr>
        <w:numPr>
          <w:ilvl w:val="0"/>
          <w:numId w:val="43"/>
        </w:numPr>
        <w:pBdr>
          <w:top w:val="nil"/>
          <w:left w:val="nil"/>
          <w:bottom w:val="nil"/>
          <w:right w:val="nil"/>
          <w:between w:val="nil"/>
          <w:bar w:val="nil"/>
        </w:pBdr>
        <w:spacing w:line="276" w:lineRule="auto"/>
        <w:ind w:right="20"/>
        <w:jc w:val="both"/>
        <w:rPr>
          <w:color w:val="000000" w:themeColor="text1"/>
          <w:szCs w:val="24"/>
          <w:lang w:val="it-IT"/>
        </w:rPr>
      </w:pPr>
      <w:r w:rsidRPr="00A32E1F">
        <w:rPr>
          <w:color w:val="000000" w:themeColor="text1"/>
          <w:szCs w:val="24"/>
          <w:lang w:val="it-IT"/>
        </w:rPr>
        <w:t>Rritja e Investimeve të Huaja Direkte (FDI) ka efekt pozitiv edhe në të ardhurat buxhetore përmes taksave dhe kontribuimeve të lidhura me aktivitetin ekonomik.</w:t>
      </w:r>
    </w:p>
    <w:p w:rsidRPr="00D12108" w:rsidR="00715340" w:rsidP="00715340" w:rsidRDefault="00715340" w14:paraId="1EEC3F22" w14:textId="1BF180E6">
      <w:pPr>
        <w:pBdr>
          <w:top w:val="nil"/>
          <w:left w:val="nil"/>
          <w:bottom w:val="nil"/>
          <w:right w:val="nil"/>
          <w:between w:val="nil"/>
          <w:bar w:val="nil"/>
        </w:pBdr>
        <w:spacing w:line="276" w:lineRule="auto"/>
        <w:ind w:right="20"/>
        <w:jc w:val="both"/>
        <w:rPr>
          <w:color w:val="000000" w:themeColor="text1"/>
          <w:szCs w:val="24"/>
          <w:lang w:val="it-IT"/>
        </w:rPr>
      </w:pPr>
    </w:p>
    <w:p w:rsidRPr="00D12108" w:rsidR="00715340" w:rsidP="00715340" w:rsidRDefault="00715340" w14:paraId="683EB618"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D12108">
        <w:rPr>
          <w:b/>
          <w:bCs/>
          <w:color w:val="000000" w:themeColor="text1"/>
          <w:szCs w:val="24"/>
          <w:lang w:val="it-IT"/>
        </w:rPr>
        <w:t>6. Profesionalët ligjorë (avokatë, konsulentë, këshilltarë të biznesit)</w:t>
      </w:r>
    </w:p>
    <w:p w:rsidRPr="00715340" w:rsidR="00715340" w:rsidP="00715340" w:rsidRDefault="00715340" w14:paraId="48DCA025"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715340" w:rsidRDefault="00715340" w14:paraId="52F874B8" w14:textId="77777777">
      <w:pPr>
        <w:numPr>
          <w:ilvl w:val="0"/>
          <w:numId w:val="44"/>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Rritja e kërkesës për këshillim ligjor për procedurat e transformimit, bashkimeve dhe ndarjeve ndërkufitare krijon mundësi të reja për aktivitet profesional dhe fitime të shtuar.</w:t>
      </w:r>
    </w:p>
    <w:p w:rsidRPr="00715340" w:rsidR="00715340" w:rsidP="00715340" w:rsidRDefault="00715340" w14:paraId="20A2A969"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715340" w:rsidRDefault="00715340" w14:paraId="1B49F092" w14:textId="77777777">
      <w:pPr>
        <w:numPr>
          <w:ilvl w:val="0"/>
          <w:numId w:val="45"/>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Forcimi i njohurive dhe kompetencave të profesionistëve ligjorë kontribuon në një sistem më të besueshëm të ofrimit të shërbimeve dhe përmirëson cilësinë e këshillimit për bizneset dhe palët e interesuara.</w:t>
      </w:r>
    </w:p>
    <w:p w:rsidRPr="00715340" w:rsidR="00715340" w:rsidP="00715340" w:rsidRDefault="00715340" w14:paraId="7E9ED931"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A32E1F" w:rsidR="00715340" w:rsidRDefault="00715340" w14:paraId="2EFF29EF" w14:textId="77777777">
      <w:pPr>
        <w:numPr>
          <w:ilvl w:val="0"/>
          <w:numId w:val="46"/>
        </w:numPr>
        <w:pBdr>
          <w:top w:val="nil"/>
          <w:left w:val="nil"/>
          <w:bottom w:val="nil"/>
          <w:right w:val="nil"/>
          <w:between w:val="nil"/>
          <w:bar w:val="nil"/>
        </w:pBdr>
        <w:spacing w:line="276" w:lineRule="auto"/>
        <w:ind w:right="20"/>
        <w:jc w:val="both"/>
        <w:rPr>
          <w:color w:val="000000" w:themeColor="text1"/>
          <w:szCs w:val="24"/>
          <w:lang w:val="it-IT"/>
        </w:rPr>
      </w:pPr>
      <w:r w:rsidRPr="00A32E1F">
        <w:rPr>
          <w:color w:val="000000" w:themeColor="text1"/>
          <w:szCs w:val="24"/>
          <w:lang w:val="it-IT"/>
        </w:rPr>
        <w:t>Përfitime financiare direkte nga shërbimet e këshillimit dhe certifikimit.</w:t>
      </w:r>
    </w:p>
    <w:p w:rsidRPr="00A32E1F" w:rsidR="00715340" w:rsidRDefault="00715340" w14:paraId="0DF8767E" w14:textId="77777777">
      <w:pPr>
        <w:numPr>
          <w:ilvl w:val="0"/>
          <w:numId w:val="46"/>
        </w:numPr>
        <w:pBdr>
          <w:top w:val="nil"/>
          <w:left w:val="nil"/>
          <w:bottom w:val="nil"/>
          <w:right w:val="nil"/>
          <w:between w:val="nil"/>
          <w:bar w:val="nil"/>
        </w:pBdr>
        <w:spacing w:line="276" w:lineRule="auto"/>
        <w:ind w:right="20"/>
        <w:jc w:val="both"/>
        <w:rPr>
          <w:color w:val="000000" w:themeColor="text1"/>
          <w:szCs w:val="24"/>
          <w:lang w:val="it-IT"/>
        </w:rPr>
      </w:pPr>
      <w:r w:rsidRPr="00A32E1F">
        <w:rPr>
          <w:color w:val="000000" w:themeColor="text1"/>
          <w:szCs w:val="24"/>
          <w:lang w:val="it-IT"/>
        </w:rPr>
        <w:t>Investimi në trajnime dhe certifikime shtesë për të qëndruar në përputhje me ligjin dhe standardet e BE-së mund të kërkojë shpenzime fillestare, por sjell rritje të kapaciteteve dhe të ardhurave afatgjata.</w:t>
      </w:r>
    </w:p>
    <w:p w:rsidRPr="00D12108" w:rsidR="00715340" w:rsidP="00715340" w:rsidRDefault="00715340" w14:paraId="0FE669E3" w14:textId="4F94447F">
      <w:pPr>
        <w:pBdr>
          <w:top w:val="nil"/>
          <w:left w:val="nil"/>
          <w:bottom w:val="nil"/>
          <w:right w:val="nil"/>
          <w:between w:val="nil"/>
          <w:bar w:val="nil"/>
        </w:pBdr>
        <w:spacing w:line="276" w:lineRule="auto"/>
        <w:ind w:right="20"/>
        <w:jc w:val="both"/>
        <w:rPr>
          <w:color w:val="000000" w:themeColor="text1"/>
          <w:szCs w:val="24"/>
          <w:lang w:val="it-IT"/>
        </w:rPr>
      </w:pPr>
    </w:p>
    <w:p w:rsidRPr="00D12108" w:rsidR="00715340" w:rsidP="00715340" w:rsidRDefault="00715340" w14:paraId="1578E017" w14:textId="77777777">
      <w:pPr>
        <w:pBdr>
          <w:top w:val="nil"/>
          <w:left w:val="nil"/>
          <w:bottom w:val="nil"/>
          <w:right w:val="nil"/>
          <w:between w:val="nil"/>
          <w:bar w:val="nil"/>
        </w:pBdr>
        <w:spacing w:line="276" w:lineRule="auto"/>
        <w:ind w:right="20"/>
        <w:jc w:val="both"/>
        <w:rPr>
          <w:b/>
          <w:bCs/>
          <w:color w:val="000000" w:themeColor="text1"/>
          <w:szCs w:val="24"/>
          <w:lang w:val="it-IT"/>
        </w:rPr>
      </w:pPr>
      <w:r w:rsidRPr="00D12108">
        <w:rPr>
          <w:b/>
          <w:bCs/>
          <w:color w:val="000000" w:themeColor="text1"/>
          <w:szCs w:val="24"/>
          <w:lang w:val="it-IT"/>
        </w:rPr>
        <w:t>7. Aksionarët/ortakët (përfshirë aksionarët e pakicës)</w:t>
      </w:r>
    </w:p>
    <w:p w:rsidRPr="00715340" w:rsidR="00715340" w:rsidP="00715340" w:rsidRDefault="00715340" w14:paraId="593995CA"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715340" w:rsidRDefault="00715340" w14:paraId="11345282" w14:textId="77777777">
      <w:pPr>
        <w:numPr>
          <w:ilvl w:val="0"/>
          <w:numId w:val="47"/>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Përmirësimi i transparencës dhe mbrojtja e të drejtave të aksionarëve e rrit besimin në treg, duke lehtësuar vendimet për investime dhe rritjen e kapitalit.</w:t>
      </w:r>
    </w:p>
    <w:p w:rsidRPr="00715340" w:rsidR="00715340" w:rsidP="00715340" w:rsidRDefault="00715340" w14:paraId="1F4DFCD3"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715340" w:rsidRDefault="00715340" w14:paraId="0DE8FBF4" w14:textId="77777777">
      <w:pPr>
        <w:numPr>
          <w:ilvl w:val="0"/>
          <w:numId w:val="48"/>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Siguria ligjore dhe qartësia e procedurave për pjesëmarrësit në shoqëri kontribuojnë në stabilitetin e marrëdhënieve brenda kompanive dhe parandalojnë konfliktet.</w:t>
      </w:r>
    </w:p>
    <w:p w:rsidRPr="00715340" w:rsidR="00715340" w:rsidP="00715340" w:rsidRDefault="00715340" w14:paraId="3E167630"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715340" w:rsidR="00715340" w:rsidRDefault="00715340" w14:paraId="7EC0F244" w14:textId="77777777">
      <w:pPr>
        <w:numPr>
          <w:ilvl w:val="0"/>
          <w:numId w:val="4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Reduktimi i humbjeve të mundshme nga mosrespektimi i ligjit ose keqpërdorimet e aksionarëve të tjerë.</w:t>
      </w:r>
    </w:p>
    <w:p w:rsidRPr="00715340" w:rsidR="00715340" w:rsidRDefault="00715340" w14:paraId="4B1B0AF2" w14:textId="77777777">
      <w:pPr>
        <w:numPr>
          <w:ilvl w:val="0"/>
          <w:numId w:val="49"/>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Përfitime nga pjesëmarrja në ristrukturime ndërkufitare dhe bashkime, që mund të rrisin vlerën e aksioneve.</w:t>
      </w:r>
    </w:p>
    <w:p w:rsidRPr="00715340" w:rsidR="00715340" w:rsidP="00715340" w:rsidRDefault="00715340" w14:paraId="677FC3A6" w14:textId="7181668B">
      <w:pPr>
        <w:pBdr>
          <w:top w:val="nil"/>
          <w:left w:val="nil"/>
          <w:bottom w:val="nil"/>
          <w:right w:val="nil"/>
          <w:between w:val="nil"/>
          <w:bar w:val="nil"/>
        </w:pBdr>
        <w:spacing w:line="276" w:lineRule="auto"/>
        <w:ind w:right="20"/>
        <w:jc w:val="both"/>
        <w:rPr>
          <w:color w:val="000000" w:themeColor="text1"/>
          <w:szCs w:val="24"/>
          <w:lang w:val="en-US"/>
        </w:rPr>
      </w:pPr>
    </w:p>
    <w:p w:rsidRPr="00715340" w:rsidR="00715340" w:rsidP="00715340" w:rsidRDefault="00715340" w14:paraId="2B819A10" w14:textId="77777777">
      <w:pPr>
        <w:pBdr>
          <w:top w:val="nil"/>
          <w:left w:val="nil"/>
          <w:bottom w:val="nil"/>
          <w:right w:val="nil"/>
          <w:between w:val="nil"/>
          <w:bar w:val="nil"/>
        </w:pBdr>
        <w:spacing w:line="276" w:lineRule="auto"/>
        <w:ind w:right="20"/>
        <w:jc w:val="both"/>
        <w:rPr>
          <w:b/>
          <w:bCs/>
          <w:color w:val="000000" w:themeColor="text1"/>
          <w:szCs w:val="24"/>
          <w:lang w:val="en-US"/>
        </w:rPr>
      </w:pPr>
      <w:r w:rsidRPr="00715340">
        <w:rPr>
          <w:b/>
          <w:bCs/>
          <w:color w:val="000000" w:themeColor="text1"/>
          <w:szCs w:val="24"/>
          <w:lang w:val="en-US"/>
        </w:rPr>
        <w:t>8. Noterët</w:t>
      </w:r>
    </w:p>
    <w:p w:rsidRPr="00715340" w:rsidR="00715340" w:rsidP="00715340" w:rsidRDefault="00715340" w14:paraId="26001ABA"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ekonomike:</w:t>
      </w:r>
    </w:p>
    <w:p w:rsidRPr="00715340" w:rsidR="00715340" w:rsidRDefault="00715340" w14:paraId="6D0E0CE9" w14:textId="77777777">
      <w:pPr>
        <w:numPr>
          <w:ilvl w:val="0"/>
          <w:numId w:val="50"/>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Rritja e rolit të noterëve në certifikimin e pajtueshmërisë dhe monitorimin e procedurave krijon mundësi për të zgjeruar shërbimet dhe aktivitetin profesional.</w:t>
      </w:r>
    </w:p>
    <w:p w:rsidRPr="00715340" w:rsidR="00715340" w:rsidP="00715340" w:rsidRDefault="00715340" w14:paraId="4F124174"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sociale:</w:t>
      </w:r>
    </w:p>
    <w:p w:rsidRPr="00715340" w:rsidR="00715340" w:rsidRDefault="00715340" w14:paraId="0A65CDE5" w14:textId="77777777">
      <w:pPr>
        <w:numPr>
          <w:ilvl w:val="0"/>
          <w:numId w:val="51"/>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Përmirësimi i kapaciteteve profesionale dhe trajnimeve kontribuon në besueshmërinë e sistemit ligjor dhe ofrimin e shërbimeve të standardizuara për bizneset dhe individët.</w:t>
      </w:r>
    </w:p>
    <w:p w:rsidRPr="00715340" w:rsidR="00715340" w:rsidP="00715340" w:rsidRDefault="00715340" w14:paraId="7E9879FE" w14:textId="77777777">
      <w:pPr>
        <w:pBdr>
          <w:top w:val="nil"/>
          <w:left w:val="nil"/>
          <w:bottom w:val="nil"/>
          <w:right w:val="nil"/>
          <w:between w:val="nil"/>
          <w:bar w:val="nil"/>
        </w:pBdr>
        <w:spacing w:line="276" w:lineRule="auto"/>
        <w:ind w:right="20"/>
        <w:jc w:val="both"/>
        <w:rPr>
          <w:color w:val="000000" w:themeColor="text1"/>
          <w:szCs w:val="24"/>
          <w:lang w:val="en-US"/>
        </w:rPr>
      </w:pPr>
      <w:r w:rsidRPr="00715340">
        <w:rPr>
          <w:b/>
          <w:bCs/>
          <w:color w:val="000000" w:themeColor="text1"/>
          <w:szCs w:val="24"/>
          <w:lang w:val="en-US"/>
        </w:rPr>
        <w:t>Ndikime financiare:</w:t>
      </w:r>
    </w:p>
    <w:p w:rsidRPr="00715340" w:rsidR="00715340" w:rsidRDefault="00715340" w14:paraId="3A8D0121" w14:textId="77777777">
      <w:pPr>
        <w:numPr>
          <w:ilvl w:val="0"/>
          <w:numId w:val="52"/>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Të ardhura të reja nga certifikimet, raportimet dhe shërbimet e ekspertizës së kërkuar nga ligji i ri.</w:t>
      </w:r>
    </w:p>
    <w:p w:rsidRPr="00715340" w:rsidR="00715340" w:rsidRDefault="00715340" w14:paraId="4E713291" w14:textId="77777777">
      <w:pPr>
        <w:numPr>
          <w:ilvl w:val="0"/>
          <w:numId w:val="52"/>
        </w:numPr>
        <w:pBdr>
          <w:top w:val="nil"/>
          <w:left w:val="nil"/>
          <w:bottom w:val="nil"/>
          <w:right w:val="nil"/>
          <w:between w:val="nil"/>
          <w:bar w:val="nil"/>
        </w:pBdr>
        <w:spacing w:line="276" w:lineRule="auto"/>
        <w:ind w:right="20"/>
        <w:jc w:val="both"/>
        <w:rPr>
          <w:color w:val="000000" w:themeColor="text1"/>
          <w:szCs w:val="24"/>
          <w:lang w:val="en-US"/>
        </w:rPr>
      </w:pPr>
      <w:r w:rsidRPr="00715340">
        <w:rPr>
          <w:color w:val="000000" w:themeColor="text1"/>
          <w:szCs w:val="24"/>
          <w:lang w:val="en-US"/>
        </w:rPr>
        <w:t>Investimi në trajnime dhe pajisje për digitalizim është i nevojshëm për të përmbushur standardet e BE-së, por garanton një rrjedhë të qëndrueshme të të ardhurave afatgjata.</w:t>
      </w:r>
    </w:p>
    <w:p w:rsidRPr="00A32E1F" w:rsidR="00715340" w:rsidP="009E6C01" w:rsidRDefault="00715340" w14:paraId="3C734B09" w14:textId="77777777">
      <w:pPr>
        <w:pBdr>
          <w:top w:val="nil"/>
          <w:left w:val="nil"/>
          <w:bottom w:val="nil"/>
          <w:right w:val="nil"/>
          <w:between w:val="nil"/>
          <w:bar w:val="nil"/>
        </w:pBdr>
        <w:spacing w:line="276" w:lineRule="auto"/>
        <w:ind w:right="20"/>
        <w:jc w:val="both"/>
        <w:rPr>
          <w:color w:val="000000" w:themeColor="text1"/>
          <w:szCs w:val="24"/>
          <w:lang w:val="en-US"/>
        </w:rPr>
      </w:pPr>
    </w:p>
    <w:p w:rsidRPr="00A32E1F" w:rsidR="00715340" w:rsidP="00274855" w:rsidRDefault="00715340" w14:paraId="70C85AE5" w14:textId="77777777">
      <w:pPr>
        <w:pBdr>
          <w:top w:val="nil"/>
          <w:left w:val="nil"/>
          <w:bottom w:val="nil"/>
          <w:right w:val="nil"/>
          <w:between w:val="nil"/>
          <w:bar w:val="nil"/>
        </w:pBdr>
        <w:spacing w:line="276" w:lineRule="auto"/>
        <w:ind w:right="20"/>
        <w:jc w:val="both"/>
        <w:rPr>
          <w:color w:val="000000" w:themeColor="text1"/>
          <w:szCs w:val="24"/>
          <w:u w:val="single"/>
        </w:rPr>
      </w:pPr>
    </w:p>
    <w:p w:rsidRPr="006D0DA9" w:rsidR="00274855" w:rsidP="00274855" w:rsidRDefault="00274855" w14:paraId="439EE846" w14:textId="6D18F052">
      <w:pPr>
        <w:pBdr>
          <w:top w:val="nil"/>
          <w:left w:val="nil"/>
          <w:bottom w:val="nil"/>
          <w:right w:val="nil"/>
          <w:between w:val="nil"/>
          <w:bar w:val="nil"/>
        </w:pBdr>
        <w:spacing w:line="276" w:lineRule="auto"/>
        <w:ind w:right="20"/>
        <w:jc w:val="both"/>
        <w:rPr>
          <w:color w:val="000000" w:themeColor="text1"/>
          <w:szCs w:val="24"/>
          <w:u w:val="single"/>
          <w:lang w:val="it-IT"/>
        </w:rPr>
      </w:pPr>
      <w:r w:rsidRPr="006D0DA9">
        <w:rPr>
          <w:color w:val="000000" w:themeColor="text1"/>
          <w:szCs w:val="24"/>
          <w:u w:val="single"/>
          <w:lang w:val="it-IT"/>
        </w:rPr>
        <w:t>Identifikimi i llojeve të ndikimeve për secilin grup të prekur:</w:t>
      </w:r>
    </w:p>
    <w:p w:rsidRPr="006D0DA9" w:rsidR="00274855" w:rsidP="00274855" w:rsidRDefault="00274855" w14:paraId="0CBB5B67" w14:textId="77777777">
      <w:pPr>
        <w:pBdr>
          <w:top w:val="nil"/>
          <w:left w:val="nil"/>
          <w:bottom w:val="nil"/>
          <w:right w:val="nil"/>
          <w:between w:val="nil"/>
          <w:bar w:val="nil"/>
        </w:pBdr>
        <w:spacing w:line="276" w:lineRule="auto"/>
        <w:ind w:right="20"/>
        <w:jc w:val="both"/>
        <w:rPr>
          <w:color w:val="000000" w:themeColor="text1"/>
          <w:szCs w:val="24"/>
          <w:lang w:val="it-IT"/>
        </w:rPr>
      </w:pPr>
    </w:p>
    <w:p w:rsidRPr="006D0DA9" w:rsidR="00323394" w:rsidP="00323394" w:rsidRDefault="00323394" w14:paraId="33E63668" w14:textId="5BEF603F">
      <w:pPr>
        <w:pBdr>
          <w:top w:val="nil"/>
          <w:left w:val="nil"/>
          <w:bottom w:val="nil"/>
          <w:right w:val="nil"/>
          <w:between w:val="nil"/>
          <w:bar w:val="nil"/>
        </w:pBdr>
        <w:spacing w:line="276" w:lineRule="auto"/>
        <w:ind w:right="20"/>
        <w:jc w:val="both"/>
        <w:rPr>
          <w:color w:val="000000" w:themeColor="text1"/>
          <w:szCs w:val="24"/>
          <w:lang w:val="it-IT"/>
        </w:rPr>
      </w:pPr>
      <w:r w:rsidRPr="006D0DA9">
        <w:rPr>
          <w:color w:val="000000" w:themeColor="text1"/>
          <w:szCs w:val="24"/>
          <w:lang w:val="it-IT"/>
        </w:rPr>
        <w:t xml:space="preserve">Zbatimi i rregulloreve të reja do të ketë një ndikim të rëndësishëm mbi grupet e ndryshme të prekura, duke krijuar mundësi për përmirësimin e mjedisit të biznesit dhe rritjen e mundësive për investitorët dhe </w:t>
      </w:r>
      <w:r w:rsidRPr="006D0DA9" w:rsidR="00787159">
        <w:rPr>
          <w:color w:val="000000" w:themeColor="text1"/>
          <w:szCs w:val="24"/>
          <w:lang w:val="it-IT"/>
        </w:rPr>
        <w:t>shoqër</w:t>
      </w:r>
      <w:r w:rsidRPr="006D0DA9">
        <w:rPr>
          <w:color w:val="000000" w:themeColor="text1"/>
          <w:szCs w:val="24"/>
          <w:lang w:val="it-IT"/>
        </w:rPr>
        <w:t>i në Shqipëri.</w:t>
      </w:r>
    </w:p>
    <w:p w:rsidRPr="006D0DA9" w:rsidR="00323394" w:rsidP="00323394" w:rsidRDefault="00323394" w14:paraId="21C20BC0" w14:textId="77777777">
      <w:pPr>
        <w:pBdr>
          <w:top w:val="nil"/>
          <w:left w:val="nil"/>
          <w:bottom w:val="nil"/>
          <w:right w:val="nil"/>
          <w:between w:val="nil"/>
          <w:bar w:val="nil"/>
        </w:pBdr>
        <w:spacing w:line="276" w:lineRule="auto"/>
        <w:ind w:right="20"/>
        <w:jc w:val="both"/>
        <w:rPr>
          <w:color w:val="000000" w:themeColor="text1"/>
          <w:szCs w:val="24"/>
          <w:lang w:val="it-IT"/>
        </w:rPr>
      </w:pPr>
    </w:p>
    <w:p w:rsidRPr="003C4C86" w:rsidR="00323394" w:rsidP="00323394" w:rsidRDefault="00323394" w14:paraId="08E75E49" w14:textId="77777777">
      <w:pPr>
        <w:pBdr>
          <w:top w:val="nil"/>
          <w:left w:val="nil"/>
          <w:bottom w:val="nil"/>
          <w:right w:val="nil"/>
          <w:between w:val="nil"/>
          <w:bar w:val="nil"/>
        </w:pBdr>
        <w:spacing w:line="276" w:lineRule="auto"/>
        <w:ind w:right="20"/>
        <w:jc w:val="both"/>
        <w:rPr>
          <w:color w:val="000000" w:themeColor="text1"/>
          <w:szCs w:val="24"/>
        </w:rPr>
      </w:pPr>
    </w:p>
    <w:p w:rsidRPr="00990D4F" w:rsidR="00D31EA6" w:rsidP="00D31EA6" w:rsidRDefault="00D31EA6" w14:paraId="7256BA38" w14:textId="77777777">
      <w:pPr>
        <w:pBdr>
          <w:top w:val="nil"/>
          <w:left w:val="nil"/>
          <w:bottom w:val="nil"/>
          <w:right w:val="nil"/>
          <w:between w:val="nil"/>
          <w:bar w:val="nil"/>
        </w:pBdr>
        <w:spacing w:line="276" w:lineRule="auto"/>
        <w:ind w:right="20"/>
        <w:jc w:val="both"/>
        <w:rPr>
          <w:color w:val="000000" w:themeColor="text1"/>
          <w:szCs w:val="24"/>
        </w:rPr>
      </w:pPr>
    </w:p>
    <w:p w:rsidRPr="00FE3537" w:rsidR="00FE3537" w:rsidP="00FE3537" w:rsidRDefault="00FE3537" w14:paraId="654901A9" w14:textId="43D583E8">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Hyrja në fuqi e ligjit të ri pritet të ketë një ndikim të shumëanshëm dhe të qëndrueshëm mbi zhvillimin ekonomik të vendit.</w:t>
      </w:r>
    </w:p>
    <w:p w:rsidRPr="00FE3537" w:rsidR="00FE3537" w:rsidP="00FE3537" w:rsidRDefault="00FE3537" w14:paraId="3CD19A6B" w14:textId="77777777">
      <w:pPr>
        <w:pBdr>
          <w:top w:val="nil"/>
          <w:left w:val="nil"/>
          <w:bottom w:val="nil"/>
          <w:right w:val="nil"/>
          <w:between w:val="nil"/>
          <w:bar w:val="nil"/>
        </w:pBdr>
        <w:spacing w:line="276" w:lineRule="auto"/>
        <w:ind w:right="20"/>
        <w:jc w:val="both"/>
        <w:rPr>
          <w:color w:val="000000" w:themeColor="text1"/>
          <w:szCs w:val="24"/>
        </w:rPr>
      </w:pPr>
    </w:p>
    <w:p w:rsidR="00FE3537" w:rsidP="00FE3537" w:rsidRDefault="00FE3537" w14:paraId="501DD589"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1. Përmirësimi i klimës së investimeve dhe konkurrencës</w:t>
      </w:r>
    </w:p>
    <w:p w:rsidRPr="00FE3537" w:rsidR="00FE3537" w:rsidP="00FE3537" w:rsidRDefault="00FE3537" w14:paraId="42AD47D7" w14:textId="77777777">
      <w:pPr>
        <w:pBdr>
          <w:top w:val="nil"/>
          <w:left w:val="nil"/>
          <w:bottom w:val="nil"/>
          <w:right w:val="nil"/>
          <w:between w:val="nil"/>
          <w:bar w:val="nil"/>
        </w:pBdr>
        <w:spacing w:line="276" w:lineRule="auto"/>
        <w:ind w:right="20"/>
        <w:jc w:val="both"/>
        <w:rPr>
          <w:color w:val="000000" w:themeColor="text1"/>
          <w:szCs w:val="24"/>
        </w:rPr>
      </w:pPr>
    </w:p>
    <w:p w:rsidRPr="00FE3537" w:rsidR="00FE3537" w:rsidP="00FE3537" w:rsidRDefault="00FE3537" w14:paraId="2395BA5E"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Ky ligj krijon një ambient më transparent dhe të parashikueshëm për bizneset, duke ulur pasigurinë ligjore dhe administrative. Investitorët e huaj dhe vendas do të ndihen më të sigurt për të ndërmarrë projekte afatgjata, ndërsa konkurrenca në treg do të forcohet, duke nxitur inovacionin dhe përmirësimin e cilësisë së produkteve dhe shërbimeve.</w:t>
      </w:r>
    </w:p>
    <w:p w:rsidRPr="00FE3537" w:rsidR="00FE3537" w:rsidP="00FE3537" w:rsidRDefault="00FE3537" w14:paraId="421B7A92" w14:textId="77777777">
      <w:pPr>
        <w:pBdr>
          <w:top w:val="nil"/>
          <w:left w:val="nil"/>
          <w:bottom w:val="nil"/>
          <w:right w:val="nil"/>
          <w:between w:val="nil"/>
          <w:bar w:val="nil"/>
        </w:pBdr>
        <w:spacing w:line="276" w:lineRule="auto"/>
        <w:ind w:right="20"/>
        <w:jc w:val="both"/>
        <w:rPr>
          <w:color w:val="000000" w:themeColor="text1"/>
          <w:szCs w:val="24"/>
        </w:rPr>
      </w:pPr>
    </w:p>
    <w:p w:rsidR="00FE3537" w:rsidP="00FE3537" w:rsidRDefault="00FE3537" w14:paraId="333A0563"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2. Ndikimi në kërkesë</w:t>
      </w:r>
    </w:p>
    <w:p w:rsidRPr="00FE3537" w:rsidR="00FE3537" w:rsidP="00FE3537" w:rsidRDefault="00FE3537" w14:paraId="71A7E430" w14:textId="77777777">
      <w:pPr>
        <w:pBdr>
          <w:top w:val="nil"/>
          <w:left w:val="nil"/>
          <w:bottom w:val="nil"/>
          <w:right w:val="nil"/>
          <w:between w:val="nil"/>
          <w:bar w:val="nil"/>
        </w:pBdr>
        <w:spacing w:line="276" w:lineRule="auto"/>
        <w:ind w:right="20"/>
        <w:jc w:val="both"/>
        <w:rPr>
          <w:color w:val="000000" w:themeColor="text1"/>
          <w:szCs w:val="24"/>
        </w:rPr>
      </w:pPr>
    </w:p>
    <w:p w:rsidRPr="00FE3537" w:rsidR="00FE3537" w:rsidP="00FE3537" w:rsidRDefault="00FE3537" w14:paraId="53ED7258"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Nga këndvështrimi i kërkesës, bizneset shqiptare do të kenë qasje më të lehtë në projekte ndërkufitare dhe rajonale. Procedurat e thjeshtuara dhe reduktimi i kostove shtesë burokratike do t’i lejojnë ato të zgjerojnë operacionet dhe të jenë pjesë aktive e tregjeve më të mëdha. Kjo do të shtojë mundësitë për financim dhe bashkëpunim ndërkombëtar, sidomos në sektorë si teknologjia, shërbimet financiare dhe turizmi.</w:t>
      </w:r>
    </w:p>
    <w:p w:rsidRPr="00FE3537" w:rsidR="00FE3537" w:rsidP="00FE3537" w:rsidRDefault="00FE3537" w14:paraId="57486977" w14:textId="77777777">
      <w:pPr>
        <w:pBdr>
          <w:top w:val="nil"/>
          <w:left w:val="nil"/>
          <w:bottom w:val="nil"/>
          <w:right w:val="nil"/>
          <w:between w:val="nil"/>
          <w:bar w:val="nil"/>
        </w:pBdr>
        <w:spacing w:line="276" w:lineRule="auto"/>
        <w:ind w:right="20"/>
        <w:jc w:val="both"/>
        <w:rPr>
          <w:color w:val="000000" w:themeColor="text1"/>
          <w:szCs w:val="24"/>
        </w:rPr>
      </w:pPr>
    </w:p>
    <w:p w:rsidR="00FE3537" w:rsidP="00FE3537" w:rsidRDefault="00FE3537" w14:paraId="1002EFB9"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3. Ndikimi në ofertë</w:t>
      </w:r>
    </w:p>
    <w:p w:rsidRPr="00FE3537" w:rsidR="00FE3537" w:rsidP="00FE3537" w:rsidRDefault="00FE3537" w14:paraId="3CFE354A" w14:textId="77777777">
      <w:pPr>
        <w:pBdr>
          <w:top w:val="nil"/>
          <w:left w:val="nil"/>
          <w:bottom w:val="nil"/>
          <w:right w:val="nil"/>
          <w:between w:val="nil"/>
          <w:bar w:val="nil"/>
        </w:pBdr>
        <w:spacing w:line="276" w:lineRule="auto"/>
        <w:ind w:right="20"/>
        <w:jc w:val="both"/>
        <w:rPr>
          <w:color w:val="000000" w:themeColor="text1"/>
          <w:szCs w:val="24"/>
        </w:rPr>
      </w:pPr>
    </w:p>
    <w:p w:rsidRPr="00FE3537" w:rsidR="00FE3537" w:rsidP="00FE3537" w:rsidRDefault="00FE3537" w14:paraId="5BB3387D"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Nga ana e ofertës, pritet rritje e efikasitetit të tregut dhe qarkullimit të kapitalit. Lehtësimi i hyrjes dhe daljes së kapitalit nga Shqipëria nënkupton jo vetëm zgjerim të aktivitetit të biznesit ekzistues, por edhe hapjen e tregjeve të reja për eksportuesit shqiptarë. Kjo do të nxisë krijimin e zinxhirëve të rinj të furnizimit dhe diversifikimin e prodhimit kombëtar.</w:t>
      </w:r>
    </w:p>
    <w:p w:rsidRPr="00FE3537" w:rsidR="00FE3537" w:rsidP="00FE3537" w:rsidRDefault="00FE3537" w14:paraId="058AFAAA" w14:textId="77777777">
      <w:pPr>
        <w:pBdr>
          <w:top w:val="nil"/>
          <w:left w:val="nil"/>
          <w:bottom w:val="nil"/>
          <w:right w:val="nil"/>
          <w:between w:val="nil"/>
          <w:bar w:val="nil"/>
        </w:pBdr>
        <w:spacing w:line="276" w:lineRule="auto"/>
        <w:ind w:right="20"/>
        <w:jc w:val="both"/>
        <w:rPr>
          <w:color w:val="000000" w:themeColor="text1"/>
          <w:szCs w:val="24"/>
        </w:rPr>
      </w:pPr>
    </w:p>
    <w:p w:rsidR="00FE3537" w:rsidP="00FE3537" w:rsidRDefault="00FE3537" w14:paraId="3FBF0AC6"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4. Perspektiva afatshkurtër dhe afatgjatë</w:t>
      </w:r>
    </w:p>
    <w:p w:rsidRPr="00FE3537" w:rsidR="00FE3537" w:rsidP="00FE3537" w:rsidRDefault="00FE3537" w14:paraId="20004BF1" w14:textId="77777777">
      <w:pPr>
        <w:pBdr>
          <w:top w:val="nil"/>
          <w:left w:val="nil"/>
          <w:bottom w:val="nil"/>
          <w:right w:val="nil"/>
          <w:between w:val="nil"/>
          <w:bar w:val="nil"/>
        </w:pBdr>
        <w:spacing w:line="276" w:lineRule="auto"/>
        <w:ind w:right="20"/>
        <w:jc w:val="both"/>
        <w:rPr>
          <w:color w:val="000000" w:themeColor="text1"/>
          <w:szCs w:val="24"/>
        </w:rPr>
      </w:pPr>
    </w:p>
    <w:p w:rsidRPr="00FE3537" w:rsidR="00FE3537" w:rsidP="00FE3537" w:rsidRDefault="00FE3537" w14:paraId="1F0D1E8E" w14:textId="77777777">
      <w:pPr>
        <w:pBdr>
          <w:top w:val="nil"/>
          <w:left w:val="nil"/>
          <w:bottom w:val="nil"/>
          <w:right w:val="nil"/>
          <w:between w:val="nil"/>
          <w:bar w:val="nil"/>
        </w:pBdr>
        <w:spacing w:line="276" w:lineRule="auto"/>
        <w:ind w:right="20"/>
        <w:jc w:val="both"/>
        <w:rPr>
          <w:color w:val="000000" w:themeColor="text1"/>
          <w:szCs w:val="24"/>
        </w:rPr>
      </w:pPr>
      <w:r w:rsidRPr="00FE3537">
        <w:rPr>
          <w:color w:val="000000" w:themeColor="text1"/>
          <w:szCs w:val="24"/>
        </w:rPr>
        <w:t>Në fazën fillestare, ndikimet ekonomike mund të jenë të kufizuara, pasi numri i bizneseve që hyjnë menjëherë në proceset ndërkufitare do të jetë i moderuar. Megjithatë, përfitimet afatgjata janë më të mëdha dhe të qëndrueshme: rritje e produktivitetit, tërheqje më e lartë e kapitalit të huaj, shtim i punësimit dhe rritje e përgjithshme e të ardhurave kombëtare. Përvoja e vendeve të BE-së tregon se këto efekte, ndonëse gradualë, kanë ndikim të qëndrueshëm në zhvillimin e përgjithshëm ekonomik.</w:t>
      </w:r>
    </w:p>
    <w:p w:rsidR="00A51A3B" w:rsidP="00A51A3B" w:rsidRDefault="00A51A3B" w14:paraId="40D5EF41" w14:textId="77777777">
      <w:pPr>
        <w:pBdr>
          <w:top w:val="nil"/>
          <w:left w:val="nil"/>
          <w:bottom w:val="nil"/>
          <w:right w:val="nil"/>
          <w:between w:val="nil"/>
          <w:bar w:val="nil"/>
        </w:pBdr>
        <w:spacing w:line="276" w:lineRule="auto"/>
        <w:ind w:right="20"/>
        <w:jc w:val="both"/>
        <w:rPr>
          <w:color w:val="000000" w:themeColor="text1"/>
          <w:szCs w:val="24"/>
        </w:rPr>
      </w:pPr>
    </w:p>
    <w:p w:rsidR="008A599D" w:rsidP="00A51A3B" w:rsidRDefault="008A599D" w14:paraId="65C8132D" w14:textId="12D94B71">
      <w:pPr>
        <w:pBdr>
          <w:top w:val="nil"/>
          <w:left w:val="nil"/>
          <w:bottom w:val="nil"/>
          <w:right w:val="nil"/>
          <w:between w:val="nil"/>
          <w:bar w:val="nil"/>
        </w:pBdr>
        <w:spacing w:line="276" w:lineRule="auto"/>
        <w:ind w:right="20"/>
        <w:jc w:val="both"/>
        <w:rPr>
          <w:color w:val="000000" w:themeColor="text1"/>
          <w:szCs w:val="24"/>
        </w:rPr>
      </w:pPr>
      <w:r w:rsidRPr="008A599D">
        <w:rPr>
          <w:color w:val="000000" w:themeColor="text1"/>
          <w:szCs w:val="24"/>
        </w:rPr>
        <w:t>Sipas raportit Nr. 25/20 te FMN -së, për Shqipërinë, përmirësimet në infrastrukturën IT dhe përdorimin e të dhënave pritet të sjellin rritje të të ardhurave buxhetore deri në 0.6% të PBB-së në pesë vite. Me PBB-në e vitit 2023 që arrin rreth 2.71 trilion lekë, kjo përkthehet në 16.3 miliardë lekë për periudhën pesëvjeçare, ose rreth 3.26 miliardë lekë në vit. Nga kjo shumë, një vlerësim i arsyeshëm është se 14–15% lidhet drejtpërdrejt me ndikimin e transpozimit të Direktivës (BE) 2019/1151 dhe Rregullores Zbatuese (BE) 2021/1042, të cilat përfshijnë dixhitalizimin e regjistrimit të shoqërive, përdorimin e mjeteve elektronike për depozitime dhe publikime, si dhe ndërlidhjen ndër-regjistrore përmes sistemit BRIS. Kjo përqindje mbështetet në praktikat e vendeve anëtare të BE-së, ku reformat në të drejtën e shoqërive zënë një pjesë të kufizuar por domethënëse në paketat më të gjera të dixhitalizimit. Duhet marrë parasysh që tashmë janë bërë mjaft përmirësime në fushën IT dhe në dixhitalizimin e proceseve të biznesit në Shqipëri. Në këtë mënyrë, përfitimi i pritshëm vjetor për buxhetin e shtetit nga kjo reformë llogaritet me përafërsi mesatarisht 472 milionë lekë në vit.</w:t>
      </w:r>
    </w:p>
    <w:p w:rsidRPr="00A51A3B" w:rsidR="008A599D" w:rsidP="00A51A3B" w:rsidRDefault="008A599D" w14:paraId="0F387659" w14:textId="77777777">
      <w:pPr>
        <w:pBdr>
          <w:top w:val="nil"/>
          <w:left w:val="nil"/>
          <w:bottom w:val="nil"/>
          <w:right w:val="nil"/>
          <w:between w:val="nil"/>
          <w:bar w:val="nil"/>
        </w:pBdr>
        <w:spacing w:line="276" w:lineRule="auto"/>
        <w:ind w:right="20"/>
        <w:jc w:val="both"/>
        <w:rPr>
          <w:color w:val="000000" w:themeColor="text1"/>
          <w:szCs w:val="24"/>
        </w:rPr>
      </w:pPr>
    </w:p>
    <w:p w:rsidRPr="00A51A3B" w:rsidR="00A51A3B" w:rsidP="00A51A3B" w:rsidRDefault="00A51A3B" w14:paraId="6A486F52" w14:textId="77777777">
      <w:pPr>
        <w:pBdr>
          <w:top w:val="nil"/>
          <w:left w:val="nil"/>
          <w:bottom w:val="nil"/>
          <w:right w:val="nil"/>
          <w:between w:val="nil"/>
          <w:bar w:val="nil"/>
        </w:pBdr>
        <w:spacing w:line="276" w:lineRule="auto"/>
        <w:ind w:right="20"/>
        <w:jc w:val="both"/>
        <w:rPr>
          <w:color w:val="000000" w:themeColor="text1"/>
          <w:szCs w:val="24"/>
        </w:rPr>
      </w:pPr>
      <w:r w:rsidRPr="00A51A3B">
        <w:rPr>
          <w:color w:val="000000" w:themeColor="text1"/>
          <w:szCs w:val="24"/>
        </w:rPr>
        <w:t xml:space="preserve">Kostot buxhetore të implementimit të Opsionit 1 janë disa, por të menaxhueshme në kuadrin e strategjisë më të gjerë të integrimit të Shqipërisë në BE. Investimet e nevojshme do të drejtohen kryesisht në ndërtimin e kapaciteteve institucionale, duke përfshirë programe trajnimi për profesionistët, krijimin e infrastrukturës digjitale dhe për operacionet ndërkufitare Gjithashtu, financimi do të jetë i nevojshëm për konsultime, këshilla nga ekspertë dhe kostot administrative të miratimit dhe zbatimit të ligjeve të reja. </w:t>
      </w:r>
    </w:p>
    <w:p w:rsidRPr="00A51A3B" w:rsidR="00A51A3B" w:rsidP="00A51A3B" w:rsidRDefault="00A51A3B" w14:paraId="77E38D67" w14:textId="77777777">
      <w:pPr>
        <w:pBdr>
          <w:top w:val="nil"/>
          <w:left w:val="nil"/>
          <w:bottom w:val="nil"/>
          <w:right w:val="nil"/>
          <w:between w:val="nil"/>
          <w:bar w:val="nil"/>
        </w:pBdr>
        <w:spacing w:line="276" w:lineRule="auto"/>
        <w:ind w:right="20"/>
        <w:jc w:val="both"/>
        <w:rPr>
          <w:color w:val="000000" w:themeColor="text1"/>
          <w:szCs w:val="24"/>
        </w:rPr>
      </w:pPr>
    </w:p>
    <w:p w:rsidRPr="00990D4F" w:rsidR="00A51A3B" w:rsidP="00A51A3B" w:rsidRDefault="00A51A3B" w14:paraId="25595892" w14:textId="6FB4A8D8">
      <w:pPr>
        <w:pBdr>
          <w:top w:val="nil"/>
          <w:left w:val="nil"/>
          <w:bottom w:val="nil"/>
          <w:right w:val="nil"/>
          <w:between w:val="nil"/>
          <w:bar w:val="nil"/>
        </w:pBdr>
        <w:spacing w:line="276" w:lineRule="auto"/>
        <w:ind w:right="20"/>
        <w:jc w:val="both"/>
        <w:rPr>
          <w:color w:val="000000" w:themeColor="text1"/>
          <w:szCs w:val="24"/>
        </w:rPr>
      </w:pPr>
      <w:r w:rsidRPr="00A51A3B">
        <w:rPr>
          <w:color w:val="000000" w:themeColor="text1"/>
          <w:szCs w:val="24"/>
        </w:rPr>
        <w:t>Duke qenë se e kemi të pamundur të kryejmë një analizë sasiore të ndikimeve ekonomike të opsionit të preferuar, pasi kuantifikimi i kostove dhe përfitimeve nga ndryshimet e parashikuara në vlerë monetare rezulton i pjesshëm dhe i vështirë për t’u bërë, kemi vlerësuar si metodë më të përshtatshme për të analizuar opsionet metodën e analizës me shumë kritere.</w:t>
      </w:r>
    </w:p>
    <w:p w:rsidRPr="00990D4F" w:rsidR="00D31EA6" w:rsidP="00D31EA6" w:rsidRDefault="00D31EA6" w14:paraId="49AC19FC" w14:textId="77777777">
      <w:pPr>
        <w:pBdr>
          <w:top w:val="nil"/>
          <w:left w:val="nil"/>
          <w:bottom w:val="nil"/>
          <w:right w:val="nil"/>
          <w:between w:val="nil"/>
          <w:bar w:val="nil"/>
        </w:pBdr>
        <w:spacing w:line="276" w:lineRule="auto"/>
        <w:ind w:right="20"/>
        <w:jc w:val="both"/>
        <w:rPr>
          <w:color w:val="000000" w:themeColor="text1"/>
          <w:szCs w:val="24"/>
        </w:rPr>
      </w:pPr>
    </w:p>
    <w:p w:rsidRPr="00990D4F" w:rsidR="00D31EA6" w:rsidP="00D31EA6" w:rsidRDefault="00D31EA6" w14:paraId="6A6DAC3D" w14:textId="5D805F70">
      <w:pPr>
        <w:pBdr>
          <w:top w:val="nil"/>
          <w:left w:val="nil"/>
          <w:bottom w:val="nil"/>
          <w:right w:val="nil"/>
          <w:between w:val="nil"/>
          <w:bar w:val="nil"/>
        </w:pBdr>
        <w:spacing w:line="276" w:lineRule="auto"/>
        <w:ind w:right="20"/>
        <w:jc w:val="both"/>
        <w:rPr>
          <w:color w:val="000000" w:themeColor="text1"/>
          <w:szCs w:val="24"/>
        </w:rPr>
      </w:pPr>
      <w:r w:rsidRPr="00990D4F">
        <w:rPr>
          <w:b/>
          <w:bCs/>
          <w:color w:val="000000" w:themeColor="text1"/>
          <w:szCs w:val="24"/>
        </w:rPr>
        <w:t xml:space="preserve">Rritja e Investimeve të Huaja </w:t>
      </w:r>
      <w:r w:rsidR="006221F5">
        <w:rPr>
          <w:b/>
          <w:bCs/>
          <w:color w:val="000000" w:themeColor="text1"/>
          <w:szCs w:val="24"/>
        </w:rPr>
        <w:t>të Drejtpërdrejta</w:t>
      </w:r>
      <w:r w:rsidRPr="00990D4F">
        <w:rPr>
          <w:b/>
          <w:bCs/>
          <w:color w:val="000000" w:themeColor="text1"/>
          <w:szCs w:val="24"/>
        </w:rPr>
        <w:t xml:space="preserve"> (FDI)</w:t>
      </w:r>
      <w:r w:rsidRPr="00990D4F">
        <w:rPr>
          <w:color w:val="000000" w:themeColor="text1"/>
          <w:szCs w:val="24"/>
        </w:rPr>
        <w:t xml:space="preserve">: Harmonizimi me </w:t>
      </w:r>
      <w:r w:rsidR="00AC3123">
        <w:rPr>
          <w:color w:val="000000" w:themeColor="text1"/>
          <w:szCs w:val="24"/>
        </w:rPr>
        <w:t>Direktivën</w:t>
      </w:r>
      <w:r w:rsidRPr="00990D4F">
        <w:rPr>
          <w:color w:val="000000" w:themeColor="text1"/>
          <w:szCs w:val="24"/>
        </w:rPr>
        <w:t xml:space="preserve"> do të rrisë tërheqjen e Shqipërisë si destinacion investimi. Krijimi i një mjedisi ligjor më të parashikueshëm dhe transparent do të tërheqë më shumë FDI, veçanërisht në sektorë si teknologjia, prodhimi dhe shërbimet, ku investitorët ndërkombëtarë kërkojnë qartësi për të drejtat e aksionarëve, qeverisjen korporative dhe mundësinë për të realizuar transaksione ndërkufitare.</w:t>
      </w:r>
    </w:p>
    <w:p w:rsidRPr="00990D4F" w:rsidR="00D31EA6" w:rsidP="00D31EA6" w:rsidRDefault="00D31EA6" w14:paraId="0C759C3F" w14:textId="77777777">
      <w:pPr>
        <w:pBdr>
          <w:top w:val="nil"/>
          <w:left w:val="nil"/>
          <w:bottom w:val="nil"/>
          <w:right w:val="nil"/>
          <w:between w:val="nil"/>
          <w:bar w:val="nil"/>
        </w:pBdr>
        <w:spacing w:line="276" w:lineRule="auto"/>
        <w:ind w:right="20"/>
        <w:jc w:val="both"/>
        <w:rPr>
          <w:color w:val="000000" w:themeColor="text1"/>
          <w:szCs w:val="24"/>
        </w:rPr>
      </w:pPr>
    </w:p>
    <w:p w:rsidRPr="00990D4F" w:rsidR="00D31EA6" w:rsidP="00D31EA6" w:rsidRDefault="00D31EA6" w14:paraId="3AD65EE8" w14:textId="0DEBA629">
      <w:pPr>
        <w:pBdr>
          <w:top w:val="nil"/>
          <w:left w:val="nil"/>
          <w:bottom w:val="nil"/>
          <w:right w:val="nil"/>
          <w:between w:val="nil"/>
          <w:bar w:val="nil"/>
        </w:pBdr>
        <w:spacing w:line="276" w:lineRule="auto"/>
        <w:ind w:right="20"/>
        <w:jc w:val="both"/>
        <w:rPr>
          <w:color w:val="000000" w:themeColor="text1"/>
          <w:szCs w:val="24"/>
        </w:rPr>
      </w:pPr>
      <w:r w:rsidRPr="00990D4F">
        <w:rPr>
          <w:b/>
          <w:bCs/>
          <w:color w:val="000000" w:themeColor="text1"/>
          <w:szCs w:val="24"/>
        </w:rPr>
        <w:t>Përmirësimi i qasjes në tregjet e BE-së</w:t>
      </w:r>
      <w:r w:rsidRPr="00990D4F">
        <w:rPr>
          <w:color w:val="000000" w:themeColor="text1"/>
          <w:szCs w:val="24"/>
        </w:rPr>
        <w:t xml:space="preserve">: Integrimi i Shqipërisë në tregun e brendshëm të BE-së do të forcohet duke lejuar që bizneset shqiptare të operojnë </w:t>
      </w:r>
      <w:r w:rsidR="005D4BD9">
        <w:rPr>
          <w:color w:val="000000" w:themeColor="text1"/>
          <w:szCs w:val="24"/>
        </w:rPr>
        <w:t>në disa juridiksione</w:t>
      </w:r>
      <w:r w:rsidRPr="00990D4F" w:rsidR="005D4BD9">
        <w:rPr>
          <w:color w:val="000000" w:themeColor="text1"/>
          <w:szCs w:val="24"/>
        </w:rPr>
        <w:t xml:space="preserve"> </w:t>
      </w:r>
      <w:r w:rsidRPr="00990D4F">
        <w:rPr>
          <w:color w:val="000000" w:themeColor="text1"/>
          <w:szCs w:val="24"/>
        </w:rPr>
        <w:t xml:space="preserve">me më pak pengesa ligjore. Kjo do të përmirësojë konkurrencën </w:t>
      </w:r>
      <w:r w:rsidRPr="00990D4F" w:rsidR="008E19DA">
        <w:rPr>
          <w:color w:val="000000" w:themeColor="text1"/>
          <w:szCs w:val="24"/>
        </w:rPr>
        <w:t>dhe inovacionin, duke kontribuar në diversifikimin ekonomik dhe kriji</w:t>
      </w:r>
      <w:r w:rsidR="008E19DA">
        <w:rPr>
          <w:color w:val="000000" w:themeColor="text1"/>
          <w:szCs w:val="24"/>
        </w:rPr>
        <w:t>m</w:t>
      </w:r>
      <w:r w:rsidRPr="00990D4F" w:rsidR="008E19DA">
        <w:rPr>
          <w:color w:val="000000" w:themeColor="text1"/>
          <w:szCs w:val="24"/>
        </w:rPr>
        <w:t>in e vendeve të punës</w:t>
      </w:r>
      <w:r w:rsidR="008E19DA">
        <w:rPr>
          <w:color w:val="000000" w:themeColor="text1"/>
          <w:szCs w:val="24"/>
        </w:rPr>
        <w:t xml:space="preserve"> si </w:t>
      </w:r>
      <w:r w:rsidRPr="00990D4F">
        <w:rPr>
          <w:color w:val="000000" w:themeColor="text1"/>
          <w:szCs w:val="24"/>
        </w:rPr>
        <w:t>dhe do të lehtësojë qasjen në tregje më të mëdha.</w:t>
      </w:r>
    </w:p>
    <w:p w:rsidR="008E04A2" w:rsidP="00D31EA6" w:rsidRDefault="008E04A2" w14:paraId="4D444EB6" w14:textId="77777777">
      <w:pPr>
        <w:pBdr>
          <w:top w:val="nil"/>
          <w:left w:val="nil"/>
          <w:bottom w:val="nil"/>
          <w:right w:val="nil"/>
          <w:between w:val="nil"/>
          <w:bar w:val="nil"/>
        </w:pBdr>
        <w:spacing w:line="276" w:lineRule="auto"/>
        <w:ind w:right="20"/>
        <w:jc w:val="both"/>
        <w:rPr>
          <w:color w:val="000000" w:themeColor="text1"/>
          <w:szCs w:val="24"/>
        </w:rPr>
      </w:pPr>
    </w:p>
    <w:p w:rsidRPr="00637A52" w:rsidR="00637A52" w:rsidP="00D31EA6" w:rsidRDefault="00637A52" w14:paraId="0EDAC24C" w14:textId="65C02F08">
      <w:pPr>
        <w:pBdr>
          <w:top w:val="nil"/>
          <w:left w:val="nil"/>
          <w:bottom w:val="nil"/>
          <w:right w:val="nil"/>
          <w:between w:val="nil"/>
          <w:bar w:val="nil"/>
        </w:pBdr>
        <w:spacing w:line="276" w:lineRule="auto"/>
        <w:ind w:right="20"/>
        <w:jc w:val="both"/>
        <w:rPr>
          <w:color w:val="000000" w:themeColor="text1"/>
          <w:szCs w:val="24"/>
        </w:rPr>
      </w:pPr>
      <w:r w:rsidRPr="00E75562">
        <w:rPr>
          <w:color w:val="000000" w:themeColor="text1"/>
          <w:szCs w:val="24"/>
        </w:rPr>
        <w:t>Për një vend si Shqipëria, një përfitim prej 30 deri në 40 milionë euro është i arsyeshëm nisur nga fakti që transpozimi i Direktivës (BE) 2019/2121 krijon një kuadër të harmonizuar ligjor për transformimet, bashkimet dhe ndarjet ndërkufitare të shoqërive tregtare, duke ulur ndjeshëm pasiguritë ligjore dhe barrën administrative për bizneset, si dhe duke nxitur mobilitetin ndërkufitar dhe tërheqjen e investimeve. Për më tepër, Shqipëria është në procesin e përafrimit me acquis të BE-së dhe synon të rrisë ndjeshëm qarkullimin ndërkufitar të kapitalit dhe bizneseve në kuadër të integrimit evropian, çka e bën përfitimin potencial edhe më të lartë nëse reformat shoqëruese zbatohen me sukses.</w:t>
      </w:r>
    </w:p>
    <w:p w:rsidRPr="00990D4F" w:rsidR="00D31EA6" w:rsidP="00D31EA6" w:rsidRDefault="00D31EA6" w14:paraId="25736055" w14:textId="77777777">
      <w:pPr>
        <w:pBdr>
          <w:top w:val="nil"/>
          <w:left w:val="nil"/>
          <w:bottom w:val="nil"/>
          <w:right w:val="nil"/>
          <w:between w:val="nil"/>
          <w:bar w:val="nil"/>
        </w:pBdr>
        <w:spacing w:line="276" w:lineRule="auto"/>
        <w:ind w:right="20"/>
        <w:jc w:val="both"/>
        <w:rPr>
          <w:color w:val="000000" w:themeColor="text1"/>
          <w:szCs w:val="24"/>
        </w:rPr>
      </w:pPr>
    </w:p>
    <w:p w:rsidR="00D31EA6" w:rsidP="00D31EA6" w:rsidRDefault="00D31EA6" w14:paraId="5643573F" w14:textId="60814C0F">
      <w:pPr>
        <w:pBdr>
          <w:top w:val="nil"/>
          <w:left w:val="nil"/>
          <w:bottom w:val="nil"/>
          <w:right w:val="nil"/>
          <w:between w:val="nil"/>
          <w:bar w:val="nil"/>
        </w:pBdr>
        <w:spacing w:line="276" w:lineRule="auto"/>
        <w:ind w:right="20"/>
        <w:jc w:val="both"/>
        <w:rPr>
          <w:color w:val="000000" w:themeColor="text1"/>
          <w:szCs w:val="24"/>
        </w:rPr>
      </w:pPr>
      <w:r w:rsidRPr="00990D4F">
        <w:rPr>
          <w:b/>
          <w:bCs/>
          <w:color w:val="000000" w:themeColor="text1"/>
          <w:szCs w:val="24"/>
        </w:rPr>
        <w:t>Kostot e mundshme ekonomike</w:t>
      </w:r>
      <w:r>
        <w:rPr>
          <w:b/>
          <w:bCs/>
          <w:color w:val="000000" w:themeColor="text1"/>
          <w:szCs w:val="24"/>
        </w:rPr>
        <w:t>:</w:t>
      </w:r>
      <w:r>
        <w:rPr>
          <w:color w:val="000000" w:themeColor="text1"/>
          <w:szCs w:val="24"/>
        </w:rPr>
        <w:t xml:space="preserve"> </w:t>
      </w:r>
      <w:r w:rsidRPr="00990D4F">
        <w:rPr>
          <w:color w:val="000000" w:themeColor="text1"/>
          <w:szCs w:val="24"/>
        </w:rPr>
        <w:t xml:space="preserve">Kostot e menjëhershme që lidhen me harmonizimin përfshijnë kostot e rishikimit të </w:t>
      </w:r>
      <w:r w:rsidRPr="00990D4F" w:rsidR="00A31426">
        <w:rPr>
          <w:color w:val="000000" w:themeColor="text1"/>
          <w:szCs w:val="24"/>
        </w:rPr>
        <w:t>ligj</w:t>
      </w:r>
      <w:r w:rsidR="00A31426">
        <w:rPr>
          <w:color w:val="000000" w:themeColor="text1"/>
          <w:szCs w:val="24"/>
        </w:rPr>
        <w:t>it</w:t>
      </w:r>
      <w:r w:rsidRPr="00990D4F">
        <w:rPr>
          <w:color w:val="000000" w:themeColor="text1"/>
          <w:szCs w:val="24"/>
        </w:rPr>
        <w:t>, përditësimin e proceseve institucionale, trajnimin e profesionistëve dhe implementimin e sistemeve të reja për monitorimin e përputhshmërisë. Mund të ketë disa përshtatje afatshkurtra pasi bizneset me rregullat dhe kërkesat e reja të përputhshmërisë, veçanërisht për ndërmarrjet e vogla dhe të mesme (SME). Megjithatë, këto  janë të përkohshme dhe përfitimet afatgjata do të tejkalojnë kostot e përshtatjes.</w:t>
      </w:r>
    </w:p>
    <w:p w:rsidR="00D31EA6" w:rsidP="00D31EA6" w:rsidRDefault="00D31EA6" w14:paraId="7076F8D4" w14:textId="77777777">
      <w:pPr>
        <w:pBdr>
          <w:top w:val="nil"/>
          <w:left w:val="nil"/>
          <w:bottom w:val="nil"/>
          <w:right w:val="nil"/>
          <w:between w:val="nil"/>
          <w:bar w:val="nil"/>
        </w:pBdr>
        <w:spacing w:line="276" w:lineRule="auto"/>
        <w:ind w:right="20"/>
        <w:jc w:val="both"/>
        <w:rPr>
          <w:color w:val="000000" w:themeColor="text1"/>
          <w:szCs w:val="24"/>
        </w:rPr>
      </w:pPr>
    </w:p>
    <w:p w:rsidR="00715340" w:rsidP="00715340" w:rsidRDefault="00715340" w14:paraId="24E1EA55"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Për këtë projektligj, një analizë e plotë sasiore e kostove dhe përfitimeve ekonomike dhe financiare është e vështirë për t’u kryer, për shkak të një kombinimi faktorësh kompleksë dhe të ndërlidhur. Ndikimet e ligjit nuk janë vetëm të drejtpërdrejta, por shtrihen edhe në dimensione tërthore dhe afatgjata, të cilat varen nga sjellja e bizneseve, vendimet e investitorëve dhe performanca e institucioneve përkatëse. Për më tepër, mungesa e të dhënave të besueshme mbi numrin e operacioneve ndërkufitare, intensitetin e transaksioneve dhe kostot specifike për ndërmarrjet e vogla dhe të mesme, e bën të pamundur kvantifikimin e saktë të efektit ekonomik dhe financiar. Faktorë të jashtëm si ndryshimet në tregjet ndërkombëtare dhe zhvillimet makroekonomike ndikojnë gjithashtu në realizimin e përfitimeve, duke shtuar pasigurinë mbi vlerësimin monetar. Për këto arsye, analiza cilësore dhe vlerësimi me shumë kritere janë metodat më të përshtatshme për të identifikuar ndikimet kryesore dhe për të ofruar një bazë të besueshme për vendimmarrje.</w:t>
      </w:r>
    </w:p>
    <w:p w:rsidR="00715340" w:rsidP="00715340" w:rsidRDefault="00715340" w14:paraId="55A77DBD" w14:textId="77777777">
      <w:pPr>
        <w:pBdr>
          <w:top w:val="nil"/>
          <w:left w:val="nil"/>
          <w:bottom w:val="nil"/>
          <w:right w:val="nil"/>
          <w:between w:val="nil"/>
          <w:bar w:val="nil"/>
        </w:pBdr>
        <w:spacing w:line="276" w:lineRule="auto"/>
        <w:ind w:right="20"/>
        <w:jc w:val="both"/>
        <w:rPr>
          <w:color w:val="000000" w:themeColor="text1"/>
          <w:szCs w:val="24"/>
        </w:rPr>
      </w:pPr>
    </w:p>
    <w:p w:rsidR="00715340" w:rsidP="00715340" w:rsidRDefault="00715340" w14:paraId="305693A4" w14:textId="6E7D6489">
      <w:pPr>
        <w:pBdr>
          <w:top w:val="nil"/>
          <w:left w:val="nil"/>
          <w:bottom w:val="nil"/>
          <w:right w:val="nil"/>
          <w:between w:val="nil"/>
          <w:bar w:val="nil"/>
        </w:pBdr>
        <w:spacing w:line="276" w:lineRule="auto"/>
        <w:ind w:right="20"/>
        <w:jc w:val="both"/>
        <w:rPr>
          <w:color w:val="000000" w:themeColor="text1"/>
          <w:szCs w:val="24"/>
        </w:rPr>
      </w:pPr>
      <w:r>
        <w:rPr>
          <w:color w:val="000000" w:themeColor="text1"/>
          <w:szCs w:val="24"/>
        </w:rPr>
        <w:t>Disa nga arsyet objektive tw pamundwsisw sw kryerjes sw analizws sasiore ekonomike po i paraqesim mw poshtw:</w:t>
      </w:r>
    </w:p>
    <w:p w:rsidR="00715340" w:rsidP="00715340" w:rsidRDefault="00715340" w14:paraId="09B6F9F2" w14:textId="77777777">
      <w:pPr>
        <w:pBdr>
          <w:top w:val="nil"/>
          <w:left w:val="nil"/>
          <w:bottom w:val="nil"/>
          <w:right w:val="nil"/>
          <w:between w:val="nil"/>
          <w:bar w:val="nil"/>
        </w:pBdr>
        <w:spacing w:line="276" w:lineRule="auto"/>
        <w:ind w:right="20"/>
        <w:jc w:val="both"/>
        <w:rPr>
          <w:color w:val="000000" w:themeColor="text1"/>
          <w:szCs w:val="24"/>
        </w:rPr>
      </w:pPr>
    </w:p>
    <w:p w:rsidRPr="00A32E1F" w:rsidR="00F37131" w:rsidP="00F37131" w:rsidRDefault="00F37131" w14:paraId="69EA8778"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Një nga arsyet kryesore që e bën të vështirë kuantifikimin e kostove dhe përfitimeve është natyra e ndikimeve të ligjit, të cilat nuk janë thjesht të drejtpërdrejta, por shtrihen edhe në dimensione tërthore dhe afatgjata. Ky projektligj ka efekt jo vetëm mbi mënyrën se si funksionojnë shoqëritë tregtare, por edhe mbi sjelljen e bizneseve, vendimet e investitorëve dhe marrëdhëniet me institucione të ndryshme, gjë që e bën të vështirë lidhjen e një numri konkret me efektet ekonomike.</w:t>
      </w:r>
    </w:p>
    <w:p w:rsidRPr="00A32E1F" w:rsidR="00F37131" w:rsidP="00F37131" w:rsidRDefault="00F37131" w14:paraId="655BE41A"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Përveç kësaj, shpërndarja e ndikimeve nuk është e njëtrajtshme për të gjitha grupet e prekura. Ndërmarrjet e vogla dhe të mesme, shoqëritë ndërkombëtare, aksionarët e pakicës, institucionet shtetërore dhe profesionistët ligjorë preken në mënyra të ndryshme, me sfida dhe përfitime që nuk mund të reduktohen lehtësisht në një vlerë monetare të vetme. Kjo heterogjenitet i ndikimeve shton kompleksitetin e analizës sasiore.</w:t>
      </w:r>
    </w:p>
    <w:p w:rsidRPr="00A32E1F" w:rsidR="00F37131" w:rsidP="00F37131" w:rsidRDefault="00F37131" w14:paraId="114AADAA"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Një pengesë tjetër e rëndësishme është mungesa e të dhënave të besueshme dhe të përditësuara mbi aktivitetet ndërkufitare. Numri i operacioneve të kryera aktualisht, intensiteti i transaksioneve, vlera e kapitalit të transferuar dhe kostot specifike të përpunimit për secilën kategori biznesi nuk janë të dokumentuara në mënyrë të detajuar. Pa këto të dhëna, çdo përpjekje për të llogaritur ndikimin financiar do të mbështetej kryesisht në supozime të pasakta ose të paqarta.</w:t>
      </w:r>
    </w:p>
    <w:p w:rsidRPr="00A32E1F" w:rsidR="00F37131" w:rsidP="00F37131" w:rsidRDefault="00F37131" w14:paraId="78F4FBAA"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Ndikimi i projektligjit varet gjithashtu nga veprimet e institucioneve shtetërore dhe nga kapacitetet e tyre për zbatimin efektiv të rregullave të reja. Për shembull, aftësia e QKB-së, Ministrisë së Ekonomisë dhe noterëve për të përpunuar kërkesat ndërkufitare dhe për të përdorur sistemet e reja dixhitale ndikon drejtpërdrejt në realizimin e përfitimeve. Variacionet në këto kapacitete e bëjnë të pamundur parashikimin e saktë të rezultateve ekonomike dhe financiare.</w:t>
      </w:r>
    </w:p>
    <w:p w:rsidRPr="00A32E1F" w:rsidR="00F37131" w:rsidP="00F37131" w:rsidRDefault="00F37131" w14:paraId="6967AFB4"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Faktorë të jashtëm, si ndryshimet në tregjet ndërkombëtare, zhvillimet makroekonomike dhe luhatjet në politikën fiskale apo monetare, gjithashtu ndikojnë në efektet e pritshme të ligjit. Këta faktorë nuk mund të kontrollohen nga ligjvënësi, por mund të ndikojnë ndjeshëm në vlerën reale të përfitimeve dhe kostove, duke shtuar pasigurinë e çdo vlerësimi monetar.</w:t>
      </w:r>
    </w:p>
    <w:p w:rsidRPr="00A32E1F" w:rsidR="00F37131" w:rsidP="00F37131" w:rsidRDefault="00F37131" w14:paraId="49CC6B79" w14:textId="77777777">
      <w:pPr>
        <w:pBdr>
          <w:top w:val="nil"/>
          <w:left w:val="nil"/>
          <w:bottom w:val="nil"/>
          <w:right w:val="nil"/>
          <w:between w:val="nil"/>
          <w:bar w:val="nil"/>
        </w:pBdr>
        <w:spacing w:line="276" w:lineRule="auto"/>
        <w:ind w:right="20"/>
        <w:jc w:val="both"/>
        <w:rPr>
          <w:color w:val="000000" w:themeColor="text1"/>
          <w:szCs w:val="24"/>
        </w:rPr>
      </w:pPr>
      <w:r w:rsidRPr="00A32E1F">
        <w:rPr>
          <w:color w:val="000000" w:themeColor="text1"/>
          <w:szCs w:val="24"/>
        </w:rPr>
        <w:t>Për këto arsye, një analizë e thelluar cilësore dhe përdorimi i metodave të vlerësimit me shumë kritere janë të domosdoshme. Këto qasje lejojnë identifikimin dhe kuptimin e ndikimeve kryesore mbi të gjitha grupet e prekura, pa u mbështetur në supozime monetare të pasakta, dhe ofrojnë një bazë të besueshme për vendimmarrje strategjike në lidhje me miratimin dhe zbatimin e projektligjit</w:t>
      </w:r>
    </w:p>
    <w:p w:rsidRPr="00A32E1F" w:rsidR="00715340" w:rsidP="00715340" w:rsidRDefault="00715340" w14:paraId="77E05FE6" w14:textId="77777777">
      <w:pPr>
        <w:pBdr>
          <w:top w:val="nil"/>
          <w:left w:val="nil"/>
          <w:bottom w:val="nil"/>
          <w:right w:val="nil"/>
          <w:between w:val="nil"/>
          <w:bar w:val="nil"/>
        </w:pBdr>
        <w:spacing w:line="276" w:lineRule="auto"/>
        <w:ind w:right="20"/>
        <w:jc w:val="both"/>
        <w:rPr>
          <w:color w:val="000000" w:themeColor="text1"/>
          <w:szCs w:val="24"/>
        </w:rPr>
      </w:pPr>
    </w:p>
    <w:p w:rsidRPr="00990D4F" w:rsidR="00715340" w:rsidP="00D31EA6" w:rsidRDefault="00715340" w14:paraId="57795E84" w14:textId="77777777">
      <w:pPr>
        <w:pBdr>
          <w:top w:val="nil"/>
          <w:left w:val="nil"/>
          <w:bottom w:val="nil"/>
          <w:right w:val="nil"/>
          <w:between w:val="nil"/>
          <w:bar w:val="nil"/>
        </w:pBdr>
        <w:spacing w:line="276" w:lineRule="auto"/>
        <w:ind w:right="20"/>
        <w:jc w:val="both"/>
        <w:rPr>
          <w:color w:val="000000" w:themeColor="text1"/>
          <w:szCs w:val="24"/>
        </w:rPr>
      </w:pPr>
    </w:p>
    <w:p w:rsidRPr="00990D4F" w:rsidR="00D31EA6" w:rsidP="00D31EA6" w:rsidRDefault="00D31EA6" w14:paraId="1F34E144" w14:textId="77777777">
      <w:pPr>
        <w:pBdr>
          <w:top w:val="nil"/>
          <w:left w:val="nil"/>
          <w:bottom w:val="nil"/>
          <w:right w:val="nil"/>
          <w:between w:val="nil"/>
          <w:bar w:val="nil"/>
        </w:pBdr>
        <w:spacing w:line="276" w:lineRule="auto"/>
        <w:ind w:right="20"/>
        <w:jc w:val="both"/>
        <w:rPr>
          <w:color w:val="000000" w:themeColor="text1"/>
          <w:szCs w:val="24"/>
          <w:u w:val="single"/>
        </w:rPr>
      </w:pPr>
      <w:r w:rsidRPr="00990D4F">
        <w:rPr>
          <w:color w:val="000000" w:themeColor="text1"/>
          <w:szCs w:val="24"/>
          <w:u w:val="single"/>
        </w:rPr>
        <w:t>Ndikimi social</w:t>
      </w:r>
    </w:p>
    <w:p w:rsidRPr="00990D4F" w:rsidR="00D31EA6" w:rsidP="00D31EA6" w:rsidRDefault="00D31EA6" w14:paraId="4AB2B81B" w14:textId="77777777">
      <w:pPr>
        <w:pBdr>
          <w:top w:val="nil"/>
          <w:left w:val="nil"/>
          <w:bottom w:val="nil"/>
          <w:right w:val="nil"/>
          <w:between w:val="nil"/>
          <w:bar w:val="nil"/>
        </w:pBdr>
        <w:spacing w:line="276" w:lineRule="auto"/>
        <w:ind w:right="20"/>
        <w:jc w:val="both"/>
        <w:rPr>
          <w:color w:val="000000" w:themeColor="text1"/>
          <w:szCs w:val="24"/>
        </w:rPr>
      </w:pPr>
    </w:p>
    <w:p w:rsidRPr="00990D4F" w:rsidR="00D31EA6" w:rsidP="00D31EA6" w:rsidRDefault="00D31EA6" w14:paraId="454DCBCF" w14:textId="5B4FB690">
      <w:pPr>
        <w:pBdr>
          <w:top w:val="nil"/>
          <w:left w:val="nil"/>
          <w:bottom w:val="nil"/>
          <w:right w:val="nil"/>
          <w:between w:val="nil"/>
          <w:bar w:val="nil"/>
        </w:pBdr>
        <w:spacing w:line="276" w:lineRule="auto"/>
        <w:ind w:right="20"/>
        <w:jc w:val="both"/>
        <w:rPr>
          <w:color w:val="000000" w:themeColor="text1"/>
          <w:szCs w:val="24"/>
        </w:rPr>
      </w:pPr>
      <w:r w:rsidRPr="00990D4F">
        <w:rPr>
          <w:color w:val="000000" w:themeColor="text1"/>
          <w:szCs w:val="24"/>
        </w:rPr>
        <w:t xml:space="preserve">Ndikimi social i harmonizimit të ligjit me acquis-in e BE-së është gjithashtu i rëndësishëm. Harmonizimi me rregulloret e BE-së jo vetëm që përmirëson mjedisin ligjor për bizneset, por </w:t>
      </w:r>
      <w:r w:rsidRPr="00E63E6B" w:rsidR="00E63E6B">
        <w:rPr>
          <w:color w:val="000000" w:themeColor="text1"/>
          <w:szCs w:val="24"/>
        </w:rPr>
        <w:t>do ti hap</w:t>
      </w:r>
      <w:r w:rsidR="00307DD4">
        <w:rPr>
          <w:color w:val="000000" w:themeColor="text1"/>
          <w:szCs w:val="24"/>
        </w:rPr>
        <w:t>ë</w:t>
      </w:r>
      <w:r w:rsidRPr="00E63E6B" w:rsidR="00E63E6B">
        <w:rPr>
          <w:color w:val="000000" w:themeColor="text1"/>
          <w:szCs w:val="24"/>
        </w:rPr>
        <w:t xml:space="preserve"> rrug</w:t>
      </w:r>
      <w:r w:rsidR="00307DD4">
        <w:rPr>
          <w:color w:val="000000" w:themeColor="text1"/>
          <w:szCs w:val="24"/>
        </w:rPr>
        <w:t>ë</w:t>
      </w:r>
      <w:r w:rsidRPr="00E63E6B" w:rsidR="00E63E6B">
        <w:rPr>
          <w:color w:val="000000" w:themeColor="text1"/>
          <w:szCs w:val="24"/>
        </w:rPr>
        <w:t xml:space="preserve"> q</w:t>
      </w:r>
      <w:r w:rsidR="00307DD4">
        <w:rPr>
          <w:color w:val="000000" w:themeColor="text1"/>
          <w:szCs w:val="24"/>
        </w:rPr>
        <w:t>ë</w:t>
      </w:r>
      <w:r w:rsidRPr="00E63E6B" w:rsidR="00E63E6B">
        <w:rPr>
          <w:color w:val="000000" w:themeColor="text1"/>
          <w:szCs w:val="24"/>
        </w:rPr>
        <w:t xml:space="preserve"> n</w:t>
      </w:r>
      <w:r w:rsidR="00307DD4">
        <w:rPr>
          <w:color w:val="000000" w:themeColor="text1"/>
          <w:szCs w:val="24"/>
        </w:rPr>
        <w:t>ë</w:t>
      </w:r>
      <w:r w:rsidRPr="00E63E6B" w:rsidR="00E63E6B">
        <w:rPr>
          <w:color w:val="000000" w:themeColor="text1"/>
          <w:szCs w:val="24"/>
        </w:rPr>
        <w:t xml:space="preserve"> t</w:t>
      </w:r>
      <w:r w:rsidR="00307DD4">
        <w:rPr>
          <w:color w:val="000000" w:themeColor="text1"/>
          <w:szCs w:val="24"/>
        </w:rPr>
        <w:t>ë</w:t>
      </w:r>
      <w:r w:rsidRPr="00E63E6B" w:rsidR="00E63E6B">
        <w:rPr>
          <w:color w:val="000000" w:themeColor="text1"/>
          <w:szCs w:val="24"/>
        </w:rPr>
        <w:t xml:space="preserve"> ardhmen për shembull </w:t>
      </w:r>
      <w:r w:rsidR="0088679A">
        <w:rPr>
          <w:color w:val="000000" w:themeColor="text1"/>
          <w:szCs w:val="24"/>
        </w:rPr>
        <w:t>traspozimit</w:t>
      </w:r>
      <w:r w:rsidRPr="00E63E6B" w:rsidR="00E63E6B">
        <w:rPr>
          <w:color w:val="000000" w:themeColor="text1"/>
          <w:szCs w:val="24"/>
        </w:rPr>
        <w:t xml:space="preserve"> </w:t>
      </w:r>
      <w:r w:rsidR="0088679A">
        <w:rPr>
          <w:color w:val="000000" w:themeColor="text1"/>
          <w:szCs w:val="24"/>
        </w:rPr>
        <w:t>të</w:t>
      </w:r>
      <w:r w:rsidRPr="00E63E6B" w:rsidR="00E63E6B">
        <w:rPr>
          <w:color w:val="000000" w:themeColor="text1"/>
          <w:szCs w:val="24"/>
        </w:rPr>
        <w:t xml:space="preserve"> </w:t>
      </w:r>
      <w:r w:rsidRPr="00990D4F">
        <w:rPr>
          <w:color w:val="000000" w:themeColor="text1"/>
          <w:szCs w:val="24"/>
        </w:rPr>
        <w:t xml:space="preserve">Direktives 2022/2381, e cila kërkon balancën gjinore mes drejtorëve të shoqërive të listuara, </w:t>
      </w:r>
      <w:r w:rsidR="00A70C42">
        <w:rPr>
          <w:color w:val="000000" w:themeColor="text1"/>
          <w:szCs w:val="24"/>
        </w:rPr>
        <w:t>për</w:t>
      </w:r>
      <w:r w:rsidRPr="00990D4F">
        <w:rPr>
          <w:color w:val="000000" w:themeColor="text1"/>
          <w:szCs w:val="24"/>
        </w:rPr>
        <w:t xml:space="preserve"> promovimin e barazisë gjinore në sektorin korporativ të Shqipërisë.</w:t>
      </w:r>
    </w:p>
    <w:p w:rsidRPr="00990D4F" w:rsidR="00D31EA6" w:rsidP="00D31EA6" w:rsidRDefault="00D31EA6" w14:paraId="5490A288" w14:textId="77777777">
      <w:pPr>
        <w:pBdr>
          <w:top w:val="nil"/>
          <w:left w:val="nil"/>
          <w:bottom w:val="nil"/>
          <w:right w:val="nil"/>
          <w:between w:val="nil"/>
          <w:bar w:val="nil"/>
        </w:pBdr>
        <w:spacing w:line="276" w:lineRule="auto"/>
        <w:ind w:right="20"/>
        <w:jc w:val="both"/>
        <w:rPr>
          <w:b/>
          <w:bCs/>
          <w:color w:val="000000" w:themeColor="text1"/>
          <w:szCs w:val="24"/>
        </w:rPr>
      </w:pPr>
    </w:p>
    <w:p w:rsidRPr="00990D4F" w:rsidR="00D31EA6" w:rsidP="00D31EA6" w:rsidRDefault="00D31EA6" w14:paraId="4BB82F8B" w14:textId="77777777">
      <w:pPr>
        <w:pBdr>
          <w:top w:val="nil"/>
          <w:left w:val="nil"/>
          <w:bottom w:val="nil"/>
          <w:right w:val="nil"/>
          <w:between w:val="nil"/>
          <w:bar w:val="nil"/>
        </w:pBdr>
        <w:spacing w:line="276" w:lineRule="auto"/>
        <w:ind w:right="20"/>
        <w:jc w:val="both"/>
        <w:rPr>
          <w:color w:val="000000" w:themeColor="text1"/>
          <w:szCs w:val="24"/>
        </w:rPr>
      </w:pPr>
      <w:r w:rsidRPr="00990D4F">
        <w:rPr>
          <w:color w:val="000000" w:themeColor="text1"/>
          <w:szCs w:val="24"/>
        </w:rPr>
        <w:t>Po ashtu,</w:t>
      </w:r>
      <w:r w:rsidRPr="00990D4F">
        <w:rPr>
          <w:b/>
          <w:bCs/>
          <w:color w:val="000000" w:themeColor="text1"/>
          <w:szCs w:val="24"/>
        </w:rPr>
        <w:t xml:space="preserve"> </w:t>
      </w:r>
      <w:r w:rsidRPr="00990D4F">
        <w:rPr>
          <w:color w:val="000000" w:themeColor="text1"/>
          <w:szCs w:val="24"/>
        </w:rPr>
        <w:t>forcimi i të drejtave të aksionarëve, veçanërisht për aksionarët e pakicës, është në përputhje me objektivat më të gjerë të BE-së për të promovuar transparencën dhe përgjegjësinë më të madhe në praktikat e biznesit.</w:t>
      </w:r>
    </w:p>
    <w:p w:rsidRPr="00990D4F" w:rsidR="00D31EA6" w:rsidP="00D31EA6" w:rsidRDefault="00D31EA6" w14:paraId="1DEDD501" w14:textId="77777777">
      <w:pPr>
        <w:pBdr>
          <w:top w:val="nil"/>
          <w:left w:val="nil"/>
          <w:bottom w:val="nil"/>
          <w:right w:val="nil"/>
          <w:between w:val="nil"/>
          <w:bar w:val="nil"/>
        </w:pBdr>
        <w:spacing w:line="276" w:lineRule="auto"/>
        <w:ind w:right="20"/>
        <w:jc w:val="both"/>
        <w:rPr>
          <w:b/>
          <w:bCs/>
          <w:color w:val="000000" w:themeColor="text1"/>
          <w:szCs w:val="24"/>
        </w:rPr>
      </w:pPr>
    </w:p>
    <w:p w:rsidRPr="00F74152" w:rsidR="00D31EA6" w:rsidP="00D31EA6" w:rsidRDefault="00D31EA6" w14:paraId="48114AB9" w14:textId="4547730F">
      <w:pPr>
        <w:pBdr>
          <w:top w:val="nil"/>
          <w:left w:val="nil"/>
          <w:bottom w:val="nil"/>
          <w:right w:val="nil"/>
          <w:between w:val="nil"/>
          <w:bar w:val="nil"/>
        </w:pBdr>
        <w:spacing w:line="276" w:lineRule="auto"/>
        <w:ind w:right="20"/>
        <w:jc w:val="both"/>
        <w:rPr>
          <w:color w:val="000000" w:themeColor="text1"/>
          <w:szCs w:val="24"/>
        </w:rPr>
      </w:pPr>
      <w:r w:rsidRPr="00F74152">
        <w:rPr>
          <w:color w:val="000000" w:themeColor="text1"/>
          <w:szCs w:val="24"/>
        </w:rPr>
        <w:t>Kalimi në një kuadër ligjor më të harmonizuar me BE-në mund të kërkojë nga disa biznese që të ristrukturohen. Megjithatë, këto kosto priten të tejkalohen nga përfitimet afatgjata. Ndërmarrjet e vogla dhe të mesme në Shqipëri mund të përballen me sfida në përshtatjen me kuadrin ligjor të ri. Këto biznese mund të kenë nevojë për mbështetje dhe trajnime shtesë për të siguruar përputhshmërinë me rregullat e reja. Kjo mund të zbutet përmes ndihmës teknike dhe programeve trajnimi nga qeveria dhe partnerët ndërkombëtarë.</w:t>
      </w:r>
      <w:r w:rsidRPr="002849FB" w:rsidR="002849FB">
        <w:t xml:space="preserve"> </w:t>
      </w:r>
    </w:p>
    <w:p w:rsidRPr="00F74152" w:rsidR="00D31EA6" w:rsidP="00D31EA6" w:rsidRDefault="00D31EA6" w14:paraId="5A6C805C" w14:textId="77777777">
      <w:pPr>
        <w:pBdr>
          <w:top w:val="nil"/>
          <w:left w:val="nil"/>
          <w:bottom w:val="nil"/>
          <w:right w:val="nil"/>
          <w:between w:val="nil"/>
          <w:bar w:val="nil"/>
        </w:pBdr>
        <w:spacing w:line="276" w:lineRule="auto"/>
        <w:ind w:right="20"/>
        <w:jc w:val="both"/>
        <w:rPr>
          <w:b/>
          <w:bCs/>
          <w:color w:val="000000" w:themeColor="text1"/>
          <w:szCs w:val="24"/>
        </w:rPr>
      </w:pPr>
    </w:p>
    <w:p w:rsidRPr="00F74152" w:rsidR="00D31EA6" w:rsidP="00D31EA6" w:rsidRDefault="00D31EA6" w14:paraId="0F852B82" w14:textId="77777777">
      <w:pPr>
        <w:pBdr>
          <w:top w:val="nil"/>
          <w:left w:val="nil"/>
          <w:bottom w:val="nil"/>
          <w:right w:val="nil"/>
          <w:between w:val="nil"/>
          <w:bar w:val="nil"/>
        </w:pBdr>
        <w:spacing w:line="276" w:lineRule="auto"/>
        <w:ind w:right="20"/>
        <w:jc w:val="both"/>
        <w:rPr>
          <w:color w:val="000000" w:themeColor="text1"/>
          <w:szCs w:val="24"/>
          <w:u w:val="single"/>
        </w:rPr>
      </w:pPr>
      <w:r w:rsidRPr="00F74152">
        <w:rPr>
          <w:color w:val="000000" w:themeColor="text1"/>
          <w:szCs w:val="24"/>
          <w:u w:val="single"/>
        </w:rPr>
        <w:t>Ndikimi institucional</w:t>
      </w:r>
    </w:p>
    <w:p w:rsidRPr="00F74152" w:rsidR="00D31EA6" w:rsidP="00D31EA6" w:rsidRDefault="00D31EA6" w14:paraId="02E2C4CA" w14:textId="77777777">
      <w:pPr>
        <w:pBdr>
          <w:top w:val="nil"/>
          <w:left w:val="nil"/>
          <w:bottom w:val="nil"/>
          <w:right w:val="nil"/>
          <w:between w:val="nil"/>
          <w:bar w:val="nil"/>
        </w:pBdr>
        <w:spacing w:line="276" w:lineRule="auto"/>
        <w:ind w:right="20"/>
        <w:jc w:val="both"/>
        <w:rPr>
          <w:color w:val="000000" w:themeColor="text1"/>
          <w:szCs w:val="24"/>
        </w:rPr>
      </w:pPr>
    </w:p>
    <w:p w:rsidRPr="00F73E80" w:rsidR="00F73E80" w:rsidP="00F73E80" w:rsidRDefault="00F73E80" w14:paraId="36676836" w14:textId="4DE8B002">
      <w:pPr>
        <w:pBdr>
          <w:top w:val="nil"/>
          <w:left w:val="nil"/>
          <w:bottom w:val="nil"/>
          <w:right w:val="nil"/>
          <w:between w:val="nil"/>
          <w:bar w:val="nil"/>
        </w:pBdr>
        <w:spacing w:line="276" w:lineRule="auto"/>
        <w:ind w:right="20"/>
        <w:jc w:val="both"/>
        <w:rPr>
          <w:color w:val="000000" w:themeColor="text1"/>
          <w:szCs w:val="24"/>
        </w:rPr>
      </w:pPr>
      <w:r w:rsidRPr="00F73E80">
        <w:rPr>
          <w:color w:val="000000" w:themeColor="text1"/>
          <w:szCs w:val="24"/>
        </w:rPr>
        <w:t xml:space="preserve">Zbatimi i projektligjit për shndërrimet, bashkimet dhe ndarjet ndërkufitare do të ketë një ndikim të rëndësishëm institucional, duke përfshirë konsolidimin e kapaciteteve të disa institucioneve kyçe që marrin pjesë në zbatimin e legjislacionit të shoqërive tregtare dhe operacioneve ndërkufitare. Konkretisht, </w:t>
      </w:r>
      <w:r w:rsidR="00BA49EA">
        <w:rPr>
          <w:color w:val="000000" w:themeColor="text1"/>
          <w:szCs w:val="24"/>
        </w:rPr>
        <w:t>ME,</w:t>
      </w:r>
      <w:r w:rsidRPr="00F73E80">
        <w:rPr>
          <w:color w:val="000000" w:themeColor="text1"/>
          <w:szCs w:val="24"/>
        </w:rPr>
        <w:t xml:space="preserve"> Qendra Kombëtare e Biznesit (QKB), Autoriteti i Konkurrencës, si dhe potencialisht Autoriteti i Mbikëqyrjes Financiare (AMF) nëse përfshihen ndërmarrje të listuara apo grupe financiare në operacione ndërkufitare, do të jenë përgjegjës për zbatimin, monitorimin dhe interpretimin e dispozitave të reja që burojnë nga transpozimi </w:t>
      </w:r>
      <w:r w:rsidR="00A11FE2">
        <w:rPr>
          <w:color w:val="000000" w:themeColor="text1"/>
          <w:szCs w:val="24"/>
        </w:rPr>
        <w:t>i</w:t>
      </w:r>
      <w:r w:rsidRPr="00F73E80">
        <w:rPr>
          <w:color w:val="000000" w:themeColor="text1"/>
          <w:szCs w:val="24"/>
        </w:rPr>
        <w:t xml:space="preserve"> Direktivës (BE) 2019/2121.</w:t>
      </w:r>
    </w:p>
    <w:p w:rsidRPr="00F73E80" w:rsidR="00F73E80" w:rsidP="00F73E80" w:rsidRDefault="00F73E80" w14:paraId="38159F15" w14:textId="77777777">
      <w:pPr>
        <w:pBdr>
          <w:top w:val="nil"/>
          <w:left w:val="nil"/>
          <w:bottom w:val="nil"/>
          <w:right w:val="nil"/>
          <w:between w:val="nil"/>
          <w:bar w:val="nil"/>
        </w:pBdr>
        <w:spacing w:line="276" w:lineRule="auto"/>
        <w:ind w:right="20"/>
        <w:jc w:val="both"/>
        <w:rPr>
          <w:color w:val="000000" w:themeColor="text1"/>
          <w:szCs w:val="24"/>
        </w:rPr>
      </w:pPr>
    </w:p>
    <w:p w:rsidRPr="00F73E80" w:rsidR="00F73E80" w:rsidP="00F73E80" w:rsidRDefault="00F73E80" w14:paraId="3084BCB3" w14:textId="77777777">
      <w:pPr>
        <w:pBdr>
          <w:top w:val="nil"/>
          <w:left w:val="nil"/>
          <w:bottom w:val="nil"/>
          <w:right w:val="nil"/>
          <w:between w:val="nil"/>
          <w:bar w:val="nil"/>
        </w:pBdr>
        <w:spacing w:line="276" w:lineRule="auto"/>
        <w:ind w:right="20"/>
        <w:jc w:val="both"/>
        <w:rPr>
          <w:color w:val="000000" w:themeColor="text1"/>
          <w:szCs w:val="24"/>
        </w:rPr>
      </w:pPr>
      <w:r w:rsidRPr="00F73E80">
        <w:rPr>
          <w:color w:val="000000" w:themeColor="text1"/>
          <w:szCs w:val="24"/>
        </w:rPr>
        <w:t>Për zbatimin efektiv të dispozitave të projektligjit, këto institucione do të duhet të forcojnë kapacitetet teknike dhe njerëzore për përpunimin e kërkesave ndërkufitare, dhënien e certifikatave dhe ndërlidhjen me sistemin e ndërlidhur të regjistrave të BE-së (BRIS), duke siguruar që procedurat të përputhen me standardet e zbatueshme evropiane për transparencë, qartësi dhe akses publik.</w:t>
      </w:r>
    </w:p>
    <w:p w:rsidRPr="00F73E80" w:rsidR="00F73E80" w:rsidP="00F73E80" w:rsidRDefault="00F73E80" w14:paraId="6F47F139" w14:textId="77777777">
      <w:pPr>
        <w:pBdr>
          <w:top w:val="nil"/>
          <w:left w:val="nil"/>
          <w:bottom w:val="nil"/>
          <w:right w:val="nil"/>
          <w:between w:val="nil"/>
          <w:bar w:val="nil"/>
        </w:pBdr>
        <w:spacing w:line="276" w:lineRule="auto"/>
        <w:ind w:right="20"/>
        <w:jc w:val="both"/>
        <w:rPr>
          <w:color w:val="000000" w:themeColor="text1"/>
          <w:szCs w:val="24"/>
        </w:rPr>
      </w:pPr>
    </w:p>
    <w:p w:rsidRPr="00F73E80" w:rsidR="00F73E80" w:rsidP="00F73E80" w:rsidRDefault="00F73E80" w14:paraId="35FDFB83" w14:textId="77777777">
      <w:pPr>
        <w:pBdr>
          <w:top w:val="nil"/>
          <w:left w:val="nil"/>
          <w:bottom w:val="nil"/>
          <w:right w:val="nil"/>
          <w:between w:val="nil"/>
          <w:bar w:val="nil"/>
        </w:pBdr>
        <w:spacing w:line="276" w:lineRule="auto"/>
        <w:ind w:right="20"/>
        <w:jc w:val="both"/>
        <w:rPr>
          <w:color w:val="000000" w:themeColor="text1"/>
          <w:szCs w:val="24"/>
        </w:rPr>
      </w:pPr>
      <w:r w:rsidRPr="00F73E80">
        <w:rPr>
          <w:color w:val="000000" w:themeColor="text1"/>
          <w:szCs w:val="24"/>
        </w:rPr>
        <w:t>Ky zhvillim institucional pritet të përmirësojë parashikueshmërinë e kuadrit ligjor dhe administrativ, të lehtësojë procedurat për bizneset dhe të rrisë besimin në sistemin e regjistrimit dhe kontrollit të operacioneve ndërkufitare. Koordinimi ndërinstitucional do të thellohet përmes mekanizmave të integruar të ndarjes së të dhënave, shkëmbimit të njoftimeve dhe bashkëpunimit të vazhdueshëm me sistemet e regjistrit të vendeve anëtare të BE-së.</w:t>
      </w:r>
    </w:p>
    <w:p w:rsidRPr="00F73E80" w:rsidR="00F73E80" w:rsidP="00F73E80" w:rsidRDefault="00F73E80" w14:paraId="6BA6A854" w14:textId="77777777">
      <w:pPr>
        <w:pBdr>
          <w:top w:val="nil"/>
          <w:left w:val="nil"/>
          <w:bottom w:val="nil"/>
          <w:right w:val="nil"/>
          <w:between w:val="nil"/>
          <w:bar w:val="nil"/>
        </w:pBdr>
        <w:spacing w:line="276" w:lineRule="auto"/>
        <w:ind w:right="20"/>
        <w:jc w:val="both"/>
        <w:rPr>
          <w:color w:val="000000" w:themeColor="text1"/>
          <w:szCs w:val="24"/>
        </w:rPr>
      </w:pPr>
    </w:p>
    <w:p w:rsidR="00823E38" w:rsidP="00323394" w:rsidRDefault="00F73E80" w14:paraId="0F2F4249" w14:textId="4208780D">
      <w:pPr>
        <w:pBdr>
          <w:top w:val="nil"/>
          <w:left w:val="nil"/>
          <w:bottom w:val="nil"/>
          <w:right w:val="nil"/>
          <w:between w:val="nil"/>
          <w:bar w:val="nil"/>
        </w:pBdr>
        <w:spacing w:line="276" w:lineRule="auto"/>
        <w:ind w:right="20"/>
        <w:jc w:val="both"/>
        <w:rPr>
          <w:color w:val="000000" w:themeColor="text1"/>
          <w:szCs w:val="24"/>
        </w:rPr>
      </w:pPr>
      <w:r w:rsidRPr="00F73E80">
        <w:rPr>
          <w:color w:val="000000" w:themeColor="text1"/>
          <w:szCs w:val="24"/>
        </w:rPr>
        <w:t>Në këtë kuadër, projektligji krijon bazën për ngritjen e praktikave të unifikuara me standardet e BE-së për të drejtat e kreditorëve, aksionarëve dhe punonjësve gjatë procesit të shndërrimeve, bashkimeve apo ndarjeve ndërkufitare, duke imponuar detyrime të reja për vlerësim të ndikimit, transparencë dhe certifikim nga autoritete të përcaktuara si noterët apo ekspertët e pavarur.</w:t>
      </w:r>
    </w:p>
    <w:p w:rsidR="00BF3BCF" w:rsidP="00323394" w:rsidRDefault="00BF3BCF" w14:paraId="549CA967" w14:textId="77777777">
      <w:pPr>
        <w:pBdr>
          <w:top w:val="nil"/>
          <w:left w:val="nil"/>
          <w:bottom w:val="nil"/>
          <w:right w:val="nil"/>
          <w:between w:val="nil"/>
          <w:bar w:val="nil"/>
        </w:pBdr>
        <w:spacing w:line="276" w:lineRule="auto"/>
        <w:ind w:right="20"/>
        <w:jc w:val="both"/>
        <w:rPr>
          <w:color w:val="000000" w:themeColor="text1"/>
          <w:szCs w:val="24"/>
        </w:rPr>
      </w:pPr>
    </w:p>
    <w:p w:rsidRPr="00823E38" w:rsidR="00823E38" w:rsidP="00823E38" w:rsidRDefault="00823E38" w14:paraId="1665DFE0" w14:textId="77777777">
      <w:pPr>
        <w:pBdr>
          <w:top w:val="nil"/>
          <w:left w:val="nil"/>
          <w:bottom w:val="nil"/>
          <w:right w:val="nil"/>
          <w:between w:val="nil"/>
          <w:bar w:val="nil"/>
        </w:pBdr>
        <w:spacing w:line="276" w:lineRule="auto"/>
        <w:ind w:right="20"/>
        <w:jc w:val="both"/>
        <w:rPr>
          <w:color w:val="000000" w:themeColor="text1"/>
          <w:szCs w:val="24"/>
        </w:rPr>
      </w:pPr>
      <w:r w:rsidRPr="00823E38">
        <w:rPr>
          <w:color w:val="000000" w:themeColor="text1"/>
          <w:szCs w:val="24"/>
        </w:rPr>
        <w:t>a. Përshkrimi cilësor i ndikimeve të drejtpërdrejta mbi grupet e prekura:</w:t>
      </w:r>
    </w:p>
    <w:p w:rsidRPr="00823E38" w:rsidR="00823E38" w:rsidP="00823E38" w:rsidRDefault="00823E38" w14:paraId="5D4A5A95" w14:textId="77777777">
      <w:pPr>
        <w:pBdr>
          <w:top w:val="nil"/>
          <w:left w:val="nil"/>
          <w:bottom w:val="nil"/>
          <w:right w:val="nil"/>
          <w:between w:val="nil"/>
          <w:bar w:val="nil"/>
        </w:pBdr>
        <w:spacing w:line="276" w:lineRule="auto"/>
        <w:ind w:right="20"/>
        <w:jc w:val="both"/>
        <w:rPr>
          <w:color w:val="000000" w:themeColor="text1"/>
          <w:szCs w:val="24"/>
        </w:rPr>
      </w:pPr>
    </w:p>
    <w:p w:rsidRPr="008271AA" w:rsidR="008271AA" w:rsidP="008271AA" w:rsidRDefault="008271AA" w14:paraId="26C0244A" w14:textId="77777777">
      <w:pPr>
        <w:pBdr>
          <w:top w:val="nil"/>
          <w:left w:val="nil"/>
          <w:bottom w:val="nil"/>
          <w:right w:val="nil"/>
          <w:between w:val="nil"/>
          <w:bar w:val="nil"/>
        </w:pBdr>
        <w:spacing w:line="276" w:lineRule="auto"/>
        <w:ind w:right="20"/>
        <w:jc w:val="both"/>
        <w:rPr>
          <w:color w:val="000000" w:themeColor="text1"/>
          <w:szCs w:val="24"/>
        </w:rPr>
      </w:pPr>
      <w:r w:rsidRPr="008271AA">
        <w:rPr>
          <w:color w:val="000000" w:themeColor="text1"/>
          <w:szCs w:val="24"/>
        </w:rPr>
        <w:t>Bizneset, veçanërisht ato që synojnë zgjerim në tregje të BE-së ose kanë struktura të përbashkëta me shoqëri të huaja, do të përfitojnë nga një sistem më i qartë dhe i harmonizuar për operacionet ndërkufitare, i cili garanton trajtim të barabartë dhe eliminon pengesat ligjore për transformim dhe ristrukturim. Rregullat për njoftimin dhe mbrojtjen e aksionarëve të pakicës, transparencën e çmimeve të transferimit, dhe raportimin financiar, do të ndihmojnë në uljen e asimetrisë së informacionit dhe në rritjen e efikasitetit të tregut.</w:t>
      </w:r>
    </w:p>
    <w:p w:rsidRPr="008271AA" w:rsidR="008271AA" w:rsidP="008271AA" w:rsidRDefault="008271AA" w14:paraId="343CEACC" w14:textId="77777777">
      <w:pPr>
        <w:pBdr>
          <w:top w:val="nil"/>
          <w:left w:val="nil"/>
          <w:bottom w:val="nil"/>
          <w:right w:val="nil"/>
          <w:between w:val="nil"/>
          <w:bar w:val="nil"/>
        </w:pBdr>
        <w:spacing w:line="276" w:lineRule="auto"/>
        <w:ind w:right="20"/>
        <w:jc w:val="both"/>
        <w:rPr>
          <w:color w:val="000000" w:themeColor="text1"/>
          <w:szCs w:val="24"/>
        </w:rPr>
      </w:pPr>
    </w:p>
    <w:p w:rsidRPr="00823E38" w:rsidR="00823E38" w:rsidP="00823E38" w:rsidRDefault="008271AA" w14:paraId="7E340012" w14:textId="094B31F1">
      <w:pPr>
        <w:pBdr>
          <w:top w:val="nil"/>
          <w:left w:val="nil"/>
          <w:bottom w:val="nil"/>
          <w:right w:val="nil"/>
          <w:between w:val="nil"/>
          <w:bar w:val="nil"/>
        </w:pBdr>
        <w:spacing w:line="276" w:lineRule="auto"/>
        <w:ind w:right="20"/>
        <w:jc w:val="both"/>
        <w:rPr>
          <w:color w:val="000000" w:themeColor="text1"/>
          <w:szCs w:val="24"/>
        </w:rPr>
      </w:pPr>
      <w:r w:rsidRPr="008271AA">
        <w:rPr>
          <w:color w:val="000000" w:themeColor="text1"/>
          <w:szCs w:val="24"/>
        </w:rPr>
        <w:t>Noterët do të kenë një rol të zgjeruar në verifikimin formal të dokumentacionit dhe pajtueshmërisë ligjore të procedurave ndërkufitare, duke kryer certifikime për pajtueshmëri dhe raportime sipas modelit të përcaktuar nga Direktiva. Kjo rrit kërkesat për kualifikime shtesë dhe përditësim të praktikave ekzistuese.</w:t>
      </w:r>
    </w:p>
    <w:p w:rsidRPr="00823E38" w:rsidR="00823E38" w:rsidP="00823E38" w:rsidRDefault="00823E38" w14:paraId="2BF3A82E" w14:textId="77777777">
      <w:pPr>
        <w:pBdr>
          <w:top w:val="nil"/>
          <w:left w:val="nil"/>
          <w:bottom w:val="nil"/>
          <w:right w:val="nil"/>
          <w:between w:val="nil"/>
          <w:bar w:val="nil"/>
        </w:pBdr>
        <w:spacing w:line="276" w:lineRule="auto"/>
        <w:ind w:right="20"/>
        <w:jc w:val="both"/>
        <w:rPr>
          <w:color w:val="000000" w:themeColor="text1"/>
          <w:szCs w:val="24"/>
        </w:rPr>
      </w:pPr>
      <w:r w:rsidRPr="00823E38">
        <w:rPr>
          <w:color w:val="000000" w:themeColor="text1"/>
          <w:szCs w:val="24"/>
        </w:rPr>
        <w:t>b. Analiza nga ana sasiore e ndikimeve të drejtpërdrejta:</w:t>
      </w:r>
    </w:p>
    <w:p w:rsidRPr="00823E38" w:rsidR="00823E38" w:rsidP="00823E38" w:rsidRDefault="00823E38" w14:paraId="3D87A715" w14:textId="77777777">
      <w:pPr>
        <w:pBdr>
          <w:top w:val="nil"/>
          <w:left w:val="nil"/>
          <w:bottom w:val="nil"/>
          <w:right w:val="nil"/>
          <w:between w:val="nil"/>
          <w:bar w:val="nil"/>
        </w:pBdr>
        <w:spacing w:line="276" w:lineRule="auto"/>
        <w:ind w:right="20"/>
        <w:jc w:val="both"/>
        <w:rPr>
          <w:color w:val="000000" w:themeColor="text1"/>
          <w:szCs w:val="24"/>
        </w:rPr>
      </w:pPr>
    </w:p>
    <w:p w:rsidRPr="00C3782B" w:rsidR="00C3782B" w:rsidP="00C3782B" w:rsidRDefault="00C3782B" w14:paraId="5B98C71E" w14:textId="77777777">
      <w:pPr>
        <w:pBdr>
          <w:top w:val="nil"/>
          <w:left w:val="nil"/>
          <w:bottom w:val="nil"/>
          <w:right w:val="nil"/>
          <w:between w:val="nil"/>
          <w:bar w:val="nil"/>
        </w:pBdr>
        <w:spacing w:line="276" w:lineRule="auto"/>
        <w:ind w:right="20"/>
        <w:jc w:val="both"/>
        <w:rPr>
          <w:color w:val="000000" w:themeColor="text1"/>
          <w:szCs w:val="24"/>
        </w:rPr>
      </w:pPr>
      <w:r w:rsidRPr="00C3782B">
        <w:rPr>
          <w:color w:val="000000" w:themeColor="text1"/>
          <w:szCs w:val="24"/>
        </w:rPr>
        <w:t>Bazuar në të dhënat e INSTAT për vitin 2023, në Shqipëri janë të regjistruara mbi 150,000 shoqëri, shumica prej të cilave përfaqësojnë ndërmarrje të vogla dhe të mesme (SMEs). Rreth 5.3% e tyre janë shoqëri me kapital të huaj ose ndërkombëtar dhe rreth 3% kanë kryer operacione transformimi të brendshëm që mund të përkthehen në operacione ndërkufitare pas hyrjes në fuqi të këtij ligji.</w:t>
      </w:r>
    </w:p>
    <w:p w:rsidRPr="00C3782B" w:rsidR="00C3782B" w:rsidP="00C3782B" w:rsidRDefault="00C3782B" w14:paraId="0F1BA7DD" w14:textId="77777777">
      <w:pPr>
        <w:pBdr>
          <w:top w:val="nil"/>
          <w:left w:val="nil"/>
          <w:bottom w:val="nil"/>
          <w:right w:val="nil"/>
          <w:between w:val="nil"/>
          <w:bar w:val="nil"/>
        </w:pBdr>
        <w:spacing w:line="276" w:lineRule="auto"/>
        <w:ind w:right="20"/>
        <w:jc w:val="both"/>
        <w:rPr>
          <w:color w:val="000000" w:themeColor="text1"/>
          <w:szCs w:val="24"/>
        </w:rPr>
      </w:pPr>
    </w:p>
    <w:p w:rsidR="00823E38" w:rsidP="00823E38" w:rsidRDefault="00C3782B" w14:paraId="5BB2D080" w14:textId="75E65F52">
      <w:pPr>
        <w:pBdr>
          <w:top w:val="nil"/>
          <w:left w:val="nil"/>
          <w:bottom w:val="nil"/>
          <w:right w:val="nil"/>
          <w:between w:val="nil"/>
          <w:bar w:val="nil"/>
        </w:pBdr>
        <w:spacing w:line="276" w:lineRule="auto"/>
        <w:ind w:right="20"/>
        <w:jc w:val="both"/>
        <w:rPr>
          <w:color w:val="000000" w:themeColor="text1"/>
          <w:szCs w:val="24"/>
        </w:rPr>
      </w:pPr>
      <w:r w:rsidRPr="00C3782B">
        <w:rPr>
          <w:color w:val="000000" w:themeColor="text1"/>
          <w:szCs w:val="24"/>
        </w:rPr>
        <w:t>Me zbatimin e ligjit, numri i operacioneve ndërkufitare të lehtësuara pritet të rritet me rreth 15–25% në vitin e parë, duke reflektuar interesin e shtuar të tregut për struktura të thjeshtuara dhe procedura të njohura ndërkombëtarisht.</w:t>
      </w:r>
    </w:p>
    <w:p w:rsidRPr="00823E38" w:rsidR="00254A1A" w:rsidP="00823E38" w:rsidRDefault="00254A1A" w14:paraId="49C21D57" w14:textId="77777777">
      <w:pPr>
        <w:pBdr>
          <w:top w:val="nil"/>
          <w:left w:val="nil"/>
          <w:bottom w:val="nil"/>
          <w:right w:val="nil"/>
          <w:between w:val="nil"/>
          <w:bar w:val="nil"/>
        </w:pBdr>
        <w:spacing w:line="276" w:lineRule="auto"/>
        <w:ind w:right="20"/>
        <w:jc w:val="both"/>
        <w:rPr>
          <w:color w:val="000000" w:themeColor="text1"/>
          <w:szCs w:val="24"/>
        </w:rPr>
      </w:pPr>
    </w:p>
    <w:p w:rsidRPr="00823E38" w:rsidR="00823E38" w:rsidP="00823E38" w:rsidRDefault="00823E38" w14:paraId="75F5AF30" w14:textId="77777777">
      <w:pPr>
        <w:pBdr>
          <w:top w:val="nil"/>
          <w:left w:val="nil"/>
          <w:bottom w:val="nil"/>
          <w:right w:val="nil"/>
          <w:between w:val="nil"/>
          <w:bar w:val="nil"/>
        </w:pBdr>
        <w:spacing w:line="276" w:lineRule="auto"/>
        <w:ind w:right="20"/>
        <w:jc w:val="both"/>
        <w:rPr>
          <w:color w:val="000000" w:themeColor="text1"/>
          <w:szCs w:val="24"/>
        </w:rPr>
      </w:pPr>
      <w:r w:rsidRPr="00823E38">
        <w:rPr>
          <w:color w:val="000000" w:themeColor="text1"/>
          <w:szCs w:val="24"/>
        </w:rPr>
        <w:t>c. Përcaktoni vlerën monetare të ndikimeve më të rëndësishme të drejtpërdrejta aty ku është e mundur:</w:t>
      </w:r>
    </w:p>
    <w:p w:rsidRPr="00823E38" w:rsidR="00823E38" w:rsidP="00823E38" w:rsidRDefault="00823E38" w14:paraId="6D4ECBD5" w14:textId="77777777">
      <w:pPr>
        <w:pBdr>
          <w:top w:val="nil"/>
          <w:left w:val="nil"/>
          <w:bottom w:val="nil"/>
          <w:right w:val="nil"/>
          <w:between w:val="nil"/>
          <w:bar w:val="nil"/>
        </w:pBdr>
        <w:spacing w:line="276" w:lineRule="auto"/>
        <w:ind w:right="20"/>
        <w:jc w:val="both"/>
        <w:rPr>
          <w:color w:val="000000" w:themeColor="text1"/>
          <w:szCs w:val="24"/>
        </w:rPr>
      </w:pPr>
    </w:p>
    <w:p w:rsidRPr="00E054D1" w:rsidR="00E054D1" w:rsidP="00E054D1" w:rsidRDefault="00E054D1" w14:paraId="362241C6" w14:textId="77777777">
      <w:pPr>
        <w:pBdr>
          <w:top w:val="nil"/>
          <w:left w:val="nil"/>
          <w:bottom w:val="nil"/>
          <w:right w:val="nil"/>
          <w:between w:val="nil"/>
          <w:bar w:val="nil"/>
        </w:pBdr>
        <w:spacing w:line="276" w:lineRule="auto"/>
        <w:ind w:right="20"/>
        <w:jc w:val="both"/>
        <w:rPr>
          <w:color w:val="000000" w:themeColor="text1"/>
          <w:szCs w:val="24"/>
        </w:rPr>
      </w:pPr>
      <w:r w:rsidRPr="00E054D1">
        <w:rPr>
          <w:color w:val="000000" w:themeColor="text1"/>
          <w:szCs w:val="24"/>
        </w:rPr>
        <w:t>Bazuar në një vlerësim konservator të rritjes së Investimeve të Huaja Direkte (FDI) në masën 2% të PBB-së si rezultat i përmirësimit të mjedisit ligjor dhe institucional, dhe duke marrë për bazë PBB-në prej 23.6 miliardë euro për vitin 2023 (INSTAT), përfitimi ekonomik vjetor i pritshëm varion nga 47 milionë deri në 50 milionë euro.</w:t>
      </w:r>
    </w:p>
    <w:p w:rsidRPr="00E054D1" w:rsidR="00E054D1" w:rsidP="00E054D1" w:rsidRDefault="00E054D1" w14:paraId="5B421594" w14:textId="77777777">
      <w:pPr>
        <w:pBdr>
          <w:top w:val="nil"/>
          <w:left w:val="nil"/>
          <w:bottom w:val="nil"/>
          <w:right w:val="nil"/>
          <w:between w:val="nil"/>
          <w:bar w:val="nil"/>
        </w:pBdr>
        <w:spacing w:line="276" w:lineRule="auto"/>
        <w:ind w:right="20"/>
        <w:jc w:val="both"/>
        <w:rPr>
          <w:color w:val="000000" w:themeColor="text1"/>
          <w:szCs w:val="24"/>
        </w:rPr>
      </w:pPr>
    </w:p>
    <w:p w:rsidRPr="00823E38" w:rsidR="00823E38" w:rsidP="00823E38" w:rsidRDefault="00E054D1" w14:paraId="14A09B17" w14:textId="0895B612">
      <w:pPr>
        <w:pBdr>
          <w:top w:val="nil"/>
          <w:left w:val="nil"/>
          <w:bottom w:val="nil"/>
          <w:right w:val="nil"/>
          <w:between w:val="nil"/>
          <w:bar w:val="nil"/>
        </w:pBdr>
        <w:spacing w:line="276" w:lineRule="auto"/>
        <w:ind w:right="20"/>
        <w:jc w:val="both"/>
        <w:rPr>
          <w:color w:val="000000" w:themeColor="text1"/>
          <w:szCs w:val="24"/>
        </w:rPr>
      </w:pPr>
      <w:r w:rsidRPr="00E054D1">
        <w:rPr>
          <w:color w:val="000000" w:themeColor="text1"/>
          <w:szCs w:val="24"/>
        </w:rPr>
        <w:t>Kjo shifër përfshin rritjen e kapitalit, zgjerimin e operacioneve dhe punësimin, si dhe zvogëlimin e rrezikut ligjor dhe të kostove të paqarta transaksionale që aktualisht pengojnë aktivitetet ndërkufitare. Kjo shumë tejkalon disa herë investimet fillestare në trajnime dhe azhurnim teknologjik nga institucionet publike, të cilat përllogariten në më pak se 2 milionë euro për tre vitet e para.</w:t>
      </w:r>
    </w:p>
    <w:p w:rsidRPr="00823E38" w:rsidR="00823E38" w:rsidP="00823E38" w:rsidRDefault="00823E38" w14:paraId="706A9008" w14:textId="77777777">
      <w:pPr>
        <w:pBdr>
          <w:top w:val="nil"/>
          <w:left w:val="nil"/>
          <w:bottom w:val="nil"/>
          <w:right w:val="nil"/>
          <w:between w:val="nil"/>
          <w:bar w:val="nil"/>
        </w:pBdr>
        <w:spacing w:line="276" w:lineRule="auto"/>
        <w:ind w:right="20"/>
        <w:jc w:val="both"/>
        <w:rPr>
          <w:color w:val="000000" w:themeColor="text1"/>
          <w:szCs w:val="24"/>
        </w:rPr>
      </w:pPr>
      <w:r w:rsidRPr="00823E38">
        <w:rPr>
          <w:color w:val="000000" w:themeColor="text1"/>
          <w:szCs w:val="24"/>
        </w:rPr>
        <w:t>d. Analizoni ndikimin mbi ndërmarrjet e vogla dhe të mesme (nëse ka):</w:t>
      </w:r>
    </w:p>
    <w:p w:rsidRPr="00823E38" w:rsidR="00823E38" w:rsidP="00823E38" w:rsidRDefault="00823E38" w14:paraId="4324691C" w14:textId="77777777">
      <w:pPr>
        <w:pBdr>
          <w:top w:val="nil"/>
          <w:left w:val="nil"/>
          <w:bottom w:val="nil"/>
          <w:right w:val="nil"/>
          <w:between w:val="nil"/>
          <w:bar w:val="nil"/>
        </w:pBdr>
        <w:spacing w:line="276" w:lineRule="auto"/>
        <w:ind w:right="20"/>
        <w:jc w:val="both"/>
        <w:rPr>
          <w:color w:val="000000" w:themeColor="text1"/>
          <w:szCs w:val="24"/>
        </w:rPr>
      </w:pPr>
    </w:p>
    <w:p w:rsidRPr="003D58AF" w:rsidR="003D58AF" w:rsidP="003D58AF" w:rsidRDefault="003D58AF" w14:paraId="238FD3F0" w14:textId="727688CF">
      <w:pPr>
        <w:pBdr>
          <w:top w:val="nil"/>
          <w:left w:val="nil"/>
          <w:bottom w:val="nil"/>
          <w:right w:val="nil"/>
          <w:between w:val="nil"/>
          <w:bar w:val="nil"/>
        </w:pBdr>
        <w:spacing w:line="276" w:lineRule="auto"/>
        <w:ind w:right="20"/>
        <w:jc w:val="both"/>
        <w:rPr>
          <w:color w:val="000000" w:themeColor="text1"/>
          <w:szCs w:val="24"/>
        </w:rPr>
      </w:pPr>
      <w:r w:rsidRPr="003D58AF">
        <w:rPr>
          <w:color w:val="000000" w:themeColor="text1"/>
          <w:szCs w:val="24"/>
        </w:rPr>
        <w:t>SMEs do të preken në dy mënyra:</w:t>
      </w:r>
    </w:p>
    <w:p w:rsidRPr="003D58AF" w:rsidR="003D58AF" w:rsidP="003D58AF" w:rsidRDefault="003D58AF" w14:paraId="5FC27208" w14:textId="77777777">
      <w:pPr>
        <w:pBdr>
          <w:top w:val="nil"/>
          <w:left w:val="nil"/>
          <w:bottom w:val="nil"/>
          <w:right w:val="nil"/>
          <w:between w:val="nil"/>
          <w:bar w:val="nil"/>
        </w:pBdr>
        <w:spacing w:line="276" w:lineRule="auto"/>
        <w:ind w:right="20"/>
        <w:jc w:val="both"/>
        <w:rPr>
          <w:color w:val="000000" w:themeColor="text1"/>
          <w:szCs w:val="24"/>
        </w:rPr>
      </w:pPr>
    </w:p>
    <w:p w:rsidRPr="003D58AF" w:rsidR="003D58AF" w:rsidP="003D58AF" w:rsidRDefault="003D58AF" w14:paraId="419D8090" w14:textId="77777777">
      <w:pPr>
        <w:pBdr>
          <w:top w:val="nil"/>
          <w:left w:val="nil"/>
          <w:bottom w:val="nil"/>
          <w:right w:val="nil"/>
          <w:between w:val="nil"/>
          <w:bar w:val="nil"/>
        </w:pBdr>
        <w:spacing w:line="276" w:lineRule="auto"/>
        <w:ind w:right="20"/>
        <w:jc w:val="both"/>
        <w:rPr>
          <w:color w:val="000000" w:themeColor="text1"/>
          <w:szCs w:val="24"/>
        </w:rPr>
      </w:pPr>
      <w:r w:rsidRPr="003D58AF">
        <w:rPr>
          <w:color w:val="000000" w:themeColor="text1"/>
          <w:szCs w:val="24"/>
        </w:rPr>
        <w:t>Pozitivisht, pasi procedurat e standardizuara për bashkime dhe ndarje do të ulin kostot ligjore dhe kohën e përpunimit të transaksioneve, duke rritur aksesin në partneritete dhe financime ndërkufitare;</w:t>
      </w:r>
    </w:p>
    <w:p w:rsidRPr="003D58AF" w:rsidR="003D58AF" w:rsidP="003D58AF" w:rsidRDefault="003D58AF" w14:paraId="5259DE1E" w14:textId="77777777">
      <w:pPr>
        <w:pBdr>
          <w:top w:val="nil"/>
          <w:left w:val="nil"/>
          <w:bottom w:val="nil"/>
          <w:right w:val="nil"/>
          <w:between w:val="nil"/>
          <w:bar w:val="nil"/>
        </w:pBdr>
        <w:spacing w:line="276" w:lineRule="auto"/>
        <w:ind w:right="20"/>
        <w:jc w:val="both"/>
        <w:rPr>
          <w:color w:val="000000" w:themeColor="text1"/>
          <w:szCs w:val="24"/>
        </w:rPr>
      </w:pPr>
    </w:p>
    <w:p w:rsidRPr="003D58AF" w:rsidR="003D58AF" w:rsidP="003D58AF" w:rsidRDefault="003D58AF" w14:paraId="5CAAFB84" w14:textId="77777777">
      <w:pPr>
        <w:pBdr>
          <w:top w:val="nil"/>
          <w:left w:val="nil"/>
          <w:bottom w:val="nil"/>
          <w:right w:val="nil"/>
          <w:between w:val="nil"/>
          <w:bar w:val="nil"/>
        </w:pBdr>
        <w:spacing w:line="276" w:lineRule="auto"/>
        <w:ind w:right="20"/>
        <w:jc w:val="both"/>
        <w:rPr>
          <w:color w:val="000000" w:themeColor="text1"/>
          <w:szCs w:val="24"/>
        </w:rPr>
      </w:pPr>
      <w:r w:rsidRPr="003D58AF">
        <w:rPr>
          <w:color w:val="000000" w:themeColor="text1"/>
          <w:szCs w:val="24"/>
        </w:rPr>
        <w:t>Negativisht, nëse nuk marrin mbështetje teknike dhe informim adekuat për të zbatuar ndryshimet, mund të hasin vështirësi në përshtatjen me rregullat e reja. Kjo është veçanërisht e vërtetë për subjektet që operojnë në bashkëpronësi ose në sektorë të rregulluar si farmaceutika, telekomunikacioni apo ndërtimi.</w:t>
      </w:r>
    </w:p>
    <w:p w:rsidRPr="003D58AF" w:rsidR="003D58AF" w:rsidP="003D58AF" w:rsidRDefault="003D58AF" w14:paraId="267FCFE5" w14:textId="77777777">
      <w:pPr>
        <w:pBdr>
          <w:top w:val="nil"/>
          <w:left w:val="nil"/>
          <w:bottom w:val="nil"/>
          <w:right w:val="nil"/>
          <w:between w:val="nil"/>
          <w:bar w:val="nil"/>
        </w:pBdr>
        <w:spacing w:line="276" w:lineRule="auto"/>
        <w:ind w:right="20"/>
        <w:jc w:val="both"/>
        <w:rPr>
          <w:color w:val="000000" w:themeColor="text1"/>
          <w:szCs w:val="24"/>
        </w:rPr>
      </w:pPr>
    </w:p>
    <w:p w:rsidRPr="00781ED7" w:rsidR="00274855" w:rsidP="003D58AF" w:rsidRDefault="003D58AF" w14:paraId="16CA5A2E" w14:textId="173E7A46">
      <w:pPr>
        <w:pBdr>
          <w:top w:val="nil"/>
          <w:left w:val="nil"/>
          <w:bottom w:val="nil"/>
          <w:right w:val="nil"/>
          <w:between w:val="nil"/>
          <w:bar w:val="nil"/>
        </w:pBdr>
        <w:spacing w:line="276" w:lineRule="auto"/>
        <w:ind w:right="20"/>
        <w:jc w:val="both"/>
        <w:rPr>
          <w:color w:val="000000" w:themeColor="text1"/>
          <w:szCs w:val="24"/>
        </w:rPr>
      </w:pPr>
      <w:r w:rsidRPr="003D58AF">
        <w:rPr>
          <w:color w:val="000000" w:themeColor="text1"/>
          <w:szCs w:val="24"/>
        </w:rPr>
        <w:t>Për këtë arsye, programet e ndërgjegjësimit dhe asistencës teknike të drejtuara nga QKB, Dhomat e Tregtisë, agjencitë e zhvillimit rajonal dhe organizatat e sipërmarrjes, janë thelbësore për të minimizuar këtë ndikim negativ dhe për të garantuar akses të barabartë në përfitimet e ligjit të ri.</w:t>
      </w:r>
      <w:r w:rsidRPr="00781ED7" w:rsidR="00274855">
        <w:rPr>
          <w:color w:val="000000" w:themeColor="text1"/>
          <w:szCs w:val="24"/>
        </w:rPr>
        <w:t>.</w:t>
      </w:r>
    </w:p>
    <w:p w:rsidRPr="00781ED7" w:rsidR="00823B96" w:rsidP="00274855" w:rsidRDefault="00823B96" w14:paraId="0E5CF638" w14:textId="77777777">
      <w:pPr>
        <w:pBdr>
          <w:top w:val="nil"/>
          <w:left w:val="nil"/>
          <w:bottom w:val="nil"/>
          <w:right w:val="nil"/>
          <w:between w:val="nil"/>
          <w:bar w:val="nil"/>
        </w:pBdr>
        <w:spacing w:line="276" w:lineRule="auto"/>
        <w:ind w:right="20"/>
        <w:jc w:val="both"/>
        <w:rPr>
          <w:color w:val="000000" w:themeColor="text1"/>
          <w:szCs w:val="24"/>
        </w:rPr>
      </w:pPr>
    </w:p>
    <w:p w:rsidRPr="00781ED7" w:rsidR="00823B96" w:rsidP="00823B96" w:rsidRDefault="00823B96" w14:paraId="65BB0AD9" w14:textId="2C315CBA">
      <w:pPr>
        <w:pBdr>
          <w:top w:val="nil"/>
          <w:left w:val="nil"/>
          <w:bottom w:val="nil"/>
          <w:right w:val="nil"/>
          <w:between w:val="nil"/>
          <w:bar w:val="nil"/>
        </w:pBdr>
        <w:spacing w:line="276" w:lineRule="auto"/>
        <w:ind w:right="20"/>
        <w:jc w:val="both"/>
        <w:rPr>
          <w:color w:val="000000" w:themeColor="text1"/>
          <w:szCs w:val="24"/>
        </w:rPr>
      </w:pPr>
      <w:r w:rsidRPr="00781ED7">
        <w:rPr>
          <w:color w:val="000000" w:themeColor="text1"/>
          <w:szCs w:val="24"/>
        </w:rPr>
        <w:t>Për ndikimet jo të drejtpërdrejta:</w:t>
      </w:r>
    </w:p>
    <w:p w:rsidRPr="00781ED7" w:rsidR="00C45839" w:rsidP="00823B96" w:rsidRDefault="00C45839" w14:paraId="4B786569" w14:textId="77777777">
      <w:pPr>
        <w:pBdr>
          <w:top w:val="nil"/>
          <w:left w:val="nil"/>
          <w:bottom w:val="nil"/>
          <w:right w:val="nil"/>
          <w:between w:val="nil"/>
          <w:bar w:val="nil"/>
        </w:pBdr>
        <w:spacing w:line="276" w:lineRule="auto"/>
        <w:ind w:right="20"/>
        <w:jc w:val="both"/>
        <w:rPr>
          <w:color w:val="000000" w:themeColor="text1"/>
          <w:szCs w:val="24"/>
        </w:rPr>
      </w:pPr>
    </w:p>
    <w:p w:rsidRPr="00781ED7" w:rsidR="00823B96" w:rsidP="00823B96" w:rsidRDefault="00823B96" w14:paraId="539C150D" w14:textId="77777777">
      <w:pPr>
        <w:pBdr>
          <w:top w:val="nil"/>
          <w:left w:val="nil"/>
          <w:bottom w:val="nil"/>
          <w:right w:val="nil"/>
          <w:between w:val="nil"/>
          <w:bar w:val="nil"/>
        </w:pBdr>
        <w:spacing w:line="276" w:lineRule="auto"/>
        <w:ind w:right="20"/>
        <w:jc w:val="both"/>
        <w:rPr>
          <w:color w:val="000000" w:themeColor="text1"/>
          <w:szCs w:val="24"/>
        </w:rPr>
      </w:pPr>
      <w:r w:rsidRPr="00781ED7">
        <w:rPr>
          <w:color w:val="000000" w:themeColor="text1"/>
          <w:szCs w:val="24"/>
        </w:rPr>
        <w:t>a. Përshkrimi nga ana cilësore i ndikimeve jo të drejtpërdrejta mbi grupet e prekura:</w:t>
      </w:r>
    </w:p>
    <w:p w:rsidRPr="00781ED7" w:rsidR="00823B96" w:rsidP="00823B96" w:rsidRDefault="00823B96" w14:paraId="25E074FB" w14:textId="77777777">
      <w:pPr>
        <w:pBdr>
          <w:top w:val="nil"/>
          <w:left w:val="nil"/>
          <w:bottom w:val="nil"/>
          <w:right w:val="nil"/>
          <w:between w:val="nil"/>
          <w:bar w:val="nil"/>
        </w:pBdr>
        <w:spacing w:line="276" w:lineRule="auto"/>
        <w:ind w:right="20"/>
        <w:jc w:val="both"/>
        <w:rPr>
          <w:color w:val="000000" w:themeColor="text1"/>
          <w:szCs w:val="24"/>
        </w:rPr>
      </w:pPr>
    </w:p>
    <w:p w:rsidRPr="00F0471E" w:rsidR="00F0471E" w:rsidP="00F0471E" w:rsidRDefault="00823B96" w14:paraId="1116D0BB" w14:textId="1C62A635">
      <w:pPr>
        <w:pBdr>
          <w:top w:val="nil"/>
          <w:left w:val="nil"/>
          <w:bottom w:val="nil"/>
          <w:right w:val="nil"/>
          <w:between w:val="nil"/>
          <w:bar w:val="nil"/>
        </w:pBdr>
        <w:spacing w:line="276" w:lineRule="auto"/>
        <w:ind w:right="20"/>
        <w:jc w:val="both"/>
        <w:rPr>
          <w:color w:val="000000" w:themeColor="text1"/>
          <w:szCs w:val="24"/>
        </w:rPr>
      </w:pPr>
      <w:r w:rsidRPr="00781ED7">
        <w:rPr>
          <w:color w:val="000000" w:themeColor="text1"/>
          <w:szCs w:val="24"/>
        </w:rPr>
        <w:t>Për Shqipërinë, implementimi i këtyre ndryshimeve do të përmirësojë imazhin e vendit si një destinacion investimi tërheqës, duke kontribuar në një ambient më të hapur dhe konkurrues për bizneset. Ky ndikim i drejtpërdrejtë do të ndikojë pozitivisht në rritjen e investimeve të huaja dhe në konsolidimin e tregjeve të brendshme.</w:t>
      </w:r>
      <w:r w:rsidRPr="00E75562" w:rsidR="00F0471E">
        <w:t xml:space="preserve"> </w:t>
      </w:r>
      <w:r w:rsidRPr="00F0471E" w:rsidR="00F0471E">
        <w:rPr>
          <w:color w:val="000000" w:themeColor="text1"/>
          <w:szCs w:val="24"/>
        </w:rPr>
        <w:t xml:space="preserve">Përafrimi i kuadrit ligjor me direktivën e kodifikuar 2017/1132 të BE-së do të forcojë reputacionin e Shqipërisë si një vend që ofron kushte të parashikueshme, transparente dhe të krahasueshme me vendet anëtare të BE-së përsa i përket mbrojtjes së të drejtave të aksionarëve, sigurisë së transaksioneve ndërkufitare dhe efikasitetit të procedurave të ristrukturimit. </w:t>
      </w:r>
    </w:p>
    <w:p w:rsidRPr="00781ED7" w:rsidR="00823B96" w:rsidP="00823B96" w:rsidRDefault="00823B96" w14:paraId="7798D61C" w14:textId="77777777">
      <w:pPr>
        <w:pBdr>
          <w:top w:val="nil"/>
          <w:left w:val="nil"/>
          <w:bottom w:val="nil"/>
          <w:right w:val="nil"/>
          <w:between w:val="nil"/>
          <w:bar w:val="nil"/>
        </w:pBdr>
        <w:spacing w:line="276" w:lineRule="auto"/>
        <w:ind w:right="20"/>
        <w:jc w:val="both"/>
        <w:rPr>
          <w:color w:val="000000" w:themeColor="text1"/>
          <w:szCs w:val="24"/>
        </w:rPr>
      </w:pPr>
    </w:p>
    <w:p w:rsidRPr="00525217" w:rsidR="00823B96" w:rsidP="00823B96" w:rsidRDefault="00823B96" w14:paraId="3D5AE37D" w14:textId="77777777">
      <w:pPr>
        <w:pBdr>
          <w:top w:val="nil"/>
          <w:left w:val="nil"/>
          <w:bottom w:val="nil"/>
          <w:right w:val="nil"/>
          <w:between w:val="nil"/>
          <w:bar w:val="nil"/>
        </w:pBdr>
        <w:spacing w:line="276" w:lineRule="auto"/>
        <w:ind w:right="20"/>
        <w:jc w:val="both"/>
        <w:rPr>
          <w:color w:val="000000" w:themeColor="text1"/>
          <w:szCs w:val="24"/>
          <w:lang w:val="de-DE"/>
        </w:rPr>
      </w:pPr>
      <w:r w:rsidRPr="00525217">
        <w:rPr>
          <w:color w:val="000000" w:themeColor="text1"/>
          <w:szCs w:val="24"/>
          <w:lang w:val="de-DE"/>
        </w:rPr>
        <w:t>b. Analizoni ndikimin mbi konkurrencën:</w:t>
      </w:r>
    </w:p>
    <w:p w:rsidRPr="00525217" w:rsidR="00823B96" w:rsidP="00823B96" w:rsidRDefault="00823B96" w14:paraId="62D5FADD" w14:textId="77777777">
      <w:pPr>
        <w:pBdr>
          <w:top w:val="nil"/>
          <w:left w:val="nil"/>
          <w:bottom w:val="nil"/>
          <w:right w:val="nil"/>
          <w:between w:val="nil"/>
          <w:bar w:val="nil"/>
        </w:pBdr>
        <w:spacing w:line="276" w:lineRule="auto"/>
        <w:ind w:right="20"/>
        <w:jc w:val="both"/>
        <w:rPr>
          <w:color w:val="000000" w:themeColor="text1"/>
          <w:szCs w:val="24"/>
          <w:lang w:val="de-DE"/>
        </w:rPr>
      </w:pPr>
    </w:p>
    <w:p w:rsidRPr="00255123" w:rsidR="00255123" w:rsidP="00255123" w:rsidRDefault="00255123" w14:paraId="3B1A8AD9" w14:textId="52E58B5F">
      <w:pPr>
        <w:pBdr>
          <w:top w:val="nil"/>
          <w:left w:val="nil"/>
          <w:bottom w:val="nil"/>
          <w:right w:val="nil"/>
          <w:between w:val="nil"/>
          <w:bar w:val="nil"/>
        </w:pBdr>
        <w:spacing w:line="276" w:lineRule="auto"/>
        <w:ind w:right="20"/>
        <w:jc w:val="both"/>
        <w:rPr>
          <w:color w:val="000000" w:themeColor="text1"/>
          <w:szCs w:val="24"/>
          <w:lang w:val="de-DE"/>
        </w:rPr>
      </w:pPr>
      <w:r w:rsidRPr="00255123">
        <w:rPr>
          <w:color w:val="000000" w:themeColor="text1"/>
          <w:szCs w:val="24"/>
          <w:lang w:val="de-DE"/>
        </w:rPr>
        <w:t>Projektligji do të kontribuojë ndjeshëm në rritjen e konkurrencës në tregun vendas përmes dy mekanizmave parësorë:</w:t>
      </w:r>
    </w:p>
    <w:p w:rsidRPr="00255123" w:rsidR="00255123" w:rsidP="00255123" w:rsidRDefault="00255123" w14:paraId="044D7789" w14:textId="77777777">
      <w:pPr>
        <w:pBdr>
          <w:top w:val="nil"/>
          <w:left w:val="nil"/>
          <w:bottom w:val="nil"/>
          <w:right w:val="nil"/>
          <w:between w:val="nil"/>
          <w:bar w:val="nil"/>
        </w:pBdr>
        <w:spacing w:line="276" w:lineRule="auto"/>
        <w:ind w:right="20"/>
        <w:jc w:val="both"/>
        <w:rPr>
          <w:color w:val="000000" w:themeColor="text1"/>
          <w:szCs w:val="24"/>
          <w:lang w:val="de-DE"/>
        </w:rPr>
      </w:pPr>
    </w:p>
    <w:p w:rsidRPr="00E75562" w:rsidR="00255123" w:rsidP="0000379A" w:rsidRDefault="00255123" w14:paraId="6FC18E4F" w14:textId="77777777">
      <w:pPr>
        <w:pStyle w:val="ListParagraph"/>
        <w:numPr>
          <w:ilvl w:val="1"/>
          <w:numId w:val="21"/>
        </w:numPr>
        <w:pBdr>
          <w:top w:val="nil"/>
          <w:left w:val="nil"/>
          <w:bottom w:val="nil"/>
          <w:right w:val="nil"/>
          <w:between w:val="nil"/>
          <w:bar w:val="nil"/>
        </w:pBdr>
        <w:spacing w:line="276" w:lineRule="auto"/>
        <w:ind w:left="540" w:right="20" w:hanging="270"/>
        <w:jc w:val="both"/>
        <w:rPr>
          <w:rFonts w:ascii="Times New Roman" w:hAnsi="Times New Roman"/>
          <w:color w:val="000000" w:themeColor="text1"/>
          <w:sz w:val="24"/>
          <w:szCs w:val="24"/>
          <w:lang w:val="de-DE"/>
        </w:rPr>
      </w:pPr>
      <w:r w:rsidRPr="00E75562">
        <w:rPr>
          <w:rFonts w:ascii="Times New Roman" w:hAnsi="Times New Roman"/>
          <w:color w:val="000000" w:themeColor="text1"/>
          <w:sz w:val="24"/>
          <w:szCs w:val="24"/>
          <w:lang w:val="de-DE"/>
        </w:rPr>
        <w:t>Lehtësimi i aksesit të bizneseve shqiptare në tregun e brendshëm të BE-së përmes operacioneve të ristrukturimit ndërkufitar që respektojnë standardet e përbashkëta për transparencën, publikimin dhe mbrojtjen e të drejtave të aksionarëve dhe kreditorëve.</w:t>
      </w:r>
    </w:p>
    <w:p w:rsidRPr="00E75562" w:rsidR="00255123" w:rsidP="0000379A" w:rsidRDefault="00255123" w14:paraId="039CE63A" w14:textId="3E5576F6">
      <w:pPr>
        <w:pStyle w:val="ListParagraph"/>
        <w:numPr>
          <w:ilvl w:val="1"/>
          <w:numId w:val="21"/>
        </w:numPr>
        <w:pBdr>
          <w:top w:val="nil"/>
          <w:left w:val="nil"/>
          <w:bottom w:val="nil"/>
          <w:right w:val="nil"/>
          <w:between w:val="nil"/>
          <w:bar w:val="nil"/>
        </w:pBdr>
        <w:spacing w:line="276" w:lineRule="auto"/>
        <w:ind w:left="540" w:right="20" w:hanging="270"/>
        <w:jc w:val="both"/>
        <w:rPr>
          <w:color w:val="000000" w:themeColor="text1"/>
          <w:szCs w:val="24"/>
          <w:lang w:val="de-DE"/>
        </w:rPr>
      </w:pPr>
      <w:r w:rsidRPr="00E75562">
        <w:rPr>
          <w:rFonts w:ascii="Times New Roman" w:hAnsi="Times New Roman"/>
          <w:color w:val="000000" w:themeColor="text1"/>
          <w:sz w:val="24"/>
          <w:szCs w:val="24"/>
          <w:lang w:val="de-DE"/>
        </w:rPr>
        <w:t>Rritja e presionit konkurrues në tregun vendas, për shkak të hyrjes më të lehtë të entiteteve të huaja përmes shndërrimeve apo bashkimeve ndërkufitare të thjeshtuara, çka do të nxisë bizneset shqiptare të përmirësojnë cilësinë, transparencën dhe strukturën e tyre organizative.</w:t>
      </w:r>
    </w:p>
    <w:p w:rsidRPr="00255123" w:rsidR="00255123" w:rsidP="00255123" w:rsidRDefault="00255123" w14:paraId="3538EC1A" w14:textId="77777777">
      <w:pPr>
        <w:pBdr>
          <w:top w:val="nil"/>
          <w:left w:val="nil"/>
          <w:bottom w:val="nil"/>
          <w:right w:val="nil"/>
          <w:between w:val="nil"/>
          <w:bar w:val="nil"/>
        </w:pBdr>
        <w:spacing w:line="276" w:lineRule="auto"/>
        <w:ind w:right="20"/>
        <w:jc w:val="both"/>
        <w:rPr>
          <w:color w:val="000000" w:themeColor="text1"/>
          <w:szCs w:val="24"/>
          <w:lang w:val="de-DE"/>
        </w:rPr>
      </w:pPr>
    </w:p>
    <w:p w:rsidRPr="00525217" w:rsidR="00274855" w:rsidP="00255123" w:rsidRDefault="00255123" w14:paraId="6BF24743" w14:textId="235E96CD">
      <w:pPr>
        <w:pBdr>
          <w:top w:val="nil"/>
          <w:left w:val="nil"/>
          <w:bottom w:val="nil"/>
          <w:right w:val="nil"/>
          <w:between w:val="nil"/>
          <w:bar w:val="nil"/>
        </w:pBdr>
        <w:spacing w:line="276" w:lineRule="auto"/>
        <w:ind w:right="20"/>
        <w:jc w:val="both"/>
        <w:rPr>
          <w:color w:val="000000" w:themeColor="text1"/>
          <w:szCs w:val="24"/>
          <w:lang w:val="de-DE"/>
        </w:rPr>
      </w:pPr>
      <w:r w:rsidRPr="00255123">
        <w:rPr>
          <w:color w:val="000000" w:themeColor="text1"/>
          <w:szCs w:val="24"/>
          <w:lang w:val="de-DE"/>
        </w:rPr>
        <w:t>Për më tepër, standardizimi i procedurave do të eliminojë avantazhet e padrejta që mund të kenë shoqëri që operojnë me praktika jo të përputhura me normat e BE-së, duke krijuar një “fushë loje të barabartë” për të gjithë operatorët.</w:t>
      </w:r>
      <w:r w:rsidRPr="00525217" w:rsidR="00274855">
        <w:rPr>
          <w:color w:val="000000" w:themeColor="text1"/>
          <w:szCs w:val="24"/>
          <w:lang w:val="de-DE"/>
        </w:rPr>
        <w:t>.</w:t>
      </w:r>
    </w:p>
    <w:p w:rsidRPr="00525217" w:rsidR="00D957B1" w:rsidP="00274855" w:rsidRDefault="00D957B1" w14:paraId="1C7B39F6" w14:textId="77777777">
      <w:pPr>
        <w:pBdr>
          <w:top w:val="nil"/>
          <w:left w:val="nil"/>
          <w:bottom w:val="nil"/>
          <w:right w:val="nil"/>
          <w:between w:val="nil"/>
          <w:bar w:val="nil"/>
        </w:pBdr>
        <w:spacing w:line="276" w:lineRule="auto"/>
        <w:ind w:right="20"/>
        <w:jc w:val="both"/>
        <w:rPr>
          <w:color w:val="000000" w:themeColor="text1"/>
          <w:szCs w:val="24"/>
          <w:lang w:val="de-DE"/>
        </w:rPr>
      </w:pPr>
    </w:p>
    <w:p w:rsidRPr="00525217" w:rsidR="00274855" w:rsidP="00274855" w:rsidRDefault="00274855" w14:paraId="48A4CA27" w14:textId="23A732BC">
      <w:pPr>
        <w:pBdr>
          <w:top w:val="nil"/>
          <w:left w:val="nil"/>
          <w:bottom w:val="nil"/>
          <w:right w:val="nil"/>
          <w:between w:val="nil"/>
          <w:bar w:val="nil"/>
        </w:pBdr>
        <w:spacing w:line="276" w:lineRule="auto"/>
        <w:ind w:right="20"/>
        <w:jc w:val="both"/>
        <w:rPr>
          <w:color w:val="000000" w:themeColor="text1"/>
          <w:szCs w:val="24"/>
          <w:u w:val="single"/>
          <w:lang w:val="de-DE"/>
        </w:rPr>
      </w:pPr>
      <w:r w:rsidRPr="00525217">
        <w:rPr>
          <w:color w:val="000000" w:themeColor="text1"/>
          <w:szCs w:val="24"/>
          <w:u w:val="single"/>
          <w:lang w:val="de-DE"/>
        </w:rPr>
        <w:t>Diskutimi i kufizimit të analizës:</w:t>
      </w:r>
    </w:p>
    <w:p w:rsidRPr="00525217" w:rsidR="00D957B1" w:rsidP="00274855" w:rsidRDefault="00D957B1" w14:paraId="246E47B8" w14:textId="77777777">
      <w:pPr>
        <w:pBdr>
          <w:top w:val="nil"/>
          <w:left w:val="nil"/>
          <w:bottom w:val="nil"/>
          <w:right w:val="nil"/>
          <w:between w:val="nil"/>
          <w:bar w:val="nil"/>
        </w:pBdr>
        <w:spacing w:line="276" w:lineRule="auto"/>
        <w:ind w:right="20"/>
        <w:jc w:val="both"/>
        <w:rPr>
          <w:color w:val="000000" w:themeColor="text1"/>
          <w:szCs w:val="24"/>
          <w:lang w:val="de-DE"/>
        </w:rPr>
      </w:pPr>
    </w:p>
    <w:p w:rsidRPr="00D957B1" w:rsidR="00D957B1" w:rsidP="0000379A" w:rsidRDefault="00274855" w14:paraId="50C2C6A2" w14:textId="5B4B1E33">
      <w:pPr>
        <w:pStyle w:val="ListParagraph"/>
        <w:numPr>
          <w:ilvl w:val="0"/>
          <w:numId w:val="12"/>
        </w:numPr>
        <w:pBdr>
          <w:top w:val="nil"/>
          <w:left w:val="nil"/>
          <w:bottom w:val="nil"/>
          <w:right w:val="nil"/>
          <w:between w:val="nil"/>
          <w:bar w:val="nil"/>
        </w:pBdr>
        <w:spacing w:line="276" w:lineRule="auto"/>
        <w:ind w:right="20"/>
        <w:jc w:val="both"/>
        <w:rPr>
          <w:rFonts w:ascii="Times New Roman" w:hAnsi="Times New Roman"/>
          <w:color w:val="000000" w:themeColor="text1"/>
          <w:sz w:val="24"/>
          <w:szCs w:val="24"/>
          <w:lang w:val="it-IT"/>
        </w:rPr>
      </w:pPr>
      <w:r w:rsidRPr="00D957B1">
        <w:rPr>
          <w:rFonts w:ascii="Times New Roman" w:hAnsi="Times New Roman"/>
          <w:color w:val="000000" w:themeColor="text1"/>
          <w:sz w:val="24"/>
          <w:szCs w:val="24"/>
          <w:lang w:val="it-IT"/>
        </w:rPr>
        <w:t>Supozimet dhe risqet:</w:t>
      </w:r>
    </w:p>
    <w:p w:rsidRPr="005C0D42" w:rsidR="005C0D42" w:rsidP="005C0D42" w:rsidRDefault="005C0D42" w14:paraId="6615B838" w14:textId="77777777">
      <w:pPr>
        <w:pBdr>
          <w:top w:val="nil"/>
          <w:left w:val="nil"/>
          <w:bottom w:val="nil"/>
          <w:right w:val="nil"/>
          <w:between w:val="nil"/>
          <w:bar w:val="nil"/>
        </w:pBdr>
        <w:spacing w:line="276" w:lineRule="auto"/>
        <w:ind w:right="20"/>
        <w:jc w:val="both"/>
        <w:rPr>
          <w:color w:val="000000" w:themeColor="text1"/>
          <w:szCs w:val="24"/>
          <w:lang w:val="it-IT"/>
        </w:rPr>
      </w:pPr>
      <w:r w:rsidRPr="005C0D42">
        <w:rPr>
          <w:color w:val="000000" w:themeColor="text1"/>
          <w:szCs w:val="24"/>
          <w:lang w:val="it-IT"/>
        </w:rPr>
        <w:t>Analiza mbështetet në disa supozime themelore:</w:t>
      </w:r>
    </w:p>
    <w:p w:rsidRPr="005C0D42" w:rsidR="005C0D42" w:rsidP="005C0D42" w:rsidRDefault="005C0D42" w14:paraId="6A493A39" w14:textId="77777777">
      <w:pPr>
        <w:pBdr>
          <w:top w:val="nil"/>
          <w:left w:val="nil"/>
          <w:bottom w:val="nil"/>
          <w:right w:val="nil"/>
          <w:between w:val="nil"/>
          <w:bar w:val="nil"/>
        </w:pBdr>
        <w:spacing w:line="276" w:lineRule="auto"/>
        <w:ind w:right="20"/>
        <w:jc w:val="both"/>
        <w:rPr>
          <w:color w:val="000000" w:themeColor="text1"/>
          <w:szCs w:val="24"/>
          <w:lang w:val="it-IT"/>
        </w:rPr>
      </w:pPr>
    </w:p>
    <w:p w:rsidRPr="00E75562" w:rsidR="005C0D42" w:rsidP="0000379A" w:rsidRDefault="005C0D42" w14:paraId="68F5A02F" w14:textId="41138AD7">
      <w:pPr>
        <w:pStyle w:val="ListParagraph"/>
        <w:numPr>
          <w:ilvl w:val="0"/>
          <w:numId w:val="22"/>
        </w:numPr>
        <w:pBdr>
          <w:top w:val="nil"/>
          <w:left w:val="nil"/>
          <w:bottom w:val="nil"/>
          <w:right w:val="nil"/>
          <w:between w:val="nil"/>
          <w:bar w:val="nil"/>
        </w:pBdr>
        <w:spacing w:line="276" w:lineRule="auto"/>
        <w:ind w:left="810" w:right="20" w:hanging="270"/>
        <w:jc w:val="both"/>
        <w:rPr>
          <w:color w:val="000000" w:themeColor="text1"/>
          <w:szCs w:val="24"/>
          <w:lang w:val="it-IT"/>
        </w:rPr>
      </w:pPr>
      <w:r w:rsidRPr="00E75562">
        <w:rPr>
          <w:rFonts w:ascii="Times New Roman" w:hAnsi="Times New Roman"/>
          <w:color w:val="000000" w:themeColor="text1"/>
          <w:sz w:val="24"/>
          <w:szCs w:val="24"/>
          <w:lang w:val="it-IT"/>
        </w:rPr>
        <w:t>Që institucionet përgjegjëse (ME, QKB, noterët, gjykatat) do të kenë kapacitetin teknik dhe burimet e nevojshme për zbatimin e ligjit brenda afateve të përcaktuara.</w:t>
      </w:r>
    </w:p>
    <w:p w:rsidRPr="00E75562" w:rsidR="005C0D42" w:rsidP="0000379A" w:rsidRDefault="005C0D42" w14:paraId="0780FC8F" w14:textId="658D8C2F">
      <w:pPr>
        <w:pStyle w:val="ListParagraph"/>
        <w:numPr>
          <w:ilvl w:val="0"/>
          <w:numId w:val="22"/>
        </w:numPr>
        <w:pBdr>
          <w:top w:val="nil"/>
          <w:left w:val="nil"/>
          <w:bottom w:val="nil"/>
          <w:right w:val="nil"/>
          <w:between w:val="nil"/>
          <w:bar w:val="nil"/>
        </w:pBdr>
        <w:spacing w:line="276" w:lineRule="auto"/>
        <w:ind w:left="810" w:right="20" w:hanging="270"/>
        <w:jc w:val="both"/>
        <w:rPr>
          <w:color w:val="000000" w:themeColor="text1"/>
          <w:szCs w:val="24"/>
          <w:lang w:val="it-IT"/>
        </w:rPr>
      </w:pPr>
      <w:r w:rsidRPr="00E75562">
        <w:rPr>
          <w:rFonts w:ascii="Times New Roman" w:hAnsi="Times New Roman"/>
          <w:color w:val="000000" w:themeColor="text1"/>
          <w:sz w:val="24"/>
          <w:szCs w:val="24"/>
          <w:lang w:val="it-IT"/>
        </w:rPr>
        <w:t>Që përfitimet e ligjit do të manifestohen me shpejtësi në terma të rritjes së FDI-së dhe të transaksioneve ndërkufitare.</w:t>
      </w:r>
    </w:p>
    <w:p w:rsidRPr="00E75562" w:rsidR="005C0D42" w:rsidP="0000379A" w:rsidRDefault="005C0D42" w14:paraId="7A65B883" w14:textId="77777777">
      <w:pPr>
        <w:pStyle w:val="ListParagraph"/>
        <w:numPr>
          <w:ilvl w:val="0"/>
          <w:numId w:val="22"/>
        </w:numPr>
        <w:pBdr>
          <w:top w:val="nil"/>
          <w:left w:val="nil"/>
          <w:bottom w:val="nil"/>
          <w:right w:val="nil"/>
          <w:between w:val="nil"/>
          <w:bar w:val="nil"/>
        </w:pBdr>
        <w:spacing w:line="276" w:lineRule="auto"/>
        <w:ind w:left="810" w:right="20" w:hanging="270"/>
        <w:jc w:val="both"/>
        <w:rPr>
          <w:color w:val="000000" w:themeColor="text1"/>
          <w:szCs w:val="24"/>
          <w:lang w:val="it-IT"/>
        </w:rPr>
      </w:pPr>
      <w:r w:rsidRPr="00E75562">
        <w:rPr>
          <w:rFonts w:ascii="Times New Roman" w:hAnsi="Times New Roman"/>
          <w:color w:val="000000" w:themeColor="text1"/>
          <w:sz w:val="24"/>
          <w:szCs w:val="24"/>
          <w:lang w:val="it-IT"/>
        </w:rPr>
        <w:t>Që do të sigurohet ndërgjegjësimi dhe trajnimi adekuat i grupeve të interesit, veçanërisht i ndërmarrjeve të vogla dhe të mesme.</w:t>
      </w:r>
    </w:p>
    <w:p w:rsidRPr="005C0D42" w:rsidR="005C0D42" w:rsidP="005C0D42" w:rsidRDefault="005C0D42" w14:paraId="2B646D22" w14:textId="77777777">
      <w:pPr>
        <w:pBdr>
          <w:top w:val="nil"/>
          <w:left w:val="nil"/>
          <w:bottom w:val="nil"/>
          <w:right w:val="nil"/>
          <w:between w:val="nil"/>
          <w:bar w:val="nil"/>
        </w:pBdr>
        <w:spacing w:line="276" w:lineRule="auto"/>
        <w:ind w:right="20"/>
        <w:jc w:val="both"/>
        <w:rPr>
          <w:color w:val="000000" w:themeColor="text1"/>
          <w:szCs w:val="24"/>
          <w:lang w:val="it-IT"/>
        </w:rPr>
      </w:pPr>
    </w:p>
    <w:p w:rsidRPr="00E75562" w:rsidR="005C0D42" w:rsidP="005C0D42" w:rsidRDefault="005C0D42" w14:paraId="46BB686C" w14:textId="77777777">
      <w:pPr>
        <w:pBdr>
          <w:top w:val="nil"/>
          <w:left w:val="nil"/>
          <w:bottom w:val="nil"/>
          <w:right w:val="nil"/>
          <w:between w:val="nil"/>
          <w:bar w:val="nil"/>
        </w:pBdr>
        <w:spacing w:line="276" w:lineRule="auto"/>
        <w:ind w:right="20"/>
        <w:jc w:val="both"/>
        <w:rPr>
          <w:color w:val="000000" w:themeColor="text1"/>
          <w:szCs w:val="24"/>
          <w:lang w:val="fr-FR"/>
        </w:rPr>
      </w:pPr>
      <w:r w:rsidRPr="00E75562">
        <w:rPr>
          <w:color w:val="000000" w:themeColor="text1"/>
          <w:szCs w:val="24"/>
          <w:lang w:val="fr-FR"/>
        </w:rPr>
        <w:t>Risqet më të mëdha lidhen me:</w:t>
      </w:r>
    </w:p>
    <w:p w:rsidRPr="00E75562" w:rsidR="005C0D42" w:rsidP="005C0D42" w:rsidRDefault="005C0D42" w14:paraId="1EA1E47B" w14:textId="77777777">
      <w:pPr>
        <w:pBdr>
          <w:top w:val="nil"/>
          <w:left w:val="nil"/>
          <w:bottom w:val="nil"/>
          <w:right w:val="nil"/>
          <w:between w:val="nil"/>
          <w:bar w:val="nil"/>
        </w:pBdr>
        <w:spacing w:line="276" w:lineRule="auto"/>
        <w:ind w:right="20"/>
        <w:jc w:val="both"/>
        <w:rPr>
          <w:color w:val="000000" w:themeColor="text1"/>
          <w:szCs w:val="24"/>
          <w:lang w:val="fr-FR"/>
        </w:rPr>
      </w:pPr>
    </w:p>
    <w:p w:rsidRPr="00E75562" w:rsidR="005C0D42" w:rsidP="0000379A" w:rsidRDefault="005C0D42" w14:paraId="47A6DD79" w14:textId="5081CD4D">
      <w:pPr>
        <w:pStyle w:val="ListParagraph"/>
        <w:numPr>
          <w:ilvl w:val="0"/>
          <w:numId w:val="23"/>
        </w:numPr>
        <w:pBdr>
          <w:top w:val="nil"/>
          <w:left w:val="nil"/>
          <w:bottom w:val="nil"/>
          <w:right w:val="nil"/>
          <w:between w:val="nil"/>
          <w:bar w:val="nil"/>
        </w:pBdr>
        <w:spacing w:line="276" w:lineRule="auto"/>
        <w:ind w:right="20" w:hanging="180"/>
        <w:jc w:val="both"/>
        <w:rPr>
          <w:color w:val="000000" w:themeColor="text1"/>
          <w:szCs w:val="24"/>
          <w:lang w:val="it-IT"/>
        </w:rPr>
      </w:pPr>
      <w:r w:rsidRPr="00E75562">
        <w:rPr>
          <w:rFonts w:ascii="Times New Roman" w:hAnsi="Times New Roman"/>
          <w:color w:val="000000" w:themeColor="text1"/>
          <w:sz w:val="24"/>
          <w:szCs w:val="24"/>
          <w:lang w:val="it-IT"/>
        </w:rPr>
        <w:t>vonesa në ngritjen e sistemeve të ndërveprueshme digjitale me regjistrat e huaj (BRIS);</w:t>
      </w:r>
    </w:p>
    <w:p w:rsidRPr="00E75562" w:rsidR="00213EFD" w:rsidP="0000379A" w:rsidRDefault="005C0D42" w14:paraId="02CF25BE" w14:textId="29A92CD0">
      <w:pPr>
        <w:pStyle w:val="ListParagraph"/>
        <w:numPr>
          <w:ilvl w:val="0"/>
          <w:numId w:val="23"/>
        </w:numPr>
        <w:pBdr>
          <w:top w:val="nil"/>
          <w:left w:val="nil"/>
          <w:bottom w:val="nil"/>
          <w:right w:val="nil"/>
          <w:between w:val="nil"/>
          <w:bar w:val="nil"/>
        </w:pBdr>
        <w:spacing w:line="276" w:lineRule="auto"/>
        <w:ind w:right="20" w:hanging="180"/>
        <w:jc w:val="both"/>
        <w:rPr>
          <w:rFonts w:ascii="Times New Roman" w:hAnsi="Times New Roman"/>
          <w:color w:val="000000" w:themeColor="text1"/>
          <w:sz w:val="24"/>
          <w:szCs w:val="24"/>
          <w:lang w:val="it-IT"/>
        </w:rPr>
      </w:pPr>
      <w:r w:rsidRPr="00E75562">
        <w:rPr>
          <w:rFonts w:ascii="Times New Roman" w:hAnsi="Times New Roman"/>
          <w:color w:val="000000" w:themeColor="text1"/>
          <w:sz w:val="24"/>
          <w:szCs w:val="24"/>
          <w:lang w:val="it-IT"/>
        </w:rPr>
        <w:t>mungesë përgatitjeje të mjaftueshme të noterëve dhe autoriteteve për të lëshuar certifikata të përputhshmërisë sipas kërkesave të BE-së;</w:t>
      </w:r>
    </w:p>
    <w:p w:rsidR="00D957B1" w:rsidP="00D957B1" w:rsidRDefault="00213EFD" w14:paraId="166757AD" w14:textId="0C5187FD">
      <w:pPr>
        <w:pBdr>
          <w:top w:val="nil"/>
          <w:left w:val="nil"/>
          <w:bottom w:val="nil"/>
          <w:right w:val="nil"/>
          <w:between w:val="nil"/>
          <w:bar w:val="nil"/>
        </w:pBdr>
        <w:spacing w:line="276" w:lineRule="auto"/>
        <w:ind w:right="20"/>
        <w:jc w:val="both"/>
        <w:rPr>
          <w:color w:val="000000" w:themeColor="text1"/>
          <w:szCs w:val="24"/>
          <w:lang w:val="it-IT"/>
        </w:rPr>
      </w:pPr>
      <w:r>
        <w:rPr>
          <w:color w:val="000000" w:themeColor="text1"/>
          <w:szCs w:val="24"/>
          <w:lang w:val="it-IT"/>
        </w:rPr>
        <w:t>R</w:t>
      </w:r>
      <w:r w:rsidRPr="00E75562" w:rsidR="005C0D42">
        <w:rPr>
          <w:color w:val="000000" w:themeColor="text1"/>
          <w:szCs w:val="24"/>
          <w:lang w:val="it-IT"/>
        </w:rPr>
        <w:t>ezistencë e mundshme</w:t>
      </w:r>
      <w:r>
        <w:rPr>
          <w:color w:val="000000" w:themeColor="text1"/>
          <w:szCs w:val="24"/>
          <w:lang w:val="it-IT"/>
        </w:rPr>
        <w:t xml:space="preserve"> mund t</w:t>
      </w:r>
      <w:r w:rsidR="00E75562">
        <w:rPr>
          <w:color w:val="000000" w:themeColor="text1"/>
          <w:szCs w:val="24"/>
          <w:lang w:val="it-IT"/>
        </w:rPr>
        <w:t>ë</w:t>
      </w:r>
      <w:r>
        <w:rPr>
          <w:color w:val="000000" w:themeColor="text1"/>
          <w:szCs w:val="24"/>
          <w:lang w:val="it-IT"/>
        </w:rPr>
        <w:t xml:space="preserve"> ket</w:t>
      </w:r>
      <w:r w:rsidR="00E75562">
        <w:rPr>
          <w:color w:val="000000" w:themeColor="text1"/>
          <w:szCs w:val="24"/>
          <w:lang w:val="it-IT"/>
        </w:rPr>
        <w:t>ë</w:t>
      </w:r>
      <w:r w:rsidRPr="00E75562" w:rsidR="005C0D42">
        <w:rPr>
          <w:color w:val="000000" w:themeColor="text1"/>
          <w:szCs w:val="24"/>
          <w:lang w:val="it-IT"/>
        </w:rPr>
        <w:t xml:space="preserve"> nga pjesë të sektorit privat për shkak të kompleksitetit apo kostove fillestare të përshtatjes.</w:t>
      </w:r>
    </w:p>
    <w:p w:rsidRPr="00D957B1" w:rsidR="00C05111" w:rsidP="00D957B1" w:rsidRDefault="00C05111" w14:paraId="434D6278" w14:textId="77777777">
      <w:pPr>
        <w:pBdr>
          <w:top w:val="nil"/>
          <w:left w:val="nil"/>
          <w:bottom w:val="nil"/>
          <w:right w:val="nil"/>
          <w:between w:val="nil"/>
          <w:bar w:val="nil"/>
        </w:pBdr>
        <w:spacing w:line="276" w:lineRule="auto"/>
        <w:ind w:right="20"/>
        <w:jc w:val="both"/>
        <w:rPr>
          <w:color w:val="000000" w:themeColor="text1"/>
          <w:szCs w:val="24"/>
          <w:lang w:val="it-IT"/>
        </w:rPr>
      </w:pPr>
    </w:p>
    <w:p w:rsidRPr="00D957B1" w:rsidR="00D957B1" w:rsidP="0000379A" w:rsidRDefault="00274855" w14:paraId="2078681D" w14:textId="463EDB94">
      <w:pPr>
        <w:pStyle w:val="ListParagraph"/>
        <w:numPr>
          <w:ilvl w:val="0"/>
          <w:numId w:val="12"/>
        </w:numPr>
        <w:pBdr>
          <w:top w:val="nil"/>
          <w:left w:val="nil"/>
          <w:bottom w:val="nil"/>
          <w:right w:val="nil"/>
          <w:between w:val="nil"/>
          <w:bar w:val="nil"/>
        </w:pBdr>
        <w:spacing w:line="276" w:lineRule="auto"/>
        <w:ind w:right="20"/>
        <w:jc w:val="both"/>
        <w:rPr>
          <w:rFonts w:ascii="Times New Roman" w:hAnsi="Times New Roman"/>
          <w:color w:val="000000" w:themeColor="text1"/>
          <w:sz w:val="24"/>
          <w:szCs w:val="24"/>
          <w:lang w:val="it-IT"/>
        </w:rPr>
      </w:pPr>
      <w:r w:rsidRPr="00D957B1">
        <w:rPr>
          <w:rFonts w:ascii="Times New Roman" w:hAnsi="Times New Roman"/>
          <w:color w:val="000000" w:themeColor="text1"/>
          <w:sz w:val="24"/>
          <w:szCs w:val="24"/>
          <w:lang w:val="it-IT"/>
        </w:rPr>
        <w:t>Pengesat që mund të ndikojnë në realizimin e përfitimeve</w:t>
      </w:r>
      <w:r w:rsidRPr="00D957B1">
        <w:rPr>
          <w:rFonts w:ascii="Times New Roman" w:hAnsi="Times New Roman"/>
          <w:b/>
          <w:bCs/>
          <w:color w:val="000000" w:themeColor="text1"/>
          <w:sz w:val="24"/>
          <w:szCs w:val="24"/>
          <w:lang w:val="it-IT"/>
        </w:rPr>
        <w:t>:</w:t>
      </w:r>
    </w:p>
    <w:p w:rsidR="00B273A2" w:rsidP="00B273A2" w:rsidRDefault="00B273A2" w14:paraId="18436BC7" w14:textId="7EB47327">
      <w:pPr>
        <w:pStyle w:val="Heading1"/>
        <w:spacing w:line="276" w:lineRule="auto"/>
        <w:jc w:val="both"/>
        <w:rPr>
          <w:rFonts w:ascii="Times New Roman" w:hAnsi="Times New Roman" w:cs="Times New Roman"/>
          <w:b w:val="0"/>
          <w:bCs w:val="0"/>
          <w:color w:val="000000" w:themeColor="text1"/>
          <w:spacing w:val="0"/>
          <w:kern w:val="0"/>
          <w:sz w:val="24"/>
          <w:szCs w:val="24"/>
          <w:lang w:val="it-IT"/>
        </w:rPr>
      </w:pPr>
      <w:r w:rsidRPr="00B273A2">
        <w:rPr>
          <w:rFonts w:ascii="Times New Roman" w:hAnsi="Times New Roman" w:cs="Times New Roman"/>
          <w:b w:val="0"/>
          <w:bCs w:val="0"/>
          <w:color w:val="000000" w:themeColor="text1"/>
          <w:spacing w:val="0"/>
          <w:kern w:val="0"/>
          <w:sz w:val="24"/>
          <w:szCs w:val="24"/>
          <w:lang w:val="it-IT"/>
        </w:rPr>
        <w:t>Përfitimet që lidhen me krijimin e një mjedisi më të thjeshtë për SME mund të përkthehen në rritjen e numrit të biznesve të regjistruara dhe operacioneve të reja, duke ndikuar pozitivisht në punësimin dhe rritjen e produktivitetit.</w:t>
      </w:r>
      <w:r w:rsidRPr="00BC33DB" w:rsidR="00BC33DB">
        <w:rPr>
          <w:lang w:val="it-IT"/>
        </w:rPr>
        <w:t xml:space="preserve"> </w:t>
      </w:r>
      <w:r w:rsidRPr="00BC33DB" w:rsidR="00BC33DB">
        <w:rPr>
          <w:rFonts w:ascii="Times New Roman" w:hAnsi="Times New Roman" w:cs="Times New Roman"/>
          <w:b w:val="0"/>
          <w:bCs w:val="0"/>
          <w:color w:val="000000" w:themeColor="text1"/>
          <w:spacing w:val="0"/>
          <w:kern w:val="0"/>
          <w:sz w:val="24"/>
          <w:szCs w:val="24"/>
          <w:lang w:val="it-IT"/>
        </w:rPr>
        <w:t>Pengesat mund të përfshijnë vonesat në ndërtimin e kapaciteteve institucionale dhe implementimin e mjetëve digjitale, të cilat do të kërkojnë burime të konsiderueshme financiare. Gjithashtu, ka mundësi që SMEs të përballen me vështirësi për t’u përshtatur me këto ndryshime për shkak të kostos dhe nevojës për trajnime të mëtejshme.</w:t>
      </w:r>
    </w:p>
    <w:p w:rsidR="00A90C97" w:rsidP="00A90C97" w:rsidRDefault="00A90C97" w14:paraId="2C15737C" w14:textId="77777777">
      <w:pPr>
        <w:rPr>
          <w:lang w:val="it-IT"/>
        </w:rPr>
      </w:pPr>
    </w:p>
    <w:p w:rsidR="00A90C97" w:rsidP="00A90C97" w:rsidRDefault="00A90C97" w14:paraId="4C09B77A" w14:textId="77777777">
      <w:pPr>
        <w:rPr>
          <w:u w:val="single"/>
          <w:lang w:val="it-IT"/>
        </w:rPr>
      </w:pPr>
      <w:r w:rsidRPr="00A90C97">
        <w:rPr>
          <w:u w:val="single"/>
          <w:lang w:val="it-IT"/>
        </w:rPr>
        <w:t>Përmblidhni vlerësimin e opsioneve:</w:t>
      </w:r>
    </w:p>
    <w:p w:rsidRPr="00A90C97" w:rsidR="00A90C97" w:rsidP="00A90C97" w:rsidRDefault="00A90C97" w14:paraId="0D31331C" w14:textId="77777777">
      <w:pPr>
        <w:rPr>
          <w:u w:val="single"/>
          <w:lang w:val="it-IT"/>
        </w:rPr>
      </w:pPr>
    </w:p>
    <w:p w:rsidRPr="00A90C97" w:rsidR="00A90C97" w:rsidP="00A90C97" w:rsidRDefault="00A90C97" w14:paraId="2BD094D8" w14:textId="77777777">
      <w:pPr>
        <w:rPr>
          <w:lang w:val="it-IT"/>
        </w:rPr>
      </w:pPr>
      <w:r w:rsidRPr="00A90C97">
        <w:rPr>
          <w:lang w:val="it-IT"/>
        </w:rPr>
        <w:t>a. Pasqyrë përmbledhëse e të gjitha ndikimeve të opsioneve të analizuara:</w:t>
      </w:r>
    </w:p>
    <w:p w:rsidRPr="00A90C97" w:rsidR="00A90C97" w:rsidP="00A90C97" w:rsidRDefault="00A90C97" w14:paraId="7BEAEDEB" w14:textId="77777777">
      <w:pPr>
        <w:rPr>
          <w:lang w:val="it-IT"/>
        </w:rPr>
      </w:pPr>
    </w:p>
    <w:p w:rsidRPr="00A90C97" w:rsidR="00A90C97" w:rsidP="00A90C97" w:rsidRDefault="00A90C97" w14:paraId="7EB64D33" w14:textId="77777777">
      <w:pPr>
        <w:jc w:val="both"/>
        <w:rPr>
          <w:lang w:val="it-IT"/>
        </w:rPr>
      </w:pPr>
      <w:r w:rsidRPr="00A90C97">
        <w:rPr>
          <w:lang w:val="it-IT"/>
        </w:rPr>
        <w:t>Ndikimet e analizës përfshijnë krijimin e një mjedisi të përmirësuar ligjor për bizneset dhe rritjen e mundësive për operacione ndërkufitare, që do të mundësojnë një integrim më të thellë të Shqipërisë në tregun e BE-së. Përshtatja me standardet e BE-së, duke përfshirë bashkimet ndërkufitare, shndërrimet dhe ndarjet, do të rrisë transparencën dhe do të përmirësojë mbrojtjen e aksionarëve, sidomos të aksionarëve të pakicës. Përmirsimi i qeverisjes korporative do të kontribuoni në zhvillimin e një tregu më konkurrues dhe më të besueshëm. Përmes përputhshmërisë me direktivat e BE-së, Shqipëria do të krijojë një mjedis të favorshëm për investitorët ndërkombëtarë dhe për zhvillimin e sektorëve ekonomikë, përfshirë shërbimet, teknologjinë dhe prodhimin.</w:t>
      </w:r>
    </w:p>
    <w:p w:rsidRPr="00A90C97" w:rsidR="00A90C97" w:rsidP="00A90C97" w:rsidRDefault="00A90C97" w14:paraId="32BC8F0B" w14:textId="77777777">
      <w:pPr>
        <w:rPr>
          <w:lang w:val="it-IT"/>
        </w:rPr>
      </w:pPr>
    </w:p>
    <w:p w:rsidRPr="00A90C97" w:rsidR="00A90C97" w:rsidP="00A90C97" w:rsidRDefault="00A90C97" w14:paraId="06C87A08" w14:textId="77777777">
      <w:pPr>
        <w:rPr>
          <w:lang w:val="it-IT"/>
        </w:rPr>
      </w:pPr>
      <w:r w:rsidRPr="00A90C97">
        <w:rPr>
          <w:lang w:val="it-IT"/>
        </w:rPr>
        <w:t>b. Krahasimi i ndikimeve të të gjitha opsioneve të analizuara:</w:t>
      </w:r>
    </w:p>
    <w:p w:rsidRPr="00A90C97" w:rsidR="00A90C97" w:rsidP="00A90C97" w:rsidRDefault="00A90C97" w14:paraId="53FE40FF" w14:textId="77777777">
      <w:pPr>
        <w:rPr>
          <w:lang w:val="it-IT"/>
        </w:rPr>
      </w:pPr>
    </w:p>
    <w:p w:rsidRPr="00BC521F" w:rsidR="00BC521F" w:rsidP="00BC521F" w:rsidRDefault="00BC521F" w14:paraId="060F52D4" w14:textId="2EDA9AAD">
      <w:pPr>
        <w:jc w:val="both"/>
        <w:rPr>
          <w:lang w:val="it-IT"/>
        </w:rPr>
      </w:pPr>
      <w:r w:rsidRPr="00BC521F">
        <w:rPr>
          <w:lang w:val="it-IT"/>
        </w:rPr>
        <w:t>Opsioni 0 – Status quo</w:t>
      </w:r>
      <w:r>
        <w:rPr>
          <w:lang w:val="it-IT"/>
        </w:rPr>
        <w:t xml:space="preserve">, </w:t>
      </w:r>
      <w:r w:rsidR="00E75562">
        <w:rPr>
          <w:lang w:val="it-IT"/>
        </w:rPr>
        <w:t>ë</w:t>
      </w:r>
      <w:r w:rsidRPr="00BC521F">
        <w:rPr>
          <w:lang w:val="it-IT"/>
        </w:rPr>
        <w:t>shtë i papranueshëm në kushtet aktuale, pasi do të ruante boshllëqet ekzistuese dhe do të pamundësonte përmbushjen e detyrimeve të Shqipërisë sipas MSA-së dhe procesit të negociatave për Kapitullin 6. Do të përjashtonte Shqipërinë nga përfitimet e integrimit të plotë ligjor dhe ekonomik me BE-në.</w:t>
      </w:r>
    </w:p>
    <w:p w:rsidRPr="00BC521F" w:rsidR="00BC521F" w:rsidP="00BC521F" w:rsidRDefault="00BC521F" w14:paraId="14E94E42" w14:textId="77777777">
      <w:pPr>
        <w:jc w:val="both"/>
        <w:rPr>
          <w:lang w:val="it-IT"/>
        </w:rPr>
      </w:pPr>
    </w:p>
    <w:p w:rsidRPr="00BC521F" w:rsidR="00BC521F" w:rsidP="00BC521F" w:rsidRDefault="00BC521F" w14:paraId="556BF924" w14:textId="4A5B279D">
      <w:pPr>
        <w:jc w:val="both"/>
        <w:rPr>
          <w:lang w:val="it-IT"/>
        </w:rPr>
      </w:pPr>
      <w:r w:rsidRPr="00BC521F">
        <w:rPr>
          <w:lang w:val="it-IT"/>
        </w:rPr>
        <w:t xml:space="preserve">Opsioni 1 – </w:t>
      </w:r>
      <w:r>
        <w:rPr>
          <w:lang w:val="it-IT"/>
        </w:rPr>
        <w:t>hartimi i nj</w:t>
      </w:r>
      <w:r w:rsidR="00E75562">
        <w:rPr>
          <w:lang w:val="it-IT"/>
        </w:rPr>
        <w:t>ë</w:t>
      </w:r>
      <w:r>
        <w:rPr>
          <w:lang w:val="it-IT"/>
        </w:rPr>
        <w:t xml:space="preserve"> ligji t</w:t>
      </w:r>
      <w:r w:rsidR="00E75562">
        <w:rPr>
          <w:lang w:val="it-IT"/>
        </w:rPr>
        <w:t>ë</w:t>
      </w:r>
      <w:r>
        <w:rPr>
          <w:lang w:val="it-IT"/>
        </w:rPr>
        <w:t xml:space="preserve"> ri</w:t>
      </w:r>
      <w:r w:rsidRPr="00BC521F">
        <w:rPr>
          <w:lang w:val="it-IT"/>
        </w:rPr>
        <w:t xml:space="preserve"> (opsioni i preferuar): Përfaqëson një zgjidhje të balancuar, efektive dhe të përballueshme për Shqipërinë. Duke ruajtur strukturën ekzistuese të ligjeve ky opsion mundëson harmonizimin e shpejtë me direktivat e BE-së, minimizon koston institucionale dhe promovon siguri juridike dhe besueshmëri për investitorët. Opsioni është gjithashtu më i zbatueshëm nga institucionet dhe më lehtësisht i përthithshëm nga grupet e interesit.</w:t>
      </w:r>
    </w:p>
    <w:p w:rsidRPr="00BC521F" w:rsidR="00BC521F" w:rsidP="00BC521F" w:rsidRDefault="00BC521F" w14:paraId="2A41B8A4" w14:textId="77777777">
      <w:pPr>
        <w:jc w:val="both"/>
        <w:rPr>
          <w:lang w:val="it-IT"/>
        </w:rPr>
      </w:pPr>
    </w:p>
    <w:p w:rsidRPr="00BC521F" w:rsidR="00BC521F" w:rsidP="00BC521F" w:rsidRDefault="00BC521F" w14:paraId="365527E5" w14:textId="6410663C">
      <w:pPr>
        <w:jc w:val="both"/>
        <w:rPr>
          <w:lang w:val="it-IT"/>
        </w:rPr>
      </w:pPr>
      <w:r w:rsidRPr="00BC521F">
        <w:rPr>
          <w:lang w:val="it-IT"/>
        </w:rPr>
        <w:t xml:space="preserve">Opsioni 2 – </w:t>
      </w:r>
      <w:r>
        <w:rPr>
          <w:lang w:val="it-IT"/>
        </w:rPr>
        <w:t>ndryshimi ligjit ekzistues.</w:t>
      </w:r>
      <w:r w:rsidRPr="00BC521F">
        <w:rPr>
          <w:lang w:val="it-IT"/>
        </w:rPr>
        <w:t xml:space="preserve"> Edhe pse teorikisht do të siguronte një </w:t>
      </w:r>
      <w:r>
        <w:rPr>
          <w:lang w:val="it-IT"/>
        </w:rPr>
        <w:t>p</w:t>
      </w:r>
      <w:r w:rsidR="00E75562">
        <w:rPr>
          <w:lang w:val="it-IT"/>
        </w:rPr>
        <w:t>ë</w:t>
      </w:r>
      <w:r>
        <w:rPr>
          <w:lang w:val="it-IT"/>
        </w:rPr>
        <w:t>rputhje gjithashtu t</w:t>
      </w:r>
      <w:r w:rsidR="00E75562">
        <w:rPr>
          <w:lang w:val="it-IT"/>
        </w:rPr>
        <w:t>ë</w:t>
      </w:r>
      <w:r>
        <w:rPr>
          <w:lang w:val="it-IT"/>
        </w:rPr>
        <w:t xml:space="preserve"> plot</w:t>
      </w:r>
      <w:r w:rsidR="00E75562">
        <w:rPr>
          <w:lang w:val="it-IT"/>
        </w:rPr>
        <w:t>ë</w:t>
      </w:r>
      <w:r w:rsidRPr="00BC521F">
        <w:rPr>
          <w:lang w:val="it-IT"/>
        </w:rPr>
        <w:t xml:space="preserve">, është një opsion </w:t>
      </w:r>
      <w:r w:rsidR="00184DEA">
        <w:rPr>
          <w:lang w:val="it-IT"/>
        </w:rPr>
        <w:t>q</w:t>
      </w:r>
      <w:r w:rsidR="00E75562">
        <w:rPr>
          <w:lang w:val="it-IT"/>
        </w:rPr>
        <w:t>ë</w:t>
      </w:r>
      <w:r w:rsidR="00184DEA">
        <w:rPr>
          <w:lang w:val="it-IT"/>
        </w:rPr>
        <w:t xml:space="preserve"> nga pik</w:t>
      </w:r>
      <w:r w:rsidR="00E75562">
        <w:rPr>
          <w:lang w:val="it-IT"/>
        </w:rPr>
        <w:t>ë</w:t>
      </w:r>
      <w:r w:rsidR="00184DEA">
        <w:rPr>
          <w:lang w:val="it-IT"/>
        </w:rPr>
        <w:t>pamja e teknik</w:t>
      </w:r>
      <w:r w:rsidR="00E75562">
        <w:rPr>
          <w:lang w:val="it-IT"/>
        </w:rPr>
        <w:t>ë</w:t>
      </w:r>
      <w:r w:rsidR="00184DEA">
        <w:rPr>
          <w:lang w:val="it-IT"/>
        </w:rPr>
        <w:t>s legjislative dhe hartimit t</w:t>
      </w:r>
      <w:r w:rsidR="00E75562">
        <w:rPr>
          <w:lang w:val="it-IT"/>
        </w:rPr>
        <w:t>ë</w:t>
      </w:r>
      <w:r w:rsidR="00184DEA">
        <w:rPr>
          <w:lang w:val="it-IT"/>
        </w:rPr>
        <w:t xml:space="preserve"> legjislacionit </w:t>
      </w:r>
      <w:r w:rsidR="00E75562">
        <w:rPr>
          <w:lang w:val="it-IT"/>
        </w:rPr>
        <w:t>ë</w:t>
      </w:r>
      <w:r w:rsidR="00184DEA">
        <w:rPr>
          <w:lang w:val="it-IT"/>
        </w:rPr>
        <w:t>sht</w:t>
      </w:r>
      <w:r w:rsidR="00E75562">
        <w:rPr>
          <w:lang w:val="it-IT"/>
        </w:rPr>
        <w:t>ë</w:t>
      </w:r>
      <w:r w:rsidR="00184DEA">
        <w:rPr>
          <w:lang w:val="it-IT"/>
        </w:rPr>
        <w:t xml:space="preserve"> jo e pranueshme p</w:t>
      </w:r>
      <w:r w:rsidR="00E75562">
        <w:rPr>
          <w:lang w:val="it-IT"/>
        </w:rPr>
        <w:t>ë</w:t>
      </w:r>
      <w:r w:rsidR="00184DEA">
        <w:rPr>
          <w:lang w:val="it-IT"/>
        </w:rPr>
        <w:t>r shkak t</w:t>
      </w:r>
      <w:r w:rsidR="00E75562">
        <w:rPr>
          <w:lang w:val="it-IT"/>
        </w:rPr>
        <w:t>ë</w:t>
      </w:r>
      <w:r w:rsidR="00184DEA">
        <w:rPr>
          <w:lang w:val="it-IT"/>
        </w:rPr>
        <w:t xml:space="preserve"> kompleksitetit dhe madh</w:t>
      </w:r>
      <w:r w:rsidR="00E75562">
        <w:rPr>
          <w:lang w:val="it-IT"/>
        </w:rPr>
        <w:t>ë</w:t>
      </w:r>
      <w:r w:rsidR="00184DEA">
        <w:rPr>
          <w:lang w:val="it-IT"/>
        </w:rPr>
        <w:t>sis</w:t>
      </w:r>
      <w:r w:rsidR="00E75562">
        <w:rPr>
          <w:lang w:val="it-IT"/>
        </w:rPr>
        <w:t>ë</w:t>
      </w:r>
      <w:r w:rsidR="00184DEA">
        <w:rPr>
          <w:lang w:val="it-IT"/>
        </w:rPr>
        <w:t xml:space="preserve"> s</w:t>
      </w:r>
      <w:r w:rsidR="00E75562">
        <w:rPr>
          <w:lang w:val="it-IT"/>
        </w:rPr>
        <w:t>ë</w:t>
      </w:r>
      <w:r w:rsidR="00184DEA">
        <w:rPr>
          <w:lang w:val="it-IT"/>
        </w:rPr>
        <w:t xml:space="preserve"> nd</w:t>
      </w:r>
      <w:r w:rsidR="00E75562">
        <w:rPr>
          <w:lang w:val="it-IT"/>
        </w:rPr>
        <w:t>ë</w:t>
      </w:r>
      <w:r w:rsidR="00184DEA">
        <w:rPr>
          <w:lang w:val="it-IT"/>
        </w:rPr>
        <w:t>rhyrjeve t</w:t>
      </w:r>
      <w:r w:rsidR="00E75562">
        <w:rPr>
          <w:lang w:val="it-IT"/>
        </w:rPr>
        <w:t>ë</w:t>
      </w:r>
      <w:r w:rsidR="00184DEA">
        <w:rPr>
          <w:lang w:val="it-IT"/>
        </w:rPr>
        <w:t xml:space="preserve"> parashikuara q</w:t>
      </w:r>
      <w:r w:rsidR="00E75562">
        <w:rPr>
          <w:lang w:val="it-IT"/>
        </w:rPr>
        <w:t>ë</w:t>
      </w:r>
      <w:r w:rsidR="00184DEA">
        <w:rPr>
          <w:lang w:val="it-IT"/>
        </w:rPr>
        <w:t xml:space="preserve"> jan</w:t>
      </w:r>
      <w:r w:rsidR="00E75562">
        <w:rPr>
          <w:lang w:val="it-IT"/>
        </w:rPr>
        <w:t>ë</w:t>
      </w:r>
      <w:r w:rsidR="00184DEA">
        <w:rPr>
          <w:lang w:val="it-IT"/>
        </w:rPr>
        <w:t xml:space="preserve"> praktikisht nj</w:t>
      </w:r>
      <w:r w:rsidR="00E75562">
        <w:rPr>
          <w:lang w:val="it-IT"/>
        </w:rPr>
        <w:t>ë</w:t>
      </w:r>
      <w:r w:rsidR="00184DEA">
        <w:rPr>
          <w:lang w:val="it-IT"/>
        </w:rPr>
        <w:t xml:space="preserve"> ligj m</w:t>
      </w:r>
      <w:r w:rsidR="00E75562">
        <w:rPr>
          <w:lang w:val="it-IT"/>
        </w:rPr>
        <w:t>ë</w:t>
      </w:r>
      <w:r w:rsidR="00184DEA">
        <w:rPr>
          <w:lang w:val="it-IT"/>
        </w:rPr>
        <w:t xml:space="preserve"> vete</w:t>
      </w:r>
      <w:r w:rsidRPr="00BC521F">
        <w:rPr>
          <w:lang w:val="it-IT"/>
        </w:rPr>
        <w:t>.</w:t>
      </w:r>
    </w:p>
    <w:p w:rsidRPr="00BC521F" w:rsidR="00BC521F" w:rsidP="00BC521F" w:rsidRDefault="00BC521F" w14:paraId="7BE85E7E" w14:textId="77777777">
      <w:pPr>
        <w:jc w:val="both"/>
        <w:rPr>
          <w:lang w:val="it-IT"/>
        </w:rPr>
      </w:pPr>
    </w:p>
    <w:p w:rsidRPr="00A90C97" w:rsidR="00A90C97" w:rsidP="00A90C97" w:rsidRDefault="00BC521F" w14:paraId="7CCEBD3E" w14:textId="06A3A779">
      <w:pPr>
        <w:rPr>
          <w:lang w:val="it-IT"/>
        </w:rPr>
      </w:pPr>
      <w:r w:rsidRPr="00BC521F">
        <w:rPr>
          <w:lang w:val="it-IT"/>
        </w:rPr>
        <w:t>Opsioni 3 – Qasje jo rregullatore</w:t>
      </w:r>
      <w:r w:rsidR="00184DEA">
        <w:rPr>
          <w:lang w:val="it-IT"/>
        </w:rPr>
        <w:t>,</w:t>
      </w:r>
      <w:r w:rsidRPr="00BC521F">
        <w:rPr>
          <w:lang w:val="it-IT"/>
        </w:rPr>
        <w:t xml:space="preserve"> </w:t>
      </w:r>
      <w:r w:rsidR="00E75562">
        <w:rPr>
          <w:lang w:val="it-IT"/>
        </w:rPr>
        <w:t>ë</w:t>
      </w:r>
      <w:r w:rsidRPr="00BC521F">
        <w:rPr>
          <w:lang w:val="it-IT"/>
        </w:rPr>
        <w:t>shtë i papajtueshëm me detyrimet ndërkombëtare të Shqipërisë, minon zbatimin e acquis-it, dhe do të linte vendin pa instrumente të detyrueshme për të siguruar mbrojtjen e aksionarëve, transparencën dhe funksionimin e drejtë të tregut. Për rrjedhojë, ky opsion përjashtohet plotësisht.</w:t>
      </w:r>
    </w:p>
    <w:p w:rsidRPr="00A90C97" w:rsidR="00A90C97" w:rsidP="00A90C97" w:rsidRDefault="00A90C97" w14:paraId="223EECD6" w14:textId="77777777">
      <w:pPr>
        <w:rPr>
          <w:lang w:val="it-IT"/>
        </w:rPr>
      </w:pPr>
      <w:r w:rsidRPr="00A90C97">
        <w:rPr>
          <w:lang w:val="it-IT"/>
        </w:rPr>
        <w:t>c. Përllogaritjet më të mira të përgjithshme neto të ndikimit me vlerë monetare të përcaktuar për çdo opsion:</w:t>
      </w:r>
    </w:p>
    <w:p w:rsidRPr="00A90C97" w:rsidR="00A90C97" w:rsidP="00A90C97" w:rsidRDefault="00A90C97" w14:paraId="63108437" w14:textId="77777777">
      <w:pPr>
        <w:rPr>
          <w:lang w:val="it-IT"/>
        </w:rPr>
      </w:pPr>
    </w:p>
    <w:p w:rsidRPr="00A90C97" w:rsidR="00A90C97" w:rsidP="006D0DA9" w:rsidRDefault="00A90C97" w14:paraId="5F6FB9DA" w14:textId="6257C788">
      <w:pPr>
        <w:jc w:val="both"/>
        <w:rPr>
          <w:lang w:val="it-IT"/>
        </w:rPr>
      </w:pPr>
      <w:r w:rsidRPr="00A90C97">
        <w:rPr>
          <w:lang w:val="it-IT"/>
        </w:rPr>
        <w:t xml:space="preserve">Përfitimet monetare nga implementimi i këtyre ndryshimeve ligjore mund të përkthehen në rritje të investimeve të huaja </w:t>
      </w:r>
      <w:r w:rsidR="0067070B">
        <w:rPr>
          <w:lang w:val="it-IT"/>
        </w:rPr>
        <w:t>të drejtpërdrejta</w:t>
      </w:r>
      <w:r w:rsidRPr="00A90C97">
        <w:rPr>
          <w:lang w:val="it-IT"/>
        </w:rPr>
        <w:t>, që mund të arrijnë disa milionë euro gjatë periudhës së parë pas implementimit të reformave. Ky investim do të kontribuoni në zhvillimin e sektorëve të shërbimeve, teknologjisë dhe prodhimit, duke sjellë rritje të mundshme të PBB-së dhe duke krijuar mundësi të reja për krijimin e vendeve të punës. Për më tepër, duke siguruar përputhshmëri të plotë me rregulloret e BE-së dhe duke përmirësuar konkurrencën, Shqipëria mund të rrisë pozicionin e saj si destinacion investimesh dhe të mundësojë operacione më të lehta dhe më të shpejta ndërkufitare.</w:t>
      </w:r>
      <w:r w:rsidRPr="00E75562" w:rsidR="00E951C7">
        <w:rPr>
          <w:lang w:val="it-IT"/>
        </w:rPr>
        <w:t xml:space="preserve"> </w:t>
      </w:r>
      <w:r w:rsidRPr="00E951C7" w:rsidR="00E951C7">
        <w:rPr>
          <w:lang w:val="it-IT"/>
        </w:rPr>
        <w:t>Bazuar në përllogaritjet aktuale dhe projeksionet e Bankës Botërore, rritja e investimeve të huaja direkte si rezultat i harmonizimit me acquis-in e BE-së mund të çojë në një kontribut prej 2% deri në 5% të PBB-së gjatë 3–5 viteve të para pas miratimit të projektligjit. Duke marrë për bazë PBB-në e Shqipërisë për vitin 2023 (~23.6 miliardë euro), kjo përkthehet në një përfitim potencial nga 47.2 milionë deri në 118 milionë euro, duke mbuluar kostot fillestare të zbatimit dhe duke prodhuar përfitime të konsiderueshme neto.</w:t>
      </w:r>
    </w:p>
    <w:p w:rsidRPr="00325A1F" w:rsidR="002125B7" w:rsidP="009D13F4" w:rsidRDefault="002125B7" w14:paraId="04C914F2" w14:textId="5C789044">
      <w:pPr>
        <w:pStyle w:val="Heading1"/>
        <w:spacing w:line="276" w:lineRule="auto"/>
        <w:rPr>
          <w:rFonts w:ascii="Times New Roman" w:hAnsi="Times New Roman" w:cs="Times New Roman"/>
          <w:sz w:val="24"/>
          <w:szCs w:val="24"/>
        </w:rPr>
      </w:pPr>
      <w:bookmarkStart w:name="_Hlk191987158" w:id="22"/>
      <w:r w:rsidRPr="00325A1F">
        <w:rPr>
          <w:rFonts w:ascii="Times New Roman" w:hAnsi="Times New Roman" w:cs="Times New Roman"/>
          <w:sz w:val="24"/>
          <w:szCs w:val="24"/>
        </w:rPr>
        <w:t>Arsyetimi i opsionit të preferuar</w:t>
      </w:r>
    </w:p>
    <w:bookmarkEnd w:id="20"/>
    <w:p w:rsidRPr="0032145B" w:rsidR="0097570D" w:rsidP="0000379A" w:rsidRDefault="0097570D" w14:paraId="31354DD3" w14:textId="1FA7A1C5">
      <w:pPr>
        <w:pStyle w:val="ListParagraph"/>
        <w:numPr>
          <w:ilvl w:val="0"/>
          <w:numId w:val="8"/>
        </w:numPr>
        <w:spacing w:after="0" w:line="276" w:lineRule="auto"/>
        <w:rPr>
          <w:rFonts w:ascii="Times New Roman" w:hAnsi="Times New Roman"/>
          <w:i/>
          <w:sz w:val="24"/>
          <w:szCs w:val="24"/>
        </w:rPr>
      </w:pPr>
      <w:r w:rsidRPr="0032145B">
        <w:rPr>
          <w:rFonts w:ascii="Times New Roman" w:hAnsi="Times New Roman"/>
          <w:i/>
          <w:sz w:val="24"/>
          <w:szCs w:val="24"/>
        </w:rPr>
        <w:t>Zgjidhni opsionin e preferuar</w:t>
      </w:r>
      <w:r w:rsidR="00372979">
        <w:rPr>
          <w:rFonts w:ascii="Times New Roman" w:hAnsi="Times New Roman"/>
          <w:i/>
          <w:sz w:val="24"/>
          <w:szCs w:val="24"/>
        </w:rPr>
        <w:t>,</w:t>
      </w:r>
      <w:r w:rsidRPr="0032145B">
        <w:rPr>
          <w:rFonts w:ascii="Times New Roman" w:hAnsi="Times New Roman"/>
          <w:i/>
          <w:sz w:val="24"/>
          <w:szCs w:val="24"/>
        </w:rPr>
        <w:t xml:space="preserve"> bazuar në analizë. </w:t>
      </w:r>
    </w:p>
    <w:p w:rsidR="002125B7" w:rsidP="0000379A" w:rsidRDefault="0097570D" w14:paraId="64F75D2F" w14:textId="175E81D6">
      <w:pPr>
        <w:pStyle w:val="ListParagraph"/>
        <w:numPr>
          <w:ilvl w:val="0"/>
          <w:numId w:val="8"/>
        </w:numPr>
        <w:spacing w:after="0" w:line="276" w:lineRule="auto"/>
        <w:rPr>
          <w:rFonts w:ascii="Times New Roman" w:hAnsi="Times New Roman"/>
          <w:i/>
          <w:sz w:val="24"/>
          <w:szCs w:val="24"/>
        </w:rPr>
      </w:pPr>
      <w:r w:rsidRPr="0032145B">
        <w:rPr>
          <w:rFonts w:ascii="Times New Roman" w:hAnsi="Times New Roman"/>
          <w:i/>
          <w:sz w:val="24"/>
          <w:szCs w:val="24"/>
        </w:rPr>
        <w:t>Shpjegoni arsyetimin tuaj.</w:t>
      </w:r>
      <w:bookmarkStart w:name="_Toc506919739" w:id="23"/>
    </w:p>
    <w:bookmarkEnd w:id="22"/>
    <w:p w:rsidR="0043344E" w:rsidP="00C60355" w:rsidRDefault="0043344E" w14:paraId="2EDFED6F" w14:textId="77777777">
      <w:pPr>
        <w:rPr>
          <w:b/>
          <w:bCs/>
          <w:color w:val="000000" w:themeColor="text1"/>
        </w:rPr>
      </w:pPr>
    </w:p>
    <w:p w:rsidRPr="00EA2CCA" w:rsidR="00C60355" w:rsidP="00C60355" w:rsidRDefault="006624FC" w14:paraId="28258521" w14:textId="429A273B">
      <w:pPr>
        <w:rPr>
          <w:szCs w:val="24"/>
        </w:rPr>
      </w:pPr>
      <w:r w:rsidRPr="006624FC">
        <w:rPr>
          <w:b/>
          <w:bCs/>
          <w:color w:val="000000" w:themeColor="text1"/>
        </w:rPr>
        <w:t xml:space="preserve">Opsioni i preferuar është Opsioni </w:t>
      </w:r>
      <w:r w:rsidR="00181F2C">
        <w:rPr>
          <w:b/>
          <w:bCs/>
          <w:color w:val="000000" w:themeColor="text1"/>
        </w:rPr>
        <w:t>1</w:t>
      </w:r>
      <w:r w:rsidRPr="006624FC">
        <w:rPr>
          <w:b/>
          <w:bCs/>
          <w:color w:val="000000" w:themeColor="text1"/>
        </w:rPr>
        <w:t xml:space="preserve">- </w:t>
      </w:r>
      <w:r w:rsidRPr="00EA2CCA" w:rsidR="00C60355">
        <w:rPr>
          <w:b/>
          <w:bCs/>
          <w:szCs w:val="24"/>
          <w:u w:val="single"/>
        </w:rPr>
        <w:t>Ndryshime në legjislacionin ekzistues</w:t>
      </w:r>
      <w:r w:rsidRPr="00EA2CCA" w:rsidR="00C60355">
        <w:rPr>
          <w:szCs w:val="24"/>
        </w:rPr>
        <w:t xml:space="preserve">. </w:t>
      </w:r>
    </w:p>
    <w:p w:rsidRPr="00C60355" w:rsidR="00C60355" w:rsidP="00C60355" w:rsidRDefault="00C60355" w14:paraId="427107B3" w14:textId="77777777">
      <w:pPr>
        <w:rPr>
          <w:szCs w:val="24"/>
        </w:rPr>
      </w:pPr>
    </w:p>
    <w:p w:rsidRPr="00C60355" w:rsidR="00C60355" w:rsidP="00C60355" w:rsidRDefault="00C60355" w14:paraId="2F880E29" w14:textId="77777777">
      <w:pPr>
        <w:rPr>
          <w:szCs w:val="24"/>
        </w:rPr>
      </w:pPr>
    </w:p>
    <w:p w:rsidRPr="00F80533" w:rsidR="00F80533" w:rsidP="00F80533" w:rsidRDefault="00CE3B03" w14:paraId="4477D29D" w14:textId="65DD2691">
      <w:pPr>
        <w:jc w:val="both"/>
        <w:rPr>
          <w:bCs/>
          <w:szCs w:val="24"/>
        </w:rPr>
      </w:pPr>
      <w:r w:rsidRPr="00CE3B03">
        <w:rPr>
          <w:bCs/>
          <w:szCs w:val="24"/>
        </w:rPr>
        <w:t>Ky opsion përfaqëson një ndërhyrje të qartë, të synuar dhe të përqendruar ekskluzivisht në transpozimin e plotë të</w:t>
      </w:r>
      <w:r w:rsidR="00F80533">
        <w:rPr>
          <w:bCs/>
          <w:szCs w:val="24"/>
        </w:rPr>
        <w:t xml:space="preserve"> dispozitave </w:t>
      </w:r>
      <w:r w:rsidRPr="00CE3B03">
        <w:rPr>
          <w:bCs/>
          <w:szCs w:val="24"/>
        </w:rPr>
        <w:t xml:space="preserve"> </w:t>
      </w:r>
      <w:r w:rsidRPr="00F80533" w:rsidR="00F80533">
        <w:rPr>
          <w:bCs/>
          <w:szCs w:val="24"/>
        </w:rPr>
        <w:t>që përfshijnë shndërrimet, bashkimet dhe ndarjet ndërkufitare janë të rregulluara nga Titulli II i Direktivës (BE) 2017/1132, e cila është ndryshuar ndjeshëm nga Direktiva (BE) 2019/2121, me qëllim që të forcojë lirinë e vendosjes së shoqërive brenda Bashkimit Evropian dhe të sigurojë një kuadër të harmonizuar ligjor për këto operacione ndërkufitare.</w:t>
      </w:r>
      <w:r w:rsidR="00F80533">
        <w:rPr>
          <w:bCs/>
          <w:szCs w:val="24"/>
        </w:rPr>
        <w:t xml:space="preserve"> </w:t>
      </w:r>
      <w:r w:rsidRPr="00F80533" w:rsidR="00F80533">
        <w:rPr>
          <w:bCs/>
          <w:szCs w:val="24"/>
        </w:rPr>
        <w:t>Konkretisht:</w:t>
      </w:r>
    </w:p>
    <w:p w:rsidRPr="00F80533" w:rsidR="00F80533" w:rsidP="00F80533" w:rsidRDefault="00F80533" w14:paraId="43D7B5BD" w14:textId="77777777">
      <w:pPr>
        <w:jc w:val="both"/>
        <w:rPr>
          <w:bCs/>
          <w:szCs w:val="24"/>
        </w:rPr>
      </w:pPr>
    </w:p>
    <w:p w:rsidRPr="00F80533" w:rsidR="00F80533" w:rsidP="00F80533" w:rsidRDefault="00F80533" w14:paraId="4563F24B" w14:textId="77777777">
      <w:pPr>
        <w:jc w:val="both"/>
        <w:rPr>
          <w:bCs/>
          <w:szCs w:val="24"/>
        </w:rPr>
      </w:pPr>
      <w:r w:rsidRPr="00F80533">
        <w:rPr>
          <w:bCs/>
          <w:szCs w:val="24"/>
        </w:rPr>
        <w:t>Bashkimet ndërkufitare janë të rregulluara në Kapitullin II të Titullit II, në nenet 118 deri 122, dhe ofrojnë dispozita të detajuara për procedurën e bashkimit të shoqërive me përgjegjësi të kufizuar që janë të regjistruara në shtete të ndryshme anëtare. Ky kapitull ka origjinën nga Direktivës 2005/56/KE dhe është inkorporuar në mënyrë të kodifikuar në Direktivën 2017/1132.</w:t>
      </w:r>
    </w:p>
    <w:p w:rsidRPr="00F80533" w:rsidR="00F80533" w:rsidP="00F80533" w:rsidRDefault="00F80533" w14:paraId="265310E6" w14:textId="77777777">
      <w:pPr>
        <w:jc w:val="both"/>
        <w:rPr>
          <w:bCs/>
          <w:szCs w:val="24"/>
        </w:rPr>
      </w:pPr>
    </w:p>
    <w:p w:rsidRPr="00F80533" w:rsidR="00F80533" w:rsidP="00F80533" w:rsidRDefault="00F80533" w14:paraId="5BBBFF60" w14:textId="24B22DE6">
      <w:pPr>
        <w:jc w:val="both"/>
        <w:rPr>
          <w:bCs/>
          <w:szCs w:val="24"/>
        </w:rPr>
      </w:pPr>
      <w:r w:rsidRPr="00F80533">
        <w:rPr>
          <w:bCs/>
          <w:szCs w:val="24"/>
        </w:rPr>
        <w:t>Shndërrimet ndërkufitare</w:t>
      </w:r>
      <w:r>
        <w:rPr>
          <w:bCs/>
          <w:szCs w:val="24"/>
        </w:rPr>
        <w:t xml:space="preserve"> </w:t>
      </w:r>
      <w:r w:rsidRPr="00F80533">
        <w:rPr>
          <w:bCs/>
          <w:szCs w:val="24"/>
        </w:rPr>
        <w:t>janë për herë të parë të rregulluara në nivel të BE-së përmes Kapitullit III, që përfshin nenet 86a deri 86k. Këto dispozita janë shtuar nga Direktiva (BE) 2019/2121 dhe lejojnë një shoqëri që është e regjistruar në një shtet anëtar të BE-së të transformohet në një shoqëri të një forme ekuivalente në një shtet tjetër anëtar, pa humbur personalitetin juridik.</w:t>
      </w:r>
    </w:p>
    <w:p w:rsidRPr="00F80533" w:rsidR="00F80533" w:rsidP="00F80533" w:rsidRDefault="00F80533" w14:paraId="5640EC13" w14:textId="77777777">
      <w:pPr>
        <w:jc w:val="both"/>
        <w:rPr>
          <w:bCs/>
          <w:szCs w:val="24"/>
        </w:rPr>
      </w:pPr>
    </w:p>
    <w:p w:rsidR="00F80533" w:rsidP="00F80533" w:rsidRDefault="00F80533" w14:paraId="531D1E37" w14:textId="13AD8BD1">
      <w:pPr>
        <w:jc w:val="both"/>
        <w:rPr>
          <w:bCs/>
          <w:szCs w:val="24"/>
        </w:rPr>
      </w:pPr>
      <w:r w:rsidRPr="00F80533">
        <w:rPr>
          <w:bCs/>
          <w:szCs w:val="24"/>
        </w:rPr>
        <w:t>Ndarjet ndërkufitare janë trajtuar në Kapitullin IV, në nenet 160a deri 160l, po ashtu të futur përmes Direktives 2019/2121. Ky kapitull parashikon një kuadër të harmonizuar për ndarjet ndërkufitare, duke përfshirë ndarjet tërësore, pjesore dhe me ndarje të pjesshme aktive. Ai synon të mbrojë në mënyrë të ekuilibruar interesat e kreditorëve, aksionarëve dhe punonjësve.</w:t>
      </w:r>
    </w:p>
    <w:p w:rsidR="00F80533" w:rsidP="00CE3B03" w:rsidRDefault="00F80533" w14:paraId="5EA26575" w14:textId="77777777">
      <w:pPr>
        <w:jc w:val="both"/>
        <w:rPr>
          <w:bCs/>
          <w:szCs w:val="24"/>
        </w:rPr>
      </w:pPr>
    </w:p>
    <w:p w:rsidRPr="00CE3B03" w:rsidR="00CE3B03" w:rsidP="00CE3B03" w:rsidRDefault="00CE3B03" w14:paraId="176CB4FC" w14:textId="545D8D12">
      <w:pPr>
        <w:jc w:val="both"/>
        <w:rPr>
          <w:bCs/>
          <w:szCs w:val="24"/>
        </w:rPr>
      </w:pPr>
      <w:r w:rsidRPr="00CE3B03">
        <w:rPr>
          <w:bCs/>
          <w:szCs w:val="24"/>
        </w:rPr>
        <w:t>Duke qenë se Ligji nr. 9901/2008 dhe Ligji nr. 110/2012 nuk përmbajnë strukturë të mjaftueshme për të trajtuar këto institute në përputhje me kërkesat e direktivës, dhe duke marrë parasysh ndryshimet substanciale në të drejtën evropiane pas vitit 2021, u vlerësua se krijimi i një ligji të ri të posaçëm është rruga më efikase dhe më pak intruzive për sistemin ekzistues të së drejtës së shoqërive.</w:t>
      </w:r>
    </w:p>
    <w:p w:rsidRPr="00CE3B03" w:rsidR="00CE3B03" w:rsidP="00CE3B03" w:rsidRDefault="00CE3B03" w14:paraId="4067D52E" w14:textId="77777777">
      <w:pPr>
        <w:jc w:val="both"/>
        <w:rPr>
          <w:bCs/>
          <w:szCs w:val="24"/>
        </w:rPr>
      </w:pPr>
    </w:p>
    <w:p w:rsidRPr="00CE3B03" w:rsidR="00CE3B03" w:rsidP="00CE3B03" w:rsidRDefault="00CE3B03" w14:paraId="6A6A10F0" w14:textId="3E94430A">
      <w:pPr>
        <w:jc w:val="both"/>
        <w:rPr>
          <w:bCs/>
          <w:szCs w:val="24"/>
        </w:rPr>
      </w:pPr>
      <w:r w:rsidRPr="00CE3B03">
        <w:rPr>
          <w:bCs/>
          <w:szCs w:val="24"/>
        </w:rPr>
        <w:t xml:space="preserve">Ky opsion siguron transpozim të qartë, të </w:t>
      </w:r>
      <w:r w:rsidR="00AB0C89">
        <w:rPr>
          <w:bCs/>
          <w:szCs w:val="24"/>
        </w:rPr>
        <w:t>aksesueshëm</w:t>
      </w:r>
      <w:r w:rsidRPr="00CE3B03">
        <w:rPr>
          <w:bCs/>
          <w:szCs w:val="24"/>
        </w:rPr>
        <w:t xml:space="preserve"> dhe të matshëm të dispozitave të direktivës, duke ndarë legjislacionin ndërkufitar nga ai i brendshëm</w:t>
      </w:r>
      <w:r w:rsidR="00F80533">
        <w:rPr>
          <w:bCs/>
          <w:szCs w:val="24"/>
        </w:rPr>
        <w:t xml:space="preserve">. </w:t>
      </w:r>
      <w:r w:rsidRPr="00CE3B03">
        <w:rPr>
          <w:bCs/>
          <w:szCs w:val="24"/>
        </w:rPr>
        <w:t>Ai parashikon standarde minimale për raportet e shoqërisë, mbrojtjen e kreditorëve dhe të punonjësve, të drejtat e anëtarëve që kundërshtojnë transformimin, si dhe rregullat për publikimin, certifikimin dhe ndërlidhjen e informacionit ndërkufitar përmes sistemit BRIS, në përputhje me Rregulloren e Zbatimit (BE) 2021/1042.</w:t>
      </w:r>
    </w:p>
    <w:p w:rsidRPr="00CE3B03" w:rsidR="00CE3B03" w:rsidP="00CE3B03" w:rsidRDefault="00CE3B03" w14:paraId="0218AF1E" w14:textId="77777777">
      <w:pPr>
        <w:jc w:val="both"/>
        <w:rPr>
          <w:bCs/>
          <w:szCs w:val="24"/>
        </w:rPr>
      </w:pPr>
    </w:p>
    <w:p w:rsidRPr="00CE3B03" w:rsidR="00CE3B03" w:rsidP="00CE3B03" w:rsidRDefault="00CE3B03" w14:paraId="0802C2E8" w14:textId="77777777">
      <w:pPr>
        <w:jc w:val="both"/>
        <w:rPr>
          <w:bCs/>
          <w:szCs w:val="24"/>
        </w:rPr>
      </w:pPr>
      <w:r w:rsidRPr="00CE3B03">
        <w:rPr>
          <w:bCs/>
          <w:szCs w:val="24"/>
        </w:rPr>
        <w:t>Ky opsion është zgjedhur për arsyet e mëposhtme:</w:t>
      </w:r>
    </w:p>
    <w:p w:rsidRPr="00CE3B03" w:rsidR="00CE3B03" w:rsidP="00CE3B03" w:rsidRDefault="00CE3B03" w14:paraId="6CFBE9D1" w14:textId="77777777">
      <w:pPr>
        <w:jc w:val="both"/>
        <w:rPr>
          <w:bCs/>
          <w:szCs w:val="24"/>
        </w:rPr>
      </w:pPr>
    </w:p>
    <w:p w:rsidRPr="00CE3B03" w:rsidR="00CE3B03" w:rsidP="00CE3B03" w:rsidRDefault="00CE3B03" w14:paraId="1745D5DA" w14:textId="16EBFDFD">
      <w:pPr>
        <w:jc w:val="both"/>
        <w:rPr>
          <w:bCs/>
          <w:szCs w:val="24"/>
        </w:rPr>
      </w:pPr>
      <w:r w:rsidRPr="00E75562">
        <w:rPr>
          <w:b/>
          <w:szCs w:val="24"/>
        </w:rPr>
        <w:t>Përqendrim funksional dhe saktësi legjislative</w:t>
      </w:r>
      <w:r w:rsidRPr="00CE3B03">
        <w:rPr>
          <w:bCs/>
          <w:szCs w:val="24"/>
        </w:rPr>
        <w:t xml:space="preserve">: Projektligji i ri ofron një strukturë të dedikuar për operacionet ndërkufitare, duke reduktuar mbivendosjet me ligjin </w:t>
      </w:r>
      <w:r w:rsidR="00D96FC9">
        <w:rPr>
          <w:bCs/>
          <w:szCs w:val="24"/>
        </w:rPr>
        <w:t>tregtar</w:t>
      </w:r>
      <w:r w:rsidRPr="00CE3B03">
        <w:rPr>
          <w:bCs/>
          <w:szCs w:val="24"/>
        </w:rPr>
        <w:t xml:space="preserve"> në fuqi dhe duke lejuar ndërtimin e një mekanizmi të specializuar transpozimi për secilin nga tre institucionet juridike (shndërrimi, bashkimi, ndarja).</w:t>
      </w:r>
    </w:p>
    <w:p w:rsidRPr="00CE3B03" w:rsidR="00CE3B03" w:rsidP="00CE3B03" w:rsidRDefault="00CE3B03" w14:paraId="6D29DC24" w14:textId="77777777">
      <w:pPr>
        <w:jc w:val="both"/>
        <w:rPr>
          <w:bCs/>
          <w:szCs w:val="24"/>
        </w:rPr>
      </w:pPr>
    </w:p>
    <w:p w:rsidRPr="00CE3B03" w:rsidR="00CE3B03" w:rsidP="00CE3B03" w:rsidRDefault="00CE3B03" w14:paraId="79EF4A02" w14:textId="77777777">
      <w:pPr>
        <w:jc w:val="both"/>
        <w:rPr>
          <w:bCs/>
          <w:szCs w:val="24"/>
        </w:rPr>
      </w:pPr>
      <w:r w:rsidRPr="00E75562">
        <w:rPr>
          <w:b/>
          <w:szCs w:val="24"/>
        </w:rPr>
        <w:t>Koherencë me strukturën e Direktivës 2019/2121:</w:t>
      </w:r>
      <w:r w:rsidRPr="00CE3B03">
        <w:rPr>
          <w:bCs/>
          <w:szCs w:val="24"/>
        </w:rPr>
        <w:t xml:space="preserve"> Krijimi i një ligji të veçantë lejon ruajtjen e rendit logjik të dispozitave të BE-së, duke shmangur ndërthurje të tepërta në tekstet ekzistuese dhe duke mundësuar përputhshmëri të plotë me nen për nen të direktivës.</w:t>
      </w:r>
    </w:p>
    <w:p w:rsidRPr="00CE3B03" w:rsidR="00CE3B03" w:rsidP="00CE3B03" w:rsidRDefault="00CE3B03" w14:paraId="6BF73585" w14:textId="77777777">
      <w:pPr>
        <w:jc w:val="both"/>
        <w:rPr>
          <w:bCs/>
          <w:szCs w:val="24"/>
        </w:rPr>
      </w:pPr>
    </w:p>
    <w:p w:rsidRPr="00CE3B03" w:rsidR="00CE3B03" w:rsidP="00CE3B03" w:rsidRDefault="00CE3B03" w14:paraId="05CD26D5" w14:textId="25C22FD3">
      <w:pPr>
        <w:jc w:val="both"/>
        <w:rPr>
          <w:bCs/>
          <w:szCs w:val="24"/>
        </w:rPr>
      </w:pPr>
      <w:r w:rsidRPr="00E75562">
        <w:rPr>
          <w:b/>
          <w:szCs w:val="24"/>
        </w:rPr>
        <w:t>Lehtësim institucional dhe trajnueshmëri më e madhe</w:t>
      </w:r>
      <w:r w:rsidRPr="00CE3B03">
        <w:rPr>
          <w:bCs/>
          <w:szCs w:val="24"/>
        </w:rPr>
        <w:t xml:space="preserve">: Për shkak se institucione si QKB, ME dhe noterët nuk kanë pasur më parë eksperiencë në administrimin e ndarjeve dhe shndërrimeve ndërkufitare, krijimi i një ligji të veçantë me procedura të qarta i ndihmon ata të </w:t>
      </w:r>
      <w:r w:rsidR="00AB0C89">
        <w:rPr>
          <w:bCs/>
          <w:szCs w:val="24"/>
        </w:rPr>
        <w:t>zbatojnë</w:t>
      </w:r>
      <w:r w:rsidRPr="00CE3B03">
        <w:rPr>
          <w:bCs/>
          <w:szCs w:val="24"/>
        </w:rPr>
        <w:t xml:space="preserve"> më shpejt dhe më saktë ndryshimet. Për më tepër, kjo u mundëson autoriteteve shqiptare të përfshijnë përmbajtjen e plotë të pjesëve përkatëse të Manualeve të Komisionit Evropian për aplikimin e direktivës (p.sh. BRIS Implementation Manual dhe EU Company La</w:t>
      </w:r>
      <w:r w:rsidR="00AB0C89">
        <w:rPr>
          <w:bCs/>
          <w:szCs w:val="24"/>
        </w:rPr>
        <w:t>w</w:t>
      </w:r>
      <w:r w:rsidRPr="00CE3B03">
        <w:rPr>
          <w:bCs/>
          <w:szCs w:val="24"/>
        </w:rPr>
        <w:t xml:space="preserve"> Toolbox), pa e ngarkuar ligjin ekzistues.</w:t>
      </w:r>
    </w:p>
    <w:p w:rsidRPr="00CE3B03" w:rsidR="00CE3B03" w:rsidP="00CE3B03" w:rsidRDefault="00CE3B03" w14:paraId="2A576211" w14:textId="77777777">
      <w:pPr>
        <w:jc w:val="both"/>
        <w:rPr>
          <w:bCs/>
          <w:szCs w:val="24"/>
        </w:rPr>
      </w:pPr>
    </w:p>
    <w:p w:rsidRPr="00CE3B03" w:rsidR="00CE3B03" w:rsidP="00CE3B03" w:rsidRDefault="00CE3B03" w14:paraId="7559F1DA" w14:textId="2A7B96B7">
      <w:pPr>
        <w:jc w:val="both"/>
        <w:rPr>
          <w:bCs/>
          <w:szCs w:val="24"/>
        </w:rPr>
      </w:pPr>
      <w:r w:rsidRPr="00E75562">
        <w:rPr>
          <w:b/>
          <w:szCs w:val="24"/>
        </w:rPr>
        <w:t xml:space="preserve">Zbatim më i </w:t>
      </w:r>
      <w:r w:rsidR="000404D5">
        <w:rPr>
          <w:b/>
          <w:szCs w:val="24"/>
        </w:rPr>
        <w:t>parashikuesh</w:t>
      </w:r>
      <w:r w:rsidR="00E75562">
        <w:rPr>
          <w:b/>
          <w:szCs w:val="24"/>
        </w:rPr>
        <w:t>ë</w:t>
      </w:r>
      <w:r w:rsidR="000404D5">
        <w:rPr>
          <w:b/>
          <w:szCs w:val="24"/>
        </w:rPr>
        <w:t xml:space="preserve">m </w:t>
      </w:r>
      <w:r w:rsidRPr="00E75562">
        <w:rPr>
          <w:b/>
          <w:szCs w:val="24"/>
        </w:rPr>
        <w:t>për subjektet tregtare dhe profesionistët ligjorë</w:t>
      </w:r>
      <w:r w:rsidRPr="00CE3B03">
        <w:rPr>
          <w:bCs/>
          <w:szCs w:val="24"/>
        </w:rPr>
        <w:t>: Duke ruajtur paprekur strukturën e ligjeve bazë si Ligji nr. 9901/2008, Ligji nr. 9723/2007, ky opsion minimizon ngarkesën e adaptimit për bizneset dhe praktikat ligjore që operojnë me sistemin ekzistues. Kjo shmang konfuzionin nga ndryshime të shumta paralele dhe ruan stabilitetin e kuadrit për transaksione të brendshme.</w:t>
      </w:r>
    </w:p>
    <w:p w:rsidRPr="00CE3B03" w:rsidR="00CE3B03" w:rsidP="00CE3B03" w:rsidRDefault="00CE3B03" w14:paraId="34EA053A" w14:textId="77777777">
      <w:pPr>
        <w:jc w:val="both"/>
        <w:rPr>
          <w:bCs/>
          <w:szCs w:val="24"/>
        </w:rPr>
      </w:pPr>
    </w:p>
    <w:p w:rsidRPr="00CE3B03" w:rsidR="00CE3B03" w:rsidP="00CE3B03" w:rsidRDefault="00CE3B03" w14:paraId="10D7571E" w14:textId="77777777">
      <w:pPr>
        <w:jc w:val="both"/>
        <w:rPr>
          <w:bCs/>
          <w:szCs w:val="24"/>
        </w:rPr>
      </w:pPr>
      <w:r w:rsidRPr="00E75562">
        <w:rPr>
          <w:b/>
          <w:szCs w:val="24"/>
        </w:rPr>
        <w:t>Mbështetje për implementimin digjital dhe ndërlidhjen me BRIS</w:t>
      </w:r>
      <w:r w:rsidRPr="00CE3B03">
        <w:rPr>
          <w:bCs/>
          <w:szCs w:val="24"/>
        </w:rPr>
        <w:t>: Projektligji parashikon përdorimin e identifikuesve unikë, certifikatave elektronike dhe publikut ndërkufitar përmes platformës evropiane, duke përmbushur kërkesat e nenit 16 dhe 130 të Direktivës 2017/1132 dhe rregulloren zbatuese për BRIS-in.</w:t>
      </w:r>
    </w:p>
    <w:p w:rsidRPr="00CE3B03" w:rsidR="00CE3B03" w:rsidP="00CE3B03" w:rsidRDefault="00CE3B03" w14:paraId="3035D398" w14:textId="77777777">
      <w:pPr>
        <w:jc w:val="both"/>
        <w:rPr>
          <w:bCs/>
          <w:szCs w:val="24"/>
        </w:rPr>
      </w:pPr>
    </w:p>
    <w:p w:rsidRPr="00C60355" w:rsidR="00C60355" w:rsidP="00C60355" w:rsidRDefault="00C60355" w14:paraId="705C630E" w14:textId="77777777">
      <w:pPr>
        <w:jc w:val="both"/>
        <w:rPr>
          <w:bCs/>
          <w:szCs w:val="24"/>
        </w:rPr>
      </w:pPr>
    </w:p>
    <w:p w:rsidR="00610F2D" w:rsidP="00610F2D" w:rsidRDefault="00610F2D" w14:paraId="11CA3B3E" w14:textId="77777777">
      <w:pPr>
        <w:tabs>
          <w:tab w:val="left" w:pos="454"/>
        </w:tabs>
        <w:jc w:val="both"/>
        <w:rPr>
          <w:szCs w:val="24"/>
        </w:rPr>
      </w:pPr>
      <w:r w:rsidRPr="00821922">
        <w:rPr>
          <w:szCs w:val="24"/>
        </w:rPr>
        <w:t xml:space="preserve">Si rezultat kemi identifikuar 5 kritere me rëndësi për të vlerësuar: </w:t>
      </w:r>
    </w:p>
    <w:p w:rsidRPr="00821922" w:rsidR="008F2132" w:rsidP="00610F2D" w:rsidRDefault="008F2132" w14:paraId="2DF0AC82" w14:textId="77777777">
      <w:pPr>
        <w:tabs>
          <w:tab w:val="left" w:pos="454"/>
        </w:tabs>
        <w:jc w:val="both"/>
        <w:rPr>
          <w:szCs w:val="24"/>
        </w:rPr>
      </w:pPr>
    </w:p>
    <w:p w:rsidRPr="00821922" w:rsidR="00610F2D" w:rsidP="0000379A" w:rsidRDefault="00610F2D" w14:paraId="164F613D" w14:textId="2F0159F9">
      <w:pPr>
        <w:numPr>
          <w:ilvl w:val="0"/>
          <w:numId w:val="10"/>
        </w:numPr>
        <w:tabs>
          <w:tab w:val="left" w:pos="454"/>
        </w:tabs>
        <w:spacing w:after="160" w:line="259" w:lineRule="auto"/>
        <w:contextualSpacing/>
        <w:jc w:val="both"/>
        <w:rPr>
          <w:szCs w:val="24"/>
        </w:rPr>
      </w:pPr>
      <w:r w:rsidRPr="2F6D019E">
        <w:rPr>
          <w:szCs w:val="24"/>
        </w:rPr>
        <w:t>Përmirësimi,</w:t>
      </w:r>
      <w:r>
        <w:rPr>
          <w:szCs w:val="24"/>
        </w:rPr>
        <w:t xml:space="preserve"> </w:t>
      </w:r>
      <w:r w:rsidRPr="2F6D019E">
        <w:rPr>
          <w:szCs w:val="24"/>
        </w:rPr>
        <w:t xml:space="preserve">harmonizimi dhe qartësimi i kuadrit ligjor lidhur me </w:t>
      </w:r>
      <w:r w:rsidR="008F2132">
        <w:rPr>
          <w:color w:val="000000" w:themeColor="text1"/>
          <w:szCs w:val="24"/>
        </w:rPr>
        <w:t>shoqëritë tregtare</w:t>
      </w:r>
      <w:r w:rsidR="003416F3">
        <w:rPr>
          <w:color w:val="000000" w:themeColor="text1"/>
          <w:szCs w:val="24"/>
        </w:rPr>
        <w:t xml:space="preserve"> mbi bazën</w:t>
      </w:r>
      <w:r w:rsidR="00BE46BF">
        <w:rPr>
          <w:color w:val="000000" w:themeColor="text1"/>
          <w:szCs w:val="24"/>
        </w:rPr>
        <w:t xml:space="preserve"> e ligjeve ekzistuese</w:t>
      </w:r>
      <w:r w:rsidRPr="2F6D019E">
        <w:rPr>
          <w:szCs w:val="24"/>
        </w:rPr>
        <w:t xml:space="preserve"> -</w:t>
      </w:r>
      <w:r>
        <w:rPr>
          <w:szCs w:val="24"/>
        </w:rPr>
        <w:t xml:space="preserve"> </w:t>
      </w:r>
      <w:r w:rsidRPr="2F6D019E">
        <w:rPr>
          <w:szCs w:val="24"/>
        </w:rPr>
        <w:t>4</w:t>
      </w:r>
    </w:p>
    <w:p w:rsidRPr="00821922" w:rsidR="00610F2D" w:rsidP="0000379A" w:rsidRDefault="00610F2D" w14:paraId="7E521EF9" w14:textId="23611B0B">
      <w:pPr>
        <w:numPr>
          <w:ilvl w:val="0"/>
          <w:numId w:val="10"/>
        </w:numPr>
        <w:tabs>
          <w:tab w:val="left" w:pos="454"/>
        </w:tabs>
        <w:spacing w:after="160" w:line="259" w:lineRule="auto"/>
        <w:contextualSpacing/>
        <w:jc w:val="both"/>
        <w:rPr>
          <w:szCs w:val="24"/>
        </w:rPr>
      </w:pPr>
      <w:r w:rsidRPr="3E6ACF77">
        <w:rPr>
          <w:szCs w:val="24"/>
        </w:rPr>
        <w:t xml:space="preserve">Përfshirja </w:t>
      </w:r>
      <w:r w:rsidRPr="00D42082" w:rsidR="00D42082">
        <w:rPr>
          <w:szCs w:val="24"/>
        </w:rPr>
        <w:t xml:space="preserve">e bashkimit, ndarjes ndërkufitare, mbrojtjes aksionare etj në ligje tashmë të njohura </w:t>
      </w:r>
      <w:r w:rsidRPr="3E6ACF77">
        <w:rPr>
          <w:szCs w:val="24"/>
        </w:rPr>
        <w:t>–</w:t>
      </w:r>
      <w:r>
        <w:rPr>
          <w:szCs w:val="24"/>
        </w:rPr>
        <w:t xml:space="preserve"> </w:t>
      </w:r>
      <w:r w:rsidRPr="3E6ACF77">
        <w:rPr>
          <w:szCs w:val="24"/>
        </w:rPr>
        <w:t>3;</w:t>
      </w:r>
    </w:p>
    <w:p w:rsidR="00610F2D" w:rsidP="0000379A" w:rsidRDefault="00610F2D" w14:paraId="2F7B310B" w14:textId="7C711E99">
      <w:pPr>
        <w:numPr>
          <w:ilvl w:val="0"/>
          <w:numId w:val="10"/>
        </w:numPr>
        <w:tabs>
          <w:tab w:val="left" w:pos="454"/>
        </w:tabs>
        <w:spacing w:after="160" w:line="259" w:lineRule="auto"/>
        <w:contextualSpacing/>
        <w:jc w:val="both"/>
        <w:rPr>
          <w:szCs w:val="24"/>
        </w:rPr>
      </w:pPr>
      <w:r w:rsidRPr="2F6D019E">
        <w:rPr>
          <w:szCs w:val="24"/>
        </w:rPr>
        <w:t xml:space="preserve">Krijimi i mekanizmave për </w:t>
      </w:r>
      <w:r w:rsidR="00BE46BF">
        <w:rPr>
          <w:szCs w:val="24"/>
        </w:rPr>
        <w:t>përafrim digjital</w:t>
      </w:r>
      <w:r w:rsidRPr="2F6D019E">
        <w:rPr>
          <w:szCs w:val="24"/>
        </w:rPr>
        <w:t>; - 4</w:t>
      </w:r>
    </w:p>
    <w:p w:rsidRPr="00821922" w:rsidR="00610F2D" w:rsidP="0000379A" w:rsidRDefault="00610F2D" w14:paraId="24152CC5" w14:textId="3FA409EF">
      <w:pPr>
        <w:numPr>
          <w:ilvl w:val="0"/>
          <w:numId w:val="10"/>
        </w:numPr>
        <w:tabs>
          <w:tab w:val="left" w:pos="454"/>
        </w:tabs>
        <w:spacing w:after="160" w:line="259" w:lineRule="auto"/>
        <w:contextualSpacing/>
        <w:jc w:val="both"/>
        <w:rPr>
          <w:color w:val="000000" w:themeColor="text1"/>
          <w:szCs w:val="24"/>
        </w:rPr>
      </w:pPr>
      <w:r>
        <w:rPr>
          <w:color w:val="000000" w:themeColor="text1"/>
          <w:szCs w:val="24"/>
        </w:rPr>
        <w:t xml:space="preserve">Efikasiteti në </w:t>
      </w:r>
      <w:r w:rsidRPr="3E6ACF77">
        <w:rPr>
          <w:color w:val="000000" w:themeColor="text1"/>
          <w:szCs w:val="24"/>
        </w:rPr>
        <w:t xml:space="preserve">nxitjen e zhvillimit ekonomik </w:t>
      </w:r>
      <w:r>
        <w:rPr>
          <w:color w:val="000000" w:themeColor="text1"/>
          <w:szCs w:val="24"/>
        </w:rPr>
        <w:t xml:space="preserve">dhe </w:t>
      </w:r>
      <w:r w:rsidRPr="3E6ACF77">
        <w:rPr>
          <w:color w:val="000000" w:themeColor="text1"/>
          <w:szCs w:val="24"/>
        </w:rPr>
        <w:t xml:space="preserve">shfrytëzimi me eficencë </w:t>
      </w:r>
      <w:r>
        <w:rPr>
          <w:color w:val="000000" w:themeColor="text1"/>
          <w:szCs w:val="24"/>
        </w:rPr>
        <w:t xml:space="preserve">i </w:t>
      </w:r>
      <w:r w:rsidR="006D436A">
        <w:rPr>
          <w:color w:val="000000" w:themeColor="text1"/>
          <w:szCs w:val="24"/>
        </w:rPr>
        <w:t>kuadrit ligjor</w:t>
      </w:r>
      <w:r w:rsidRPr="3E6ACF77">
        <w:rPr>
          <w:color w:val="000000" w:themeColor="text1"/>
          <w:szCs w:val="24"/>
        </w:rPr>
        <w:t>.-3</w:t>
      </w:r>
    </w:p>
    <w:p w:rsidR="00610F2D" w:rsidP="0000379A" w:rsidRDefault="00610F2D" w14:paraId="5B6336C4" w14:textId="39A6CA6F">
      <w:pPr>
        <w:numPr>
          <w:ilvl w:val="0"/>
          <w:numId w:val="10"/>
        </w:numPr>
        <w:spacing w:after="160" w:line="259" w:lineRule="auto"/>
        <w:contextualSpacing/>
        <w:jc w:val="both"/>
        <w:rPr>
          <w:szCs w:val="24"/>
        </w:rPr>
      </w:pPr>
      <w:r w:rsidRPr="3E6ACF77">
        <w:rPr>
          <w:szCs w:val="24"/>
        </w:rPr>
        <w:t>Kosto</w:t>
      </w:r>
      <w:r w:rsidR="00F37131">
        <w:rPr>
          <w:szCs w:val="24"/>
        </w:rPr>
        <w:t>-efektiviteti</w:t>
      </w:r>
      <w:r w:rsidRPr="3E6ACF77">
        <w:rPr>
          <w:szCs w:val="24"/>
        </w:rPr>
        <w:t>;</w:t>
      </w:r>
      <w:r>
        <w:rPr>
          <w:szCs w:val="24"/>
        </w:rPr>
        <w:t xml:space="preserve"> </w:t>
      </w:r>
      <w:r w:rsidRPr="3E6ACF77">
        <w:rPr>
          <w:szCs w:val="24"/>
        </w:rPr>
        <w:t>-</w:t>
      </w:r>
      <w:r>
        <w:rPr>
          <w:szCs w:val="24"/>
        </w:rPr>
        <w:t xml:space="preserve"> </w:t>
      </w:r>
      <w:r w:rsidR="00F37131">
        <w:rPr>
          <w:szCs w:val="24"/>
        </w:rPr>
        <w:t>5</w:t>
      </w:r>
    </w:p>
    <w:p w:rsidR="00610F2D" w:rsidP="00610F2D" w:rsidRDefault="00610F2D" w14:paraId="0838D5B2" w14:textId="77777777">
      <w:pPr>
        <w:contextualSpacing/>
        <w:jc w:val="both"/>
        <w:rPr>
          <w:szCs w:val="24"/>
        </w:rPr>
      </w:pPr>
    </w:p>
    <w:p w:rsidRPr="00525217" w:rsidR="00610F2D" w:rsidP="00610F2D" w:rsidRDefault="00610F2D" w14:paraId="076AD500" w14:textId="77777777">
      <w:pPr>
        <w:rPr>
          <w:szCs w:val="24"/>
        </w:rPr>
      </w:pPr>
      <w:r w:rsidRPr="00525217">
        <w:rPr>
          <w:szCs w:val="24"/>
        </w:rPr>
        <w:t xml:space="preserve">Këto kritere janë vlerësuar me pikë për secilin opsion si vijon: </w:t>
      </w:r>
    </w:p>
    <w:p w:rsidRPr="00821922" w:rsidR="00610F2D" w:rsidP="00610F2D" w:rsidRDefault="00610F2D" w14:paraId="287A117B" w14:textId="77777777">
      <w:pPr>
        <w:jc w:val="both"/>
        <w:rPr>
          <w:szCs w:val="24"/>
        </w:rPr>
      </w:pPr>
    </w:p>
    <w:tbl>
      <w:tblPr>
        <w:tblStyle w:val="TableGrid111"/>
        <w:tblW w:w="0" w:type="auto"/>
        <w:jc w:val="center"/>
        <w:tblLook w:val="04A0" w:firstRow="1" w:lastRow="0" w:firstColumn="1" w:lastColumn="0" w:noHBand="0" w:noVBand="1"/>
      </w:tblPr>
      <w:tblGrid>
        <w:gridCol w:w="2688"/>
        <w:gridCol w:w="968"/>
        <w:gridCol w:w="1122"/>
        <w:gridCol w:w="1092"/>
        <w:gridCol w:w="1092"/>
        <w:gridCol w:w="1092"/>
      </w:tblGrid>
      <w:tr w:rsidRPr="00821922" w:rsidR="00F37131" w:rsidTr="00BE5099" w14:paraId="6B7633BA" w14:textId="0C885FBA">
        <w:trPr>
          <w:trHeight w:val="300"/>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21922" w:rsidR="00F37131" w:rsidP="006D0629" w:rsidRDefault="00F37131" w14:paraId="6DFD632A" w14:textId="77777777">
            <w:pPr>
              <w:jc w:val="both"/>
              <w:rPr>
                <w:rFonts w:ascii="Times New Roman" w:hAnsi="Times New Roman"/>
                <w:b/>
                <w:sz w:val="24"/>
                <w:szCs w:val="24"/>
                <w:lang w:eastAsia="en-GB"/>
              </w:rPr>
            </w:pPr>
            <w:r w:rsidRPr="00821922">
              <w:rPr>
                <w:rFonts w:ascii="Times New Roman" w:hAnsi="Times New Roman"/>
                <w:b/>
                <w:sz w:val="24"/>
                <w:szCs w:val="24"/>
                <w:lang w:eastAsia="en-GB"/>
              </w:rPr>
              <w:t xml:space="preserve">Kriteret </w:t>
            </w: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21922" w:rsidR="00F37131" w:rsidP="006D0629" w:rsidRDefault="00F37131" w14:paraId="2CD2270A" w14:textId="77777777">
            <w:pPr>
              <w:jc w:val="both"/>
              <w:rPr>
                <w:rFonts w:ascii="Times New Roman" w:hAnsi="Times New Roman"/>
                <w:b/>
                <w:sz w:val="24"/>
                <w:szCs w:val="24"/>
                <w:lang w:eastAsia="en-GB"/>
              </w:rPr>
            </w:pPr>
            <w:r w:rsidRPr="00821922">
              <w:rPr>
                <w:rFonts w:ascii="Times New Roman" w:hAnsi="Times New Roman"/>
                <w:b/>
                <w:sz w:val="24"/>
                <w:szCs w:val="24"/>
                <w:lang w:eastAsia="en-GB"/>
              </w:rPr>
              <w:t xml:space="preserve">Pesha </w:t>
            </w: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21922" w:rsidR="00F37131" w:rsidP="006D0629" w:rsidRDefault="00F37131" w14:paraId="153069F3" w14:textId="77777777">
            <w:pPr>
              <w:jc w:val="both"/>
              <w:rPr>
                <w:rFonts w:ascii="Times New Roman" w:hAnsi="Times New Roman"/>
                <w:b/>
                <w:sz w:val="24"/>
                <w:szCs w:val="24"/>
                <w:lang w:eastAsia="en-GB"/>
              </w:rPr>
            </w:pPr>
            <w:r w:rsidRPr="00821922">
              <w:rPr>
                <w:rFonts w:ascii="Times New Roman" w:hAnsi="Times New Roman"/>
                <w:b/>
                <w:sz w:val="24"/>
                <w:szCs w:val="24"/>
                <w:lang w:eastAsia="en-GB"/>
              </w:rPr>
              <w:t>Opsioni 0</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21922" w:rsidR="00F37131" w:rsidP="006D0629" w:rsidRDefault="00F37131" w14:paraId="00A27796" w14:textId="5EA6B1EA">
            <w:pPr>
              <w:jc w:val="both"/>
              <w:rPr>
                <w:rFonts w:ascii="Times New Roman" w:hAnsi="Times New Roman"/>
                <w:b/>
                <w:sz w:val="24"/>
                <w:szCs w:val="24"/>
                <w:lang w:eastAsia="en-GB"/>
              </w:rPr>
            </w:pPr>
            <w:r w:rsidRPr="00821922">
              <w:rPr>
                <w:rFonts w:ascii="Times New Roman" w:hAnsi="Times New Roman"/>
                <w:b/>
                <w:sz w:val="24"/>
                <w:szCs w:val="24"/>
                <w:lang w:eastAsia="en-GB"/>
              </w:rPr>
              <w:t xml:space="preserve">Opsioni </w:t>
            </w:r>
            <w:r>
              <w:rPr>
                <w:rFonts w:ascii="Times New Roman" w:hAnsi="Times New Roman"/>
                <w:b/>
                <w:sz w:val="24"/>
                <w:szCs w:val="24"/>
                <w:lang w:eastAsia="en-GB"/>
              </w:rPr>
              <w:t>1</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38E44A5B" w14:textId="5D77689B">
            <w:pPr>
              <w:jc w:val="both"/>
              <w:rPr>
                <w:b/>
                <w:szCs w:val="24"/>
              </w:rPr>
            </w:pPr>
            <w:r w:rsidRPr="00821922">
              <w:rPr>
                <w:rFonts w:ascii="Times New Roman" w:hAnsi="Times New Roman"/>
                <w:b/>
                <w:sz w:val="24"/>
                <w:szCs w:val="24"/>
                <w:lang w:eastAsia="en-GB"/>
              </w:rPr>
              <w:t xml:space="preserve">Opsioni </w:t>
            </w:r>
            <w:r>
              <w:rPr>
                <w:rFonts w:ascii="Times New Roman" w:hAnsi="Times New Roman"/>
                <w:b/>
                <w:sz w:val="24"/>
                <w:szCs w:val="24"/>
                <w:lang w:eastAsia="en-GB"/>
              </w:rPr>
              <w:t>2</w:t>
            </w:r>
          </w:p>
        </w:tc>
        <w:tc>
          <w:tcPr>
            <w:tcW w:w="1092" w:type="dxa"/>
          </w:tcPr>
          <w:p w:rsidRPr="00821922" w:rsidR="00F37131" w:rsidP="006D0629" w:rsidRDefault="00F37131" w14:paraId="66CD13DF" w14:textId="2DF08589">
            <w:pPr>
              <w:jc w:val="both"/>
              <w:rPr>
                <w:b/>
                <w:szCs w:val="24"/>
              </w:rPr>
            </w:pPr>
            <w:r>
              <w:rPr>
                <w:b/>
                <w:szCs w:val="24"/>
              </w:rPr>
              <w:t>Opsioni 3</w:t>
            </w:r>
          </w:p>
        </w:tc>
      </w:tr>
      <w:tr w:rsidRPr="00821922" w:rsidR="00F37131" w:rsidTr="00BE5099" w14:paraId="1FD0A72F" w14:textId="64803FC8">
        <w:trPr>
          <w:trHeight w:val="300"/>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tcPr>
          <w:p w:rsidRPr="00417404" w:rsidR="00F37131" w:rsidP="006D0629" w:rsidRDefault="00F37131" w14:paraId="30AB6593" w14:textId="687BFADE">
            <w:pPr>
              <w:jc w:val="both"/>
              <w:rPr>
                <w:rFonts w:ascii="Times New Roman" w:hAnsi="Times New Roman"/>
                <w:sz w:val="24"/>
                <w:szCs w:val="24"/>
              </w:rPr>
            </w:pPr>
            <w:r w:rsidRPr="000E0C37">
              <w:rPr>
                <w:rFonts w:ascii="Times New Roman" w:hAnsi="Times New Roman" w:eastAsia="Times New Roman"/>
                <w:sz w:val="24"/>
                <w:szCs w:val="24"/>
                <w:lang w:eastAsia="en-GB"/>
              </w:rPr>
              <w:t>Përmirësimi, harmonizimi dhe qartësimi i kuadrit ligjor lidhur me shoqëritë tregtare mbi bazën e ligjeve ekzistuese</w:t>
            </w:r>
          </w:p>
          <w:p w:rsidRPr="00821922" w:rsidR="00F37131" w:rsidP="006D0629" w:rsidRDefault="00F37131" w14:paraId="3A648DBF" w14:textId="77777777">
            <w:pPr>
              <w:jc w:val="both"/>
              <w:rPr>
                <w:rFonts w:ascii="Times New Roman" w:hAnsi="Times New Roman"/>
                <w:sz w:val="24"/>
                <w:szCs w:val="24"/>
                <w:lang w:eastAsia="en-GB"/>
              </w:rPr>
            </w:pP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3E9EADF5" w14:textId="77777777">
            <w:pPr>
              <w:jc w:val="both"/>
              <w:rPr>
                <w:rFonts w:ascii="Times New Roman" w:hAnsi="Times New Roman"/>
                <w:sz w:val="24"/>
                <w:szCs w:val="24"/>
                <w:lang w:eastAsia="en-GB"/>
              </w:rPr>
            </w:pPr>
            <w:r w:rsidRPr="3E6ACF77">
              <w:rPr>
                <w:rFonts w:ascii="Times New Roman" w:hAnsi="Times New Roman"/>
                <w:sz w:val="24"/>
                <w:szCs w:val="24"/>
                <w:lang w:eastAsia="en-GB"/>
              </w:rPr>
              <w:t>4</w:t>
            </w: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6884541D" w14:textId="77777777">
            <w:pPr>
              <w:jc w:val="both"/>
              <w:rPr>
                <w:rFonts w:ascii="Times New Roman" w:hAnsi="Times New Roman"/>
                <w:sz w:val="24"/>
                <w:szCs w:val="24"/>
                <w:lang w:eastAsia="en-GB"/>
              </w:rPr>
            </w:pPr>
            <w:r w:rsidRPr="00821922">
              <w:rPr>
                <w:rFonts w:ascii="Times New Roman" w:hAnsi="Times New Roman"/>
                <w:sz w:val="24"/>
                <w:szCs w:val="24"/>
                <w:lang w:eastAsia="en-GB"/>
              </w:rPr>
              <w:t>0 (0)</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6C542B2C" w14:textId="74054EE2">
            <w:pPr>
              <w:jc w:val="both"/>
              <w:rPr>
                <w:rFonts w:ascii="Times New Roman" w:hAnsi="Times New Roman"/>
                <w:sz w:val="24"/>
                <w:szCs w:val="24"/>
                <w:lang w:eastAsia="en-GB"/>
              </w:rPr>
            </w:pPr>
            <w:r>
              <w:rPr>
                <w:rFonts w:ascii="Times New Roman" w:hAnsi="Times New Roman"/>
                <w:sz w:val="24"/>
                <w:szCs w:val="24"/>
                <w:lang w:eastAsia="en-GB"/>
              </w:rPr>
              <w:t>4</w:t>
            </w:r>
            <w:r w:rsidRPr="3E6ACF77">
              <w:rPr>
                <w:rFonts w:ascii="Times New Roman" w:hAnsi="Times New Roman"/>
                <w:sz w:val="24"/>
                <w:szCs w:val="24"/>
                <w:lang w:eastAsia="en-GB"/>
              </w:rPr>
              <w:t xml:space="preserve"> (</w:t>
            </w:r>
            <w:r>
              <w:rPr>
                <w:rFonts w:ascii="Times New Roman" w:hAnsi="Times New Roman"/>
                <w:sz w:val="24"/>
                <w:szCs w:val="24"/>
                <w:lang w:eastAsia="en-GB"/>
              </w:rPr>
              <w:t>16</w:t>
            </w:r>
            <w:r w:rsidRPr="3E6ACF77">
              <w:rPr>
                <w:rFonts w:ascii="Times New Roman" w:hAnsi="Times New Roman"/>
                <w:sz w:val="24"/>
                <w:szCs w:val="24"/>
                <w:lang w:eastAsia="en-GB"/>
              </w:rPr>
              <w:t>)</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00F37131" w:rsidP="006D0629" w:rsidRDefault="00F37131" w14:paraId="00B3B111" w14:textId="2104F1DA">
            <w:pPr>
              <w:jc w:val="both"/>
              <w:rPr>
                <w:szCs w:val="24"/>
              </w:rPr>
            </w:pPr>
            <w:r>
              <w:rPr>
                <w:rFonts w:ascii="Times New Roman" w:hAnsi="Times New Roman"/>
                <w:sz w:val="24"/>
                <w:szCs w:val="24"/>
                <w:lang w:eastAsia="en-GB"/>
              </w:rPr>
              <w:t>2</w:t>
            </w:r>
            <w:r w:rsidRPr="3E6ACF77">
              <w:rPr>
                <w:rFonts w:ascii="Times New Roman" w:hAnsi="Times New Roman"/>
                <w:sz w:val="24"/>
                <w:szCs w:val="24"/>
                <w:lang w:eastAsia="en-GB"/>
              </w:rPr>
              <w:t xml:space="preserve"> (</w:t>
            </w:r>
            <w:r>
              <w:rPr>
                <w:rFonts w:ascii="Times New Roman" w:hAnsi="Times New Roman"/>
                <w:sz w:val="24"/>
                <w:szCs w:val="24"/>
                <w:lang w:eastAsia="en-GB"/>
              </w:rPr>
              <w:t>8</w:t>
            </w:r>
            <w:r w:rsidRPr="3E6ACF77">
              <w:rPr>
                <w:rFonts w:ascii="Times New Roman" w:hAnsi="Times New Roman"/>
                <w:sz w:val="24"/>
                <w:szCs w:val="24"/>
                <w:lang w:eastAsia="en-GB"/>
              </w:rPr>
              <w:t>)</w:t>
            </w:r>
          </w:p>
        </w:tc>
        <w:tc>
          <w:tcPr>
            <w:tcW w:w="1092" w:type="dxa"/>
          </w:tcPr>
          <w:p w:rsidRPr="00A32E1F" w:rsidR="00F37131" w:rsidP="006D0629" w:rsidRDefault="00F37131" w14:paraId="271BB978" w14:textId="759391D9">
            <w:pPr>
              <w:jc w:val="both"/>
              <w:rPr>
                <w:rFonts w:ascii="Times New Roman" w:hAnsi="Times New Roman"/>
                <w:sz w:val="24"/>
                <w:szCs w:val="24"/>
              </w:rPr>
            </w:pPr>
            <w:r w:rsidRPr="00F37131">
              <w:rPr>
                <w:szCs w:val="24"/>
              </w:rPr>
              <w:t>0 (0)</w:t>
            </w:r>
          </w:p>
        </w:tc>
      </w:tr>
      <w:tr w:rsidRPr="00821922" w:rsidR="00F37131" w:rsidTr="00BE5099" w14:paraId="0A6D4536" w14:textId="6DA6F3F4">
        <w:trPr>
          <w:trHeight w:val="300"/>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tcPr>
          <w:p w:rsidR="00F37131" w:rsidP="006D0629" w:rsidRDefault="00F37131" w14:paraId="0306E534" w14:textId="3DDB8EA8">
            <w:pPr>
              <w:tabs>
                <w:tab w:val="left" w:pos="454"/>
              </w:tabs>
              <w:rPr>
                <w:rFonts w:ascii="Times New Roman" w:hAnsi="Times New Roman" w:eastAsia="Times New Roman"/>
                <w:sz w:val="24"/>
                <w:szCs w:val="24"/>
                <w:lang w:eastAsia="en-GB"/>
              </w:rPr>
            </w:pPr>
            <w:bookmarkStart w:name="_Hlk190176920" w:id="24"/>
            <w:r w:rsidRPr="000E0C37">
              <w:rPr>
                <w:rFonts w:ascii="Times New Roman" w:hAnsi="Times New Roman"/>
                <w:sz w:val="24"/>
                <w:szCs w:val="24"/>
                <w:lang w:eastAsia="en-GB"/>
              </w:rPr>
              <w:t>Përfshirja e bashkimit</w:t>
            </w:r>
            <w:r>
              <w:rPr>
                <w:rFonts w:ascii="Times New Roman" w:hAnsi="Times New Roman"/>
                <w:sz w:val="24"/>
                <w:szCs w:val="24"/>
                <w:lang w:eastAsia="en-GB"/>
              </w:rPr>
              <w:t>, ndarjes</w:t>
            </w:r>
            <w:r w:rsidRPr="000E0C37">
              <w:rPr>
                <w:rFonts w:ascii="Times New Roman" w:hAnsi="Times New Roman"/>
                <w:sz w:val="24"/>
                <w:szCs w:val="24"/>
                <w:lang w:eastAsia="en-GB"/>
              </w:rPr>
              <w:t xml:space="preserve"> ndërkufitar</w:t>
            </w:r>
            <w:r>
              <w:rPr>
                <w:rFonts w:ascii="Times New Roman" w:hAnsi="Times New Roman"/>
                <w:sz w:val="24"/>
                <w:szCs w:val="24"/>
                <w:lang w:eastAsia="en-GB"/>
              </w:rPr>
              <w:t>e, mbrojtjes aksionare etj në ligje tashmë të njohura</w:t>
            </w:r>
            <w:r w:rsidRPr="000E0C37">
              <w:rPr>
                <w:rFonts w:ascii="Times New Roman" w:hAnsi="Times New Roman"/>
                <w:sz w:val="24"/>
                <w:szCs w:val="24"/>
                <w:lang w:eastAsia="en-GB"/>
              </w:rPr>
              <w:t xml:space="preserve"> </w:t>
            </w:r>
          </w:p>
          <w:bookmarkEnd w:id="24"/>
          <w:p w:rsidRPr="00821922" w:rsidR="00F37131" w:rsidP="006D0629" w:rsidRDefault="00F37131" w14:paraId="3A93AAB9" w14:textId="77777777">
            <w:pPr>
              <w:jc w:val="both"/>
              <w:rPr>
                <w:rFonts w:ascii="Times New Roman" w:hAnsi="Times New Roman"/>
                <w:sz w:val="24"/>
                <w:szCs w:val="24"/>
                <w:lang w:eastAsia="en-GB"/>
              </w:rPr>
            </w:pP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4E0942D7" w14:textId="77777777">
            <w:pPr>
              <w:jc w:val="both"/>
              <w:rPr>
                <w:rFonts w:ascii="Times New Roman" w:hAnsi="Times New Roman"/>
                <w:sz w:val="24"/>
                <w:szCs w:val="24"/>
                <w:lang w:eastAsia="en-GB"/>
              </w:rPr>
            </w:pPr>
            <w:r w:rsidRPr="3E6ACF77">
              <w:rPr>
                <w:rFonts w:ascii="Times New Roman" w:hAnsi="Times New Roman"/>
                <w:sz w:val="24"/>
                <w:szCs w:val="24"/>
                <w:lang w:eastAsia="en-GB"/>
              </w:rPr>
              <w:t>3</w:t>
            </w: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54561576" w14:textId="77777777">
            <w:pPr>
              <w:jc w:val="both"/>
              <w:rPr>
                <w:rFonts w:ascii="Times New Roman" w:hAnsi="Times New Roman"/>
                <w:sz w:val="24"/>
                <w:szCs w:val="24"/>
                <w:lang w:eastAsia="en-GB"/>
              </w:rPr>
            </w:pPr>
            <w:r w:rsidRPr="00821922">
              <w:rPr>
                <w:rFonts w:ascii="Times New Roman" w:hAnsi="Times New Roman"/>
                <w:sz w:val="24"/>
                <w:szCs w:val="24"/>
                <w:lang w:eastAsia="en-GB"/>
              </w:rPr>
              <w:t>0 (0)</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6CB21FFE" w14:textId="77777777">
            <w:pPr>
              <w:jc w:val="both"/>
              <w:rPr>
                <w:rFonts w:ascii="Times New Roman" w:hAnsi="Times New Roman"/>
                <w:sz w:val="24"/>
                <w:szCs w:val="24"/>
                <w:lang w:eastAsia="en-GB"/>
              </w:rPr>
            </w:pPr>
            <w:r w:rsidRPr="3E6ACF77">
              <w:rPr>
                <w:rFonts w:ascii="Times New Roman" w:hAnsi="Times New Roman"/>
                <w:sz w:val="24"/>
                <w:szCs w:val="24"/>
                <w:lang w:eastAsia="en-GB"/>
              </w:rPr>
              <w:t>3 (9)</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3E6ACF77" w:rsidR="00F37131" w:rsidP="006D0629" w:rsidRDefault="00F37131" w14:paraId="26469057" w14:textId="1AB6FC63">
            <w:pPr>
              <w:jc w:val="both"/>
              <w:rPr>
                <w:szCs w:val="24"/>
              </w:rPr>
            </w:pPr>
            <w:r>
              <w:rPr>
                <w:rFonts w:ascii="Times New Roman" w:hAnsi="Times New Roman"/>
                <w:sz w:val="24"/>
                <w:szCs w:val="24"/>
                <w:lang w:eastAsia="en-GB"/>
              </w:rPr>
              <w:t>3</w:t>
            </w:r>
            <w:r w:rsidRPr="3E6ACF77">
              <w:rPr>
                <w:rFonts w:ascii="Times New Roman" w:hAnsi="Times New Roman"/>
                <w:sz w:val="24"/>
                <w:szCs w:val="24"/>
                <w:lang w:eastAsia="en-GB"/>
              </w:rPr>
              <w:t>(</w:t>
            </w:r>
            <w:r>
              <w:rPr>
                <w:rFonts w:ascii="Times New Roman" w:hAnsi="Times New Roman"/>
                <w:sz w:val="24"/>
                <w:szCs w:val="24"/>
                <w:lang w:eastAsia="en-GB"/>
              </w:rPr>
              <w:t>9</w:t>
            </w:r>
            <w:r w:rsidRPr="3E6ACF77">
              <w:rPr>
                <w:rFonts w:ascii="Times New Roman" w:hAnsi="Times New Roman"/>
                <w:sz w:val="24"/>
                <w:szCs w:val="24"/>
                <w:lang w:eastAsia="en-GB"/>
              </w:rPr>
              <w:t>)</w:t>
            </w:r>
          </w:p>
        </w:tc>
        <w:tc>
          <w:tcPr>
            <w:tcW w:w="1092" w:type="dxa"/>
          </w:tcPr>
          <w:p w:rsidRPr="00A32E1F" w:rsidR="00F37131" w:rsidP="006D0629" w:rsidRDefault="00F37131" w14:paraId="38E9BCCB" w14:textId="539F9F2F">
            <w:pPr>
              <w:jc w:val="both"/>
              <w:rPr>
                <w:rFonts w:ascii="Times New Roman" w:hAnsi="Times New Roman"/>
                <w:sz w:val="24"/>
                <w:szCs w:val="24"/>
              </w:rPr>
            </w:pPr>
            <w:r w:rsidRPr="00F37131">
              <w:rPr>
                <w:szCs w:val="24"/>
              </w:rPr>
              <w:t>0 (0)</w:t>
            </w:r>
          </w:p>
        </w:tc>
      </w:tr>
      <w:tr w:rsidRPr="00821922" w:rsidR="00F37131" w:rsidTr="00BE5099" w14:paraId="494D278B" w14:textId="79FC99F9">
        <w:trPr>
          <w:trHeight w:val="300"/>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1D04CD09" w14:textId="292101F7">
            <w:pPr>
              <w:jc w:val="both"/>
              <w:rPr>
                <w:rFonts w:ascii="Times New Roman" w:hAnsi="Times New Roman" w:eastAsia="Times New Roman"/>
                <w:sz w:val="24"/>
                <w:szCs w:val="24"/>
                <w:lang w:eastAsia="en-GB"/>
              </w:rPr>
            </w:pPr>
            <w:r w:rsidRPr="2F6D019E">
              <w:rPr>
                <w:rFonts w:ascii="Times New Roman" w:hAnsi="Times New Roman" w:eastAsia="Times New Roman"/>
                <w:sz w:val="24"/>
                <w:szCs w:val="24"/>
                <w:lang w:eastAsia="en-GB"/>
              </w:rPr>
              <w:t xml:space="preserve"> Krijimi i mekanizmave për </w:t>
            </w:r>
            <w:r>
              <w:rPr>
                <w:rFonts w:ascii="Times New Roman" w:hAnsi="Times New Roman" w:eastAsia="Times New Roman"/>
                <w:sz w:val="24"/>
                <w:szCs w:val="24"/>
                <w:lang w:eastAsia="en-GB"/>
              </w:rPr>
              <w:t xml:space="preserve">përafrim digjital </w:t>
            </w: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5C3A9062" w14:textId="77777777">
            <w:pPr>
              <w:jc w:val="both"/>
              <w:rPr>
                <w:rFonts w:ascii="Times New Roman" w:hAnsi="Times New Roman"/>
                <w:sz w:val="24"/>
                <w:szCs w:val="24"/>
                <w:lang w:eastAsia="en-GB"/>
              </w:rPr>
            </w:pPr>
            <w:r w:rsidRPr="00821922">
              <w:rPr>
                <w:rFonts w:ascii="Times New Roman" w:hAnsi="Times New Roman"/>
                <w:sz w:val="24"/>
                <w:szCs w:val="24"/>
                <w:lang w:eastAsia="en-GB"/>
              </w:rPr>
              <w:t>4</w:t>
            </w: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4DC1EFB2" w14:textId="77777777">
            <w:pPr>
              <w:jc w:val="both"/>
              <w:rPr>
                <w:rFonts w:ascii="Times New Roman" w:hAnsi="Times New Roman"/>
                <w:sz w:val="24"/>
                <w:szCs w:val="24"/>
                <w:lang w:eastAsia="en-GB"/>
              </w:rPr>
            </w:pPr>
            <w:r w:rsidRPr="00821922">
              <w:rPr>
                <w:rFonts w:ascii="Times New Roman" w:hAnsi="Times New Roman"/>
                <w:sz w:val="24"/>
                <w:szCs w:val="24"/>
                <w:lang w:eastAsia="en-GB"/>
              </w:rPr>
              <w:t>0 (0)</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60908D1F" w14:textId="77777777">
            <w:pPr>
              <w:jc w:val="both"/>
              <w:rPr>
                <w:rFonts w:ascii="Times New Roman" w:hAnsi="Times New Roman"/>
                <w:sz w:val="24"/>
                <w:szCs w:val="24"/>
                <w:lang w:eastAsia="en-GB"/>
              </w:rPr>
            </w:pPr>
            <w:r w:rsidRPr="3E6ACF77">
              <w:rPr>
                <w:rFonts w:ascii="Times New Roman" w:hAnsi="Times New Roman"/>
                <w:sz w:val="24"/>
                <w:szCs w:val="24"/>
                <w:lang w:eastAsia="en-GB"/>
              </w:rPr>
              <w:t>4 (16)</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3E6ACF77" w:rsidR="00F37131" w:rsidP="006D0629" w:rsidRDefault="00F37131" w14:paraId="29A1BEC8" w14:textId="247F0FEF">
            <w:pPr>
              <w:jc w:val="both"/>
              <w:rPr>
                <w:szCs w:val="24"/>
              </w:rPr>
            </w:pPr>
            <w:r>
              <w:rPr>
                <w:rFonts w:ascii="Times New Roman" w:hAnsi="Times New Roman"/>
                <w:sz w:val="24"/>
                <w:szCs w:val="24"/>
                <w:lang w:eastAsia="en-GB"/>
              </w:rPr>
              <w:t xml:space="preserve">2 </w:t>
            </w:r>
            <w:r w:rsidRPr="00821922">
              <w:rPr>
                <w:rFonts w:ascii="Times New Roman" w:hAnsi="Times New Roman"/>
                <w:sz w:val="24"/>
                <w:szCs w:val="24"/>
                <w:lang w:eastAsia="en-GB"/>
              </w:rPr>
              <w:t>(</w:t>
            </w:r>
            <w:r>
              <w:rPr>
                <w:rFonts w:ascii="Times New Roman" w:hAnsi="Times New Roman"/>
                <w:sz w:val="24"/>
                <w:szCs w:val="24"/>
                <w:lang w:eastAsia="en-GB"/>
              </w:rPr>
              <w:t>8</w:t>
            </w:r>
            <w:r w:rsidRPr="00821922">
              <w:rPr>
                <w:rFonts w:ascii="Times New Roman" w:hAnsi="Times New Roman"/>
                <w:sz w:val="24"/>
                <w:szCs w:val="24"/>
                <w:lang w:eastAsia="en-GB"/>
              </w:rPr>
              <w:t>)</w:t>
            </w:r>
          </w:p>
        </w:tc>
        <w:tc>
          <w:tcPr>
            <w:tcW w:w="1092" w:type="dxa"/>
          </w:tcPr>
          <w:p w:rsidRPr="00A32E1F" w:rsidR="00F37131" w:rsidP="006D0629" w:rsidRDefault="00F37131" w14:paraId="6AABEAAD" w14:textId="253BD4DA">
            <w:pPr>
              <w:jc w:val="both"/>
              <w:rPr>
                <w:rFonts w:ascii="Times New Roman" w:hAnsi="Times New Roman"/>
                <w:sz w:val="24"/>
                <w:szCs w:val="24"/>
              </w:rPr>
            </w:pPr>
            <w:r w:rsidRPr="00F37131">
              <w:rPr>
                <w:szCs w:val="24"/>
              </w:rPr>
              <w:t>1 (4)</w:t>
            </w:r>
          </w:p>
        </w:tc>
      </w:tr>
      <w:tr w:rsidRPr="00821922" w:rsidR="00F37131" w:rsidTr="00BE5099" w14:paraId="75AE0ADB" w14:textId="6056ED8D">
        <w:trPr>
          <w:trHeight w:val="300"/>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2FF2DDD5" w14:textId="165BC280">
            <w:pPr>
              <w:jc w:val="both"/>
              <w:rPr>
                <w:rFonts w:ascii="Times New Roman" w:hAnsi="Times New Roman" w:eastAsia="Times New Roman"/>
                <w:color w:val="000000" w:themeColor="text1"/>
                <w:sz w:val="24"/>
                <w:szCs w:val="24"/>
                <w:lang w:eastAsia="en-GB"/>
              </w:rPr>
            </w:pPr>
            <w:r w:rsidRPr="00D42082">
              <w:rPr>
                <w:rFonts w:ascii="Times New Roman" w:hAnsi="Times New Roman" w:eastAsia="Times New Roman"/>
                <w:color w:val="000000" w:themeColor="text1"/>
                <w:sz w:val="24"/>
                <w:szCs w:val="24"/>
                <w:lang w:eastAsia="en-GB"/>
              </w:rPr>
              <w:t>Efikasiteti në nxitjen e zhvillimit ekonomik dhe shfrytëzimi me eficencë i kuadrit ligjor</w:t>
            </w:r>
            <w:r>
              <w:rPr>
                <w:rFonts w:ascii="Times New Roman" w:hAnsi="Times New Roman" w:eastAsia="Times New Roman"/>
                <w:color w:val="000000" w:themeColor="text1"/>
                <w:sz w:val="24"/>
                <w:szCs w:val="24"/>
                <w:lang w:eastAsia="en-GB"/>
              </w:rPr>
              <w:t>.</w:t>
            </w: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13350228" w14:textId="77777777">
            <w:pPr>
              <w:jc w:val="both"/>
              <w:rPr>
                <w:rFonts w:ascii="Times New Roman" w:hAnsi="Times New Roman"/>
                <w:sz w:val="24"/>
                <w:szCs w:val="24"/>
                <w:lang w:eastAsia="en-GB"/>
              </w:rPr>
            </w:pPr>
            <w:r w:rsidRPr="00821922">
              <w:rPr>
                <w:rFonts w:ascii="Times New Roman" w:hAnsi="Times New Roman"/>
                <w:sz w:val="24"/>
                <w:szCs w:val="24"/>
                <w:lang w:eastAsia="en-GB"/>
              </w:rPr>
              <w:t>3</w:t>
            </w: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73A080D6" w14:textId="59C96CBE">
            <w:pPr>
              <w:jc w:val="both"/>
              <w:rPr>
                <w:rFonts w:ascii="Times New Roman" w:hAnsi="Times New Roman"/>
                <w:sz w:val="24"/>
                <w:szCs w:val="24"/>
                <w:lang w:eastAsia="en-GB"/>
              </w:rPr>
            </w:pPr>
            <w:r>
              <w:rPr>
                <w:rFonts w:ascii="Times New Roman" w:hAnsi="Times New Roman"/>
                <w:sz w:val="24"/>
                <w:szCs w:val="24"/>
                <w:lang w:eastAsia="en-GB"/>
              </w:rPr>
              <w:t>1</w:t>
            </w:r>
            <w:r w:rsidRPr="3E6ACF77">
              <w:rPr>
                <w:rFonts w:ascii="Times New Roman" w:hAnsi="Times New Roman"/>
                <w:sz w:val="24"/>
                <w:szCs w:val="24"/>
                <w:lang w:eastAsia="en-GB"/>
              </w:rPr>
              <w:t xml:space="preserve"> (</w:t>
            </w:r>
            <w:r>
              <w:rPr>
                <w:rFonts w:ascii="Times New Roman" w:hAnsi="Times New Roman"/>
                <w:sz w:val="24"/>
                <w:szCs w:val="24"/>
                <w:lang w:eastAsia="en-GB"/>
              </w:rPr>
              <w:t>3</w:t>
            </w:r>
            <w:r w:rsidRPr="3E6ACF77">
              <w:rPr>
                <w:rFonts w:ascii="Times New Roman" w:hAnsi="Times New Roman"/>
                <w:sz w:val="24"/>
                <w:szCs w:val="24"/>
                <w:lang w:eastAsia="en-GB"/>
              </w:rPr>
              <w:t>)</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6E7BD20C" w14:textId="77777777">
            <w:pPr>
              <w:jc w:val="both"/>
              <w:rPr>
                <w:rFonts w:ascii="Times New Roman" w:hAnsi="Times New Roman"/>
                <w:sz w:val="24"/>
                <w:szCs w:val="24"/>
                <w:lang w:eastAsia="en-GB"/>
              </w:rPr>
            </w:pPr>
            <w:r w:rsidRPr="3E6ACF77">
              <w:rPr>
                <w:rFonts w:ascii="Times New Roman" w:hAnsi="Times New Roman"/>
                <w:sz w:val="24"/>
                <w:szCs w:val="24"/>
                <w:lang w:eastAsia="en-GB"/>
              </w:rPr>
              <w:t>3 (9)</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3E6ACF77" w:rsidR="00F37131" w:rsidP="006D0629" w:rsidRDefault="00F37131" w14:paraId="5E5BCB34" w14:textId="644CB9CC">
            <w:pPr>
              <w:jc w:val="both"/>
              <w:rPr>
                <w:szCs w:val="24"/>
              </w:rPr>
            </w:pPr>
            <w:r>
              <w:rPr>
                <w:rFonts w:ascii="Times New Roman" w:hAnsi="Times New Roman"/>
                <w:sz w:val="24"/>
                <w:szCs w:val="24"/>
                <w:lang w:eastAsia="en-GB"/>
              </w:rPr>
              <w:t>3</w:t>
            </w:r>
            <w:r w:rsidRPr="3E6ACF77">
              <w:rPr>
                <w:rFonts w:ascii="Times New Roman" w:hAnsi="Times New Roman"/>
                <w:sz w:val="24"/>
                <w:szCs w:val="24"/>
                <w:lang w:eastAsia="en-GB"/>
              </w:rPr>
              <w:t xml:space="preserve"> (</w:t>
            </w:r>
            <w:r>
              <w:rPr>
                <w:rFonts w:ascii="Times New Roman" w:hAnsi="Times New Roman"/>
                <w:sz w:val="24"/>
                <w:szCs w:val="24"/>
                <w:lang w:eastAsia="en-GB"/>
              </w:rPr>
              <w:t>9</w:t>
            </w:r>
            <w:r w:rsidRPr="3E6ACF77">
              <w:rPr>
                <w:rFonts w:ascii="Times New Roman" w:hAnsi="Times New Roman"/>
                <w:sz w:val="24"/>
                <w:szCs w:val="24"/>
                <w:lang w:eastAsia="en-GB"/>
              </w:rPr>
              <w:t>)</w:t>
            </w:r>
          </w:p>
        </w:tc>
        <w:tc>
          <w:tcPr>
            <w:tcW w:w="1092" w:type="dxa"/>
          </w:tcPr>
          <w:p w:rsidRPr="00A32E1F" w:rsidR="00F37131" w:rsidP="006D0629" w:rsidRDefault="00F37131" w14:paraId="01E419FC" w14:textId="6467B2A2">
            <w:pPr>
              <w:jc w:val="both"/>
              <w:rPr>
                <w:rFonts w:ascii="Times New Roman" w:hAnsi="Times New Roman"/>
                <w:sz w:val="24"/>
                <w:szCs w:val="24"/>
              </w:rPr>
            </w:pPr>
            <w:r w:rsidRPr="00F37131">
              <w:rPr>
                <w:szCs w:val="24"/>
              </w:rPr>
              <w:t>2 (6)</w:t>
            </w:r>
          </w:p>
        </w:tc>
      </w:tr>
      <w:tr w:rsidRPr="00821922" w:rsidR="00F37131" w:rsidTr="00BE5099" w14:paraId="060FA07A" w14:textId="26C59145">
        <w:trPr>
          <w:trHeight w:val="300"/>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30E35C9C" w14:textId="6299FDE2">
            <w:pPr>
              <w:jc w:val="both"/>
              <w:rPr>
                <w:rFonts w:ascii="Times New Roman" w:hAnsi="Times New Roman"/>
                <w:sz w:val="24"/>
                <w:szCs w:val="24"/>
                <w:lang w:eastAsia="en-GB"/>
              </w:rPr>
            </w:pPr>
            <w:r w:rsidRPr="3E6ACF77">
              <w:rPr>
                <w:rFonts w:ascii="Times New Roman" w:hAnsi="Times New Roman"/>
                <w:sz w:val="24"/>
                <w:szCs w:val="24"/>
                <w:lang w:eastAsia="en-GB"/>
              </w:rPr>
              <w:t>Kosto</w:t>
            </w:r>
            <w:r>
              <w:rPr>
                <w:rFonts w:ascii="Times New Roman" w:hAnsi="Times New Roman"/>
                <w:sz w:val="24"/>
                <w:szCs w:val="24"/>
                <w:lang w:eastAsia="en-GB"/>
              </w:rPr>
              <w:t xml:space="preserve"> më</w:t>
            </w:r>
            <w:r w:rsidRPr="3E6ACF77">
              <w:rPr>
                <w:rFonts w:ascii="Times New Roman" w:hAnsi="Times New Roman"/>
                <w:sz w:val="24"/>
                <w:szCs w:val="24"/>
                <w:lang w:eastAsia="en-GB"/>
              </w:rPr>
              <w:t xml:space="preserve"> </w:t>
            </w:r>
            <w:r w:rsidRPr="00417404">
              <w:rPr>
                <w:rFonts w:ascii="Times New Roman" w:hAnsi="Times New Roman" w:eastAsia="Times New Roman"/>
                <w:color w:val="000000" w:themeColor="text1"/>
                <w:sz w:val="24"/>
                <w:szCs w:val="24"/>
                <w:lang w:eastAsia="en-GB"/>
              </w:rPr>
              <w:t>t</w:t>
            </w:r>
            <w:r>
              <w:rPr>
                <w:rFonts w:ascii="Times New Roman" w:hAnsi="Times New Roman" w:eastAsia="Times New Roman"/>
                <w:color w:val="000000" w:themeColor="text1"/>
                <w:sz w:val="24"/>
                <w:szCs w:val="24"/>
                <w:lang w:eastAsia="en-GB"/>
              </w:rPr>
              <w:t>ë</w:t>
            </w:r>
            <w:r w:rsidRPr="00417404">
              <w:rPr>
                <w:rFonts w:ascii="Times New Roman" w:hAnsi="Times New Roman" w:eastAsia="Times New Roman"/>
                <w:color w:val="000000" w:themeColor="text1"/>
                <w:sz w:val="24"/>
                <w:szCs w:val="24"/>
                <w:lang w:eastAsia="en-GB"/>
              </w:rPr>
              <w:t xml:space="preserve"> </w:t>
            </w:r>
            <w:r>
              <w:rPr>
                <w:rFonts w:ascii="Times New Roman" w:hAnsi="Times New Roman" w:eastAsia="Times New Roman"/>
                <w:color w:val="000000" w:themeColor="text1"/>
                <w:sz w:val="24"/>
                <w:szCs w:val="24"/>
                <w:lang w:eastAsia="en-GB"/>
              </w:rPr>
              <w:t>njohura</w:t>
            </w:r>
            <w:r w:rsidRPr="00417404">
              <w:rPr>
                <w:rFonts w:ascii="Times New Roman" w:hAnsi="Times New Roman" w:eastAsia="Times New Roman"/>
                <w:color w:val="000000" w:themeColor="text1"/>
                <w:sz w:val="24"/>
                <w:szCs w:val="24"/>
                <w:lang w:eastAsia="en-GB"/>
              </w:rPr>
              <w:t xml:space="preserve"> administrative;</w:t>
            </w:r>
            <w:r>
              <w:rPr>
                <w:rFonts w:ascii="Times New Roman" w:hAnsi="Times New Roman"/>
                <w:sz w:val="24"/>
                <w:szCs w:val="24"/>
                <w:lang w:eastAsia="en-GB"/>
              </w:rPr>
              <w:t xml:space="preserve"> </w:t>
            </w: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1D6499A0" w14:textId="6E80C31D">
            <w:pPr>
              <w:jc w:val="both"/>
              <w:rPr>
                <w:rFonts w:ascii="Times New Roman" w:hAnsi="Times New Roman"/>
                <w:sz w:val="24"/>
                <w:szCs w:val="24"/>
                <w:lang w:eastAsia="en-GB"/>
              </w:rPr>
            </w:pPr>
            <w:r>
              <w:rPr>
                <w:rFonts w:ascii="Times New Roman" w:hAnsi="Times New Roman"/>
                <w:sz w:val="24"/>
                <w:szCs w:val="24"/>
                <w:lang w:eastAsia="en-GB"/>
              </w:rPr>
              <w:t>5</w:t>
            </w: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37665782" w14:textId="515FF0F5">
            <w:pPr>
              <w:jc w:val="both"/>
              <w:rPr>
                <w:rFonts w:ascii="Times New Roman" w:hAnsi="Times New Roman"/>
                <w:sz w:val="24"/>
                <w:szCs w:val="24"/>
                <w:lang w:eastAsia="en-GB"/>
              </w:rPr>
            </w:pPr>
            <w:r>
              <w:rPr>
                <w:rFonts w:ascii="Times New Roman" w:hAnsi="Times New Roman"/>
                <w:sz w:val="24"/>
                <w:szCs w:val="24"/>
                <w:lang w:eastAsia="en-GB"/>
              </w:rPr>
              <w:t>1</w:t>
            </w:r>
            <w:r w:rsidRPr="00821922">
              <w:rPr>
                <w:rFonts w:ascii="Times New Roman" w:hAnsi="Times New Roman"/>
                <w:sz w:val="24"/>
                <w:szCs w:val="24"/>
                <w:lang w:eastAsia="en-GB"/>
              </w:rPr>
              <w:t xml:space="preserve"> (</w:t>
            </w:r>
            <w:r>
              <w:rPr>
                <w:rFonts w:ascii="Times New Roman" w:hAnsi="Times New Roman"/>
                <w:sz w:val="24"/>
                <w:szCs w:val="24"/>
                <w:lang w:eastAsia="en-GB"/>
              </w:rPr>
              <w:t>5</w:t>
            </w:r>
            <w:r w:rsidRPr="00821922">
              <w:rPr>
                <w:rFonts w:ascii="Times New Roman" w:hAnsi="Times New Roman"/>
                <w:sz w:val="24"/>
                <w:szCs w:val="24"/>
                <w:lang w:eastAsia="en-GB"/>
              </w:rPr>
              <w:t>)</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35EDF149" w14:textId="2305EE21">
            <w:pPr>
              <w:jc w:val="both"/>
              <w:rPr>
                <w:rFonts w:ascii="Times New Roman" w:hAnsi="Times New Roman"/>
                <w:sz w:val="24"/>
                <w:szCs w:val="24"/>
                <w:lang w:eastAsia="en-GB"/>
              </w:rPr>
            </w:pPr>
            <w:r>
              <w:rPr>
                <w:rFonts w:ascii="Times New Roman" w:hAnsi="Times New Roman"/>
                <w:sz w:val="24"/>
                <w:szCs w:val="24"/>
                <w:lang w:eastAsia="en-GB"/>
              </w:rPr>
              <w:t>5</w:t>
            </w:r>
            <w:r w:rsidRPr="3E6ACF77">
              <w:rPr>
                <w:rFonts w:ascii="Times New Roman" w:hAnsi="Times New Roman"/>
                <w:sz w:val="24"/>
                <w:szCs w:val="24"/>
                <w:lang w:eastAsia="en-GB"/>
              </w:rPr>
              <w:t xml:space="preserve"> (</w:t>
            </w:r>
            <w:r>
              <w:rPr>
                <w:rFonts w:ascii="Times New Roman" w:hAnsi="Times New Roman"/>
                <w:sz w:val="24"/>
                <w:szCs w:val="24"/>
                <w:lang w:eastAsia="en-GB"/>
              </w:rPr>
              <w:t>25</w:t>
            </w:r>
            <w:r w:rsidRPr="3E6ACF77">
              <w:rPr>
                <w:rFonts w:ascii="Times New Roman" w:hAnsi="Times New Roman"/>
                <w:sz w:val="24"/>
                <w:szCs w:val="24"/>
                <w:lang w:eastAsia="en-GB"/>
              </w:rPr>
              <w:t>)</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3E6ACF77" w:rsidR="00F37131" w:rsidP="006D0629" w:rsidRDefault="00F37131" w14:paraId="2869090E" w14:textId="059F2526">
            <w:pPr>
              <w:jc w:val="both"/>
              <w:rPr>
                <w:szCs w:val="24"/>
              </w:rPr>
            </w:pPr>
            <w:r>
              <w:rPr>
                <w:rFonts w:ascii="Times New Roman" w:hAnsi="Times New Roman"/>
                <w:sz w:val="24"/>
                <w:szCs w:val="24"/>
                <w:lang w:eastAsia="en-GB"/>
              </w:rPr>
              <w:t>3</w:t>
            </w:r>
            <w:r w:rsidRPr="3E6ACF77">
              <w:rPr>
                <w:rFonts w:ascii="Times New Roman" w:hAnsi="Times New Roman"/>
                <w:sz w:val="24"/>
                <w:szCs w:val="24"/>
                <w:lang w:eastAsia="en-GB"/>
              </w:rPr>
              <w:t xml:space="preserve"> (</w:t>
            </w:r>
            <w:r>
              <w:rPr>
                <w:rFonts w:ascii="Times New Roman" w:hAnsi="Times New Roman"/>
                <w:sz w:val="24"/>
                <w:szCs w:val="24"/>
                <w:lang w:eastAsia="en-GB"/>
              </w:rPr>
              <w:t>15</w:t>
            </w:r>
            <w:r w:rsidRPr="3E6ACF77">
              <w:rPr>
                <w:rFonts w:ascii="Times New Roman" w:hAnsi="Times New Roman"/>
                <w:sz w:val="24"/>
                <w:szCs w:val="24"/>
                <w:lang w:eastAsia="en-GB"/>
              </w:rPr>
              <w:t>)</w:t>
            </w:r>
          </w:p>
        </w:tc>
        <w:tc>
          <w:tcPr>
            <w:tcW w:w="1092" w:type="dxa"/>
          </w:tcPr>
          <w:p w:rsidRPr="00A32E1F" w:rsidR="00F37131" w:rsidP="006D0629" w:rsidRDefault="00F37131" w14:paraId="0462CACE" w14:textId="29AEFD67">
            <w:pPr>
              <w:jc w:val="both"/>
              <w:rPr>
                <w:rFonts w:ascii="Times New Roman" w:hAnsi="Times New Roman"/>
                <w:sz w:val="24"/>
                <w:szCs w:val="24"/>
              </w:rPr>
            </w:pPr>
            <w:r w:rsidRPr="00F37131">
              <w:rPr>
                <w:szCs w:val="24"/>
              </w:rPr>
              <w:t>2 (10)</w:t>
            </w:r>
          </w:p>
        </w:tc>
      </w:tr>
      <w:tr w:rsidRPr="00821922" w:rsidR="00F37131" w:rsidTr="00BE5099" w14:paraId="180D2FE1" w14:textId="5D0AF6EF">
        <w:trPr>
          <w:trHeight w:val="168"/>
          <w:jc w:val="center"/>
        </w:trPr>
        <w:tc>
          <w:tcPr>
            <w:tcW w:w="268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821922" w:rsidR="00F37131" w:rsidP="006D0629" w:rsidRDefault="00F37131" w14:paraId="208C1461" w14:textId="77777777">
            <w:pPr>
              <w:jc w:val="both"/>
              <w:rPr>
                <w:rFonts w:ascii="Times New Roman" w:hAnsi="Times New Roman"/>
                <w:b/>
                <w:bCs/>
                <w:sz w:val="24"/>
                <w:szCs w:val="24"/>
                <w:lang w:eastAsia="en-GB"/>
              </w:rPr>
            </w:pPr>
            <w:r w:rsidRPr="00821922">
              <w:rPr>
                <w:rFonts w:ascii="Times New Roman" w:hAnsi="Times New Roman"/>
                <w:b/>
                <w:bCs/>
                <w:sz w:val="24"/>
                <w:szCs w:val="24"/>
                <w:lang w:eastAsia="en-GB"/>
              </w:rPr>
              <w:t>Pikët</w:t>
            </w:r>
          </w:p>
        </w:tc>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38F69F96" w14:textId="77777777">
            <w:pPr>
              <w:jc w:val="both"/>
              <w:rPr>
                <w:rFonts w:ascii="Times New Roman" w:hAnsi="Times New Roman"/>
                <w:b/>
                <w:sz w:val="24"/>
                <w:szCs w:val="24"/>
                <w:lang w:eastAsia="en-GB"/>
              </w:rPr>
            </w:pPr>
          </w:p>
        </w:tc>
        <w:tc>
          <w:tcPr>
            <w:tcW w:w="112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685508DE" w14:textId="4560E916">
            <w:pPr>
              <w:jc w:val="both"/>
              <w:rPr>
                <w:rFonts w:ascii="Times New Roman" w:hAnsi="Times New Roman"/>
                <w:b/>
                <w:bCs/>
                <w:sz w:val="24"/>
                <w:szCs w:val="24"/>
                <w:lang w:eastAsia="en-GB"/>
              </w:rPr>
            </w:pPr>
            <w:r>
              <w:rPr>
                <w:rFonts w:ascii="Times New Roman" w:hAnsi="Times New Roman"/>
                <w:b/>
                <w:bCs/>
                <w:sz w:val="24"/>
                <w:szCs w:val="24"/>
                <w:lang w:eastAsia="en-GB"/>
              </w:rPr>
              <w:t>8</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00821922" w:rsidR="00F37131" w:rsidP="006D0629" w:rsidRDefault="00F37131" w14:paraId="0132CAB8" w14:textId="31DAD95E">
            <w:pPr>
              <w:jc w:val="both"/>
              <w:rPr>
                <w:rFonts w:ascii="Times New Roman" w:hAnsi="Times New Roman"/>
                <w:b/>
                <w:bCs/>
                <w:sz w:val="24"/>
                <w:szCs w:val="24"/>
                <w:lang w:eastAsia="en-GB"/>
              </w:rPr>
            </w:pPr>
            <w:r>
              <w:rPr>
                <w:rFonts w:ascii="Times New Roman" w:hAnsi="Times New Roman"/>
                <w:b/>
                <w:bCs/>
                <w:sz w:val="24"/>
                <w:szCs w:val="24"/>
                <w:lang w:eastAsia="en-GB"/>
              </w:rPr>
              <w:t>78</w:t>
            </w:r>
          </w:p>
        </w:tc>
        <w:tc>
          <w:tcPr>
            <w:tcW w:w="1092" w:type="dxa"/>
            <w:tcBorders>
              <w:top w:val="single" w:color="auto" w:sz="4" w:space="0"/>
              <w:left w:val="single" w:color="auto" w:sz="4" w:space="0"/>
              <w:bottom w:val="single" w:color="auto" w:sz="4" w:space="0"/>
              <w:right w:val="single" w:color="auto" w:sz="4" w:space="0"/>
            </w:tcBorders>
            <w:shd w:val="clear" w:color="auto" w:fill="FFFFFF" w:themeFill="background1"/>
          </w:tcPr>
          <w:p w:rsidRPr="3E6ACF77" w:rsidR="00F37131" w:rsidP="006D0629" w:rsidRDefault="00F37131" w14:paraId="68163E6A" w14:textId="11A44DE7">
            <w:pPr>
              <w:jc w:val="both"/>
              <w:rPr>
                <w:b/>
                <w:bCs/>
                <w:szCs w:val="24"/>
              </w:rPr>
            </w:pPr>
            <w:r>
              <w:rPr>
                <w:rFonts w:ascii="Times New Roman" w:hAnsi="Times New Roman"/>
                <w:b/>
                <w:bCs/>
                <w:sz w:val="24"/>
                <w:szCs w:val="24"/>
                <w:lang w:eastAsia="en-GB"/>
              </w:rPr>
              <w:t>48</w:t>
            </w:r>
          </w:p>
        </w:tc>
        <w:tc>
          <w:tcPr>
            <w:tcW w:w="1092" w:type="dxa"/>
          </w:tcPr>
          <w:p w:rsidRPr="3E6ACF77" w:rsidR="00F37131" w:rsidP="006D0629" w:rsidRDefault="00F37131" w14:paraId="08B00E36" w14:textId="6D5B1A1F">
            <w:pPr>
              <w:jc w:val="both"/>
              <w:rPr>
                <w:b/>
                <w:bCs/>
                <w:szCs w:val="24"/>
              </w:rPr>
            </w:pPr>
            <w:r>
              <w:rPr>
                <w:b/>
                <w:bCs/>
                <w:szCs w:val="24"/>
              </w:rPr>
              <w:t>20</w:t>
            </w:r>
          </w:p>
        </w:tc>
      </w:tr>
    </w:tbl>
    <w:p w:rsidR="00610F2D" w:rsidP="00610F2D" w:rsidRDefault="00610F2D" w14:paraId="4CF29541" w14:textId="77777777">
      <w:pPr>
        <w:pStyle w:val="Style1-BodyText"/>
        <w:spacing w:before="240" w:after="0" w:line="276" w:lineRule="auto"/>
        <w:rPr>
          <w:rFonts w:cs="Times New Roman"/>
          <w:b/>
          <w:sz w:val="24"/>
          <w:szCs w:val="24"/>
        </w:rPr>
      </w:pPr>
    </w:p>
    <w:p w:rsidRPr="00DE53BA" w:rsidR="00610F2D" w:rsidP="00610F2D" w:rsidRDefault="00610F2D" w14:paraId="1154BDE3" w14:textId="674D6118">
      <w:pPr>
        <w:rPr>
          <w:szCs w:val="24"/>
        </w:rPr>
      </w:pPr>
      <w:r w:rsidRPr="00DE53BA">
        <w:rPr>
          <w:szCs w:val="24"/>
        </w:rPr>
        <w:t xml:space="preserve">Nga analiza e kryer, bazuar në kriteret e përmendura si më lart, duke vlerësuar secilin opsion, rezulton se opsioni </w:t>
      </w:r>
      <w:r w:rsidR="006D0629">
        <w:rPr>
          <w:szCs w:val="24"/>
        </w:rPr>
        <w:t>1</w:t>
      </w:r>
      <w:r w:rsidRPr="00DE53BA">
        <w:rPr>
          <w:szCs w:val="24"/>
        </w:rPr>
        <w:t xml:space="preserve"> ka numrin më të lartë të pikëve me </w:t>
      </w:r>
      <w:r w:rsidR="00F37131">
        <w:rPr>
          <w:szCs w:val="24"/>
        </w:rPr>
        <w:t>78</w:t>
      </w:r>
      <w:r w:rsidRPr="00DE53BA">
        <w:rPr>
          <w:szCs w:val="24"/>
        </w:rPr>
        <w:t xml:space="preserve"> krahasuar me opsionet e tjera. </w:t>
      </w:r>
    </w:p>
    <w:p w:rsidRPr="00325A1F" w:rsidR="002125B7" w:rsidP="009D13F4" w:rsidRDefault="002125B7" w14:paraId="315E966F" w14:textId="61C2B010">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Çështje të zbatimit</w:t>
      </w:r>
      <w:bookmarkEnd w:id="23"/>
    </w:p>
    <w:sdt>
      <w:sdtPr>
        <w:id w:val="686721506"/>
        <w:lock w:val="contentLocked"/>
        <w:placeholder>
          <w:docPart w:val="DefaultPlaceholder_1081868574"/>
        </w:placeholder>
        <w:rPr>
          <w:rFonts w:cs="Times New Roman"/>
          <w:i w:val="1"/>
          <w:iCs w:val="1"/>
          <w:sz w:val="24"/>
          <w:szCs w:val="24"/>
        </w:rPr>
      </w:sdtPr>
      <w:sdtEndPr>
        <w:rPr>
          <w:rFonts w:cs="Times New Roman"/>
          <w:i w:val="0"/>
          <w:iCs w:val="0"/>
          <w:sz w:val="24"/>
          <w:szCs w:val="24"/>
        </w:rPr>
      </w:sdtEndPr>
      <w:sdtContent>
        <w:p w:rsidRPr="0032145B" w:rsidR="0097570D" w:rsidP="0000379A" w:rsidRDefault="0097570D" w14:paraId="14BDFC1E" w14:textId="77777777">
          <w:pPr>
            <w:pStyle w:val="Style1-BodyText"/>
            <w:numPr>
              <w:ilvl w:val="0"/>
              <w:numId w:val="9"/>
            </w:numPr>
            <w:spacing w:after="0" w:line="276" w:lineRule="auto"/>
            <w:rPr>
              <w:rFonts w:cs="Times New Roman"/>
              <w:i/>
              <w:sz w:val="24"/>
              <w:szCs w:val="24"/>
            </w:rPr>
          </w:pPr>
          <w:r w:rsidRPr="0032145B">
            <w:rPr>
              <w:rFonts w:cs="Times New Roman"/>
              <w:i/>
              <w:sz w:val="24"/>
              <w:szCs w:val="24"/>
            </w:rPr>
            <w:t>Shpjegoni se cila strukturë do të jetë përgjegjëse për zbatimin e opsionit të zgjedhur.</w:t>
          </w:r>
        </w:p>
        <w:p w:rsidRPr="0032145B" w:rsidR="0097570D" w:rsidP="0000379A" w:rsidRDefault="0097570D" w14:paraId="577DB711" w14:textId="77777777">
          <w:pPr>
            <w:pStyle w:val="Style1-BodyText"/>
            <w:numPr>
              <w:ilvl w:val="0"/>
              <w:numId w:val="9"/>
            </w:numPr>
            <w:spacing w:after="0" w:line="276" w:lineRule="auto"/>
            <w:rPr>
              <w:rFonts w:cs="Times New Roman"/>
              <w:i/>
              <w:sz w:val="24"/>
              <w:szCs w:val="24"/>
            </w:rPr>
          </w:pPr>
          <w:r w:rsidRPr="0032145B">
            <w:rPr>
              <w:rFonts w:cs="Times New Roman"/>
              <w:i/>
              <w:sz w:val="24"/>
              <w:szCs w:val="24"/>
            </w:rPr>
            <w:t>Shpjegoni pengesat e mundshme për zbatimin e opsionit të zgjedhur.</w:t>
          </w:r>
        </w:p>
        <w:p w:rsidRPr="00325A1F" w:rsidR="0097570D" w:rsidP="0000379A" w:rsidRDefault="0097570D" w14:paraId="0CE4F729" w14:textId="77777777">
          <w:pPr>
            <w:pStyle w:val="Style1-BodyText"/>
            <w:numPr>
              <w:ilvl w:val="0"/>
              <w:numId w:val="9"/>
            </w:numPr>
            <w:spacing w:after="0" w:line="276" w:lineRule="auto"/>
            <w:rPr>
              <w:rFonts w:cs="Times New Roman"/>
              <w:sz w:val="24"/>
              <w:szCs w:val="24"/>
            </w:rPr>
          </w:pPr>
          <w:r w:rsidRPr="0032145B">
            <w:rPr>
              <w:rFonts w:cs="Times New Roman"/>
              <w:i/>
              <w:sz w:val="24"/>
              <w:szCs w:val="24"/>
            </w:rPr>
            <w:t>Përshkruani masat që do të ndërmerren gjatë zbatimit për të arritur qëllimet e politikës.</w:t>
          </w:r>
        </w:p>
      </w:sdtContent>
    </w:sdt>
    <w:p w:rsidR="00AF51D7" w:rsidP="00AF51D7" w:rsidRDefault="00AF51D7" w14:paraId="6EEB8790" w14:textId="77777777">
      <w:pPr>
        <w:rPr>
          <w:rStyle w:val="Strong"/>
          <w:rFonts w:eastAsiaTheme="majorEastAsia"/>
          <w:b w:val="0"/>
          <w:bCs w:val="0"/>
          <w:u w:val="single"/>
        </w:rPr>
      </w:pPr>
      <w:bookmarkStart w:name="_Toc465267003" w:id="25"/>
    </w:p>
    <w:p w:rsidR="00E31A86" w:rsidP="00AF51D7" w:rsidRDefault="009A4828" w14:paraId="450EBAB1" w14:textId="0B4EF3CC">
      <w:r w:rsidRPr="00E31A86">
        <w:rPr>
          <w:rStyle w:val="Strong"/>
          <w:rFonts w:eastAsiaTheme="majorEastAsia"/>
          <w:b w:val="0"/>
          <w:bCs w:val="0"/>
          <w:u w:val="single"/>
        </w:rPr>
        <w:t>Struktura përgjegjëse për zbatimin e opsionit të zgjedhur</w:t>
      </w:r>
      <w:r w:rsidRPr="00E31A86">
        <w:br/>
      </w:r>
    </w:p>
    <w:p w:rsidRPr="000A757B" w:rsidR="000A757B" w:rsidP="000A757B" w:rsidRDefault="000A757B" w14:paraId="596A696F" w14:textId="77777777">
      <w:pPr>
        <w:jc w:val="both"/>
      </w:pPr>
      <w:r w:rsidRPr="000A757B">
        <w:rPr>
          <w:b/>
          <w:u w:val="single"/>
        </w:rPr>
        <w:t>Ministria përgjegjëse për</w:t>
      </w:r>
      <w:r w:rsidRPr="000A757B">
        <w:rPr>
          <w:b/>
          <w:bCs/>
          <w:u w:val="single"/>
        </w:rPr>
        <w:t xml:space="preserve"> ekonominë</w:t>
      </w:r>
      <w:r w:rsidRPr="000A757B">
        <w:t xml:space="preserve">. Si institucioni kryesor që mbikëqyr politikën ekonomike dhe reformën rregullatore, ministria përgjegjëse për ekonominë do të luajë një rol kyç në sigurimin e miratimit dhe integrimit të ndryshimeve ligjore në kuadrin ligjor kombëtar. Ajo do të mbikëqyr harmonizimin me direktivat e BE-së dhe do të punojë me institucione të tjera për të zhvilluar strategjitë e implementimit. </w:t>
      </w:r>
    </w:p>
    <w:p w:rsidRPr="000A757B" w:rsidR="000A757B" w:rsidP="000A757B" w:rsidRDefault="000A757B" w14:paraId="625BAD3A" w14:textId="77777777">
      <w:pPr>
        <w:jc w:val="both"/>
      </w:pPr>
    </w:p>
    <w:p w:rsidRPr="000A757B" w:rsidR="000A757B" w:rsidP="000A757B" w:rsidRDefault="000A757B" w14:paraId="7211651B" w14:textId="2F0277E6">
      <w:pPr>
        <w:jc w:val="both"/>
      </w:pPr>
      <w:r w:rsidRPr="000A757B">
        <w:rPr>
          <w:b/>
          <w:bCs/>
          <w:u w:val="single"/>
        </w:rPr>
        <w:t xml:space="preserve">Ministria përgjegjëse për </w:t>
      </w:r>
      <w:r w:rsidRPr="000A757B" w:rsidR="00AB0C89">
        <w:rPr>
          <w:b/>
          <w:bCs/>
          <w:u w:val="single"/>
        </w:rPr>
        <w:t>financat</w:t>
      </w:r>
      <w:r w:rsidRPr="000A757B">
        <w:t xml:space="preserve"> nga ana tjetër do të jetë gjithashtu përgjegjëse për lidhjen me BE-në dhe monitorimin e përputhshmërisë me kërkesat fiskale dhe ligjore të BE-së</w:t>
      </w:r>
      <w:r w:rsidR="00300197">
        <w:t>, çka do të fusë në lojë edhe administratën tatimore.</w:t>
      </w:r>
    </w:p>
    <w:p w:rsidRPr="000A757B" w:rsidR="000A757B" w:rsidP="000A757B" w:rsidRDefault="000A757B" w14:paraId="2060B140" w14:textId="77777777">
      <w:pPr>
        <w:jc w:val="both"/>
        <w:rPr>
          <w:b/>
          <w:bCs/>
          <w:u w:val="single"/>
        </w:rPr>
      </w:pPr>
    </w:p>
    <w:p w:rsidRPr="000A757B" w:rsidR="000A757B" w:rsidP="000A757B" w:rsidRDefault="000A757B" w14:paraId="387CA237" w14:textId="6F663469">
      <w:pPr>
        <w:jc w:val="both"/>
        <w:rPr>
          <w:b/>
          <w:u w:val="single"/>
        </w:rPr>
      </w:pPr>
      <w:r w:rsidRPr="000A757B">
        <w:rPr>
          <w:b/>
          <w:u w:val="single"/>
        </w:rPr>
        <w:t xml:space="preserve">Qendra Kombëtare e Biznesit (QKB): </w:t>
      </w:r>
      <w:r w:rsidRPr="000A757B">
        <w:rPr>
          <w:bCs/>
        </w:rPr>
        <w:t xml:space="preserve">QKB do të jetë përgjegjëse për menaxhimin e procesit të regjistrimit të bizneseve dhe implementimin e mjeteve digjitale për të siguruar përputhshmërinë me rregullat e reja dhe standardet për operacionet ndërkufitare. Ajo do të punojë me ministrinë përgjegjëse për ekonominë dhe institucione të tjera, të tilla si AKSHI dhe AKCESK për të siguruar që procedurat e regjistrimit të bizneseve dhe rregulloret të jenë të thjeshtuara dhe në përputhje me kërkesat e BE-së. QKB do të luajë një rol kyç në </w:t>
      </w:r>
      <w:r w:rsidRPr="000A757B" w:rsidR="00AB0C89">
        <w:rPr>
          <w:bCs/>
        </w:rPr>
        <w:t>digjitalizimin</w:t>
      </w:r>
      <w:r w:rsidRPr="000A757B">
        <w:rPr>
          <w:bCs/>
        </w:rPr>
        <w:t xml:space="preserve"> e regjistrave dhe përdorimin e platformave digjitale për të lehtësuar regjistrimin dhe proceset e përputhshmërisë me standardet ndërkombëtare. </w:t>
      </w:r>
      <w:r w:rsidRPr="000A757B">
        <w:t xml:space="preserve"> P</w:t>
      </w:r>
      <w:r w:rsidRPr="000A757B">
        <w:rPr>
          <w:bCs/>
        </w:rPr>
        <w:t xml:space="preserve">asi specifikimet teknike të regjistrave të biznesit që do të lidhën </w:t>
      </w:r>
      <w:r w:rsidR="00AB0C89">
        <w:rPr>
          <w:bCs/>
        </w:rPr>
        <w:t>midis tyre,</w:t>
      </w:r>
      <w:r w:rsidRPr="000A757B">
        <w:rPr>
          <w:bCs/>
        </w:rPr>
        <w:t xml:space="preserve"> të rishikohen nga Agjencia Kombëtare për Shoqërinë e Informacionit (AKSHI) dhe Qendra Kombëtare e Biznesit, mund të vazhdohet me hapat e nevojshëm që duhet të ndërmerren për të mundësuar lidhjen e regjistrit të biznesit të Shqipërisë me BRIS.</w:t>
      </w:r>
    </w:p>
    <w:p w:rsidRPr="000A757B" w:rsidR="000A757B" w:rsidP="000A757B" w:rsidRDefault="000A757B" w14:paraId="5B2F5E9E" w14:textId="77777777">
      <w:pPr>
        <w:jc w:val="both"/>
      </w:pPr>
    </w:p>
    <w:p w:rsidRPr="000A757B" w:rsidR="000A757B" w:rsidP="000A757B" w:rsidRDefault="000A757B" w14:paraId="434DCB35" w14:textId="3832C96E">
      <w:pPr>
        <w:jc w:val="both"/>
      </w:pPr>
      <w:r w:rsidRPr="000A757B">
        <w:rPr>
          <w:b/>
          <w:bCs/>
          <w:u w:val="single"/>
        </w:rPr>
        <w:t>Instituti i Statistikave (INSTAT</w:t>
      </w:r>
      <w:r w:rsidRPr="000A757B">
        <w:rPr>
          <w:b/>
          <w:bCs/>
        </w:rPr>
        <w:t>)</w:t>
      </w:r>
      <w:r w:rsidRPr="000A757B">
        <w:t xml:space="preserve">: INSTAT do të mbledhë dhe analizojë të dhëna për të matur ndikimin e reformave. Ajo do të ndjekë tregues ekonomikë si rritja e biznesit, investimet e huaja </w:t>
      </w:r>
      <w:r w:rsidR="0067070B">
        <w:t>të drejtpërdrejta</w:t>
      </w:r>
      <w:r w:rsidRPr="000A757B">
        <w:t xml:space="preserve"> dhe standardet e qeverisjes korporative. INSTAT do të ofrojë të dhëna që do të udhëheqin rregullimet dhe përmirësimet e ardhshme në kuadrin rregullator.</w:t>
      </w:r>
    </w:p>
    <w:p w:rsidRPr="000A757B" w:rsidR="000A757B" w:rsidP="000A757B" w:rsidRDefault="000A757B" w14:paraId="1A799B1B" w14:textId="77777777">
      <w:pPr>
        <w:jc w:val="both"/>
      </w:pPr>
    </w:p>
    <w:p w:rsidR="00A56385" w:rsidP="000A757B" w:rsidRDefault="000A757B" w14:paraId="1A98FD30" w14:textId="46400F09">
      <w:pPr>
        <w:jc w:val="both"/>
      </w:pPr>
      <w:r w:rsidRPr="00EA2CCA">
        <w:rPr>
          <w:b/>
          <w:bCs/>
          <w:u w:val="single"/>
        </w:rPr>
        <w:t>Ministria e Shtetit për Mbrojtjen e Sipërmarrjes</w:t>
      </w:r>
      <w:r w:rsidRPr="00EA2CCA">
        <w:t>: Kjo ministri do të përqendrohet në mbështetje të bizneseve, veçanërisht SME-ve, për t'u përshtatur me kërkesat e reja ligjore. Ajo do të ofrojë trajnim, asistencë financiare dhe shërbime këshillimore për të ndihmuar bizneset të përmbushin ligjin e përditësuar të shoqërive. Ministria gjithashtu do të monitorojë ndikimin social të reformave, veçanërisht për ndërmarrjet më të vogla.</w:t>
      </w:r>
    </w:p>
    <w:p w:rsidR="000860E6" w:rsidP="000A757B" w:rsidRDefault="000860E6" w14:paraId="7458D5EE" w14:textId="77777777">
      <w:pPr>
        <w:jc w:val="both"/>
      </w:pPr>
    </w:p>
    <w:p w:rsidRPr="00C82E7F" w:rsidR="000860E6" w:rsidP="000A757B" w:rsidRDefault="000860E6" w14:paraId="0B9AF257" w14:textId="5981F16B">
      <w:pPr>
        <w:jc w:val="both"/>
      </w:pPr>
      <w:r w:rsidRPr="00C82E7F">
        <w:rPr>
          <w:b/>
          <w:bCs/>
          <w:u w:val="single"/>
        </w:rPr>
        <w:t xml:space="preserve">Autoriteti i Konkurrencës: </w:t>
      </w:r>
      <w:r w:rsidRPr="00C82E7F">
        <w:t xml:space="preserve">Shoqëritë </w:t>
      </w:r>
      <w:r w:rsidR="00F35CB2">
        <w:t xml:space="preserve">do </w:t>
      </w:r>
      <w:r w:rsidRPr="00C82E7F">
        <w:t xml:space="preserve">të </w:t>
      </w:r>
      <w:r w:rsidR="00F35CB2">
        <w:t xml:space="preserve">duhet të </w:t>
      </w:r>
      <w:r w:rsidRPr="00C82E7F">
        <w:t>sigurojnë përputhshmërinë me rregullat e konkurrencës dhe të njoftojnë Autoritetin e Konkurrencës kur ato përmbushin kriteret e përcaktuara për bashkimet nd</w:t>
      </w:r>
      <w:r w:rsidRPr="00C82E7F" w:rsidR="00F17944">
        <w:t>ë</w:t>
      </w:r>
      <w:r w:rsidRPr="00C82E7F">
        <w:t>rkufitare, për të shmangur pasojat ligjore dhe financiare që mund të lindin nga mosnjoftimi.</w:t>
      </w:r>
      <w:r w:rsidRPr="00C82E7F" w:rsidR="00E20C25">
        <w:t xml:space="preserve"> Harmonizimi i legjislacionit të Shqipërisë do të rrisë konkurrencën në tregun lokal, duke mundësuar që bizneset shqiptare të konkurrojnë në kushte të barabarta me ato të vendeve të BE-së. Për më tepër, krijimi i një tregu të hapur dhe të parashikueshëm për investitorët do të ndihmojë në diversifikimin e ekonomisë dhe përmirësimin e cilësisë së produkteve dhe shërbimeve. Autoriteti i </w:t>
      </w:r>
      <w:r w:rsidRPr="00C82E7F" w:rsidR="00AB0C89">
        <w:t>Konkurrencës</w:t>
      </w:r>
      <w:r w:rsidRPr="00C82E7F" w:rsidR="00E20C25">
        <w:t xml:space="preserve"> </w:t>
      </w:r>
      <w:r w:rsidRPr="00C82E7F" w:rsidR="005D5779">
        <w:t>do t</w:t>
      </w:r>
      <w:r w:rsidRPr="00C82E7F" w:rsidR="00F17944">
        <w:t>ë</w:t>
      </w:r>
      <w:r w:rsidRPr="00C82E7F" w:rsidR="005D5779">
        <w:t xml:space="preserve"> </w:t>
      </w:r>
      <w:r w:rsidRPr="00C82E7F" w:rsidR="00E20C25">
        <w:t>duhet t</w:t>
      </w:r>
      <w:r w:rsidRPr="00C82E7F" w:rsidR="00F17944">
        <w:t>ë</w:t>
      </w:r>
      <w:r w:rsidRPr="00C82E7F" w:rsidR="00E20C25">
        <w:t xml:space="preserve"> jet</w:t>
      </w:r>
      <w:r w:rsidRPr="00C82E7F" w:rsidR="00F17944">
        <w:t>ë</w:t>
      </w:r>
      <w:r w:rsidRPr="00C82E7F" w:rsidR="00E20C25">
        <w:t xml:space="preserve"> m</w:t>
      </w:r>
      <w:r w:rsidRPr="00C82E7F" w:rsidR="00F17944">
        <w:t>ë</w:t>
      </w:r>
      <w:r w:rsidRPr="00C82E7F" w:rsidR="00E20C25">
        <w:t xml:space="preserve"> i v</w:t>
      </w:r>
      <w:r w:rsidRPr="00C82E7F" w:rsidR="00F17944">
        <w:t>ë</w:t>
      </w:r>
      <w:r w:rsidRPr="00C82E7F" w:rsidR="00E20C25">
        <w:t>mendsh</w:t>
      </w:r>
      <w:r w:rsidRPr="00C82E7F" w:rsidR="00F17944">
        <w:t>ë</w:t>
      </w:r>
      <w:r w:rsidRPr="00C82E7F" w:rsidR="00E20C25">
        <w:t>m</w:t>
      </w:r>
      <w:r w:rsidRPr="00C82E7F" w:rsidR="005D5779">
        <w:t xml:space="preserve"> p</w:t>
      </w:r>
      <w:r w:rsidRPr="00C82E7F" w:rsidR="00F17944">
        <w:t>ë</w:t>
      </w:r>
      <w:r w:rsidRPr="00C82E7F" w:rsidR="005D5779">
        <w:t xml:space="preserve">r </w:t>
      </w:r>
      <w:r w:rsidRPr="00C82E7F" w:rsidR="00AB0C89">
        <w:t>përqendrime</w:t>
      </w:r>
      <w:r w:rsidRPr="00C82E7F" w:rsidR="005D5779">
        <w:t xml:space="preserve"> t</w:t>
      </w:r>
      <w:r w:rsidRPr="00C82E7F" w:rsidR="00F17944">
        <w:t>ë</w:t>
      </w:r>
      <w:r w:rsidRPr="00C82E7F" w:rsidR="005D5779">
        <w:t xml:space="preserve"> reja q</w:t>
      </w:r>
      <w:r w:rsidRPr="00C82E7F" w:rsidR="00F17944">
        <w:t>ë</w:t>
      </w:r>
      <w:r w:rsidRPr="00C82E7F" w:rsidR="005D5779">
        <w:t xml:space="preserve"> mund t</w:t>
      </w:r>
      <w:r w:rsidRPr="00C82E7F" w:rsidR="00F17944">
        <w:t>ë</w:t>
      </w:r>
      <w:r w:rsidRPr="00C82E7F" w:rsidR="005D5779">
        <w:t xml:space="preserve"> krijohen n</w:t>
      </w:r>
      <w:r w:rsidRPr="00C82E7F" w:rsidR="00F17944">
        <w:t>ë</w:t>
      </w:r>
      <w:r w:rsidRPr="00C82E7F" w:rsidR="005D5779">
        <w:t xml:space="preserve"> treg apo mbrojtjen e konkurrenc</w:t>
      </w:r>
      <w:r w:rsidRPr="00C82E7F" w:rsidR="00F17944">
        <w:t>ë</w:t>
      </w:r>
      <w:r w:rsidRPr="00C82E7F" w:rsidR="005D5779">
        <w:t>s s</w:t>
      </w:r>
      <w:r w:rsidRPr="00C82E7F" w:rsidR="00F17944">
        <w:t>ë</w:t>
      </w:r>
      <w:r w:rsidRPr="00C82E7F" w:rsidR="005D5779">
        <w:t xml:space="preserve"> pandershme n</w:t>
      </w:r>
      <w:r w:rsidRPr="00C82E7F" w:rsidR="00F17944">
        <w:t>ë</w:t>
      </w:r>
      <w:r w:rsidRPr="00C82E7F" w:rsidR="005D5779">
        <w:t xml:space="preserve"> p</w:t>
      </w:r>
      <w:r w:rsidRPr="00C82E7F" w:rsidR="00F17944">
        <w:t>ë</w:t>
      </w:r>
      <w:r w:rsidRPr="00C82E7F" w:rsidR="005D5779">
        <w:t>rgjith</w:t>
      </w:r>
      <w:r w:rsidRPr="00C82E7F" w:rsidR="00F17944">
        <w:t>ë</w:t>
      </w:r>
      <w:r w:rsidRPr="00C82E7F" w:rsidR="005D5779">
        <w:t>si</w:t>
      </w:r>
      <w:r w:rsidRPr="00C82E7F" w:rsidR="00E20C25">
        <w:t xml:space="preserve"> </w:t>
      </w:r>
    </w:p>
    <w:p w:rsidRPr="00C82E7F" w:rsidR="0083590D" w:rsidP="000A757B" w:rsidRDefault="0083590D" w14:paraId="2BFFB4D3" w14:textId="77777777">
      <w:pPr>
        <w:jc w:val="both"/>
      </w:pPr>
    </w:p>
    <w:p w:rsidRPr="00C82E7F" w:rsidR="0083590D" w:rsidP="000A757B" w:rsidRDefault="0083590D" w14:paraId="32BA0B37" w14:textId="3883E99A">
      <w:pPr>
        <w:jc w:val="both"/>
        <w:rPr>
          <w:b/>
          <w:bCs/>
          <w:u w:val="single"/>
        </w:rPr>
      </w:pPr>
      <w:r w:rsidRPr="00C82E7F">
        <w:rPr>
          <w:b/>
          <w:bCs/>
          <w:u w:val="single"/>
        </w:rPr>
        <w:t>Noterët:</w:t>
      </w:r>
      <w:r w:rsidRPr="00C82E7F">
        <w:t xml:space="preserve"> Direktiva 2005/56/KE, e cila trajtonte bashkimet ndërkufitare, është shfuqizuar dhe zëvendësuar nga Direktiva 2017/1132 (direktiva e kodifikuar), veçanërisht nga dispozitat që lidhen me shndërrimet ndërkufitare, bashkimet dhe ndarjet.  Ndryshimet kyçe që ndikojnë tek noterët në kontekstin e Direktives 2017/1132 lidhen me thjeshtimin e procedurave dhe futjen e rregullave më të qarta për implementimin e operacioneve ndërkufitare, duke përfshirë bashkimet dhe ndarjet. Ndikimi rregullator për noterët është kryesisht lidhur me këto përshtatje procedurale, duke siguruar përputhshmërinë me kuadrin e ri ligjor të BE-së dhe duke kontribuar në një proces më të thjeshtë dhe efikas për shoqëritë që angazhohen në operacione ndërkufitare brenda BE-së.</w:t>
      </w:r>
    </w:p>
    <w:p w:rsidRPr="00A56385" w:rsidR="000A757B" w:rsidP="00AF51D7" w:rsidRDefault="000A757B" w14:paraId="4DA0EF82" w14:textId="77777777">
      <w:pPr>
        <w:jc w:val="both"/>
      </w:pPr>
    </w:p>
    <w:p w:rsidRPr="00A56385" w:rsidR="00A56385" w:rsidP="00A56385" w:rsidRDefault="009A4828" w14:paraId="414EC0C8" w14:textId="1DA55186">
      <w:pPr>
        <w:rPr>
          <w:rFonts w:eastAsiaTheme="majorEastAsia"/>
          <w:u w:val="single"/>
        </w:rPr>
      </w:pPr>
      <w:r w:rsidRPr="00A56385">
        <w:rPr>
          <w:rFonts w:eastAsiaTheme="majorEastAsia"/>
          <w:u w:val="single"/>
        </w:rPr>
        <w:t xml:space="preserve">Pengesat e </w:t>
      </w:r>
      <w:r w:rsidRPr="00A56385" w:rsidR="00A56385">
        <w:rPr>
          <w:rFonts w:eastAsiaTheme="majorEastAsia"/>
          <w:u w:val="single"/>
        </w:rPr>
        <w:t>m</w:t>
      </w:r>
      <w:r w:rsidRPr="00A56385">
        <w:rPr>
          <w:rFonts w:eastAsiaTheme="majorEastAsia"/>
          <w:u w:val="single"/>
        </w:rPr>
        <w:t xml:space="preserve">undshme për </w:t>
      </w:r>
      <w:r w:rsidR="00A56385">
        <w:rPr>
          <w:rFonts w:eastAsiaTheme="majorEastAsia"/>
          <w:u w:val="single"/>
        </w:rPr>
        <w:t>z</w:t>
      </w:r>
      <w:r w:rsidRPr="00A56385">
        <w:rPr>
          <w:rFonts w:eastAsiaTheme="majorEastAsia"/>
          <w:u w:val="single"/>
        </w:rPr>
        <w:t xml:space="preserve">batimin e </w:t>
      </w:r>
      <w:r w:rsidR="00A56385">
        <w:rPr>
          <w:rFonts w:eastAsiaTheme="majorEastAsia"/>
          <w:u w:val="single"/>
        </w:rPr>
        <w:t>o</w:t>
      </w:r>
      <w:r w:rsidRPr="00A56385">
        <w:rPr>
          <w:rFonts w:eastAsiaTheme="majorEastAsia"/>
          <w:u w:val="single"/>
        </w:rPr>
        <w:t xml:space="preserve">psionit të </w:t>
      </w:r>
      <w:r w:rsidR="00A56385">
        <w:rPr>
          <w:rFonts w:eastAsiaTheme="majorEastAsia"/>
          <w:u w:val="single"/>
        </w:rPr>
        <w:t>z</w:t>
      </w:r>
      <w:r w:rsidRPr="00A56385">
        <w:rPr>
          <w:rFonts w:eastAsiaTheme="majorEastAsia"/>
          <w:u w:val="single"/>
        </w:rPr>
        <w:t>gjedhur</w:t>
      </w:r>
    </w:p>
    <w:p w:rsidRPr="00F74152" w:rsidR="009A4828" w:rsidP="00B33342" w:rsidRDefault="009A4828" w14:paraId="431F0708" w14:textId="73E0B5FC">
      <w:pPr>
        <w:jc w:val="both"/>
      </w:pPr>
      <w:r w:rsidRPr="00A56385">
        <w:br/>
      </w:r>
      <w:r w:rsidRPr="00F74152">
        <w:t xml:space="preserve">Për zbatimin e plotë të opsionit të zgjedhur mund të ketë disa pengesa të mundshme. Një pengesë mund të jetë mungesa e kapaciteteve institucionale për të përballuar ngarkesën e shtuar që lidhet me zbatimin e ligjeve të reja. Përshtatja e institucioneve shtetërore dhe forcimi i kapaciteteve për të monitoruar dhe implementuar ligjet kërkon investime në trajnim dhe infrastrukturë. </w:t>
      </w:r>
      <w:r w:rsidRPr="00F74152">
        <w:rPr>
          <w:rStyle w:val="Strong"/>
          <w:rFonts w:eastAsiaTheme="majorEastAsia"/>
          <w:b w:val="0"/>
          <w:bCs w:val="0"/>
        </w:rPr>
        <w:t xml:space="preserve">Ndërmarrjet e vogla dhe të mesme </w:t>
      </w:r>
      <w:r w:rsidRPr="00F74152">
        <w:t>mund të kenë vështirësi për t’u përshtatur me kërkesat e reja ligjore dhe mund të kërkojnë mbështetje shtesë për të siguruar përputhshmërinë. Për më tepër, mungesa e burimeve për të mbështetur ndryshimet në infrastrukturën digjitale dhe proceset administrative mund të ngadalësojë implementimin. Një pengesë tjetër mund të jetë mungesa e transparencës dhe komunikimit të qartë me bizneset për rregullat dhe procedurat e reja.</w:t>
      </w:r>
    </w:p>
    <w:p w:rsidRPr="00F74152" w:rsidR="00B33342" w:rsidP="00B33342" w:rsidRDefault="009A4828" w14:paraId="6EFDC9B4" w14:textId="77777777">
      <w:pPr>
        <w:pStyle w:val="NormalWeb"/>
        <w:rPr>
          <w:lang w:val="sq-AL"/>
        </w:rPr>
      </w:pPr>
      <w:r w:rsidRPr="00F74152">
        <w:rPr>
          <w:rStyle w:val="Strong"/>
          <w:rFonts w:eastAsiaTheme="majorEastAsia"/>
          <w:b w:val="0"/>
          <w:bCs w:val="0"/>
          <w:u w:val="single"/>
          <w:lang w:val="sq-AL"/>
        </w:rPr>
        <w:t>Masat që do të ndërmerren gjatë zbatimit për të arritur qëllimet e politikës</w:t>
      </w:r>
    </w:p>
    <w:p w:rsidR="009A4828" w:rsidP="00B33342" w:rsidRDefault="009A4828" w14:paraId="185D9F9E" w14:textId="64CDE655">
      <w:r w:rsidRPr="00F74152">
        <w:t xml:space="preserve">Për të siguruar qëllimet e politikës dhe për të mundësuar zbatimin e suksesshëm të opsionit të zgjedhur, do të ndërmerren disa masa kyçe. </w:t>
      </w:r>
      <w:r>
        <w:t>Këto përfshijnë:</w:t>
      </w:r>
    </w:p>
    <w:p w:rsidRPr="00AE6BED" w:rsidR="009A4828" w:rsidP="0000379A" w:rsidRDefault="009A4828" w14:paraId="5AC11E7A" w14:textId="2685BEF3">
      <w:pPr>
        <w:pStyle w:val="NormalWeb"/>
        <w:numPr>
          <w:ilvl w:val="0"/>
          <w:numId w:val="13"/>
        </w:numPr>
        <w:jc w:val="both"/>
        <w:rPr>
          <w:lang w:val="sq-AL"/>
        </w:rPr>
      </w:pPr>
      <w:r w:rsidRPr="00AE6BED">
        <w:rPr>
          <w:lang w:val="sq-AL"/>
        </w:rPr>
        <w:t>Sigurimi i trajnimeve të vazhdueshme për punonjësit e institucioneve shtetërore, për t’u njohur me kërkesat e reja ligjore dhe për të siguruar implementimin e duhur të ndryshimeve. Pjesëmarrja në trajnime ndërkombëtare dhe bashkëpunimi me ekspertë do të rrisin aftësitë e këtyre institucioneve.</w:t>
      </w:r>
    </w:p>
    <w:p w:rsidRPr="00AE6BED" w:rsidR="009A4828" w:rsidP="0000379A" w:rsidRDefault="009A4828" w14:paraId="3DBB235C" w14:textId="483DCDB3">
      <w:pPr>
        <w:pStyle w:val="NormalWeb"/>
        <w:numPr>
          <w:ilvl w:val="0"/>
          <w:numId w:val="13"/>
        </w:numPr>
        <w:jc w:val="both"/>
        <w:rPr>
          <w:lang w:val="sq-AL"/>
        </w:rPr>
      </w:pPr>
      <w:r w:rsidRPr="00AE6BED">
        <w:rPr>
          <w:lang w:val="sq-AL"/>
        </w:rPr>
        <w:t xml:space="preserve">Ofrimi i mbështetjes teknike dhe financiare për </w:t>
      </w:r>
      <w:r w:rsidRPr="00AE6BED" w:rsidR="004646E7">
        <w:rPr>
          <w:lang w:val="sq-AL"/>
        </w:rPr>
        <w:t>bizneset</w:t>
      </w:r>
      <w:r w:rsidRPr="00AE6BED">
        <w:rPr>
          <w:lang w:val="sq-AL"/>
        </w:rPr>
        <w:t xml:space="preserve"> për t’i ndihmuar të përmbushin kërkesat e reja ligjore. Kjo mund të përfshijë mundësi për trajnime, udhëzime dhe asistencë për të përmbushur rregullat e reja të regjistrimit dhe të qeverisjes korporative. Po ashtu, mund të krijohen lehtësira për SME për të reduktuar ngarkesat administrative gjatë fazës së kalimit në legjislacionin e ri.</w:t>
      </w:r>
    </w:p>
    <w:p w:rsidRPr="00AE6BED" w:rsidR="009A4828" w:rsidP="0000379A" w:rsidRDefault="009A4828" w14:paraId="4F484F9F" w14:textId="62828D73">
      <w:pPr>
        <w:pStyle w:val="NormalWeb"/>
        <w:numPr>
          <w:ilvl w:val="0"/>
          <w:numId w:val="13"/>
        </w:numPr>
        <w:jc w:val="both"/>
        <w:rPr>
          <w:lang w:val="sq-AL"/>
        </w:rPr>
      </w:pPr>
      <w:r w:rsidRPr="00AE6BED">
        <w:rPr>
          <w:lang w:val="sq-AL"/>
        </w:rPr>
        <w:t xml:space="preserve">Sigurimi i investimeve të nevojshme për përmirësimin e sistemeve digjitale dhe të platformave për regjistrimin e bizneseve, për të mundësuar një kalim të lehtë dhe të shpejtë nga sistemi aktual në një sistem të harmonizuar </w:t>
      </w:r>
      <w:r w:rsidRPr="00AE6BED" w:rsidR="00577B44">
        <w:rPr>
          <w:lang w:val="sq-AL"/>
        </w:rPr>
        <w:t xml:space="preserve">me </w:t>
      </w:r>
      <w:r w:rsidRPr="00AE6BED" w:rsidR="001966B6">
        <w:rPr>
          <w:lang w:val="sq-AL"/>
        </w:rPr>
        <w:t>sistemin</w:t>
      </w:r>
      <w:r w:rsidRPr="00AE6BED" w:rsidR="00577B44">
        <w:rPr>
          <w:lang w:val="sq-AL"/>
        </w:rPr>
        <w:t xml:space="preserve"> BRIS të</w:t>
      </w:r>
      <w:r w:rsidRPr="00AE6BED">
        <w:rPr>
          <w:lang w:val="sq-AL"/>
        </w:rPr>
        <w:t xml:space="preserve"> BE-së. Ky përmirësim do të mundësojë edhe një shkëmbim të shpejtë dhe të sigurt të të dhënave ndërmjet institucioneve shtetërore dhe regjistrave të biznesit.</w:t>
      </w:r>
    </w:p>
    <w:p w:rsidRPr="00AE6BED" w:rsidR="009A4828" w:rsidP="0000379A" w:rsidRDefault="009A4828" w14:paraId="24236061" w14:textId="2EF22C89">
      <w:pPr>
        <w:pStyle w:val="NormalWeb"/>
        <w:numPr>
          <w:ilvl w:val="0"/>
          <w:numId w:val="13"/>
        </w:numPr>
        <w:jc w:val="both"/>
        <w:rPr>
          <w:lang w:val="sq-AL"/>
        </w:rPr>
      </w:pPr>
      <w:r w:rsidRPr="00AE6BED">
        <w:rPr>
          <w:lang w:val="sq-AL"/>
        </w:rPr>
        <w:t>Përdorimi i mekanizmave të përhershëm për të monitoruar implementimin dhe për të vlerësuar ndikimet e reformës. Ky mekanizëm do të ndihmojë për të siguruar që ligjet të zbatohet siç duhet dhe që të gjithë aktorët e përfshirë të marrin mbështetje të nevojshme për të përmbushur kërkesat e reja.</w:t>
      </w:r>
    </w:p>
    <w:p w:rsidRPr="00AE6BED" w:rsidR="00AB1056" w:rsidP="0000379A" w:rsidRDefault="009A4828" w14:paraId="4881B068" w14:textId="1DD8EC3E">
      <w:pPr>
        <w:pStyle w:val="NormalWeb"/>
        <w:numPr>
          <w:ilvl w:val="0"/>
          <w:numId w:val="13"/>
        </w:numPr>
        <w:jc w:val="both"/>
        <w:rPr>
          <w:lang w:val="sq-AL"/>
        </w:rPr>
      </w:pPr>
      <w:r w:rsidRPr="00AE6BED">
        <w:rPr>
          <w:lang w:val="sq-AL"/>
        </w:rPr>
        <w:t>Përdorimi i platformave të komunikimit për të informuar dhe ndihmuar bizneset dhe investitorët për rregullat dhe ndryshimet e reja ligjore. Kjo do të ndihmojë në lehtësimin e kalimit dhe do të sigurojë që të gjitha palët të kenë informacion të qartë dhe të azhurnuar për ndryshimet ligjore dhe procedurat e reja.</w:t>
      </w:r>
    </w:p>
    <w:p w:rsidRPr="00325A1F" w:rsidR="002125B7" w:rsidP="009D13F4" w:rsidRDefault="002125B7" w14:paraId="351EB709" w14:textId="2496CEA1">
      <w:pPr>
        <w:pStyle w:val="Style1-BodyText"/>
        <w:spacing w:before="240" w:after="0" w:line="276" w:lineRule="auto"/>
        <w:rPr>
          <w:rFonts w:cs="Times New Roman"/>
          <w:b/>
          <w:sz w:val="24"/>
          <w:szCs w:val="24"/>
        </w:rPr>
      </w:pPr>
      <w:r w:rsidRPr="00325A1F">
        <w:rPr>
          <w:rFonts w:cs="Times New Roman"/>
          <w:b/>
          <w:sz w:val="24"/>
          <w:szCs w:val="24"/>
        </w:rPr>
        <w:t>Faza e monitorimit dhe vlerësimit</w:t>
      </w:r>
    </w:p>
    <w:sdt>
      <w:sdtPr>
        <w:id w:val="1311365965"/>
        <w:lock w:val="contentLocked"/>
        <w:placeholder>
          <w:docPart w:val="DefaultPlaceholder_1081868574"/>
        </w:placeholder>
        <w:rPr>
          <w:rFonts w:cs="Times New Roman"/>
          <w:b w:val="1"/>
          <w:bCs w:val="1"/>
          <w:i w:val="1"/>
          <w:iCs w:val="1"/>
          <w:sz w:val="24"/>
          <w:szCs w:val="24"/>
        </w:rPr>
      </w:sdtPr>
      <w:sdtContent>
        <w:p w:rsidRPr="0032145B" w:rsidR="009E64A4" w:rsidP="0000379A" w:rsidRDefault="009E64A4" w14:paraId="7660A6D6" w14:textId="77777777">
          <w:pPr>
            <w:pStyle w:val="Style1-BodyText"/>
            <w:numPr>
              <w:ilvl w:val="0"/>
              <w:numId w:val="9"/>
            </w:numPr>
            <w:spacing w:after="0" w:line="276" w:lineRule="auto"/>
            <w:rPr>
              <w:rFonts w:cs="Times New Roman"/>
              <w:i/>
              <w:sz w:val="24"/>
              <w:szCs w:val="24"/>
            </w:rPr>
          </w:pPr>
          <w:r w:rsidRPr="0032145B">
            <w:rPr>
              <w:rFonts w:cs="Times New Roman"/>
              <w:i/>
              <w:sz w:val="24"/>
              <w:szCs w:val="24"/>
            </w:rPr>
            <w:t>Jepni një përshkrim të përmbledhur të masave të monitorimit dhe të vlerësimit.</w:t>
          </w:r>
        </w:p>
        <w:p w:rsidRPr="0032145B" w:rsidR="002125B7" w:rsidP="0000379A" w:rsidRDefault="009E64A4" w14:paraId="74ED6663" w14:textId="77777777">
          <w:pPr>
            <w:pStyle w:val="Style1-BodyText"/>
            <w:numPr>
              <w:ilvl w:val="0"/>
              <w:numId w:val="9"/>
            </w:numPr>
            <w:spacing w:after="0" w:line="276" w:lineRule="auto"/>
            <w:rPr>
              <w:rFonts w:cs="Times New Roman"/>
              <w:i/>
              <w:sz w:val="24"/>
              <w:szCs w:val="24"/>
            </w:rPr>
          </w:pPr>
          <w:r w:rsidRPr="0032145B">
            <w:rPr>
              <w:rFonts w:cs="Times New Roman"/>
              <w:i/>
              <w:sz w:val="24"/>
              <w:szCs w:val="24"/>
            </w:rPr>
            <w:t>Identifikoni kriteret/treguesit për të matur arritjen e objektivave ose progresin drejt tyre.</w:t>
          </w:r>
        </w:p>
      </w:sdtContent>
      <w:sdtEndPr>
        <w:rPr>
          <w:rFonts w:cs="Times New Roman"/>
          <w:b w:val="1"/>
          <w:bCs w:val="1"/>
          <w:i w:val="1"/>
          <w:iCs w:val="1"/>
          <w:sz w:val="24"/>
          <w:szCs w:val="24"/>
        </w:rPr>
      </w:sdtEndPr>
    </w:sdt>
    <w:bookmarkEnd w:id="25"/>
    <w:p w:rsidR="00225F7F" w:rsidP="009D13F4" w:rsidRDefault="00225F7F" w14:paraId="5FF3B60A" w14:textId="77777777">
      <w:pPr>
        <w:spacing w:line="276" w:lineRule="auto"/>
        <w:jc w:val="both"/>
        <w:rPr>
          <w:b/>
          <w:szCs w:val="24"/>
        </w:rPr>
      </w:pPr>
    </w:p>
    <w:p w:rsidRPr="006C1C3F" w:rsidR="006C1C3F" w:rsidP="006C1C3F" w:rsidRDefault="006C1C3F" w14:paraId="6A54B94D" w14:textId="42D09A40">
      <w:pPr>
        <w:spacing w:line="276" w:lineRule="auto"/>
        <w:jc w:val="both"/>
        <w:rPr>
          <w:szCs w:val="24"/>
        </w:rPr>
      </w:pPr>
      <w:r w:rsidRPr="006C1C3F">
        <w:rPr>
          <w:szCs w:val="24"/>
        </w:rPr>
        <w:t>Në përputhje me raportin e progresit të Komisionit Evropian për vitin 2024, Shqipëria inkurajohet të përmirësojë kapacitetet e saj institucionale për monitorimin dhe zbatimin e reformave në ligjin e shoqërive. Raporti thekson se përparimi aktual në harmonizimin e legjislacionit shqiptar me direktivat e BE-së, veçanërisht ato që lidhen me bashkimet ndërkufitare, ndarjet dhe shndërrimet, ka qenë i ngadaltë, me disa boshllëqe në transpozim dhe zbatim. Qeverisë shqiptare i sugjerohet forcimi i mekanizmave për monitorimin e implementimit të ndryshimeve ligjore dhe sigurinë që ato të zbatohen në mënyrë efektive. Në këtë kontekst, Shqipëria duhet të fokusohet në përmirësimin e koordinimit ndërmjet institucioneve kyçe. Për të adresuar këto boshllëqe, Shqipëria do të duhet të investojë në ndërtimin e kapaciteteve për këto institucione, duke siguruar që ato të kenë ekspertizën dhe burimet e nevojshme për të zbatuar në mënyrë efektive kuadrin ligjor të përditësuar. Gjithashtu, është thelbësore të krijohen sisteme të qarta monitorimi dhe vlerësimi për të ndjekur përparimin e reformave dhe për të vlerësuar ndikimin e tyre, duke siguruar që Shqipëria të përmbushë detyrimet e saj ndaj BE-së dhe të mundësojë një integrim më të lehtë në tregun e brendshëm të BE-së. Këto hapa do ta ndihmojnë Shqipërinë të arrijë përputhshmërinë e plotë me standardet e BE-së në ligjin e shoqërive dhe të përmirësojë mjedisin e biznesit, duke nxitur rritjen ekonomike dhe qëndrueshmërinë afatgjatë.</w:t>
      </w:r>
    </w:p>
    <w:p w:rsidRPr="006C1C3F" w:rsidR="006C1C3F" w:rsidP="0054621A" w:rsidRDefault="006C1C3F" w14:paraId="7DA962E8" w14:textId="77777777">
      <w:pPr>
        <w:spacing w:line="276" w:lineRule="auto"/>
        <w:jc w:val="both"/>
        <w:rPr>
          <w:szCs w:val="24"/>
          <w:u w:val="single"/>
        </w:rPr>
      </w:pPr>
    </w:p>
    <w:p w:rsidRPr="0054621A" w:rsidR="0054621A" w:rsidP="0054621A" w:rsidRDefault="0054621A" w14:paraId="6E14D9C6" w14:textId="485EF352">
      <w:pPr>
        <w:spacing w:line="276" w:lineRule="auto"/>
        <w:jc w:val="both"/>
        <w:rPr>
          <w:szCs w:val="24"/>
          <w:u w:val="single"/>
          <w:lang w:val="it-IT"/>
        </w:rPr>
      </w:pPr>
      <w:r w:rsidRPr="0054621A">
        <w:rPr>
          <w:szCs w:val="24"/>
          <w:u w:val="single"/>
          <w:lang w:val="it-IT"/>
        </w:rPr>
        <w:t>Përshkrimi i masave të monitorimit dhe të vlerësimit:</w:t>
      </w:r>
    </w:p>
    <w:p w:rsidRPr="0054621A" w:rsidR="0054621A" w:rsidP="0054621A" w:rsidRDefault="0054621A" w14:paraId="5902747D" w14:textId="77777777">
      <w:pPr>
        <w:spacing w:line="276" w:lineRule="auto"/>
        <w:jc w:val="both"/>
        <w:rPr>
          <w:b/>
          <w:szCs w:val="24"/>
          <w:lang w:val="it-IT"/>
        </w:rPr>
      </w:pPr>
    </w:p>
    <w:p w:rsidRPr="0054621A" w:rsidR="0054621A" w:rsidP="0054621A" w:rsidRDefault="0054621A" w14:paraId="30F37CCA" w14:textId="44DB5947">
      <w:pPr>
        <w:spacing w:line="276" w:lineRule="auto"/>
        <w:jc w:val="both"/>
        <w:rPr>
          <w:bCs/>
          <w:szCs w:val="24"/>
          <w:lang w:val="it-IT"/>
        </w:rPr>
      </w:pPr>
      <w:r w:rsidRPr="0054621A">
        <w:rPr>
          <w:bCs/>
          <w:szCs w:val="24"/>
          <w:lang w:val="it-IT"/>
        </w:rPr>
        <w:t>Për të siguruar që zbatimi i ligjeve të reja dhe harmonizimi i legjislacionit të Shqipërisë me acquis-in e BE-së të ketë sukses, do të krijohet një mekanizëm i monitorimit dhe vlerësimit të vazhdueshëm. Ky mekanizëm do të mbikëqyrë implementimin e reformave dhe do të sigurojë që masat e ndërmarra për të arritur objektivat e politikës të realizohen siç është planifikuar. Monitorimi do të përfshijë vlerësimin e progresit nga institucionet shtetërore përgjegjëse, që do të sigurojnë që rregulloret dhe praktikat të zbatohen në përputhje me standardet e BE-së. Pjesë e rëndësishme e këtij procesi do të jetë përfshirja e aktorëve të ndryshëm, përfshirë bizneset dhe shoqërinë civile, për të siguruar një vlerësim të plotë dhe transparent të ndikimeve dhe progresit të masave të reja. Për më tepër, do të realizohet një monitorim i vazhdueshëm i ndikimit të masave në sektorë të ndryshëm të ekonomisë, për të identifikuar sfida dhe mundësi për përmirësim.</w:t>
      </w:r>
    </w:p>
    <w:p w:rsidRPr="00F74152" w:rsidR="0045452E" w:rsidP="0045452E" w:rsidRDefault="0045452E" w14:paraId="146A057A" w14:textId="77777777">
      <w:pPr>
        <w:spacing w:line="276" w:lineRule="auto"/>
        <w:jc w:val="both"/>
        <w:rPr>
          <w:bCs/>
          <w:szCs w:val="24"/>
          <w:lang w:val="it-IT"/>
        </w:rPr>
      </w:pPr>
    </w:p>
    <w:p w:rsidRPr="00F74152" w:rsidR="0054621A" w:rsidP="0045452E" w:rsidRDefault="0054621A" w14:paraId="08070E9A" w14:textId="50CF2A92">
      <w:pPr>
        <w:spacing w:line="276" w:lineRule="auto"/>
        <w:jc w:val="both"/>
        <w:rPr>
          <w:bCs/>
          <w:szCs w:val="24"/>
          <w:u w:val="single"/>
          <w:lang w:val="it-IT"/>
        </w:rPr>
      </w:pPr>
      <w:r w:rsidRPr="00F74152">
        <w:rPr>
          <w:bCs/>
          <w:szCs w:val="24"/>
          <w:u w:val="single"/>
          <w:lang w:val="it-IT"/>
        </w:rPr>
        <w:t>Kriteret/</w:t>
      </w:r>
      <w:r w:rsidRPr="00F74152" w:rsidR="0045452E">
        <w:rPr>
          <w:bCs/>
          <w:szCs w:val="24"/>
          <w:u w:val="single"/>
          <w:lang w:val="it-IT"/>
        </w:rPr>
        <w:t>t</w:t>
      </w:r>
      <w:r w:rsidRPr="00F74152">
        <w:rPr>
          <w:bCs/>
          <w:szCs w:val="24"/>
          <w:u w:val="single"/>
          <w:lang w:val="it-IT"/>
        </w:rPr>
        <w:t xml:space="preserve">reguesit për të </w:t>
      </w:r>
      <w:r w:rsidRPr="00F74152" w:rsidR="0045452E">
        <w:rPr>
          <w:bCs/>
          <w:szCs w:val="24"/>
          <w:u w:val="single"/>
          <w:lang w:val="it-IT"/>
        </w:rPr>
        <w:t>m</w:t>
      </w:r>
      <w:r w:rsidRPr="00F74152">
        <w:rPr>
          <w:bCs/>
          <w:szCs w:val="24"/>
          <w:u w:val="single"/>
          <w:lang w:val="it-IT"/>
        </w:rPr>
        <w:t xml:space="preserve">atur </w:t>
      </w:r>
      <w:r w:rsidRPr="00F74152" w:rsidR="0045452E">
        <w:rPr>
          <w:bCs/>
          <w:szCs w:val="24"/>
          <w:u w:val="single"/>
          <w:lang w:val="it-IT"/>
        </w:rPr>
        <w:t>a</w:t>
      </w:r>
      <w:r w:rsidRPr="00F74152">
        <w:rPr>
          <w:bCs/>
          <w:szCs w:val="24"/>
          <w:u w:val="single"/>
          <w:lang w:val="it-IT"/>
        </w:rPr>
        <w:t xml:space="preserve">rritjen e </w:t>
      </w:r>
      <w:r w:rsidRPr="00F74152" w:rsidR="0045452E">
        <w:rPr>
          <w:bCs/>
          <w:szCs w:val="24"/>
          <w:u w:val="single"/>
          <w:lang w:val="it-IT"/>
        </w:rPr>
        <w:t>o</w:t>
      </w:r>
      <w:r w:rsidRPr="00F74152">
        <w:rPr>
          <w:bCs/>
          <w:szCs w:val="24"/>
          <w:u w:val="single"/>
          <w:lang w:val="it-IT"/>
        </w:rPr>
        <w:t xml:space="preserve">bjektivave ose </w:t>
      </w:r>
      <w:r w:rsidRPr="00F74152" w:rsidR="0045452E">
        <w:rPr>
          <w:bCs/>
          <w:szCs w:val="24"/>
          <w:u w:val="single"/>
          <w:lang w:val="it-IT"/>
        </w:rPr>
        <w:t>p</w:t>
      </w:r>
      <w:r w:rsidRPr="00F74152">
        <w:rPr>
          <w:bCs/>
          <w:szCs w:val="24"/>
          <w:u w:val="single"/>
          <w:lang w:val="it-IT"/>
        </w:rPr>
        <w:t xml:space="preserve">rogresin </w:t>
      </w:r>
      <w:r w:rsidRPr="00F74152" w:rsidR="0045452E">
        <w:rPr>
          <w:bCs/>
          <w:szCs w:val="24"/>
          <w:u w:val="single"/>
          <w:lang w:val="it-IT"/>
        </w:rPr>
        <w:t>d</w:t>
      </w:r>
      <w:r w:rsidRPr="00F74152">
        <w:rPr>
          <w:bCs/>
          <w:szCs w:val="24"/>
          <w:u w:val="single"/>
          <w:lang w:val="it-IT"/>
        </w:rPr>
        <w:t xml:space="preserve">rejt </w:t>
      </w:r>
      <w:r w:rsidRPr="00F74152" w:rsidR="0045452E">
        <w:rPr>
          <w:bCs/>
          <w:szCs w:val="24"/>
          <w:u w:val="single"/>
          <w:lang w:val="it-IT"/>
        </w:rPr>
        <w:t>t</w:t>
      </w:r>
      <w:r w:rsidRPr="00F74152">
        <w:rPr>
          <w:bCs/>
          <w:szCs w:val="24"/>
          <w:u w:val="single"/>
          <w:lang w:val="it-IT"/>
        </w:rPr>
        <w:t>yre</w:t>
      </w:r>
    </w:p>
    <w:p w:rsidRPr="00F74152" w:rsidR="0045452E" w:rsidP="0045452E" w:rsidRDefault="0045452E" w14:paraId="40E988D0" w14:textId="77777777">
      <w:pPr>
        <w:spacing w:line="276" w:lineRule="auto"/>
        <w:jc w:val="both"/>
        <w:rPr>
          <w:bCs/>
          <w:szCs w:val="24"/>
          <w:lang w:val="it-IT"/>
        </w:rPr>
      </w:pPr>
    </w:p>
    <w:p w:rsidR="0054621A" w:rsidP="0054621A" w:rsidRDefault="0054621A" w14:paraId="11C7ECC9" w14:textId="3BD70118">
      <w:pPr>
        <w:spacing w:line="276" w:lineRule="auto"/>
        <w:jc w:val="both"/>
        <w:rPr>
          <w:bCs/>
          <w:szCs w:val="24"/>
          <w:lang w:val="en-US"/>
        </w:rPr>
      </w:pPr>
      <w:r w:rsidRPr="00F74152">
        <w:rPr>
          <w:bCs/>
          <w:szCs w:val="24"/>
          <w:lang w:val="it-IT"/>
        </w:rPr>
        <w:t>Për të matur arritjen e objektivave të politikës dhe progresin në implementimin e ligj</w:t>
      </w:r>
      <w:r w:rsidRPr="00F74152" w:rsidR="0045452E">
        <w:rPr>
          <w:bCs/>
          <w:szCs w:val="24"/>
          <w:lang w:val="it-IT"/>
        </w:rPr>
        <w:t>eve</w:t>
      </w:r>
      <w:r w:rsidRPr="00F74152">
        <w:rPr>
          <w:bCs/>
          <w:szCs w:val="24"/>
          <w:lang w:val="it-IT"/>
        </w:rPr>
        <w:t xml:space="preserve"> të harmonizuar</w:t>
      </w:r>
      <w:r w:rsidRPr="00F74152" w:rsidR="0045452E">
        <w:rPr>
          <w:bCs/>
          <w:szCs w:val="24"/>
          <w:lang w:val="it-IT"/>
        </w:rPr>
        <w:t>a</w:t>
      </w:r>
      <w:r w:rsidRPr="00F74152">
        <w:rPr>
          <w:bCs/>
          <w:szCs w:val="24"/>
          <w:lang w:val="it-IT"/>
        </w:rPr>
        <w:t xml:space="preserve"> me acquis-in e BE-së, do të përdoren disa kritere dhe tregues të qartë. </w:t>
      </w:r>
      <w:r w:rsidRPr="0054621A">
        <w:rPr>
          <w:bCs/>
          <w:szCs w:val="24"/>
          <w:lang w:val="en-US"/>
        </w:rPr>
        <w:t>Këto përfshijnë:</w:t>
      </w:r>
    </w:p>
    <w:p w:rsidRPr="00AC168C" w:rsidR="00072AA6" w:rsidP="0054621A" w:rsidRDefault="00072AA6" w14:paraId="2C8A7448" w14:textId="77777777">
      <w:pPr>
        <w:spacing w:line="276" w:lineRule="auto"/>
        <w:jc w:val="both"/>
        <w:rPr>
          <w:bCs/>
          <w:szCs w:val="24"/>
        </w:rPr>
      </w:pPr>
    </w:p>
    <w:p w:rsidRPr="00AC168C" w:rsidR="0054621A" w:rsidP="0000379A" w:rsidRDefault="0054621A" w14:paraId="3DD38F65" w14:textId="4251C12C">
      <w:pPr>
        <w:numPr>
          <w:ilvl w:val="0"/>
          <w:numId w:val="14"/>
        </w:numPr>
        <w:spacing w:line="276" w:lineRule="auto"/>
        <w:jc w:val="both"/>
        <w:rPr>
          <w:bCs/>
          <w:szCs w:val="24"/>
        </w:rPr>
      </w:pPr>
      <w:r w:rsidRPr="00AC168C">
        <w:rPr>
          <w:b/>
          <w:szCs w:val="24"/>
        </w:rPr>
        <w:t>Përputhshmëria</w:t>
      </w:r>
      <w:r w:rsidRPr="00AC168C">
        <w:rPr>
          <w:bCs/>
          <w:szCs w:val="24"/>
        </w:rPr>
        <w:t>: Një nga kriteret kryesore do të jetë vlerësimi i nivelit të përputhshmërisë së legjislacionit shqiptar me direktivat dhe rregulloret e BE-së, duke siguruar që të gjitha ligjet e nevojshme janë miratuar dhe implementuar plotësisht.</w:t>
      </w:r>
    </w:p>
    <w:p w:rsidRPr="00AC168C" w:rsidR="0054621A" w:rsidP="0000379A" w:rsidRDefault="0054621A" w14:paraId="7830EE41" w14:textId="643EA694">
      <w:pPr>
        <w:numPr>
          <w:ilvl w:val="0"/>
          <w:numId w:val="14"/>
        </w:numPr>
        <w:spacing w:line="276" w:lineRule="auto"/>
        <w:jc w:val="both"/>
        <w:rPr>
          <w:bCs/>
          <w:szCs w:val="24"/>
        </w:rPr>
      </w:pPr>
      <w:r w:rsidRPr="00AC168C">
        <w:rPr>
          <w:b/>
          <w:szCs w:val="24"/>
        </w:rPr>
        <w:t xml:space="preserve">Rritja e </w:t>
      </w:r>
      <w:r w:rsidRPr="00AC168C" w:rsidR="0045452E">
        <w:rPr>
          <w:b/>
          <w:szCs w:val="24"/>
        </w:rPr>
        <w:t>FDI</w:t>
      </w:r>
      <w:r w:rsidRPr="00AC168C" w:rsidR="0045452E">
        <w:rPr>
          <w:bCs/>
          <w:szCs w:val="24"/>
        </w:rPr>
        <w:t>:</w:t>
      </w:r>
      <w:r w:rsidRPr="00AC168C">
        <w:rPr>
          <w:bCs/>
          <w:szCs w:val="24"/>
        </w:rPr>
        <w:t xml:space="preserve"> Një tregues tjetër i rëndësishëm është vlerësimi i rritjes së investimeve të huaja </w:t>
      </w:r>
      <w:r w:rsidRPr="00AC168C" w:rsidR="0067070B">
        <w:rPr>
          <w:bCs/>
          <w:szCs w:val="24"/>
        </w:rPr>
        <w:t>të drejtpërdrejta</w:t>
      </w:r>
      <w:r w:rsidRPr="00AC168C">
        <w:rPr>
          <w:bCs/>
          <w:szCs w:val="24"/>
        </w:rPr>
        <w:t xml:space="preserve"> pas implementimit të ndryshimeve ligjore</w:t>
      </w:r>
      <w:r w:rsidR="00F37131">
        <w:rPr>
          <w:bCs/>
          <w:szCs w:val="24"/>
        </w:rPr>
        <w:t xml:space="preserve"> (nwpwrmjet fluksit tw shtuar tw investimeve tw huaja nw vendin tonw)</w:t>
      </w:r>
      <w:r w:rsidRPr="00AC168C">
        <w:rPr>
          <w:bCs/>
          <w:szCs w:val="24"/>
        </w:rPr>
        <w:t>, si dhe ndikimi i tyre në zhvillimin e sektorëve të ndryshëm ekonomikë. Ky tregues do të matet nëpërmjet raporteve të institucioneve financiare dhe statistikave zyrtare.</w:t>
      </w:r>
    </w:p>
    <w:p w:rsidRPr="00A32E1F" w:rsidR="00F37131" w:rsidP="00F37131" w:rsidRDefault="0054621A" w14:paraId="2F429A73" w14:textId="0F615E10">
      <w:pPr>
        <w:pStyle w:val="NormalWeb"/>
        <w:numPr>
          <w:ilvl w:val="0"/>
          <w:numId w:val="14"/>
        </w:numPr>
        <w:rPr>
          <w:lang w:val="sq-AL"/>
        </w:rPr>
      </w:pPr>
      <w:r w:rsidRPr="00D12108">
        <w:rPr>
          <w:b/>
          <w:lang w:val="sq-AL"/>
        </w:rPr>
        <w:t xml:space="preserve">Përmirësimi i </w:t>
      </w:r>
      <w:r w:rsidRPr="00D12108" w:rsidR="0045452E">
        <w:rPr>
          <w:b/>
          <w:lang w:val="sq-AL"/>
        </w:rPr>
        <w:t>klimës së biznesit</w:t>
      </w:r>
      <w:r w:rsidRPr="00D12108">
        <w:rPr>
          <w:bCs/>
          <w:lang w:val="sq-AL"/>
        </w:rPr>
        <w:t xml:space="preserve">: </w:t>
      </w:r>
      <w:r w:rsidRPr="00D12108" w:rsidR="00F37131">
        <w:rPr>
          <w:bCs/>
          <w:lang w:val="sq-AL"/>
        </w:rPr>
        <w:t>Vlerësimi i efikasitetit të procedurave administrative dhe lehtësive për bizneset, përfshirë reduktimin e kohës dhe kostove për regjistrimin e shoqërive dhe për përmbushjen e detyrimeve ligjore. Ky tregues mund të matet përmes anketave të biznesit dhe indekseve ndërkombëtare të klimës së biznesit.</w:t>
      </w:r>
      <w:r w:rsidRPr="00D12108">
        <w:rPr>
          <w:b/>
          <w:lang w:val="sq-AL"/>
        </w:rPr>
        <w:t xml:space="preserve">Ndikimi </w:t>
      </w:r>
      <w:r w:rsidRPr="00D12108" w:rsidR="00072AA6">
        <w:rPr>
          <w:b/>
          <w:lang w:val="sq-AL"/>
        </w:rPr>
        <w:t>tek bizneset n</w:t>
      </w:r>
      <w:r w:rsidRPr="00D12108" w:rsidR="00F17944">
        <w:rPr>
          <w:b/>
          <w:lang w:val="sq-AL"/>
        </w:rPr>
        <w:t>ë</w:t>
      </w:r>
      <w:r w:rsidRPr="00D12108" w:rsidR="00072AA6">
        <w:rPr>
          <w:b/>
          <w:lang w:val="sq-AL"/>
        </w:rPr>
        <w:t xml:space="preserve"> p</w:t>
      </w:r>
      <w:r w:rsidRPr="00D12108" w:rsidR="00F17944">
        <w:rPr>
          <w:b/>
          <w:lang w:val="sq-AL"/>
        </w:rPr>
        <w:t>ë</w:t>
      </w:r>
      <w:r w:rsidRPr="00D12108" w:rsidR="00072AA6">
        <w:rPr>
          <w:b/>
          <w:lang w:val="sq-AL"/>
        </w:rPr>
        <w:t>rgjith</w:t>
      </w:r>
      <w:r w:rsidRPr="00D12108" w:rsidR="00F17944">
        <w:rPr>
          <w:b/>
          <w:lang w:val="sq-AL"/>
        </w:rPr>
        <w:t>ë</w:t>
      </w:r>
      <w:r w:rsidRPr="00D12108" w:rsidR="00072AA6">
        <w:rPr>
          <w:b/>
          <w:lang w:val="sq-AL"/>
        </w:rPr>
        <w:t>si dhe NMV-t</w:t>
      </w:r>
      <w:r w:rsidRPr="00D12108" w:rsidR="00F17944">
        <w:rPr>
          <w:b/>
          <w:lang w:val="sq-AL"/>
        </w:rPr>
        <w:t>ë</w:t>
      </w:r>
      <w:r w:rsidRPr="00D12108" w:rsidR="00072AA6">
        <w:rPr>
          <w:b/>
          <w:lang w:val="sq-AL"/>
        </w:rPr>
        <w:t xml:space="preserve"> n</w:t>
      </w:r>
      <w:r w:rsidRPr="00D12108" w:rsidR="00F17944">
        <w:rPr>
          <w:b/>
          <w:lang w:val="sq-AL"/>
        </w:rPr>
        <w:t>ë</w:t>
      </w:r>
      <w:r w:rsidRPr="00D12108" w:rsidR="00072AA6">
        <w:rPr>
          <w:b/>
          <w:lang w:val="sq-AL"/>
        </w:rPr>
        <w:t xml:space="preserve"> veçanti</w:t>
      </w:r>
      <w:r w:rsidRPr="00D12108">
        <w:rPr>
          <w:bCs/>
          <w:lang w:val="sq-AL"/>
        </w:rPr>
        <w:t xml:space="preserve">: </w:t>
      </w:r>
      <w:r w:rsidRPr="00D12108" w:rsidR="00F37131">
        <w:rPr>
          <w:bCs/>
          <w:lang w:val="sq-AL"/>
        </w:rPr>
        <w:t>Analizimi i shkallës në të cilën shoqëritë tregtare, veçanërisht NMV-të, kanë arritur të zbatojnë ligjet e reja dhe të përfitojnë nga mundësitë për operacione ndërkufitare. Tregues të tjerë do të përfshijnë numrin e procedurave të kryera, kostot e reduktuara administrative dhe kohën e përpunimit të transaksioneve.</w:t>
      </w:r>
      <w:r w:rsidRPr="00D12108">
        <w:rPr>
          <w:b/>
          <w:lang w:val="sq-AL"/>
        </w:rPr>
        <w:t xml:space="preserve">Përmirësimi i </w:t>
      </w:r>
      <w:r w:rsidRPr="00D12108" w:rsidR="00072AA6">
        <w:rPr>
          <w:b/>
          <w:lang w:val="sq-AL"/>
        </w:rPr>
        <w:t>k</w:t>
      </w:r>
      <w:r w:rsidRPr="00D12108">
        <w:rPr>
          <w:b/>
          <w:lang w:val="sq-AL"/>
        </w:rPr>
        <w:t xml:space="preserve">apaciteteve </w:t>
      </w:r>
      <w:r w:rsidRPr="00D12108" w:rsidR="00072AA6">
        <w:rPr>
          <w:b/>
          <w:lang w:val="sq-AL"/>
        </w:rPr>
        <w:t>i</w:t>
      </w:r>
      <w:r w:rsidRPr="00D12108">
        <w:rPr>
          <w:b/>
          <w:lang w:val="sq-AL"/>
        </w:rPr>
        <w:t>nstitucionale</w:t>
      </w:r>
      <w:r w:rsidRPr="00D12108">
        <w:rPr>
          <w:bCs/>
          <w:lang w:val="sq-AL"/>
        </w:rPr>
        <w:t xml:space="preserve">: Do të maten përpjekjet për ndërtimin e kapaciteteve në institucione si QKB, </w:t>
      </w:r>
      <w:r w:rsidRPr="00D12108" w:rsidR="00072AA6">
        <w:rPr>
          <w:bCs/>
          <w:lang w:val="sq-AL"/>
        </w:rPr>
        <w:t>ME</w:t>
      </w:r>
      <w:r w:rsidRPr="00D12108" w:rsidR="002561A0">
        <w:rPr>
          <w:bCs/>
          <w:lang w:val="sq-AL"/>
        </w:rPr>
        <w:t>, Dhomba Komb</w:t>
      </w:r>
      <w:r w:rsidRPr="00D12108" w:rsidR="00F17944">
        <w:rPr>
          <w:bCs/>
          <w:lang w:val="sq-AL"/>
        </w:rPr>
        <w:t>ë</w:t>
      </w:r>
      <w:r w:rsidRPr="00D12108" w:rsidR="002561A0">
        <w:rPr>
          <w:bCs/>
          <w:lang w:val="sq-AL"/>
        </w:rPr>
        <w:t>tare e Noteris</w:t>
      </w:r>
      <w:r w:rsidRPr="00D12108" w:rsidR="00F17944">
        <w:rPr>
          <w:bCs/>
          <w:lang w:val="sq-AL"/>
        </w:rPr>
        <w:t>ë</w:t>
      </w:r>
      <w:r w:rsidRPr="00D12108" w:rsidR="002561A0">
        <w:rPr>
          <w:bCs/>
          <w:lang w:val="sq-AL"/>
        </w:rPr>
        <w:t>, Autoriteti i Konkurrenc</w:t>
      </w:r>
      <w:r w:rsidRPr="00D12108" w:rsidR="00F17944">
        <w:rPr>
          <w:bCs/>
          <w:lang w:val="sq-AL"/>
        </w:rPr>
        <w:t>ë</w:t>
      </w:r>
      <w:r w:rsidRPr="00D12108" w:rsidR="002561A0">
        <w:rPr>
          <w:bCs/>
          <w:lang w:val="sq-AL"/>
        </w:rPr>
        <w:t>s</w:t>
      </w:r>
      <w:r w:rsidRPr="00D12108" w:rsidR="00072AA6">
        <w:rPr>
          <w:bCs/>
          <w:lang w:val="sq-AL"/>
        </w:rPr>
        <w:t xml:space="preserve"> etj</w:t>
      </w:r>
      <w:r w:rsidRPr="00D12108">
        <w:rPr>
          <w:bCs/>
          <w:lang w:val="sq-AL"/>
        </w:rPr>
        <w:t xml:space="preserve">, përmes trajnimeve dhe përmirësimit të infrastrukturës për zbatimin e rregulloreve të reja. </w:t>
      </w:r>
      <w:r w:rsidRPr="00D12108" w:rsidR="00F37131">
        <w:rPr>
          <w:bCs/>
          <w:lang w:val="sq-AL"/>
        </w:rPr>
        <w:t>Matja e përparimit në forcimin e kapaciteteve të institucioneve përgjegjëse për zbatimin e ligjeve, duke përfshirë numrin e stafit të trajnuar, funksionimin e sistemeve dixhitale, koordinimin ndërinstitucional dhe aftësinë për t’u lidhur me regjistrat ndërkombëtarë (p.sh. BRIS).</w:t>
      </w:r>
      <w:r w:rsidRPr="00A32E1F" w:rsidR="00F37131">
        <w:rPr>
          <w:rFonts w:hAnsi="Symbol"/>
          <w:lang w:val="sq-AL"/>
        </w:rPr>
        <w:t></w:t>
      </w:r>
      <w:r w:rsidRPr="00A32E1F" w:rsidR="00F37131">
        <w:rPr>
          <w:lang w:val="sq-AL"/>
        </w:rPr>
        <w:t xml:space="preserve">  </w:t>
      </w:r>
      <w:r w:rsidRPr="00A32E1F" w:rsidR="00F37131">
        <w:rPr>
          <w:rStyle w:val="Strong"/>
          <w:rFonts w:eastAsiaTheme="majorEastAsia"/>
          <w:lang w:val="sq-AL"/>
        </w:rPr>
        <w:t>Ndikimi mbi transparencën dhe mbrojtjen e të drejtave:</w:t>
      </w:r>
      <w:r w:rsidRPr="00A32E1F" w:rsidR="00F37131">
        <w:rPr>
          <w:lang w:val="sq-AL"/>
        </w:rPr>
        <w:t xml:space="preserve"> Vlerësimi i përmirësimit të qeverisjes korporative, transparencës së procedurave dhe mbrojtjes së të drejtave të aksionarëve, përfshirë ata të pakicës. Ky tregues mund të matet përmes raportimeve të notarëve, gjykatave, dhe auditimeve të pavarura të korporatave.</w:t>
      </w:r>
    </w:p>
    <w:p w:rsidRPr="00A32E1F" w:rsidR="00F37131" w:rsidP="00F37131" w:rsidRDefault="00F37131" w14:paraId="292BF230" w14:textId="77777777">
      <w:pPr>
        <w:pStyle w:val="NormalWeb"/>
        <w:numPr>
          <w:ilvl w:val="0"/>
          <w:numId w:val="14"/>
        </w:numPr>
        <w:rPr>
          <w:lang w:val="sq-AL"/>
        </w:rPr>
      </w:pPr>
      <w:r w:rsidRPr="00A32E1F">
        <w:rPr>
          <w:rFonts w:hAnsi="Symbol"/>
          <w:lang w:val="sq-AL"/>
        </w:rPr>
        <w:t></w:t>
      </w:r>
      <w:r w:rsidRPr="00A32E1F">
        <w:rPr>
          <w:lang w:val="sq-AL"/>
        </w:rPr>
        <w:t xml:space="preserve">  </w:t>
      </w:r>
      <w:r w:rsidRPr="00A32E1F">
        <w:rPr>
          <w:rStyle w:val="Strong"/>
          <w:rFonts w:eastAsiaTheme="majorEastAsia"/>
          <w:lang w:val="sq-AL"/>
        </w:rPr>
        <w:t>Shprehja e kënaqësisë dhe feedback-ut të aktorëve të interesuar:</w:t>
      </w:r>
      <w:r w:rsidRPr="00A32E1F">
        <w:rPr>
          <w:lang w:val="sq-AL"/>
        </w:rPr>
        <w:t xml:space="preserve"> Mbledhja e mendimeve të bizneseve, organizatave të shoqërisë civile dhe profesionistëve ligjorë mbi efektivitetin e reformave dhe identifikimin e sfidave të reja. Ky indikator do të përdoret për të përshtatur masat korrigjuese dhe për të rritur ndërveprimin me palët e interesuara.</w:t>
      </w:r>
    </w:p>
    <w:p w:rsidRPr="00A32E1F" w:rsidR="00F37131" w:rsidP="00F37131" w:rsidRDefault="00F37131" w14:paraId="15F6EF0F" w14:textId="77777777">
      <w:pPr>
        <w:pStyle w:val="NormalWeb"/>
        <w:numPr>
          <w:ilvl w:val="0"/>
          <w:numId w:val="14"/>
        </w:numPr>
        <w:rPr>
          <w:lang w:val="sq-AL"/>
        </w:rPr>
      </w:pPr>
      <w:r w:rsidRPr="00A32E1F">
        <w:rPr>
          <w:rFonts w:hAnsi="Symbol"/>
          <w:lang w:val="sq-AL"/>
        </w:rPr>
        <w:t></w:t>
      </w:r>
      <w:r w:rsidRPr="00A32E1F">
        <w:rPr>
          <w:lang w:val="sq-AL"/>
        </w:rPr>
        <w:t xml:space="preserve">  </w:t>
      </w:r>
      <w:r w:rsidRPr="00A32E1F">
        <w:rPr>
          <w:rStyle w:val="Strong"/>
          <w:rFonts w:eastAsiaTheme="majorEastAsia"/>
          <w:lang w:val="sq-AL"/>
        </w:rPr>
        <w:t>Vlerësimi i ndikimit ekonomik afatgjatë:</w:t>
      </w:r>
      <w:r w:rsidRPr="00A32E1F">
        <w:rPr>
          <w:lang w:val="sq-AL"/>
        </w:rPr>
        <w:t xml:space="preserve"> Analiza e efektit të ligjit mbi tregun vendas dhe atë ndërkombëtar në afat të mesëm dhe të gjatë, përfshirë rritjen e produktivitetit, zgjerimin e tregjeve, punësimin dhe zhvillimin e sektorëve strategjikë.</w:t>
      </w:r>
    </w:p>
    <w:p w:rsidRPr="00F37131" w:rsidR="00072AA6" w:rsidP="00BE5099" w:rsidRDefault="00072AA6" w14:paraId="61339E9D" w14:textId="77777777">
      <w:pPr>
        <w:numPr>
          <w:ilvl w:val="0"/>
          <w:numId w:val="14"/>
        </w:numPr>
        <w:spacing w:line="276" w:lineRule="auto"/>
        <w:jc w:val="both"/>
        <w:rPr>
          <w:bCs/>
          <w:szCs w:val="24"/>
        </w:rPr>
      </w:pPr>
    </w:p>
    <w:p w:rsidRPr="00AC168C" w:rsidR="0054621A" w:rsidP="0054621A" w:rsidRDefault="0054621A" w14:paraId="1D8374C8" w14:textId="48C24DE8">
      <w:pPr>
        <w:spacing w:line="276" w:lineRule="auto"/>
        <w:jc w:val="both"/>
        <w:rPr>
          <w:bCs/>
          <w:szCs w:val="24"/>
        </w:rPr>
      </w:pPr>
      <w:r w:rsidRPr="00AC168C">
        <w:rPr>
          <w:bCs/>
          <w:szCs w:val="24"/>
        </w:rPr>
        <w:t>Këto tregues do të përdoren për të monitoruar dhe vlerësuar progresin dhe për të identifikuar nevojën për përmirësime në masat e ndërmarra, duke siguruar që objektivat e politikës të realizohen në kohë dhe me efektivitet.</w:t>
      </w:r>
    </w:p>
    <w:p w:rsidRPr="00AC168C" w:rsidR="003A2861" w:rsidP="009D13F4" w:rsidRDefault="003A2861" w14:paraId="6FE3F67E" w14:textId="77777777">
      <w:pPr>
        <w:spacing w:line="276" w:lineRule="auto"/>
        <w:jc w:val="both"/>
        <w:rPr>
          <w:b/>
          <w:szCs w:val="24"/>
        </w:rPr>
        <w:sectPr w:rsidRPr="00AC168C" w:rsidR="003A2861" w:rsidSect="00F219AD">
          <w:headerReference w:type="even" r:id="rId11"/>
          <w:footerReference w:type="default" r:id="rId12"/>
          <w:footnotePr>
            <w:numRestart w:val="eachSect"/>
          </w:footnotePr>
          <w:type w:val="continuous"/>
          <w:pgSz w:w="11907" w:h="16840" w:orient="portrait" w:code="9"/>
          <w:pgMar w:top="680" w:right="851" w:bottom="680" w:left="851" w:header="284" w:footer="284" w:gutter="0"/>
          <w:cols w:space="708"/>
          <w:docGrid w:linePitch="360"/>
        </w:sectPr>
      </w:pPr>
    </w:p>
    <w:p w:rsidRPr="00325A1F" w:rsidR="002125B7" w:rsidP="009D13F4" w:rsidRDefault="002125B7" w14:paraId="17743D48" w14:textId="77777777">
      <w:pPr>
        <w:spacing w:line="276" w:lineRule="auto"/>
        <w:jc w:val="both"/>
        <w:rPr>
          <w:szCs w:val="24"/>
        </w:rPr>
      </w:pPr>
      <w:r w:rsidRPr="00325A1F">
        <w:rPr>
          <w:b/>
          <w:szCs w:val="24"/>
        </w:rPr>
        <w:t>Raporti i vlerësimit të ndikimit - Shtojca 2/a</w:t>
      </w:r>
    </w:p>
    <w:p w:rsidRPr="00325A1F" w:rsidR="002125B7" w:rsidP="009D13F4" w:rsidRDefault="002125B7" w14:paraId="615FB039" w14:textId="77777777">
      <w:pPr>
        <w:spacing w:line="276" w:lineRule="auto"/>
        <w:rPr>
          <w:rStyle w:val="Strong"/>
          <w:b w:val="0"/>
          <w:szCs w:val="24"/>
        </w:rPr>
      </w:pPr>
    </w:p>
    <w:p w:rsidR="00E463E6" w:rsidP="584B7111" w:rsidRDefault="002125B7" w14:paraId="69B47805" w14:textId="77777777">
      <w:pPr>
        <w:spacing w:line="276" w:lineRule="auto"/>
        <w:rPr>
          <w:rStyle w:val="Strong"/>
        </w:rPr>
      </w:pPr>
      <w:r w:rsidRPr="00DE53BA">
        <w:rPr>
          <w:rStyle w:val="Strong"/>
          <w:i/>
          <w:iCs/>
        </w:rPr>
        <w:t>Tabela: Vlera aktuale neto në total (VAN) - kostot dhe përfitimet me vlerë monetare të përcaktuar në milionë lekë e zbritur për 10 vjet (Vlera aktuale e kostos dhe vlera aktuale e përfitimit); krahasuar me status quo-në</w:t>
      </w:r>
      <w:r w:rsidRPr="00DE53BA">
        <w:rPr>
          <w:rStyle w:val="Strong"/>
        </w:rPr>
        <w:t xml:space="preserve">.  </w:t>
      </w:r>
    </w:p>
    <w:p w:rsidR="00E463E6" w:rsidP="584B7111" w:rsidRDefault="00E463E6" w14:paraId="3C60AECB" w14:textId="77777777">
      <w:pPr>
        <w:spacing w:line="276" w:lineRule="auto"/>
        <w:rPr>
          <w:rStyle w:val="Strong"/>
        </w:rPr>
      </w:pPr>
    </w:p>
    <w:p w:rsidR="007A1417" w:rsidP="00E463E6" w:rsidRDefault="002125B7" w14:paraId="3D0FE02C" w14:textId="57BA5633">
      <w:pPr>
        <w:spacing w:line="276" w:lineRule="auto"/>
        <w:rPr>
          <w:rStyle w:val="Strong"/>
          <w:b w:val="0"/>
          <w:bCs w:val="0"/>
        </w:rPr>
      </w:pPr>
      <w:r w:rsidRPr="00DE53BA">
        <w:rPr>
          <w:rStyle w:val="Strong"/>
        </w:rPr>
        <w:t xml:space="preserve"> </w:t>
      </w:r>
      <w:r w:rsidRPr="00BA100C" w:rsidR="00E463E6">
        <w:rPr>
          <w:rStyle w:val="Strong"/>
          <w:b w:val="0"/>
          <w:bCs w:val="0"/>
        </w:rPr>
        <w:t>Në analizën e mëposhtme janë marrë në konsideratë vetëm përfitimet për arsye se kostot janë jo vetëm të papërcaktueshme me besueshmëri, por edhe sepse vlera e tyre është jo e rëndësishme krahasimisht me përfitimet.</w:t>
      </w:r>
    </w:p>
    <w:p w:rsidRPr="00E75562" w:rsidR="007A1417" w:rsidP="007A1417" w:rsidRDefault="007A1417" w14:paraId="3EB2F068" w14:textId="77777777">
      <w:pPr>
        <w:spacing w:line="276" w:lineRule="auto"/>
        <w:rPr>
          <w:b/>
          <w:bCs/>
          <w:szCs w:val="24"/>
        </w:rPr>
      </w:pPr>
      <w:r w:rsidRPr="00E75562">
        <w:rPr>
          <w:rStyle w:val="Strong"/>
        </w:rPr>
        <w:t>Shifrat në tabelë janë të shprehura në milionë (000 000) Lekë.</w:t>
      </w:r>
      <w:r w:rsidRPr="007A1417">
        <w:rPr>
          <w:b/>
          <w:bCs/>
          <w:szCs w:val="24"/>
        </w:rPr>
        <w:fldChar w:fldCharType="begin"/>
      </w:r>
      <w:r w:rsidRPr="00E75562">
        <w:rPr>
          <w:b/>
          <w:bCs/>
          <w:szCs w:val="24"/>
        </w:rPr>
        <w:instrText xml:space="preserve"> LINK Excel.SheetBinaryMacroEnabled.12 "C:\\Users\\nako\\Downloads\\Shembull i llogaritjes se Costo  perfitimeve  te RIAs - CBA calculation alb.xlsb" "Tabela Perfundimtare !R2C1:R21C11" \a \f 5 \h  \* MERGEFORMAT </w:instrText>
      </w:r>
      <w:r w:rsidRPr="007A1417">
        <w:rPr>
          <w:szCs w:val="24"/>
        </w:rPr>
        <w:fldChar w:fldCharType="end"/>
      </w:r>
    </w:p>
    <w:p w:rsidRPr="00BA100C" w:rsidR="00E463E6" w:rsidP="00E463E6" w:rsidRDefault="00E463E6" w14:paraId="641E6448" w14:textId="0544D79A">
      <w:pPr>
        <w:spacing w:line="276" w:lineRule="auto"/>
        <w:rPr>
          <w:b/>
        </w:rPr>
      </w:pPr>
      <w:r w:rsidRPr="00BA100C">
        <w:rPr>
          <w:rStyle w:val="Strong"/>
          <w:b w:val="0"/>
          <w:bCs w:val="0"/>
          <w:szCs w:val="24"/>
        </w:rPr>
        <w:fldChar w:fldCharType="begin"/>
      </w:r>
      <w:r w:rsidRPr="00BA100C">
        <w:rPr>
          <w:rStyle w:val="Strong"/>
          <w:b w:val="0"/>
          <w:bCs w:val="0"/>
          <w:szCs w:val="24"/>
        </w:rPr>
        <w:instrText xml:space="preserve"> LINK Excel.SheetBinaryMacroEnabled.12 "C:\\Users\\nako\\Downloads\\Shembull i llogaritjes se Costo  perfitimeve  te RIAs - CBA calculation alb.xlsb" "Tabela Perfundimtare !R2C1:R21C11" \a \f 5 \h  \* MERGEFORMAT </w:instrText>
      </w:r>
      <w:r w:rsidRPr="00BA100C">
        <w:rPr>
          <w:rStyle w:val="Strong"/>
          <w:b w:val="0"/>
          <w:bCs w:val="0"/>
          <w:szCs w:val="24"/>
        </w:rPr>
        <w:fldChar w:fldCharType="end"/>
      </w:r>
    </w:p>
    <w:p w:rsidRPr="001155AF" w:rsidR="00E463E6" w:rsidP="00E463E6" w:rsidRDefault="00E463E6" w14:paraId="7CFA0362" w14:textId="77777777">
      <w:pPr>
        <w:spacing w:line="276" w:lineRule="auto"/>
      </w:pPr>
      <w:r>
        <w:rPr>
          <w:b/>
          <w:szCs w:val="24"/>
        </w:rPr>
        <w:fldChar w:fldCharType="begin"/>
      </w:r>
      <w:r>
        <w:rPr>
          <w:b/>
          <w:szCs w:val="24"/>
        </w:rPr>
        <w:instrText xml:space="preserve"> LINK Excel.SheetBinaryMacroEnabled.12 "C:\\Users\\nako\\Downloads\\Shembull i llogaritjes se Costo  perfitimeve  te RIAs - CBA calculation alb.xlsb" "Tabela Perfundimtare !R2C1:R22C11" \a \f 5 \h  \* MERGEFORMAT </w:instrText>
      </w:r>
      <w:r>
        <w:rPr>
          <w:b/>
          <w:szCs w:val="24"/>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Pr="00E139C5" w:rsidR="00E463E6" w:rsidTr="00BE5099" w14:paraId="7B47D2FC" w14:textId="77777777">
        <w:trPr>
          <w:trHeight w:val="255"/>
        </w:trPr>
        <w:tc>
          <w:tcPr>
            <w:tcW w:w="3145" w:type="dxa"/>
            <w:shd w:val="clear" w:color="auto" w:fill="F2F2F2" w:themeFill="background1" w:themeFillShade="F2"/>
            <w:hideMark/>
          </w:tcPr>
          <w:p w:rsidRPr="001155AF" w:rsidR="00E463E6" w:rsidP="00BE5099" w:rsidRDefault="00E463E6" w14:paraId="1E60AFA7" w14:textId="77777777">
            <w:pPr>
              <w:spacing w:line="276" w:lineRule="auto"/>
              <w:rPr>
                <w:szCs w:val="24"/>
              </w:rPr>
            </w:pPr>
            <w:r w:rsidRPr="001155AF">
              <w:rPr>
                <w:szCs w:val="24"/>
              </w:rPr>
              <w:t> </w:t>
            </w:r>
          </w:p>
        </w:tc>
        <w:tc>
          <w:tcPr>
            <w:tcW w:w="1350" w:type="dxa"/>
            <w:shd w:val="clear" w:color="auto" w:fill="F2F2F2" w:themeFill="background1" w:themeFillShade="F2"/>
            <w:hideMark/>
          </w:tcPr>
          <w:p w:rsidRPr="00E139C5" w:rsidR="00E463E6" w:rsidP="00BE5099" w:rsidRDefault="00E463E6" w14:paraId="7E3F669E" w14:textId="77777777">
            <w:pPr>
              <w:spacing w:line="276" w:lineRule="auto"/>
              <w:ind w:left="-108" w:firstLine="108"/>
              <w:rPr>
                <w:b/>
                <w:bCs/>
                <w:szCs w:val="24"/>
              </w:rPr>
            </w:pPr>
            <w:r w:rsidRPr="001155AF">
              <w:rPr>
                <w:b/>
                <w:bCs/>
                <w:szCs w:val="24"/>
              </w:rPr>
              <w:t xml:space="preserve"> </w:t>
            </w:r>
            <w:r w:rsidRPr="00E139C5">
              <w:rPr>
                <w:b/>
                <w:bCs/>
                <w:szCs w:val="24"/>
              </w:rPr>
              <w:t xml:space="preserve">Viti  1 </w:t>
            </w:r>
          </w:p>
        </w:tc>
        <w:tc>
          <w:tcPr>
            <w:tcW w:w="1170" w:type="dxa"/>
            <w:shd w:val="clear" w:color="auto" w:fill="F2F2F2" w:themeFill="background1" w:themeFillShade="F2"/>
            <w:hideMark/>
          </w:tcPr>
          <w:p w:rsidRPr="00E139C5" w:rsidR="00E463E6" w:rsidP="00BE5099" w:rsidRDefault="00E463E6" w14:paraId="6150AA24" w14:textId="77777777">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rsidRPr="00E139C5" w:rsidR="00E463E6" w:rsidP="00BE5099" w:rsidRDefault="00E463E6" w14:paraId="6E9C12E6" w14:textId="77777777">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rsidRPr="00E139C5" w:rsidR="00E463E6" w:rsidP="00BE5099" w:rsidRDefault="00E463E6" w14:paraId="748DEA00" w14:textId="77777777">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rsidRPr="00E139C5" w:rsidR="00E463E6" w:rsidP="00BE5099" w:rsidRDefault="00E463E6" w14:paraId="03570A4C" w14:textId="77777777">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rsidRPr="00E139C5" w:rsidR="00E463E6" w:rsidP="00BE5099" w:rsidRDefault="00E463E6" w14:paraId="3D32C8AC" w14:textId="77777777">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rsidRPr="00E139C5" w:rsidR="00E463E6" w:rsidP="00BE5099" w:rsidRDefault="00E463E6" w14:paraId="604937C3" w14:textId="77777777">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rsidRPr="00E139C5" w:rsidR="00E463E6" w:rsidP="00BE5099" w:rsidRDefault="00E463E6" w14:paraId="73ED2667" w14:textId="77777777">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rsidRPr="00E139C5" w:rsidR="00E463E6" w:rsidP="00BE5099" w:rsidRDefault="00E463E6" w14:paraId="6BE73334" w14:textId="77777777">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rsidRPr="00E139C5" w:rsidR="00E463E6" w:rsidP="00BE5099" w:rsidRDefault="00E463E6" w14:paraId="1FA4406A" w14:textId="77777777">
            <w:pPr>
              <w:spacing w:line="276" w:lineRule="auto"/>
              <w:rPr>
                <w:b/>
                <w:bCs/>
                <w:szCs w:val="24"/>
              </w:rPr>
            </w:pPr>
            <w:r w:rsidRPr="00E139C5">
              <w:rPr>
                <w:b/>
                <w:bCs/>
                <w:szCs w:val="24"/>
              </w:rPr>
              <w:t xml:space="preserve"> Viti 10 </w:t>
            </w:r>
          </w:p>
        </w:tc>
      </w:tr>
      <w:tr w:rsidRPr="00E139C5" w:rsidR="00E463E6" w:rsidTr="00BE5099" w14:paraId="2C452D68" w14:textId="77777777">
        <w:trPr>
          <w:trHeight w:val="255"/>
        </w:trPr>
        <w:tc>
          <w:tcPr>
            <w:tcW w:w="3145" w:type="dxa"/>
            <w:shd w:val="clear" w:color="auto" w:fill="F2F2F2" w:themeFill="background1" w:themeFillShade="F2"/>
            <w:hideMark/>
          </w:tcPr>
          <w:p w:rsidRPr="00E139C5" w:rsidR="00E463E6" w:rsidP="00BE5099" w:rsidRDefault="00E463E6" w14:paraId="0D75FB65" w14:textId="77777777">
            <w:pPr>
              <w:spacing w:line="276" w:lineRule="auto"/>
              <w:rPr>
                <w:b/>
                <w:bCs/>
                <w:szCs w:val="24"/>
              </w:rPr>
            </w:pPr>
            <w:r w:rsidRPr="00E139C5">
              <w:rPr>
                <w:b/>
                <w:bCs/>
                <w:szCs w:val="24"/>
              </w:rPr>
              <w:t xml:space="preserve">Faktori zbritës </w:t>
            </w:r>
          </w:p>
        </w:tc>
        <w:tc>
          <w:tcPr>
            <w:tcW w:w="1350" w:type="dxa"/>
            <w:shd w:val="clear" w:color="auto" w:fill="F2F2F2" w:themeFill="background1" w:themeFillShade="F2"/>
            <w:hideMark/>
          </w:tcPr>
          <w:p w:rsidRPr="00E139C5" w:rsidR="00E463E6" w:rsidP="00BE5099" w:rsidRDefault="00E463E6" w14:paraId="023A1043" w14:textId="77777777">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rsidRPr="00E139C5" w:rsidR="00E463E6" w:rsidP="00BE5099" w:rsidRDefault="00E463E6" w14:paraId="088E8128" w14:textId="77777777">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rsidRPr="00E139C5" w:rsidR="00E463E6" w:rsidP="00BE5099" w:rsidRDefault="00E463E6" w14:paraId="5DFD9274" w14:textId="77777777">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rsidRPr="00E139C5" w:rsidR="00E463E6" w:rsidP="00BE5099" w:rsidRDefault="00E463E6" w14:paraId="63E86271" w14:textId="77777777">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rsidRPr="00E139C5" w:rsidR="00E463E6" w:rsidP="00BE5099" w:rsidRDefault="00E463E6" w14:paraId="651572B3" w14:textId="77777777">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rsidRPr="00E139C5" w:rsidR="00E463E6" w:rsidP="00BE5099" w:rsidRDefault="00E463E6" w14:paraId="02DE1B37" w14:textId="77777777">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rsidRPr="00E139C5" w:rsidR="00E463E6" w:rsidP="00BE5099" w:rsidRDefault="00E463E6" w14:paraId="1DC6CCD2" w14:textId="77777777">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rsidRPr="00E139C5" w:rsidR="00E463E6" w:rsidP="00BE5099" w:rsidRDefault="00E463E6" w14:paraId="6EAC64D6" w14:textId="77777777">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rsidRPr="00E139C5" w:rsidR="00E463E6" w:rsidP="00BE5099" w:rsidRDefault="00E463E6" w14:paraId="66A560B3" w14:textId="77777777">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rsidRPr="00E139C5" w:rsidR="00E463E6" w:rsidP="00BE5099" w:rsidRDefault="00E463E6" w14:paraId="717B8FB6" w14:textId="77777777">
            <w:pPr>
              <w:spacing w:line="276" w:lineRule="auto"/>
              <w:jc w:val="right"/>
              <w:rPr>
                <w:szCs w:val="24"/>
              </w:rPr>
            </w:pPr>
            <w:r w:rsidRPr="00E139C5">
              <w:rPr>
                <w:szCs w:val="24"/>
              </w:rPr>
              <w:t xml:space="preserve">                    0.65 </w:t>
            </w:r>
          </w:p>
        </w:tc>
      </w:tr>
      <w:tr w:rsidRPr="00E139C5" w:rsidR="00E463E6" w:rsidTr="00BE5099" w14:paraId="42D0B434" w14:textId="77777777">
        <w:trPr>
          <w:trHeight w:val="255"/>
        </w:trPr>
        <w:tc>
          <w:tcPr>
            <w:tcW w:w="3145" w:type="dxa"/>
            <w:hideMark/>
          </w:tcPr>
          <w:p w:rsidRPr="00E139C5" w:rsidR="00E463E6" w:rsidP="00BE5099" w:rsidRDefault="00E463E6" w14:paraId="74EBC505" w14:textId="77777777">
            <w:pPr>
              <w:spacing w:line="276" w:lineRule="auto"/>
              <w:rPr>
                <w:szCs w:val="24"/>
              </w:rPr>
            </w:pPr>
            <w:r w:rsidRPr="00E139C5">
              <w:rPr>
                <w:szCs w:val="24"/>
              </w:rPr>
              <w:t>Kosto për buxhetin - një herë</w:t>
            </w:r>
          </w:p>
        </w:tc>
        <w:tc>
          <w:tcPr>
            <w:tcW w:w="1350" w:type="dxa"/>
          </w:tcPr>
          <w:p w:rsidRPr="00E139C5" w:rsidR="00E463E6" w:rsidP="00BE5099" w:rsidRDefault="00E463E6" w14:paraId="13F253A5" w14:textId="77777777">
            <w:pPr>
              <w:spacing w:line="276" w:lineRule="auto"/>
              <w:ind w:left="-108" w:firstLine="108"/>
              <w:jc w:val="right"/>
              <w:rPr>
                <w:szCs w:val="24"/>
              </w:rPr>
            </w:pPr>
          </w:p>
        </w:tc>
        <w:tc>
          <w:tcPr>
            <w:tcW w:w="1170" w:type="dxa"/>
          </w:tcPr>
          <w:p w:rsidRPr="00E139C5" w:rsidR="00E463E6" w:rsidP="00BE5099" w:rsidRDefault="00E463E6" w14:paraId="527F9A1C" w14:textId="77777777">
            <w:pPr>
              <w:spacing w:line="276" w:lineRule="auto"/>
              <w:ind w:left="-108" w:firstLine="108"/>
              <w:jc w:val="right"/>
              <w:rPr>
                <w:szCs w:val="24"/>
              </w:rPr>
            </w:pPr>
          </w:p>
        </w:tc>
        <w:tc>
          <w:tcPr>
            <w:tcW w:w="1080" w:type="dxa"/>
          </w:tcPr>
          <w:p w:rsidRPr="00E139C5" w:rsidR="00E463E6" w:rsidP="00BE5099" w:rsidRDefault="00E463E6" w14:paraId="044814B8" w14:textId="77777777">
            <w:pPr>
              <w:spacing w:line="276" w:lineRule="auto"/>
              <w:jc w:val="right"/>
              <w:rPr>
                <w:szCs w:val="24"/>
              </w:rPr>
            </w:pPr>
          </w:p>
        </w:tc>
        <w:tc>
          <w:tcPr>
            <w:tcW w:w="1170" w:type="dxa"/>
          </w:tcPr>
          <w:p w:rsidRPr="00E139C5" w:rsidR="00E463E6" w:rsidP="00BE5099" w:rsidRDefault="00E463E6" w14:paraId="5C4F8393" w14:textId="77777777">
            <w:pPr>
              <w:spacing w:line="276" w:lineRule="auto"/>
              <w:jc w:val="right"/>
              <w:rPr>
                <w:szCs w:val="24"/>
              </w:rPr>
            </w:pPr>
          </w:p>
        </w:tc>
        <w:tc>
          <w:tcPr>
            <w:tcW w:w="1080" w:type="dxa"/>
          </w:tcPr>
          <w:p w:rsidRPr="00E139C5" w:rsidR="00E463E6" w:rsidP="00BE5099" w:rsidRDefault="00E463E6" w14:paraId="71778919" w14:textId="77777777">
            <w:pPr>
              <w:spacing w:line="276" w:lineRule="auto"/>
              <w:jc w:val="right"/>
              <w:rPr>
                <w:szCs w:val="24"/>
              </w:rPr>
            </w:pPr>
          </w:p>
        </w:tc>
        <w:tc>
          <w:tcPr>
            <w:tcW w:w="1260" w:type="dxa"/>
          </w:tcPr>
          <w:p w:rsidRPr="00E139C5" w:rsidR="00E463E6" w:rsidP="00BE5099" w:rsidRDefault="00E463E6" w14:paraId="11D3771A" w14:textId="77777777">
            <w:pPr>
              <w:spacing w:line="276" w:lineRule="auto"/>
              <w:jc w:val="right"/>
              <w:rPr>
                <w:szCs w:val="24"/>
              </w:rPr>
            </w:pPr>
          </w:p>
        </w:tc>
        <w:tc>
          <w:tcPr>
            <w:tcW w:w="1080" w:type="dxa"/>
          </w:tcPr>
          <w:p w:rsidRPr="00E139C5" w:rsidR="00E463E6" w:rsidP="00BE5099" w:rsidRDefault="00E463E6" w14:paraId="788CCD06" w14:textId="77777777">
            <w:pPr>
              <w:spacing w:line="276" w:lineRule="auto"/>
              <w:jc w:val="right"/>
              <w:rPr>
                <w:szCs w:val="24"/>
              </w:rPr>
            </w:pPr>
          </w:p>
        </w:tc>
        <w:tc>
          <w:tcPr>
            <w:tcW w:w="1260" w:type="dxa"/>
          </w:tcPr>
          <w:p w:rsidRPr="00E139C5" w:rsidR="00E463E6" w:rsidP="00BE5099" w:rsidRDefault="00E463E6" w14:paraId="4CA2624E" w14:textId="77777777">
            <w:pPr>
              <w:spacing w:line="276" w:lineRule="auto"/>
              <w:jc w:val="right"/>
              <w:rPr>
                <w:szCs w:val="24"/>
              </w:rPr>
            </w:pPr>
          </w:p>
        </w:tc>
        <w:tc>
          <w:tcPr>
            <w:tcW w:w="1260" w:type="dxa"/>
          </w:tcPr>
          <w:p w:rsidRPr="00E139C5" w:rsidR="00E463E6" w:rsidP="00BE5099" w:rsidRDefault="00E463E6" w14:paraId="0CA21F62" w14:textId="77777777">
            <w:pPr>
              <w:spacing w:line="276" w:lineRule="auto"/>
              <w:jc w:val="right"/>
              <w:rPr>
                <w:szCs w:val="24"/>
              </w:rPr>
            </w:pPr>
          </w:p>
        </w:tc>
        <w:tc>
          <w:tcPr>
            <w:tcW w:w="1260" w:type="dxa"/>
          </w:tcPr>
          <w:p w:rsidRPr="00E139C5" w:rsidR="00E463E6" w:rsidP="00BE5099" w:rsidRDefault="00E463E6" w14:paraId="429AAC4C" w14:textId="77777777">
            <w:pPr>
              <w:spacing w:line="276" w:lineRule="auto"/>
              <w:jc w:val="right"/>
              <w:rPr>
                <w:szCs w:val="24"/>
              </w:rPr>
            </w:pPr>
          </w:p>
        </w:tc>
      </w:tr>
      <w:tr w:rsidRPr="00E139C5" w:rsidR="00E463E6" w:rsidTr="00BE5099" w14:paraId="5FDE8B06" w14:textId="77777777">
        <w:trPr>
          <w:trHeight w:val="255"/>
        </w:trPr>
        <w:tc>
          <w:tcPr>
            <w:tcW w:w="3145" w:type="dxa"/>
            <w:hideMark/>
          </w:tcPr>
          <w:p w:rsidRPr="00E139C5" w:rsidR="00E463E6" w:rsidP="00BE5099" w:rsidRDefault="00E463E6" w14:paraId="5B9E0B80" w14:textId="77777777">
            <w:pPr>
              <w:spacing w:line="276" w:lineRule="auto"/>
              <w:rPr>
                <w:szCs w:val="24"/>
              </w:rPr>
            </w:pPr>
            <w:r w:rsidRPr="00E139C5">
              <w:rPr>
                <w:szCs w:val="24"/>
              </w:rPr>
              <w:t>Kosto për buxhetin - në vazhdimësi</w:t>
            </w:r>
          </w:p>
        </w:tc>
        <w:tc>
          <w:tcPr>
            <w:tcW w:w="1350" w:type="dxa"/>
            <w:vAlign w:val="bottom"/>
          </w:tcPr>
          <w:p w:rsidRPr="00E139C5" w:rsidR="00E463E6" w:rsidP="00BE5099" w:rsidRDefault="00E463E6" w14:paraId="592C1AD2" w14:textId="77777777">
            <w:pPr>
              <w:spacing w:line="276" w:lineRule="auto"/>
              <w:ind w:left="-108" w:firstLine="108"/>
              <w:jc w:val="right"/>
              <w:rPr>
                <w:szCs w:val="24"/>
              </w:rPr>
            </w:pPr>
          </w:p>
        </w:tc>
        <w:tc>
          <w:tcPr>
            <w:tcW w:w="1170" w:type="dxa"/>
            <w:vAlign w:val="bottom"/>
          </w:tcPr>
          <w:p w:rsidRPr="00E139C5" w:rsidR="00E463E6" w:rsidP="00BE5099" w:rsidRDefault="00E463E6" w14:paraId="0C0DC4A8" w14:textId="77777777">
            <w:pPr>
              <w:spacing w:line="276" w:lineRule="auto"/>
              <w:ind w:left="-108" w:firstLine="108"/>
              <w:jc w:val="right"/>
              <w:rPr>
                <w:szCs w:val="24"/>
              </w:rPr>
            </w:pPr>
          </w:p>
        </w:tc>
        <w:tc>
          <w:tcPr>
            <w:tcW w:w="1080" w:type="dxa"/>
            <w:vAlign w:val="bottom"/>
          </w:tcPr>
          <w:p w:rsidRPr="00E139C5" w:rsidR="00E463E6" w:rsidP="00BE5099" w:rsidRDefault="00E463E6" w14:paraId="073E16C2" w14:textId="77777777">
            <w:pPr>
              <w:spacing w:line="276" w:lineRule="auto"/>
              <w:jc w:val="right"/>
              <w:rPr>
                <w:szCs w:val="24"/>
              </w:rPr>
            </w:pPr>
          </w:p>
        </w:tc>
        <w:tc>
          <w:tcPr>
            <w:tcW w:w="1170" w:type="dxa"/>
            <w:vAlign w:val="bottom"/>
          </w:tcPr>
          <w:p w:rsidRPr="00E139C5" w:rsidR="00E463E6" w:rsidP="00BE5099" w:rsidRDefault="00E463E6" w14:paraId="73FBCD04" w14:textId="77777777">
            <w:pPr>
              <w:spacing w:line="276" w:lineRule="auto"/>
              <w:jc w:val="right"/>
              <w:rPr>
                <w:szCs w:val="24"/>
              </w:rPr>
            </w:pPr>
          </w:p>
        </w:tc>
        <w:tc>
          <w:tcPr>
            <w:tcW w:w="1080" w:type="dxa"/>
            <w:vAlign w:val="bottom"/>
          </w:tcPr>
          <w:p w:rsidRPr="00E139C5" w:rsidR="00E463E6" w:rsidP="00BE5099" w:rsidRDefault="00E463E6" w14:paraId="1DF509AB" w14:textId="77777777">
            <w:pPr>
              <w:spacing w:line="276" w:lineRule="auto"/>
              <w:jc w:val="right"/>
              <w:rPr>
                <w:szCs w:val="24"/>
              </w:rPr>
            </w:pPr>
          </w:p>
        </w:tc>
        <w:tc>
          <w:tcPr>
            <w:tcW w:w="1260" w:type="dxa"/>
            <w:vAlign w:val="bottom"/>
          </w:tcPr>
          <w:p w:rsidRPr="00E139C5" w:rsidR="00E463E6" w:rsidP="00BE5099" w:rsidRDefault="00E463E6" w14:paraId="5C80984C" w14:textId="77777777">
            <w:pPr>
              <w:spacing w:line="276" w:lineRule="auto"/>
              <w:jc w:val="right"/>
              <w:rPr>
                <w:szCs w:val="24"/>
              </w:rPr>
            </w:pPr>
          </w:p>
        </w:tc>
        <w:tc>
          <w:tcPr>
            <w:tcW w:w="1080" w:type="dxa"/>
            <w:vAlign w:val="bottom"/>
          </w:tcPr>
          <w:p w:rsidRPr="00E139C5" w:rsidR="00E463E6" w:rsidP="00BE5099" w:rsidRDefault="00E463E6" w14:paraId="4C5F77C5" w14:textId="77777777">
            <w:pPr>
              <w:spacing w:line="276" w:lineRule="auto"/>
              <w:jc w:val="right"/>
              <w:rPr>
                <w:szCs w:val="24"/>
              </w:rPr>
            </w:pPr>
          </w:p>
        </w:tc>
        <w:tc>
          <w:tcPr>
            <w:tcW w:w="1260" w:type="dxa"/>
            <w:vAlign w:val="bottom"/>
          </w:tcPr>
          <w:p w:rsidRPr="00E139C5" w:rsidR="00E463E6" w:rsidP="00BE5099" w:rsidRDefault="00E463E6" w14:paraId="0582AA72" w14:textId="77777777">
            <w:pPr>
              <w:spacing w:line="276" w:lineRule="auto"/>
              <w:jc w:val="right"/>
              <w:rPr>
                <w:szCs w:val="24"/>
              </w:rPr>
            </w:pPr>
          </w:p>
        </w:tc>
        <w:tc>
          <w:tcPr>
            <w:tcW w:w="1260" w:type="dxa"/>
            <w:vAlign w:val="bottom"/>
          </w:tcPr>
          <w:p w:rsidRPr="00E139C5" w:rsidR="00E463E6" w:rsidP="00BE5099" w:rsidRDefault="00E463E6" w14:paraId="00D17DC8" w14:textId="77777777">
            <w:pPr>
              <w:spacing w:line="276" w:lineRule="auto"/>
              <w:jc w:val="right"/>
              <w:rPr>
                <w:szCs w:val="24"/>
              </w:rPr>
            </w:pPr>
          </w:p>
        </w:tc>
        <w:tc>
          <w:tcPr>
            <w:tcW w:w="1260" w:type="dxa"/>
            <w:vAlign w:val="bottom"/>
          </w:tcPr>
          <w:p w:rsidRPr="00E139C5" w:rsidR="00E463E6" w:rsidP="00BE5099" w:rsidRDefault="00E463E6" w14:paraId="7FD31521" w14:textId="77777777">
            <w:pPr>
              <w:spacing w:line="276" w:lineRule="auto"/>
              <w:jc w:val="right"/>
              <w:rPr>
                <w:szCs w:val="24"/>
              </w:rPr>
            </w:pPr>
          </w:p>
        </w:tc>
      </w:tr>
      <w:tr w:rsidRPr="00E139C5" w:rsidR="00E463E6" w:rsidTr="00BE5099" w14:paraId="1B11A447" w14:textId="77777777">
        <w:trPr>
          <w:trHeight w:val="255"/>
        </w:trPr>
        <w:tc>
          <w:tcPr>
            <w:tcW w:w="3145" w:type="dxa"/>
            <w:hideMark/>
          </w:tcPr>
          <w:p w:rsidRPr="00E139C5" w:rsidR="00E463E6" w:rsidP="00BE5099" w:rsidRDefault="00E463E6" w14:paraId="77884A1B" w14:textId="77777777">
            <w:pPr>
              <w:spacing w:line="276" w:lineRule="auto"/>
              <w:rPr>
                <w:szCs w:val="24"/>
              </w:rPr>
            </w:pPr>
            <w:r w:rsidRPr="00E139C5">
              <w:rPr>
                <w:szCs w:val="24"/>
              </w:rPr>
              <w:t xml:space="preserve">Kosto për bizneset - një herë </w:t>
            </w:r>
          </w:p>
        </w:tc>
        <w:tc>
          <w:tcPr>
            <w:tcW w:w="1350" w:type="dxa"/>
            <w:vAlign w:val="bottom"/>
          </w:tcPr>
          <w:p w:rsidRPr="00E139C5" w:rsidR="00E463E6" w:rsidP="00BE5099" w:rsidRDefault="00E463E6" w14:paraId="428FE159" w14:textId="77777777">
            <w:pPr>
              <w:spacing w:line="276" w:lineRule="auto"/>
              <w:ind w:left="-108" w:firstLine="108"/>
              <w:jc w:val="right"/>
              <w:rPr>
                <w:szCs w:val="24"/>
              </w:rPr>
            </w:pPr>
          </w:p>
        </w:tc>
        <w:tc>
          <w:tcPr>
            <w:tcW w:w="1170" w:type="dxa"/>
            <w:vAlign w:val="bottom"/>
          </w:tcPr>
          <w:p w:rsidRPr="00E139C5" w:rsidR="00E463E6" w:rsidP="00BE5099" w:rsidRDefault="00E463E6" w14:paraId="24C4F0C5" w14:textId="77777777">
            <w:pPr>
              <w:spacing w:line="276" w:lineRule="auto"/>
              <w:ind w:left="-108" w:firstLine="108"/>
              <w:jc w:val="right"/>
              <w:rPr>
                <w:szCs w:val="24"/>
              </w:rPr>
            </w:pPr>
          </w:p>
        </w:tc>
        <w:tc>
          <w:tcPr>
            <w:tcW w:w="1080" w:type="dxa"/>
            <w:vAlign w:val="bottom"/>
          </w:tcPr>
          <w:p w:rsidRPr="00E139C5" w:rsidR="00E463E6" w:rsidP="00BE5099" w:rsidRDefault="00E463E6" w14:paraId="32557C73" w14:textId="77777777">
            <w:pPr>
              <w:spacing w:line="276" w:lineRule="auto"/>
              <w:jc w:val="right"/>
              <w:rPr>
                <w:szCs w:val="24"/>
              </w:rPr>
            </w:pPr>
          </w:p>
        </w:tc>
        <w:tc>
          <w:tcPr>
            <w:tcW w:w="1170" w:type="dxa"/>
            <w:vAlign w:val="bottom"/>
          </w:tcPr>
          <w:p w:rsidRPr="00E139C5" w:rsidR="00E463E6" w:rsidP="00BE5099" w:rsidRDefault="00E463E6" w14:paraId="14941B2D" w14:textId="77777777">
            <w:pPr>
              <w:spacing w:line="276" w:lineRule="auto"/>
              <w:jc w:val="right"/>
              <w:rPr>
                <w:szCs w:val="24"/>
              </w:rPr>
            </w:pPr>
          </w:p>
        </w:tc>
        <w:tc>
          <w:tcPr>
            <w:tcW w:w="1080" w:type="dxa"/>
            <w:vAlign w:val="bottom"/>
          </w:tcPr>
          <w:p w:rsidRPr="00E139C5" w:rsidR="00E463E6" w:rsidP="00BE5099" w:rsidRDefault="00E463E6" w14:paraId="10E34732" w14:textId="77777777">
            <w:pPr>
              <w:spacing w:line="276" w:lineRule="auto"/>
              <w:jc w:val="right"/>
              <w:rPr>
                <w:szCs w:val="24"/>
              </w:rPr>
            </w:pPr>
          </w:p>
        </w:tc>
        <w:tc>
          <w:tcPr>
            <w:tcW w:w="1260" w:type="dxa"/>
            <w:vAlign w:val="bottom"/>
          </w:tcPr>
          <w:p w:rsidRPr="00E139C5" w:rsidR="00E463E6" w:rsidP="00BE5099" w:rsidRDefault="00E463E6" w14:paraId="7A2F0554" w14:textId="77777777">
            <w:pPr>
              <w:spacing w:line="276" w:lineRule="auto"/>
              <w:jc w:val="right"/>
              <w:rPr>
                <w:szCs w:val="24"/>
              </w:rPr>
            </w:pPr>
          </w:p>
        </w:tc>
        <w:tc>
          <w:tcPr>
            <w:tcW w:w="1080" w:type="dxa"/>
            <w:vAlign w:val="bottom"/>
          </w:tcPr>
          <w:p w:rsidRPr="00E139C5" w:rsidR="00E463E6" w:rsidP="00BE5099" w:rsidRDefault="00E463E6" w14:paraId="78EC623F" w14:textId="77777777">
            <w:pPr>
              <w:spacing w:line="276" w:lineRule="auto"/>
              <w:jc w:val="right"/>
              <w:rPr>
                <w:szCs w:val="24"/>
              </w:rPr>
            </w:pPr>
          </w:p>
        </w:tc>
        <w:tc>
          <w:tcPr>
            <w:tcW w:w="1260" w:type="dxa"/>
            <w:vAlign w:val="bottom"/>
          </w:tcPr>
          <w:p w:rsidRPr="00E139C5" w:rsidR="00E463E6" w:rsidP="00BE5099" w:rsidRDefault="00E463E6" w14:paraId="1F81F91C" w14:textId="77777777">
            <w:pPr>
              <w:spacing w:line="276" w:lineRule="auto"/>
              <w:jc w:val="right"/>
              <w:rPr>
                <w:szCs w:val="24"/>
              </w:rPr>
            </w:pPr>
          </w:p>
        </w:tc>
        <w:tc>
          <w:tcPr>
            <w:tcW w:w="1260" w:type="dxa"/>
            <w:vAlign w:val="bottom"/>
          </w:tcPr>
          <w:p w:rsidRPr="00E139C5" w:rsidR="00E463E6" w:rsidP="00BE5099" w:rsidRDefault="00E463E6" w14:paraId="583E6224" w14:textId="77777777">
            <w:pPr>
              <w:spacing w:line="276" w:lineRule="auto"/>
              <w:jc w:val="right"/>
              <w:rPr>
                <w:szCs w:val="24"/>
              </w:rPr>
            </w:pPr>
          </w:p>
        </w:tc>
        <w:tc>
          <w:tcPr>
            <w:tcW w:w="1260" w:type="dxa"/>
            <w:vAlign w:val="bottom"/>
          </w:tcPr>
          <w:p w:rsidRPr="00E139C5" w:rsidR="00E463E6" w:rsidP="00BE5099" w:rsidRDefault="00E463E6" w14:paraId="6C47D70B" w14:textId="77777777">
            <w:pPr>
              <w:spacing w:line="276" w:lineRule="auto"/>
              <w:jc w:val="right"/>
              <w:rPr>
                <w:szCs w:val="24"/>
              </w:rPr>
            </w:pPr>
          </w:p>
        </w:tc>
      </w:tr>
      <w:tr w:rsidRPr="00E139C5" w:rsidR="00E463E6" w:rsidTr="00BE5099" w14:paraId="3EF6CB41" w14:textId="77777777">
        <w:trPr>
          <w:trHeight w:val="255"/>
        </w:trPr>
        <w:tc>
          <w:tcPr>
            <w:tcW w:w="3145" w:type="dxa"/>
            <w:hideMark/>
          </w:tcPr>
          <w:p w:rsidRPr="00E139C5" w:rsidR="00E463E6" w:rsidP="00BE5099" w:rsidRDefault="00E463E6" w14:paraId="0ED80532" w14:textId="77777777">
            <w:pPr>
              <w:spacing w:line="276" w:lineRule="auto"/>
              <w:rPr>
                <w:szCs w:val="24"/>
              </w:rPr>
            </w:pPr>
            <w:r w:rsidRPr="00E139C5">
              <w:rPr>
                <w:szCs w:val="24"/>
              </w:rPr>
              <w:t>Kosto për bizneset - në vazhdimësi</w:t>
            </w:r>
          </w:p>
        </w:tc>
        <w:tc>
          <w:tcPr>
            <w:tcW w:w="1350" w:type="dxa"/>
            <w:vAlign w:val="bottom"/>
          </w:tcPr>
          <w:p w:rsidRPr="00E139C5" w:rsidR="00E463E6" w:rsidP="00BE5099" w:rsidRDefault="00E463E6" w14:paraId="104C1AFF" w14:textId="77777777">
            <w:pPr>
              <w:spacing w:line="276" w:lineRule="auto"/>
              <w:ind w:left="-108" w:firstLine="108"/>
              <w:jc w:val="right"/>
              <w:rPr>
                <w:szCs w:val="24"/>
              </w:rPr>
            </w:pPr>
          </w:p>
        </w:tc>
        <w:tc>
          <w:tcPr>
            <w:tcW w:w="1170" w:type="dxa"/>
            <w:vAlign w:val="bottom"/>
          </w:tcPr>
          <w:p w:rsidRPr="00E139C5" w:rsidR="00E463E6" w:rsidP="00BE5099" w:rsidRDefault="00E463E6" w14:paraId="52B45538" w14:textId="77777777">
            <w:pPr>
              <w:spacing w:line="276" w:lineRule="auto"/>
              <w:ind w:left="-108" w:firstLine="108"/>
              <w:jc w:val="right"/>
              <w:rPr>
                <w:szCs w:val="24"/>
              </w:rPr>
            </w:pPr>
          </w:p>
        </w:tc>
        <w:tc>
          <w:tcPr>
            <w:tcW w:w="1080" w:type="dxa"/>
            <w:vAlign w:val="bottom"/>
          </w:tcPr>
          <w:p w:rsidRPr="00E139C5" w:rsidR="00E463E6" w:rsidP="00BE5099" w:rsidRDefault="00E463E6" w14:paraId="6B36221A" w14:textId="77777777">
            <w:pPr>
              <w:spacing w:line="276" w:lineRule="auto"/>
              <w:jc w:val="right"/>
              <w:rPr>
                <w:szCs w:val="24"/>
              </w:rPr>
            </w:pPr>
          </w:p>
        </w:tc>
        <w:tc>
          <w:tcPr>
            <w:tcW w:w="1170" w:type="dxa"/>
            <w:vAlign w:val="bottom"/>
          </w:tcPr>
          <w:p w:rsidRPr="00E139C5" w:rsidR="00E463E6" w:rsidP="00BE5099" w:rsidRDefault="00E463E6" w14:paraId="16C73AB5" w14:textId="77777777">
            <w:pPr>
              <w:spacing w:line="276" w:lineRule="auto"/>
              <w:jc w:val="right"/>
              <w:rPr>
                <w:szCs w:val="24"/>
              </w:rPr>
            </w:pPr>
          </w:p>
        </w:tc>
        <w:tc>
          <w:tcPr>
            <w:tcW w:w="1080" w:type="dxa"/>
            <w:vAlign w:val="bottom"/>
          </w:tcPr>
          <w:p w:rsidRPr="00E139C5" w:rsidR="00E463E6" w:rsidP="00BE5099" w:rsidRDefault="00E463E6" w14:paraId="7423DD96" w14:textId="77777777">
            <w:pPr>
              <w:spacing w:line="276" w:lineRule="auto"/>
              <w:jc w:val="right"/>
              <w:rPr>
                <w:szCs w:val="24"/>
              </w:rPr>
            </w:pPr>
          </w:p>
        </w:tc>
        <w:tc>
          <w:tcPr>
            <w:tcW w:w="1260" w:type="dxa"/>
            <w:vAlign w:val="bottom"/>
          </w:tcPr>
          <w:p w:rsidRPr="00E139C5" w:rsidR="00E463E6" w:rsidP="00BE5099" w:rsidRDefault="00E463E6" w14:paraId="1EF8A74D" w14:textId="77777777">
            <w:pPr>
              <w:spacing w:line="276" w:lineRule="auto"/>
              <w:jc w:val="right"/>
              <w:rPr>
                <w:szCs w:val="24"/>
              </w:rPr>
            </w:pPr>
          </w:p>
        </w:tc>
        <w:tc>
          <w:tcPr>
            <w:tcW w:w="1080" w:type="dxa"/>
            <w:vAlign w:val="bottom"/>
          </w:tcPr>
          <w:p w:rsidRPr="00E139C5" w:rsidR="00E463E6" w:rsidP="00BE5099" w:rsidRDefault="00E463E6" w14:paraId="4436E65A" w14:textId="77777777">
            <w:pPr>
              <w:spacing w:line="276" w:lineRule="auto"/>
              <w:jc w:val="right"/>
              <w:rPr>
                <w:szCs w:val="24"/>
              </w:rPr>
            </w:pPr>
          </w:p>
        </w:tc>
        <w:tc>
          <w:tcPr>
            <w:tcW w:w="1260" w:type="dxa"/>
            <w:vAlign w:val="bottom"/>
          </w:tcPr>
          <w:p w:rsidRPr="00E139C5" w:rsidR="00E463E6" w:rsidP="00BE5099" w:rsidRDefault="00E463E6" w14:paraId="092FD913" w14:textId="77777777">
            <w:pPr>
              <w:spacing w:line="276" w:lineRule="auto"/>
              <w:jc w:val="right"/>
              <w:rPr>
                <w:szCs w:val="24"/>
              </w:rPr>
            </w:pPr>
          </w:p>
        </w:tc>
        <w:tc>
          <w:tcPr>
            <w:tcW w:w="1260" w:type="dxa"/>
            <w:vAlign w:val="bottom"/>
          </w:tcPr>
          <w:p w:rsidRPr="00E139C5" w:rsidR="00E463E6" w:rsidP="00BE5099" w:rsidRDefault="00E463E6" w14:paraId="0BA7613B" w14:textId="77777777">
            <w:pPr>
              <w:spacing w:line="276" w:lineRule="auto"/>
              <w:jc w:val="right"/>
              <w:rPr>
                <w:szCs w:val="24"/>
              </w:rPr>
            </w:pPr>
          </w:p>
        </w:tc>
        <w:tc>
          <w:tcPr>
            <w:tcW w:w="1260" w:type="dxa"/>
            <w:vAlign w:val="bottom"/>
          </w:tcPr>
          <w:p w:rsidRPr="00E139C5" w:rsidR="00E463E6" w:rsidP="00BE5099" w:rsidRDefault="00E463E6" w14:paraId="2F49D82C" w14:textId="77777777">
            <w:pPr>
              <w:spacing w:line="276" w:lineRule="auto"/>
              <w:jc w:val="right"/>
              <w:rPr>
                <w:szCs w:val="24"/>
              </w:rPr>
            </w:pPr>
          </w:p>
        </w:tc>
      </w:tr>
      <w:tr w:rsidRPr="00E75562" w:rsidR="00E463E6" w:rsidTr="00BE5099" w14:paraId="46C404C4" w14:textId="77777777">
        <w:trPr>
          <w:trHeight w:val="255"/>
        </w:trPr>
        <w:tc>
          <w:tcPr>
            <w:tcW w:w="3145" w:type="dxa"/>
            <w:hideMark/>
          </w:tcPr>
          <w:p w:rsidRPr="006D0DA9" w:rsidR="00E463E6" w:rsidP="00BE5099" w:rsidRDefault="00E463E6" w14:paraId="1CE04A17" w14:textId="77777777">
            <w:pPr>
              <w:spacing w:line="276" w:lineRule="auto"/>
              <w:rPr>
                <w:szCs w:val="24"/>
                <w:lang w:val="it-IT"/>
              </w:rPr>
            </w:pPr>
            <w:r w:rsidRPr="006D0DA9">
              <w:rPr>
                <w:szCs w:val="24"/>
                <w:lang w:val="it-IT"/>
              </w:rPr>
              <w:t>Kosto për grupet e tjera - një herë</w:t>
            </w:r>
          </w:p>
        </w:tc>
        <w:tc>
          <w:tcPr>
            <w:tcW w:w="1350" w:type="dxa"/>
            <w:vAlign w:val="bottom"/>
          </w:tcPr>
          <w:p w:rsidRPr="006D0DA9" w:rsidR="00E463E6" w:rsidP="00BE5099" w:rsidRDefault="00E463E6" w14:paraId="63872726" w14:textId="77777777">
            <w:pPr>
              <w:spacing w:line="276" w:lineRule="auto"/>
              <w:ind w:left="-108" w:firstLine="108"/>
              <w:jc w:val="right"/>
              <w:rPr>
                <w:szCs w:val="24"/>
                <w:lang w:val="it-IT"/>
              </w:rPr>
            </w:pPr>
          </w:p>
        </w:tc>
        <w:tc>
          <w:tcPr>
            <w:tcW w:w="1170" w:type="dxa"/>
            <w:vAlign w:val="bottom"/>
          </w:tcPr>
          <w:p w:rsidRPr="006D0DA9" w:rsidR="00E463E6" w:rsidP="00BE5099" w:rsidRDefault="00E463E6" w14:paraId="52F5D1FE" w14:textId="77777777">
            <w:pPr>
              <w:spacing w:line="276" w:lineRule="auto"/>
              <w:ind w:left="-108" w:firstLine="108"/>
              <w:jc w:val="right"/>
              <w:rPr>
                <w:szCs w:val="24"/>
                <w:lang w:val="it-IT"/>
              </w:rPr>
            </w:pPr>
          </w:p>
        </w:tc>
        <w:tc>
          <w:tcPr>
            <w:tcW w:w="1080" w:type="dxa"/>
            <w:vAlign w:val="bottom"/>
          </w:tcPr>
          <w:p w:rsidRPr="006D0DA9" w:rsidR="00E463E6" w:rsidP="00BE5099" w:rsidRDefault="00E463E6" w14:paraId="3B85DA69" w14:textId="77777777">
            <w:pPr>
              <w:spacing w:line="276" w:lineRule="auto"/>
              <w:jc w:val="right"/>
              <w:rPr>
                <w:szCs w:val="24"/>
                <w:lang w:val="it-IT"/>
              </w:rPr>
            </w:pPr>
          </w:p>
        </w:tc>
        <w:tc>
          <w:tcPr>
            <w:tcW w:w="1170" w:type="dxa"/>
            <w:vAlign w:val="bottom"/>
          </w:tcPr>
          <w:p w:rsidRPr="006D0DA9" w:rsidR="00E463E6" w:rsidP="00BE5099" w:rsidRDefault="00E463E6" w14:paraId="1918BF85" w14:textId="77777777">
            <w:pPr>
              <w:spacing w:line="276" w:lineRule="auto"/>
              <w:jc w:val="right"/>
              <w:rPr>
                <w:szCs w:val="24"/>
                <w:lang w:val="it-IT"/>
              </w:rPr>
            </w:pPr>
          </w:p>
        </w:tc>
        <w:tc>
          <w:tcPr>
            <w:tcW w:w="1080" w:type="dxa"/>
            <w:vAlign w:val="bottom"/>
          </w:tcPr>
          <w:p w:rsidRPr="006D0DA9" w:rsidR="00E463E6" w:rsidP="00BE5099" w:rsidRDefault="00E463E6" w14:paraId="65780ED5" w14:textId="77777777">
            <w:pPr>
              <w:jc w:val="right"/>
              <w:rPr>
                <w:szCs w:val="24"/>
                <w:lang w:val="it-IT"/>
              </w:rPr>
            </w:pPr>
          </w:p>
        </w:tc>
        <w:tc>
          <w:tcPr>
            <w:tcW w:w="1260" w:type="dxa"/>
            <w:vAlign w:val="bottom"/>
          </w:tcPr>
          <w:p w:rsidRPr="006D0DA9" w:rsidR="00E463E6" w:rsidP="00BE5099" w:rsidRDefault="00E463E6" w14:paraId="49DDE017" w14:textId="77777777">
            <w:pPr>
              <w:spacing w:line="276" w:lineRule="auto"/>
              <w:jc w:val="right"/>
              <w:rPr>
                <w:szCs w:val="24"/>
                <w:lang w:val="it-IT"/>
              </w:rPr>
            </w:pPr>
          </w:p>
        </w:tc>
        <w:tc>
          <w:tcPr>
            <w:tcW w:w="1080" w:type="dxa"/>
            <w:vAlign w:val="bottom"/>
          </w:tcPr>
          <w:p w:rsidRPr="006D0DA9" w:rsidR="00E463E6" w:rsidP="00BE5099" w:rsidRDefault="00E463E6" w14:paraId="5FEA9C9C" w14:textId="77777777">
            <w:pPr>
              <w:spacing w:line="276" w:lineRule="auto"/>
              <w:jc w:val="right"/>
              <w:rPr>
                <w:szCs w:val="24"/>
                <w:lang w:val="it-IT"/>
              </w:rPr>
            </w:pPr>
          </w:p>
        </w:tc>
        <w:tc>
          <w:tcPr>
            <w:tcW w:w="1260" w:type="dxa"/>
            <w:vAlign w:val="bottom"/>
          </w:tcPr>
          <w:p w:rsidRPr="006D0DA9" w:rsidR="00E463E6" w:rsidP="00BE5099" w:rsidRDefault="00E463E6" w14:paraId="4686E6BC" w14:textId="77777777">
            <w:pPr>
              <w:spacing w:line="276" w:lineRule="auto"/>
              <w:jc w:val="right"/>
              <w:rPr>
                <w:szCs w:val="24"/>
                <w:lang w:val="it-IT"/>
              </w:rPr>
            </w:pPr>
          </w:p>
        </w:tc>
        <w:tc>
          <w:tcPr>
            <w:tcW w:w="1260" w:type="dxa"/>
            <w:vAlign w:val="bottom"/>
          </w:tcPr>
          <w:p w:rsidRPr="006D0DA9" w:rsidR="00E463E6" w:rsidP="00BE5099" w:rsidRDefault="00E463E6" w14:paraId="404EA0E0" w14:textId="77777777">
            <w:pPr>
              <w:spacing w:line="276" w:lineRule="auto"/>
              <w:jc w:val="right"/>
              <w:rPr>
                <w:szCs w:val="24"/>
                <w:lang w:val="it-IT"/>
              </w:rPr>
            </w:pPr>
          </w:p>
        </w:tc>
        <w:tc>
          <w:tcPr>
            <w:tcW w:w="1260" w:type="dxa"/>
            <w:vAlign w:val="bottom"/>
          </w:tcPr>
          <w:p w:rsidRPr="006D0DA9" w:rsidR="00E463E6" w:rsidP="00BE5099" w:rsidRDefault="00E463E6" w14:paraId="237E7E67" w14:textId="77777777">
            <w:pPr>
              <w:spacing w:line="276" w:lineRule="auto"/>
              <w:jc w:val="right"/>
              <w:rPr>
                <w:szCs w:val="24"/>
                <w:lang w:val="it-IT"/>
              </w:rPr>
            </w:pPr>
          </w:p>
        </w:tc>
      </w:tr>
      <w:tr w:rsidRPr="00E75562" w:rsidR="00E463E6" w:rsidTr="00BE5099" w14:paraId="2C233765" w14:textId="77777777">
        <w:trPr>
          <w:trHeight w:val="270"/>
        </w:trPr>
        <w:tc>
          <w:tcPr>
            <w:tcW w:w="3145" w:type="dxa"/>
            <w:hideMark/>
          </w:tcPr>
          <w:p w:rsidRPr="006D0DA9" w:rsidR="00E463E6" w:rsidP="00BE5099" w:rsidRDefault="00E463E6" w14:paraId="68F7BAC0" w14:textId="77777777">
            <w:pPr>
              <w:spacing w:line="276" w:lineRule="auto"/>
              <w:rPr>
                <w:szCs w:val="24"/>
                <w:lang w:val="it-IT"/>
              </w:rPr>
            </w:pPr>
            <w:r w:rsidRPr="006D0DA9">
              <w:rPr>
                <w:szCs w:val="24"/>
                <w:lang w:val="it-IT"/>
              </w:rPr>
              <w:t>Kosto për grupet e tjera - në vazhdimësi</w:t>
            </w:r>
          </w:p>
        </w:tc>
        <w:tc>
          <w:tcPr>
            <w:tcW w:w="1350" w:type="dxa"/>
            <w:vAlign w:val="bottom"/>
          </w:tcPr>
          <w:p w:rsidRPr="006D0DA9" w:rsidR="00E463E6" w:rsidP="00BE5099" w:rsidRDefault="00E463E6" w14:paraId="02C45901" w14:textId="77777777">
            <w:pPr>
              <w:spacing w:line="276" w:lineRule="auto"/>
              <w:ind w:left="-108" w:firstLine="108"/>
              <w:jc w:val="right"/>
              <w:rPr>
                <w:szCs w:val="24"/>
                <w:lang w:val="it-IT"/>
              </w:rPr>
            </w:pPr>
          </w:p>
        </w:tc>
        <w:tc>
          <w:tcPr>
            <w:tcW w:w="1170" w:type="dxa"/>
            <w:vAlign w:val="bottom"/>
          </w:tcPr>
          <w:p w:rsidRPr="006D0DA9" w:rsidR="00E463E6" w:rsidP="00BE5099" w:rsidRDefault="00E463E6" w14:paraId="41973B81" w14:textId="77777777">
            <w:pPr>
              <w:spacing w:line="276" w:lineRule="auto"/>
              <w:ind w:left="-108" w:firstLine="108"/>
              <w:jc w:val="right"/>
              <w:rPr>
                <w:szCs w:val="24"/>
                <w:lang w:val="it-IT"/>
              </w:rPr>
            </w:pPr>
          </w:p>
        </w:tc>
        <w:tc>
          <w:tcPr>
            <w:tcW w:w="1080" w:type="dxa"/>
            <w:vAlign w:val="bottom"/>
          </w:tcPr>
          <w:p w:rsidRPr="006D0DA9" w:rsidR="00E463E6" w:rsidP="00BE5099" w:rsidRDefault="00E463E6" w14:paraId="61D289EC" w14:textId="77777777">
            <w:pPr>
              <w:spacing w:line="276" w:lineRule="auto"/>
              <w:jc w:val="right"/>
              <w:rPr>
                <w:szCs w:val="24"/>
                <w:lang w:val="it-IT"/>
              </w:rPr>
            </w:pPr>
          </w:p>
        </w:tc>
        <w:tc>
          <w:tcPr>
            <w:tcW w:w="1170" w:type="dxa"/>
            <w:vAlign w:val="bottom"/>
          </w:tcPr>
          <w:p w:rsidRPr="006D0DA9" w:rsidR="00E463E6" w:rsidP="00BE5099" w:rsidRDefault="00E463E6" w14:paraId="65020D35" w14:textId="77777777">
            <w:pPr>
              <w:spacing w:line="276" w:lineRule="auto"/>
              <w:jc w:val="right"/>
              <w:rPr>
                <w:szCs w:val="24"/>
                <w:lang w:val="it-IT"/>
              </w:rPr>
            </w:pPr>
          </w:p>
        </w:tc>
        <w:tc>
          <w:tcPr>
            <w:tcW w:w="1080" w:type="dxa"/>
            <w:vAlign w:val="bottom"/>
          </w:tcPr>
          <w:p w:rsidRPr="006D0DA9" w:rsidR="00E463E6" w:rsidP="00BE5099" w:rsidRDefault="00E463E6" w14:paraId="1AC1885E" w14:textId="77777777">
            <w:pPr>
              <w:spacing w:line="276" w:lineRule="auto"/>
              <w:jc w:val="right"/>
              <w:rPr>
                <w:szCs w:val="24"/>
                <w:lang w:val="it-IT"/>
              </w:rPr>
            </w:pPr>
          </w:p>
        </w:tc>
        <w:tc>
          <w:tcPr>
            <w:tcW w:w="1260" w:type="dxa"/>
            <w:vAlign w:val="bottom"/>
          </w:tcPr>
          <w:p w:rsidRPr="006D0DA9" w:rsidR="00E463E6" w:rsidP="00BE5099" w:rsidRDefault="00E463E6" w14:paraId="0D993706" w14:textId="77777777">
            <w:pPr>
              <w:spacing w:line="276" w:lineRule="auto"/>
              <w:jc w:val="right"/>
              <w:rPr>
                <w:szCs w:val="24"/>
                <w:lang w:val="it-IT"/>
              </w:rPr>
            </w:pPr>
          </w:p>
        </w:tc>
        <w:tc>
          <w:tcPr>
            <w:tcW w:w="1080" w:type="dxa"/>
            <w:vAlign w:val="bottom"/>
          </w:tcPr>
          <w:p w:rsidRPr="006D0DA9" w:rsidR="00E463E6" w:rsidP="00BE5099" w:rsidRDefault="00E463E6" w14:paraId="49E08F7C" w14:textId="77777777">
            <w:pPr>
              <w:spacing w:line="276" w:lineRule="auto"/>
              <w:jc w:val="right"/>
              <w:rPr>
                <w:szCs w:val="24"/>
                <w:lang w:val="it-IT"/>
              </w:rPr>
            </w:pPr>
          </w:p>
        </w:tc>
        <w:tc>
          <w:tcPr>
            <w:tcW w:w="1260" w:type="dxa"/>
            <w:vAlign w:val="bottom"/>
          </w:tcPr>
          <w:p w:rsidRPr="006D0DA9" w:rsidR="00E463E6" w:rsidP="00BE5099" w:rsidRDefault="00E463E6" w14:paraId="46ED6BA0" w14:textId="77777777">
            <w:pPr>
              <w:spacing w:line="276" w:lineRule="auto"/>
              <w:jc w:val="right"/>
              <w:rPr>
                <w:szCs w:val="24"/>
                <w:lang w:val="it-IT"/>
              </w:rPr>
            </w:pPr>
          </w:p>
        </w:tc>
        <w:tc>
          <w:tcPr>
            <w:tcW w:w="1260" w:type="dxa"/>
            <w:vAlign w:val="bottom"/>
          </w:tcPr>
          <w:p w:rsidRPr="006D0DA9" w:rsidR="00E463E6" w:rsidP="00BE5099" w:rsidRDefault="00E463E6" w14:paraId="1D46C254" w14:textId="77777777">
            <w:pPr>
              <w:spacing w:line="276" w:lineRule="auto"/>
              <w:jc w:val="right"/>
              <w:rPr>
                <w:szCs w:val="24"/>
                <w:lang w:val="it-IT"/>
              </w:rPr>
            </w:pPr>
          </w:p>
        </w:tc>
        <w:tc>
          <w:tcPr>
            <w:tcW w:w="1260" w:type="dxa"/>
            <w:vAlign w:val="bottom"/>
          </w:tcPr>
          <w:p w:rsidRPr="006D0DA9" w:rsidR="00E463E6" w:rsidP="00BE5099" w:rsidRDefault="00E463E6" w14:paraId="3E99C4E4" w14:textId="77777777">
            <w:pPr>
              <w:spacing w:line="276" w:lineRule="auto"/>
              <w:jc w:val="right"/>
              <w:rPr>
                <w:szCs w:val="24"/>
                <w:lang w:val="it-IT"/>
              </w:rPr>
            </w:pPr>
          </w:p>
        </w:tc>
      </w:tr>
      <w:tr w:rsidRPr="00E139C5" w:rsidR="00E463E6" w:rsidTr="00BE5099" w14:paraId="3A1BC726" w14:textId="77777777">
        <w:trPr>
          <w:trHeight w:val="285"/>
        </w:trPr>
        <w:tc>
          <w:tcPr>
            <w:tcW w:w="3145" w:type="dxa"/>
            <w:hideMark/>
          </w:tcPr>
          <w:p w:rsidRPr="00E139C5" w:rsidR="00E463E6" w:rsidP="00BE5099" w:rsidRDefault="00E463E6" w14:paraId="5E10EBFD" w14:textId="77777777">
            <w:pPr>
              <w:spacing w:line="276" w:lineRule="auto"/>
              <w:rPr>
                <w:b/>
                <w:bCs/>
                <w:szCs w:val="24"/>
              </w:rPr>
            </w:pPr>
            <w:r w:rsidRPr="00E139C5">
              <w:rPr>
                <w:b/>
                <w:bCs/>
                <w:szCs w:val="24"/>
              </w:rPr>
              <w:t xml:space="preserve">Kosto në total </w:t>
            </w:r>
          </w:p>
        </w:tc>
        <w:tc>
          <w:tcPr>
            <w:tcW w:w="1350" w:type="dxa"/>
            <w:vAlign w:val="bottom"/>
          </w:tcPr>
          <w:p w:rsidRPr="00E139C5" w:rsidR="00E463E6" w:rsidP="00BE5099" w:rsidRDefault="00E463E6" w14:paraId="4A3A41FE" w14:textId="77777777">
            <w:pPr>
              <w:spacing w:line="276" w:lineRule="auto"/>
              <w:ind w:left="-108" w:firstLine="108"/>
              <w:jc w:val="right"/>
              <w:rPr>
                <w:szCs w:val="24"/>
              </w:rPr>
            </w:pPr>
          </w:p>
        </w:tc>
        <w:tc>
          <w:tcPr>
            <w:tcW w:w="1170" w:type="dxa"/>
          </w:tcPr>
          <w:p w:rsidRPr="00E139C5" w:rsidR="00E463E6" w:rsidP="00BE5099" w:rsidRDefault="00E463E6" w14:paraId="38029B7E" w14:textId="77777777">
            <w:pPr>
              <w:spacing w:line="276" w:lineRule="auto"/>
              <w:ind w:left="-108" w:firstLine="108"/>
              <w:jc w:val="right"/>
              <w:rPr>
                <w:szCs w:val="24"/>
              </w:rPr>
            </w:pPr>
          </w:p>
        </w:tc>
        <w:tc>
          <w:tcPr>
            <w:tcW w:w="1080" w:type="dxa"/>
          </w:tcPr>
          <w:p w:rsidRPr="00E139C5" w:rsidR="00E463E6" w:rsidP="00BE5099" w:rsidRDefault="00E463E6" w14:paraId="57141207" w14:textId="77777777">
            <w:pPr>
              <w:spacing w:line="276" w:lineRule="auto"/>
              <w:jc w:val="right"/>
              <w:rPr>
                <w:szCs w:val="24"/>
              </w:rPr>
            </w:pPr>
          </w:p>
        </w:tc>
        <w:tc>
          <w:tcPr>
            <w:tcW w:w="1170" w:type="dxa"/>
          </w:tcPr>
          <w:p w:rsidRPr="00E139C5" w:rsidR="00E463E6" w:rsidP="00BE5099" w:rsidRDefault="00E463E6" w14:paraId="38048DE8" w14:textId="77777777">
            <w:pPr>
              <w:spacing w:line="276" w:lineRule="auto"/>
              <w:jc w:val="right"/>
              <w:rPr>
                <w:szCs w:val="24"/>
              </w:rPr>
            </w:pPr>
          </w:p>
        </w:tc>
        <w:tc>
          <w:tcPr>
            <w:tcW w:w="1080" w:type="dxa"/>
          </w:tcPr>
          <w:p w:rsidRPr="00E139C5" w:rsidR="00E463E6" w:rsidP="00BE5099" w:rsidRDefault="00E463E6" w14:paraId="21C4BE52" w14:textId="77777777">
            <w:pPr>
              <w:spacing w:line="276" w:lineRule="auto"/>
              <w:jc w:val="right"/>
              <w:rPr>
                <w:szCs w:val="24"/>
              </w:rPr>
            </w:pPr>
          </w:p>
        </w:tc>
        <w:tc>
          <w:tcPr>
            <w:tcW w:w="1260" w:type="dxa"/>
          </w:tcPr>
          <w:p w:rsidRPr="00E139C5" w:rsidR="00E463E6" w:rsidP="00BE5099" w:rsidRDefault="00E463E6" w14:paraId="13C61CBE" w14:textId="77777777">
            <w:pPr>
              <w:spacing w:line="276" w:lineRule="auto"/>
              <w:jc w:val="right"/>
              <w:rPr>
                <w:szCs w:val="24"/>
              </w:rPr>
            </w:pPr>
          </w:p>
        </w:tc>
        <w:tc>
          <w:tcPr>
            <w:tcW w:w="1080" w:type="dxa"/>
          </w:tcPr>
          <w:p w:rsidRPr="00E139C5" w:rsidR="00E463E6" w:rsidP="00BE5099" w:rsidRDefault="00E463E6" w14:paraId="32496D68" w14:textId="77777777">
            <w:pPr>
              <w:spacing w:line="276" w:lineRule="auto"/>
              <w:jc w:val="right"/>
              <w:rPr>
                <w:szCs w:val="24"/>
              </w:rPr>
            </w:pPr>
          </w:p>
        </w:tc>
        <w:tc>
          <w:tcPr>
            <w:tcW w:w="1260" w:type="dxa"/>
          </w:tcPr>
          <w:p w:rsidRPr="00E139C5" w:rsidR="00E463E6" w:rsidP="00BE5099" w:rsidRDefault="00E463E6" w14:paraId="45F6F417" w14:textId="77777777">
            <w:pPr>
              <w:spacing w:line="276" w:lineRule="auto"/>
              <w:jc w:val="right"/>
              <w:rPr>
                <w:szCs w:val="24"/>
              </w:rPr>
            </w:pPr>
          </w:p>
        </w:tc>
        <w:tc>
          <w:tcPr>
            <w:tcW w:w="1260" w:type="dxa"/>
          </w:tcPr>
          <w:p w:rsidRPr="00E139C5" w:rsidR="00E463E6" w:rsidP="00BE5099" w:rsidRDefault="00E463E6" w14:paraId="2DFEF0DF" w14:textId="77777777">
            <w:pPr>
              <w:spacing w:line="276" w:lineRule="auto"/>
              <w:jc w:val="right"/>
              <w:rPr>
                <w:szCs w:val="24"/>
              </w:rPr>
            </w:pPr>
          </w:p>
        </w:tc>
        <w:tc>
          <w:tcPr>
            <w:tcW w:w="1260" w:type="dxa"/>
          </w:tcPr>
          <w:p w:rsidRPr="00E139C5" w:rsidR="00E463E6" w:rsidP="00BE5099" w:rsidRDefault="00E463E6" w14:paraId="286B5EAC" w14:textId="77777777">
            <w:pPr>
              <w:spacing w:line="276" w:lineRule="auto"/>
              <w:jc w:val="right"/>
              <w:rPr>
                <w:szCs w:val="24"/>
              </w:rPr>
            </w:pPr>
          </w:p>
        </w:tc>
      </w:tr>
      <w:tr w:rsidRPr="00E75562" w:rsidR="00E463E6" w:rsidTr="00BE5099" w14:paraId="26C8C131" w14:textId="77777777">
        <w:trPr>
          <w:trHeight w:val="375"/>
        </w:trPr>
        <w:tc>
          <w:tcPr>
            <w:tcW w:w="3145" w:type="dxa"/>
            <w:hideMark/>
          </w:tcPr>
          <w:p w:rsidRPr="00525217" w:rsidR="00E463E6" w:rsidP="00BE5099" w:rsidRDefault="00E463E6" w14:paraId="56B3CE67" w14:textId="77777777">
            <w:pPr>
              <w:spacing w:line="276" w:lineRule="auto"/>
              <w:rPr>
                <w:bCs/>
                <w:szCs w:val="24"/>
                <w:lang w:val="de-DE"/>
              </w:rPr>
            </w:pPr>
            <w:r w:rsidRPr="00525217">
              <w:rPr>
                <w:b/>
                <w:bCs/>
                <w:szCs w:val="24"/>
                <w:lang w:val="de-DE"/>
              </w:rPr>
              <w:t>Kosto e zbritur</w:t>
            </w:r>
            <w:r w:rsidRPr="00525217">
              <w:rPr>
                <w:szCs w:val="24"/>
                <w:lang w:val="de-DE"/>
              </w:rPr>
              <w:t>= Kosto në total x Faktori zbritës</w:t>
            </w:r>
          </w:p>
        </w:tc>
        <w:tc>
          <w:tcPr>
            <w:tcW w:w="1350" w:type="dxa"/>
            <w:vAlign w:val="bottom"/>
          </w:tcPr>
          <w:p w:rsidRPr="00525217" w:rsidR="00E463E6" w:rsidP="00BE5099" w:rsidRDefault="00E463E6" w14:paraId="4B0217D7" w14:textId="77777777">
            <w:pPr>
              <w:spacing w:line="276" w:lineRule="auto"/>
              <w:ind w:left="-108" w:firstLine="108"/>
              <w:jc w:val="right"/>
              <w:rPr>
                <w:szCs w:val="24"/>
                <w:lang w:val="de-DE"/>
              </w:rPr>
            </w:pPr>
          </w:p>
        </w:tc>
        <w:tc>
          <w:tcPr>
            <w:tcW w:w="1170" w:type="dxa"/>
            <w:vAlign w:val="bottom"/>
          </w:tcPr>
          <w:p w:rsidRPr="00525217" w:rsidR="00E463E6" w:rsidP="00BE5099" w:rsidRDefault="00E463E6" w14:paraId="2A596574" w14:textId="77777777">
            <w:pPr>
              <w:spacing w:line="276" w:lineRule="auto"/>
              <w:ind w:left="-108" w:firstLine="108"/>
              <w:jc w:val="right"/>
              <w:rPr>
                <w:szCs w:val="24"/>
                <w:lang w:val="de-DE"/>
              </w:rPr>
            </w:pPr>
          </w:p>
        </w:tc>
        <w:tc>
          <w:tcPr>
            <w:tcW w:w="1080" w:type="dxa"/>
            <w:vAlign w:val="bottom"/>
          </w:tcPr>
          <w:p w:rsidRPr="00525217" w:rsidR="00E463E6" w:rsidP="00BE5099" w:rsidRDefault="00E463E6" w14:paraId="4295DE85" w14:textId="77777777">
            <w:pPr>
              <w:spacing w:line="276" w:lineRule="auto"/>
              <w:jc w:val="right"/>
              <w:rPr>
                <w:szCs w:val="24"/>
                <w:lang w:val="de-DE"/>
              </w:rPr>
            </w:pPr>
          </w:p>
        </w:tc>
        <w:tc>
          <w:tcPr>
            <w:tcW w:w="1170" w:type="dxa"/>
            <w:vAlign w:val="bottom"/>
          </w:tcPr>
          <w:p w:rsidRPr="00525217" w:rsidR="00E463E6" w:rsidP="00BE5099" w:rsidRDefault="00E463E6" w14:paraId="0A8663D2" w14:textId="77777777">
            <w:pPr>
              <w:spacing w:line="276" w:lineRule="auto"/>
              <w:jc w:val="right"/>
              <w:rPr>
                <w:szCs w:val="24"/>
                <w:lang w:val="de-DE"/>
              </w:rPr>
            </w:pPr>
          </w:p>
        </w:tc>
        <w:tc>
          <w:tcPr>
            <w:tcW w:w="1080" w:type="dxa"/>
            <w:vAlign w:val="bottom"/>
          </w:tcPr>
          <w:p w:rsidRPr="00525217" w:rsidR="00E463E6" w:rsidP="00BE5099" w:rsidRDefault="00E463E6" w14:paraId="60B0180C" w14:textId="77777777">
            <w:pPr>
              <w:spacing w:line="276" w:lineRule="auto"/>
              <w:jc w:val="right"/>
              <w:rPr>
                <w:szCs w:val="24"/>
                <w:lang w:val="de-DE"/>
              </w:rPr>
            </w:pPr>
          </w:p>
        </w:tc>
        <w:tc>
          <w:tcPr>
            <w:tcW w:w="1260" w:type="dxa"/>
            <w:vAlign w:val="bottom"/>
          </w:tcPr>
          <w:p w:rsidRPr="00525217" w:rsidR="00E463E6" w:rsidP="00BE5099" w:rsidRDefault="00E463E6" w14:paraId="5E977D5E" w14:textId="77777777">
            <w:pPr>
              <w:spacing w:line="276" w:lineRule="auto"/>
              <w:jc w:val="right"/>
              <w:rPr>
                <w:szCs w:val="24"/>
                <w:lang w:val="de-DE"/>
              </w:rPr>
            </w:pPr>
          </w:p>
        </w:tc>
        <w:tc>
          <w:tcPr>
            <w:tcW w:w="1080" w:type="dxa"/>
            <w:vAlign w:val="bottom"/>
          </w:tcPr>
          <w:p w:rsidRPr="00525217" w:rsidR="00E463E6" w:rsidP="00BE5099" w:rsidRDefault="00E463E6" w14:paraId="74B16666" w14:textId="77777777">
            <w:pPr>
              <w:spacing w:line="276" w:lineRule="auto"/>
              <w:jc w:val="right"/>
              <w:rPr>
                <w:szCs w:val="24"/>
                <w:lang w:val="de-DE"/>
              </w:rPr>
            </w:pPr>
          </w:p>
        </w:tc>
        <w:tc>
          <w:tcPr>
            <w:tcW w:w="1260" w:type="dxa"/>
            <w:vAlign w:val="bottom"/>
          </w:tcPr>
          <w:p w:rsidRPr="00525217" w:rsidR="00E463E6" w:rsidP="00BE5099" w:rsidRDefault="00E463E6" w14:paraId="54B23C6F" w14:textId="77777777">
            <w:pPr>
              <w:spacing w:line="276" w:lineRule="auto"/>
              <w:jc w:val="right"/>
              <w:rPr>
                <w:szCs w:val="24"/>
                <w:lang w:val="de-DE"/>
              </w:rPr>
            </w:pPr>
          </w:p>
        </w:tc>
        <w:tc>
          <w:tcPr>
            <w:tcW w:w="1260" w:type="dxa"/>
            <w:vAlign w:val="bottom"/>
          </w:tcPr>
          <w:p w:rsidRPr="00525217" w:rsidR="00E463E6" w:rsidP="00BE5099" w:rsidRDefault="00E463E6" w14:paraId="54C53F05" w14:textId="77777777">
            <w:pPr>
              <w:spacing w:line="276" w:lineRule="auto"/>
              <w:jc w:val="right"/>
              <w:rPr>
                <w:szCs w:val="24"/>
                <w:lang w:val="de-DE"/>
              </w:rPr>
            </w:pPr>
          </w:p>
        </w:tc>
        <w:tc>
          <w:tcPr>
            <w:tcW w:w="1260" w:type="dxa"/>
            <w:vAlign w:val="bottom"/>
          </w:tcPr>
          <w:p w:rsidRPr="00525217" w:rsidR="00E463E6" w:rsidP="00BE5099" w:rsidRDefault="00E463E6" w14:paraId="2E0F94B5" w14:textId="77777777">
            <w:pPr>
              <w:spacing w:line="276" w:lineRule="auto"/>
              <w:jc w:val="right"/>
              <w:rPr>
                <w:szCs w:val="24"/>
                <w:lang w:val="de-DE"/>
              </w:rPr>
            </w:pPr>
          </w:p>
        </w:tc>
      </w:tr>
      <w:tr w:rsidRPr="00525217" w:rsidR="00E463E6" w:rsidTr="00BE5099" w14:paraId="29A54C43" w14:textId="77777777">
        <w:trPr>
          <w:trHeight w:val="255"/>
        </w:trPr>
        <w:tc>
          <w:tcPr>
            <w:tcW w:w="3145" w:type="dxa"/>
            <w:hideMark/>
          </w:tcPr>
          <w:p w:rsidRPr="00525217" w:rsidR="00E463E6" w:rsidP="00BE5099" w:rsidRDefault="00E463E6" w14:paraId="7EA83BAE" w14:textId="77777777">
            <w:pPr>
              <w:spacing w:line="276" w:lineRule="auto"/>
              <w:rPr>
                <w:szCs w:val="24"/>
                <w:lang w:val="de-DE"/>
              </w:rPr>
            </w:pPr>
            <w:r w:rsidRPr="00525217">
              <w:rPr>
                <w:szCs w:val="24"/>
                <w:lang w:val="de-DE"/>
              </w:rPr>
              <w:t>Përfitimet për buxhetin – një herë</w:t>
            </w:r>
          </w:p>
        </w:tc>
        <w:tc>
          <w:tcPr>
            <w:tcW w:w="1350" w:type="dxa"/>
            <w:vAlign w:val="bottom"/>
          </w:tcPr>
          <w:p w:rsidRPr="00525217" w:rsidR="00E463E6" w:rsidP="00BE5099" w:rsidRDefault="00E463E6" w14:paraId="17067BF9" w14:textId="77777777">
            <w:pPr>
              <w:spacing w:line="276" w:lineRule="auto"/>
              <w:ind w:left="-108" w:firstLine="108"/>
              <w:jc w:val="right"/>
              <w:rPr>
                <w:szCs w:val="24"/>
                <w:lang w:val="de-DE"/>
              </w:rPr>
            </w:pPr>
          </w:p>
        </w:tc>
        <w:tc>
          <w:tcPr>
            <w:tcW w:w="1170" w:type="dxa"/>
            <w:vAlign w:val="bottom"/>
          </w:tcPr>
          <w:p w:rsidRPr="00525217" w:rsidR="00E463E6" w:rsidP="00BE5099" w:rsidRDefault="00E463E6" w14:paraId="6ECEB960" w14:textId="77777777">
            <w:pPr>
              <w:spacing w:line="276" w:lineRule="auto"/>
              <w:ind w:left="-108" w:firstLine="108"/>
              <w:jc w:val="right"/>
              <w:rPr>
                <w:szCs w:val="24"/>
                <w:lang w:val="de-DE"/>
              </w:rPr>
            </w:pPr>
          </w:p>
        </w:tc>
        <w:tc>
          <w:tcPr>
            <w:tcW w:w="1080" w:type="dxa"/>
            <w:vAlign w:val="bottom"/>
          </w:tcPr>
          <w:p w:rsidRPr="00525217" w:rsidR="00E463E6" w:rsidP="00BE5099" w:rsidRDefault="00E463E6" w14:paraId="0BAA8161" w14:textId="77777777">
            <w:pPr>
              <w:spacing w:line="276" w:lineRule="auto"/>
              <w:jc w:val="right"/>
              <w:rPr>
                <w:szCs w:val="24"/>
                <w:lang w:val="de-DE"/>
              </w:rPr>
            </w:pPr>
          </w:p>
        </w:tc>
        <w:tc>
          <w:tcPr>
            <w:tcW w:w="1170" w:type="dxa"/>
            <w:vAlign w:val="bottom"/>
          </w:tcPr>
          <w:p w:rsidRPr="00525217" w:rsidR="00E463E6" w:rsidP="00BE5099" w:rsidRDefault="00E463E6" w14:paraId="27321020" w14:textId="77777777">
            <w:pPr>
              <w:spacing w:line="276" w:lineRule="auto"/>
              <w:jc w:val="right"/>
              <w:rPr>
                <w:szCs w:val="24"/>
                <w:lang w:val="de-DE"/>
              </w:rPr>
            </w:pPr>
          </w:p>
        </w:tc>
        <w:tc>
          <w:tcPr>
            <w:tcW w:w="1080" w:type="dxa"/>
            <w:vAlign w:val="bottom"/>
          </w:tcPr>
          <w:p w:rsidRPr="00525217" w:rsidR="00E463E6" w:rsidP="00BE5099" w:rsidRDefault="00E463E6" w14:paraId="46A163B5" w14:textId="77777777">
            <w:pPr>
              <w:spacing w:line="276" w:lineRule="auto"/>
              <w:jc w:val="right"/>
              <w:rPr>
                <w:szCs w:val="24"/>
                <w:lang w:val="de-DE"/>
              </w:rPr>
            </w:pPr>
          </w:p>
        </w:tc>
        <w:tc>
          <w:tcPr>
            <w:tcW w:w="1260" w:type="dxa"/>
            <w:vAlign w:val="bottom"/>
          </w:tcPr>
          <w:p w:rsidRPr="00525217" w:rsidR="00E463E6" w:rsidP="00BE5099" w:rsidRDefault="00E463E6" w14:paraId="387AE68E" w14:textId="77777777">
            <w:pPr>
              <w:spacing w:line="276" w:lineRule="auto"/>
              <w:jc w:val="right"/>
              <w:rPr>
                <w:szCs w:val="24"/>
                <w:lang w:val="de-DE"/>
              </w:rPr>
            </w:pPr>
          </w:p>
        </w:tc>
        <w:tc>
          <w:tcPr>
            <w:tcW w:w="1080" w:type="dxa"/>
            <w:vAlign w:val="bottom"/>
          </w:tcPr>
          <w:p w:rsidRPr="00525217" w:rsidR="00E463E6" w:rsidP="00BE5099" w:rsidRDefault="00E463E6" w14:paraId="5DEB9A38" w14:textId="77777777">
            <w:pPr>
              <w:spacing w:line="276" w:lineRule="auto"/>
              <w:jc w:val="right"/>
              <w:rPr>
                <w:szCs w:val="24"/>
                <w:lang w:val="de-DE"/>
              </w:rPr>
            </w:pPr>
          </w:p>
        </w:tc>
        <w:tc>
          <w:tcPr>
            <w:tcW w:w="1260" w:type="dxa"/>
            <w:vAlign w:val="bottom"/>
          </w:tcPr>
          <w:p w:rsidRPr="00525217" w:rsidR="00E463E6" w:rsidP="00BE5099" w:rsidRDefault="00E463E6" w14:paraId="32883EDF" w14:textId="77777777">
            <w:pPr>
              <w:spacing w:line="276" w:lineRule="auto"/>
              <w:jc w:val="right"/>
              <w:rPr>
                <w:szCs w:val="24"/>
                <w:lang w:val="de-DE"/>
              </w:rPr>
            </w:pPr>
          </w:p>
        </w:tc>
        <w:tc>
          <w:tcPr>
            <w:tcW w:w="1260" w:type="dxa"/>
            <w:vAlign w:val="bottom"/>
          </w:tcPr>
          <w:p w:rsidRPr="00525217" w:rsidR="00E463E6" w:rsidP="00BE5099" w:rsidRDefault="00E463E6" w14:paraId="2FE0B366" w14:textId="77777777">
            <w:pPr>
              <w:spacing w:line="276" w:lineRule="auto"/>
              <w:jc w:val="right"/>
              <w:rPr>
                <w:szCs w:val="24"/>
                <w:lang w:val="de-DE"/>
              </w:rPr>
            </w:pPr>
          </w:p>
        </w:tc>
        <w:tc>
          <w:tcPr>
            <w:tcW w:w="1260" w:type="dxa"/>
            <w:vAlign w:val="bottom"/>
          </w:tcPr>
          <w:p w:rsidRPr="00525217" w:rsidR="00E463E6" w:rsidP="00BE5099" w:rsidRDefault="00E463E6" w14:paraId="5A4F2758" w14:textId="77777777">
            <w:pPr>
              <w:spacing w:line="276" w:lineRule="auto"/>
              <w:jc w:val="right"/>
              <w:rPr>
                <w:szCs w:val="24"/>
                <w:lang w:val="de-DE"/>
              </w:rPr>
            </w:pPr>
          </w:p>
        </w:tc>
      </w:tr>
      <w:tr w:rsidRPr="00E139C5" w:rsidR="00E463E6" w:rsidTr="00BE5099" w14:paraId="7F40719E" w14:textId="77777777">
        <w:trPr>
          <w:trHeight w:val="255"/>
        </w:trPr>
        <w:tc>
          <w:tcPr>
            <w:tcW w:w="3145" w:type="dxa"/>
            <w:hideMark/>
          </w:tcPr>
          <w:p w:rsidRPr="00525217" w:rsidR="00E463E6" w:rsidP="00BE5099" w:rsidRDefault="00E463E6" w14:paraId="456B7264" w14:textId="77777777">
            <w:pPr>
              <w:spacing w:line="276" w:lineRule="auto"/>
              <w:rPr>
                <w:szCs w:val="24"/>
                <w:lang w:val="de-DE"/>
              </w:rPr>
            </w:pPr>
            <w:r w:rsidRPr="00525217">
              <w:rPr>
                <w:szCs w:val="24"/>
                <w:lang w:val="de-DE"/>
              </w:rPr>
              <w:t>Përfitimet për buxhetin – në vazhdimësi</w:t>
            </w:r>
          </w:p>
        </w:tc>
        <w:tc>
          <w:tcPr>
            <w:tcW w:w="1350" w:type="dxa"/>
            <w:vAlign w:val="bottom"/>
          </w:tcPr>
          <w:p w:rsidRPr="00E139C5" w:rsidR="00E463E6" w:rsidP="00BE5099" w:rsidRDefault="00E463E6" w14:paraId="46104E2E" w14:textId="77777777">
            <w:pPr>
              <w:spacing w:line="276" w:lineRule="auto"/>
              <w:ind w:left="-108" w:firstLine="108"/>
              <w:jc w:val="right"/>
              <w:rPr>
                <w:szCs w:val="24"/>
              </w:rPr>
            </w:pPr>
            <w:r>
              <w:rPr>
                <w:color w:val="000000"/>
              </w:rPr>
              <w:t>472</w:t>
            </w:r>
          </w:p>
        </w:tc>
        <w:tc>
          <w:tcPr>
            <w:tcW w:w="1170" w:type="dxa"/>
            <w:vAlign w:val="bottom"/>
          </w:tcPr>
          <w:p w:rsidRPr="00E139C5" w:rsidR="00E463E6" w:rsidP="00BE5099" w:rsidRDefault="00E463E6" w14:paraId="7A940B1B" w14:textId="77777777">
            <w:pPr>
              <w:spacing w:line="276" w:lineRule="auto"/>
              <w:ind w:left="-108" w:firstLine="108"/>
              <w:jc w:val="right"/>
              <w:rPr>
                <w:szCs w:val="24"/>
              </w:rPr>
            </w:pPr>
            <w:r>
              <w:rPr>
                <w:color w:val="000000"/>
              </w:rPr>
              <w:t>472</w:t>
            </w:r>
          </w:p>
        </w:tc>
        <w:tc>
          <w:tcPr>
            <w:tcW w:w="1080" w:type="dxa"/>
            <w:vAlign w:val="bottom"/>
          </w:tcPr>
          <w:p w:rsidRPr="00E139C5" w:rsidR="00E463E6" w:rsidP="00BE5099" w:rsidRDefault="00E463E6" w14:paraId="1C7B0731" w14:textId="77777777">
            <w:pPr>
              <w:spacing w:line="276" w:lineRule="auto"/>
              <w:jc w:val="right"/>
              <w:rPr>
                <w:szCs w:val="24"/>
              </w:rPr>
            </w:pPr>
            <w:r>
              <w:rPr>
                <w:color w:val="000000"/>
              </w:rPr>
              <w:t>472</w:t>
            </w:r>
          </w:p>
        </w:tc>
        <w:tc>
          <w:tcPr>
            <w:tcW w:w="1170" w:type="dxa"/>
            <w:vAlign w:val="bottom"/>
          </w:tcPr>
          <w:p w:rsidRPr="00E139C5" w:rsidR="00E463E6" w:rsidP="00BE5099" w:rsidRDefault="00E463E6" w14:paraId="36CFAA5C" w14:textId="77777777">
            <w:pPr>
              <w:spacing w:line="276" w:lineRule="auto"/>
              <w:jc w:val="right"/>
              <w:rPr>
                <w:szCs w:val="24"/>
              </w:rPr>
            </w:pPr>
            <w:r>
              <w:rPr>
                <w:color w:val="000000"/>
              </w:rPr>
              <w:t>472</w:t>
            </w:r>
          </w:p>
        </w:tc>
        <w:tc>
          <w:tcPr>
            <w:tcW w:w="1080" w:type="dxa"/>
            <w:vAlign w:val="bottom"/>
          </w:tcPr>
          <w:p w:rsidRPr="00E139C5" w:rsidR="00E463E6" w:rsidP="00BE5099" w:rsidRDefault="00E463E6" w14:paraId="57C750CE" w14:textId="77777777">
            <w:pPr>
              <w:spacing w:line="276" w:lineRule="auto"/>
              <w:jc w:val="right"/>
              <w:rPr>
                <w:szCs w:val="24"/>
              </w:rPr>
            </w:pPr>
            <w:r>
              <w:rPr>
                <w:color w:val="000000"/>
              </w:rPr>
              <w:t>472</w:t>
            </w:r>
          </w:p>
        </w:tc>
        <w:tc>
          <w:tcPr>
            <w:tcW w:w="1260" w:type="dxa"/>
            <w:vAlign w:val="bottom"/>
          </w:tcPr>
          <w:p w:rsidRPr="00E139C5" w:rsidR="00E463E6" w:rsidP="00BE5099" w:rsidRDefault="00E463E6" w14:paraId="1473D052" w14:textId="77777777">
            <w:pPr>
              <w:spacing w:line="276" w:lineRule="auto"/>
              <w:jc w:val="right"/>
              <w:rPr>
                <w:szCs w:val="24"/>
              </w:rPr>
            </w:pPr>
            <w:r>
              <w:rPr>
                <w:color w:val="000000"/>
              </w:rPr>
              <w:t>472</w:t>
            </w:r>
          </w:p>
        </w:tc>
        <w:tc>
          <w:tcPr>
            <w:tcW w:w="1080" w:type="dxa"/>
            <w:vAlign w:val="bottom"/>
          </w:tcPr>
          <w:p w:rsidRPr="00E139C5" w:rsidR="00E463E6" w:rsidP="00BE5099" w:rsidRDefault="00E463E6" w14:paraId="3A0B9954" w14:textId="77777777">
            <w:pPr>
              <w:spacing w:line="276" w:lineRule="auto"/>
              <w:jc w:val="right"/>
              <w:rPr>
                <w:szCs w:val="24"/>
              </w:rPr>
            </w:pPr>
            <w:r>
              <w:rPr>
                <w:color w:val="000000"/>
              </w:rPr>
              <w:t>472</w:t>
            </w:r>
          </w:p>
        </w:tc>
        <w:tc>
          <w:tcPr>
            <w:tcW w:w="1260" w:type="dxa"/>
            <w:vAlign w:val="bottom"/>
          </w:tcPr>
          <w:p w:rsidRPr="00E139C5" w:rsidR="00E463E6" w:rsidP="00BE5099" w:rsidRDefault="00E463E6" w14:paraId="6A06068D" w14:textId="77777777">
            <w:pPr>
              <w:spacing w:line="276" w:lineRule="auto"/>
              <w:jc w:val="right"/>
              <w:rPr>
                <w:szCs w:val="24"/>
              </w:rPr>
            </w:pPr>
            <w:r>
              <w:rPr>
                <w:color w:val="000000"/>
              </w:rPr>
              <w:t>472</w:t>
            </w:r>
          </w:p>
        </w:tc>
        <w:tc>
          <w:tcPr>
            <w:tcW w:w="1260" w:type="dxa"/>
            <w:vAlign w:val="bottom"/>
          </w:tcPr>
          <w:p w:rsidRPr="00E139C5" w:rsidR="00E463E6" w:rsidP="00BE5099" w:rsidRDefault="00E463E6" w14:paraId="043643AA" w14:textId="77777777">
            <w:pPr>
              <w:spacing w:line="276" w:lineRule="auto"/>
              <w:jc w:val="right"/>
              <w:rPr>
                <w:szCs w:val="24"/>
              </w:rPr>
            </w:pPr>
            <w:r>
              <w:rPr>
                <w:color w:val="000000"/>
              </w:rPr>
              <w:t>472</w:t>
            </w:r>
          </w:p>
        </w:tc>
        <w:tc>
          <w:tcPr>
            <w:tcW w:w="1260" w:type="dxa"/>
            <w:vAlign w:val="bottom"/>
          </w:tcPr>
          <w:p w:rsidRPr="00E139C5" w:rsidR="00E463E6" w:rsidP="00BE5099" w:rsidRDefault="00E463E6" w14:paraId="30CE8E93" w14:textId="77777777">
            <w:pPr>
              <w:spacing w:line="276" w:lineRule="auto"/>
              <w:jc w:val="right"/>
              <w:rPr>
                <w:szCs w:val="24"/>
              </w:rPr>
            </w:pPr>
            <w:r>
              <w:rPr>
                <w:color w:val="000000"/>
              </w:rPr>
              <w:t>472</w:t>
            </w:r>
          </w:p>
        </w:tc>
      </w:tr>
      <w:tr w:rsidRPr="00E139C5" w:rsidR="00E463E6" w:rsidTr="00BE5099" w14:paraId="7FBFA169" w14:textId="77777777">
        <w:trPr>
          <w:trHeight w:val="255"/>
        </w:trPr>
        <w:tc>
          <w:tcPr>
            <w:tcW w:w="3145" w:type="dxa"/>
            <w:hideMark/>
          </w:tcPr>
          <w:p w:rsidRPr="00E139C5" w:rsidR="00E463E6" w:rsidP="00BE5099" w:rsidRDefault="00E463E6" w14:paraId="6653C0E5" w14:textId="77777777">
            <w:pPr>
              <w:spacing w:line="276" w:lineRule="auto"/>
              <w:rPr>
                <w:szCs w:val="24"/>
              </w:rPr>
            </w:pPr>
            <w:r w:rsidRPr="00E139C5">
              <w:rPr>
                <w:szCs w:val="24"/>
              </w:rPr>
              <w:t>Përfitimet për grupet e tjera – një herë</w:t>
            </w:r>
          </w:p>
        </w:tc>
        <w:tc>
          <w:tcPr>
            <w:tcW w:w="1350" w:type="dxa"/>
            <w:vAlign w:val="bottom"/>
          </w:tcPr>
          <w:p w:rsidRPr="00E139C5" w:rsidR="00E463E6" w:rsidP="00BE5099" w:rsidRDefault="00E463E6" w14:paraId="361BECD4" w14:textId="77777777">
            <w:pPr>
              <w:spacing w:line="276" w:lineRule="auto"/>
              <w:ind w:left="-108" w:firstLine="108"/>
              <w:jc w:val="right"/>
              <w:rPr>
                <w:szCs w:val="24"/>
              </w:rPr>
            </w:pPr>
            <w:r>
              <w:rPr>
                <w:color w:val="000000"/>
              </w:rPr>
              <w:t> </w:t>
            </w:r>
          </w:p>
        </w:tc>
        <w:tc>
          <w:tcPr>
            <w:tcW w:w="1170" w:type="dxa"/>
            <w:vAlign w:val="bottom"/>
          </w:tcPr>
          <w:p w:rsidRPr="00E139C5" w:rsidR="00E463E6" w:rsidP="00BE5099" w:rsidRDefault="00E463E6" w14:paraId="68596079" w14:textId="77777777">
            <w:pPr>
              <w:spacing w:line="276" w:lineRule="auto"/>
              <w:ind w:left="-108" w:firstLine="108"/>
              <w:jc w:val="right"/>
              <w:rPr>
                <w:szCs w:val="24"/>
              </w:rPr>
            </w:pPr>
            <w:r>
              <w:rPr>
                <w:color w:val="000000"/>
              </w:rPr>
              <w:t> </w:t>
            </w:r>
          </w:p>
        </w:tc>
        <w:tc>
          <w:tcPr>
            <w:tcW w:w="1080" w:type="dxa"/>
            <w:vAlign w:val="bottom"/>
          </w:tcPr>
          <w:p w:rsidRPr="00E139C5" w:rsidR="00E463E6" w:rsidP="00BE5099" w:rsidRDefault="00E463E6" w14:paraId="47D6EB88" w14:textId="77777777">
            <w:pPr>
              <w:spacing w:line="276" w:lineRule="auto"/>
              <w:jc w:val="right"/>
              <w:rPr>
                <w:szCs w:val="24"/>
              </w:rPr>
            </w:pPr>
            <w:r>
              <w:rPr>
                <w:color w:val="000000"/>
              </w:rPr>
              <w:t> </w:t>
            </w:r>
          </w:p>
        </w:tc>
        <w:tc>
          <w:tcPr>
            <w:tcW w:w="1170" w:type="dxa"/>
            <w:vAlign w:val="bottom"/>
          </w:tcPr>
          <w:p w:rsidRPr="00E139C5" w:rsidR="00E463E6" w:rsidP="00BE5099" w:rsidRDefault="00E463E6" w14:paraId="1B1697A0" w14:textId="77777777">
            <w:pPr>
              <w:spacing w:line="276" w:lineRule="auto"/>
              <w:jc w:val="right"/>
              <w:rPr>
                <w:szCs w:val="24"/>
              </w:rPr>
            </w:pPr>
            <w:r>
              <w:rPr>
                <w:color w:val="000000"/>
              </w:rPr>
              <w:t> </w:t>
            </w:r>
          </w:p>
        </w:tc>
        <w:tc>
          <w:tcPr>
            <w:tcW w:w="1080" w:type="dxa"/>
            <w:vAlign w:val="bottom"/>
          </w:tcPr>
          <w:p w:rsidRPr="00E139C5" w:rsidR="00E463E6" w:rsidP="00BE5099" w:rsidRDefault="00E463E6" w14:paraId="4CC39916"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06D4B12B" w14:textId="77777777">
            <w:pPr>
              <w:spacing w:line="276" w:lineRule="auto"/>
              <w:jc w:val="right"/>
              <w:rPr>
                <w:szCs w:val="24"/>
              </w:rPr>
            </w:pPr>
            <w:r>
              <w:rPr>
                <w:color w:val="000000"/>
              </w:rPr>
              <w:t> </w:t>
            </w:r>
          </w:p>
        </w:tc>
        <w:tc>
          <w:tcPr>
            <w:tcW w:w="1080" w:type="dxa"/>
            <w:vAlign w:val="bottom"/>
          </w:tcPr>
          <w:p w:rsidRPr="00E139C5" w:rsidR="00E463E6" w:rsidP="00BE5099" w:rsidRDefault="00E463E6" w14:paraId="289D7FBC"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3D3A2338"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7A65DF9A"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314002FE" w14:textId="77777777">
            <w:pPr>
              <w:spacing w:line="276" w:lineRule="auto"/>
              <w:jc w:val="right"/>
              <w:rPr>
                <w:szCs w:val="24"/>
              </w:rPr>
            </w:pPr>
            <w:r>
              <w:rPr>
                <w:color w:val="000000"/>
              </w:rPr>
              <w:t> </w:t>
            </w:r>
          </w:p>
        </w:tc>
      </w:tr>
      <w:tr w:rsidRPr="00E139C5" w:rsidR="00E463E6" w:rsidTr="00BE5099" w14:paraId="4102753C" w14:textId="77777777">
        <w:trPr>
          <w:trHeight w:val="255"/>
        </w:trPr>
        <w:tc>
          <w:tcPr>
            <w:tcW w:w="3145" w:type="dxa"/>
            <w:hideMark/>
          </w:tcPr>
          <w:p w:rsidRPr="00E139C5" w:rsidR="00E463E6" w:rsidP="00BE5099" w:rsidRDefault="00E463E6" w14:paraId="75A042DC" w14:textId="77777777">
            <w:pPr>
              <w:spacing w:line="276" w:lineRule="auto"/>
              <w:rPr>
                <w:szCs w:val="24"/>
              </w:rPr>
            </w:pPr>
            <w:r w:rsidRPr="00E139C5">
              <w:rPr>
                <w:szCs w:val="24"/>
              </w:rPr>
              <w:t>Përfitimet për grupet e tjera – në vazhdimësi</w:t>
            </w:r>
          </w:p>
        </w:tc>
        <w:tc>
          <w:tcPr>
            <w:tcW w:w="1350" w:type="dxa"/>
            <w:vAlign w:val="bottom"/>
          </w:tcPr>
          <w:p w:rsidRPr="00E139C5" w:rsidR="00E463E6" w:rsidP="00BE5099" w:rsidRDefault="00E463E6" w14:paraId="2031ECBB" w14:textId="77777777">
            <w:pPr>
              <w:spacing w:line="276" w:lineRule="auto"/>
              <w:ind w:left="-108" w:firstLine="108"/>
              <w:jc w:val="right"/>
              <w:rPr>
                <w:szCs w:val="24"/>
              </w:rPr>
            </w:pPr>
            <w:r>
              <w:rPr>
                <w:color w:val="000000"/>
              </w:rPr>
              <w:t> </w:t>
            </w:r>
          </w:p>
        </w:tc>
        <w:tc>
          <w:tcPr>
            <w:tcW w:w="1170" w:type="dxa"/>
            <w:vAlign w:val="bottom"/>
          </w:tcPr>
          <w:p w:rsidRPr="00E139C5" w:rsidR="00E463E6" w:rsidP="00BE5099" w:rsidRDefault="00E463E6" w14:paraId="365390AF" w14:textId="77777777">
            <w:pPr>
              <w:spacing w:line="276" w:lineRule="auto"/>
              <w:ind w:left="-108" w:firstLine="108"/>
              <w:jc w:val="right"/>
              <w:rPr>
                <w:szCs w:val="24"/>
              </w:rPr>
            </w:pPr>
            <w:r>
              <w:rPr>
                <w:color w:val="000000"/>
              </w:rPr>
              <w:t> </w:t>
            </w:r>
          </w:p>
        </w:tc>
        <w:tc>
          <w:tcPr>
            <w:tcW w:w="1080" w:type="dxa"/>
            <w:vAlign w:val="bottom"/>
          </w:tcPr>
          <w:p w:rsidRPr="00E139C5" w:rsidR="00E463E6" w:rsidP="00BE5099" w:rsidRDefault="00E463E6" w14:paraId="3EE25FBE" w14:textId="77777777">
            <w:pPr>
              <w:spacing w:line="276" w:lineRule="auto"/>
              <w:jc w:val="right"/>
              <w:rPr>
                <w:szCs w:val="24"/>
              </w:rPr>
            </w:pPr>
            <w:r>
              <w:rPr>
                <w:color w:val="000000"/>
              </w:rPr>
              <w:t> </w:t>
            </w:r>
          </w:p>
        </w:tc>
        <w:tc>
          <w:tcPr>
            <w:tcW w:w="1170" w:type="dxa"/>
            <w:vAlign w:val="bottom"/>
          </w:tcPr>
          <w:p w:rsidRPr="00E139C5" w:rsidR="00E463E6" w:rsidP="00BE5099" w:rsidRDefault="00E463E6" w14:paraId="0D7FD185" w14:textId="77777777">
            <w:pPr>
              <w:spacing w:line="276" w:lineRule="auto"/>
              <w:jc w:val="right"/>
              <w:rPr>
                <w:szCs w:val="24"/>
              </w:rPr>
            </w:pPr>
            <w:r>
              <w:rPr>
                <w:color w:val="000000"/>
              </w:rPr>
              <w:t> </w:t>
            </w:r>
          </w:p>
        </w:tc>
        <w:tc>
          <w:tcPr>
            <w:tcW w:w="1080" w:type="dxa"/>
            <w:vAlign w:val="bottom"/>
          </w:tcPr>
          <w:p w:rsidRPr="00E139C5" w:rsidR="00E463E6" w:rsidP="00BE5099" w:rsidRDefault="00E463E6" w14:paraId="7B959874"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3506A2BC" w14:textId="77777777">
            <w:pPr>
              <w:spacing w:line="276" w:lineRule="auto"/>
              <w:jc w:val="right"/>
              <w:rPr>
                <w:szCs w:val="24"/>
              </w:rPr>
            </w:pPr>
            <w:r>
              <w:rPr>
                <w:color w:val="000000"/>
              </w:rPr>
              <w:t> </w:t>
            </w:r>
          </w:p>
        </w:tc>
        <w:tc>
          <w:tcPr>
            <w:tcW w:w="1080" w:type="dxa"/>
            <w:vAlign w:val="bottom"/>
          </w:tcPr>
          <w:p w:rsidRPr="00E139C5" w:rsidR="00E463E6" w:rsidP="00BE5099" w:rsidRDefault="00E463E6" w14:paraId="5A9DE53B"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766FE797"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3E147FEB"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337C4226" w14:textId="77777777">
            <w:pPr>
              <w:spacing w:line="276" w:lineRule="auto"/>
              <w:jc w:val="right"/>
              <w:rPr>
                <w:szCs w:val="24"/>
              </w:rPr>
            </w:pPr>
            <w:r>
              <w:rPr>
                <w:color w:val="000000"/>
              </w:rPr>
              <w:t> </w:t>
            </w:r>
          </w:p>
        </w:tc>
      </w:tr>
      <w:tr w:rsidRPr="00E139C5" w:rsidR="00E463E6" w:rsidTr="00BE5099" w14:paraId="4A1B90EB" w14:textId="77777777">
        <w:trPr>
          <w:trHeight w:val="255"/>
        </w:trPr>
        <w:tc>
          <w:tcPr>
            <w:tcW w:w="3145" w:type="dxa"/>
            <w:hideMark/>
          </w:tcPr>
          <w:p w:rsidRPr="00E139C5" w:rsidR="00E463E6" w:rsidP="00BE5099" w:rsidRDefault="00E463E6" w14:paraId="165858F0" w14:textId="77777777">
            <w:pPr>
              <w:spacing w:line="276" w:lineRule="auto"/>
              <w:rPr>
                <w:szCs w:val="24"/>
              </w:rPr>
            </w:pPr>
            <w:r w:rsidRPr="00E139C5">
              <w:rPr>
                <w:szCs w:val="24"/>
              </w:rPr>
              <w:t>Përfitimet për biznesin – një herë</w:t>
            </w:r>
          </w:p>
        </w:tc>
        <w:tc>
          <w:tcPr>
            <w:tcW w:w="1350" w:type="dxa"/>
            <w:vAlign w:val="bottom"/>
          </w:tcPr>
          <w:p w:rsidRPr="00E139C5" w:rsidR="00E463E6" w:rsidP="00BE5099" w:rsidRDefault="00E463E6" w14:paraId="5658B65E" w14:textId="77777777">
            <w:pPr>
              <w:spacing w:line="276" w:lineRule="auto"/>
              <w:ind w:left="-108" w:firstLine="108"/>
              <w:jc w:val="right"/>
              <w:rPr>
                <w:szCs w:val="24"/>
              </w:rPr>
            </w:pPr>
            <w:r>
              <w:rPr>
                <w:color w:val="000000"/>
              </w:rPr>
              <w:t> </w:t>
            </w:r>
          </w:p>
        </w:tc>
        <w:tc>
          <w:tcPr>
            <w:tcW w:w="1170" w:type="dxa"/>
            <w:vAlign w:val="bottom"/>
          </w:tcPr>
          <w:p w:rsidRPr="00E139C5" w:rsidR="00E463E6" w:rsidP="00BE5099" w:rsidRDefault="00E463E6" w14:paraId="2459236B" w14:textId="77777777">
            <w:pPr>
              <w:spacing w:line="276" w:lineRule="auto"/>
              <w:ind w:left="-108" w:firstLine="108"/>
              <w:jc w:val="right"/>
              <w:rPr>
                <w:szCs w:val="24"/>
              </w:rPr>
            </w:pPr>
            <w:r>
              <w:rPr>
                <w:color w:val="000000"/>
              </w:rPr>
              <w:t> </w:t>
            </w:r>
          </w:p>
        </w:tc>
        <w:tc>
          <w:tcPr>
            <w:tcW w:w="1080" w:type="dxa"/>
            <w:vAlign w:val="bottom"/>
          </w:tcPr>
          <w:p w:rsidRPr="00E139C5" w:rsidR="00E463E6" w:rsidP="00BE5099" w:rsidRDefault="00E463E6" w14:paraId="0AB08F99" w14:textId="77777777">
            <w:pPr>
              <w:spacing w:line="276" w:lineRule="auto"/>
              <w:jc w:val="right"/>
              <w:rPr>
                <w:szCs w:val="24"/>
              </w:rPr>
            </w:pPr>
            <w:r>
              <w:rPr>
                <w:color w:val="000000"/>
              </w:rPr>
              <w:t> </w:t>
            </w:r>
          </w:p>
        </w:tc>
        <w:tc>
          <w:tcPr>
            <w:tcW w:w="1170" w:type="dxa"/>
            <w:vAlign w:val="bottom"/>
          </w:tcPr>
          <w:p w:rsidRPr="00E139C5" w:rsidR="00E463E6" w:rsidP="00BE5099" w:rsidRDefault="00E463E6" w14:paraId="32819E40" w14:textId="77777777">
            <w:pPr>
              <w:spacing w:line="276" w:lineRule="auto"/>
              <w:jc w:val="right"/>
              <w:rPr>
                <w:szCs w:val="24"/>
              </w:rPr>
            </w:pPr>
            <w:r>
              <w:rPr>
                <w:color w:val="000000"/>
              </w:rPr>
              <w:t> </w:t>
            </w:r>
          </w:p>
        </w:tc>
        <w:tc>
          <w:tcPr>
            <w:tcW w:w="1080" w:type="dxa"/>
            <w:vAlign w:val="bottom"/>
          </w:tcPr>
          <w:p w:rsidRPr="00E139C5" w:rsidR="00E463E6" w:rsidP="00BE5099" w:rsidRDefault="00E463E6" w14:paraId="31A0C389"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7F7A20C7" w14:textId="77777777">
            <w:pPr>
              <w:spacing w:line="276" w:lineRule="auto"/>
              <w:jc w:val="right"/>
              <w:rPr>
                <w:szCs w:val="24"/>
              </w:rPr>
            </w:pPr>
            <w:r>
              <w:rPr>
                <w:color w:val="000000"/>
              </w:rPr>
              <w:t> </w:t>
            </w:r>
          </w:p>
        </w:tc>
        <w:tc>
          <w:tcPr>
            <w:tcW w:w="1080" w:type="dxa"/>
            <w:vAlign w:val="bottom"/>
          </w:tcPr>
          <w:p w:rsidRPr="00E139C5" w:rsidR="00E463E6" w:rsidP="00BE5099" w:rsidRDefault="00E463E6" w14:paraId="0B487379"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7582A220"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2F92962B" w14:textId="77777777">
            <w:pPr>
              <w:spacing w:line="276" w:lineRule="auto"/>
              <w:jc w:val="right"/>
              <w:rPr>
                <w:szCs w:val="24"/>
              </w:rPr>
            </w:pPr>
            <w:r>
              <w:rPr>
                <w:color w:val="000000"/>
              </w:rPr>
              <w:t> </w:t>
            </w:r>
          </w:p>
        </w:tc>
        <w:tc>
          <w:tcPr>
            <w:tcW w:w="1260" w:type="dxa"/>
            <w:vAlign w:val="bottom"/>
          </w:tcPr>
          <w:p w:rsidRPr="00E139C5" w:rsidR="00E463E6" w:rsidP="00BE5099" w:rsidRDefault="00E463E6" w14:paraId="2597C2DE" w14:textId="77777777">
            <w:pPr>
              <w:spacing w:line="276" w:lineRule="auto"/>
              <w:jc w:val="right"/>
              <w:rPr>
                <w:szCs w:val="24"/>
              </w:rPr>
            </w:pPr>
            <w:r>
              <w:rPr>
                <w:color w:val="000000"/>
              </w:rPr>
              <w:t> </w:t>
            </w:r>
          </w:p>
        </w:tc>
      </w:tr>
      <w:tr w:rsidRPr="00E139C5" w:rsidR="00D76AAB" w:rsidTr="00BE5099" w14:paraId="3C11CBDC" w14:textId="77777777">
        <w:trPr>
          <w:trHeight w:val="270"/>
        </w:trPr>
        <w:tc>
          <w:tcPr>
            <w:tcW w:w="3145" w:type="dxa"/>
            <w:hideMark/>
          </w:tcPr>
          <w:p w:rsidRPr="00E139C5" w:rsidR="00D76AAB" w:rsidP="00D76AAB" w:rsidRDefault="00D76AAB" w14:paraId="1E937225" w14:textId="77777777">
            <w:pPr>
              <w:spacing w:line="276" w:lineRule="auto"/>
              <w:rPr>
                <w:szCs w:val="24"/>
              </w:rPr>
            </w:pPr>
            <w:r w:rsidRPr="00E139C5">
              <w:rPr>
                <w:szCs w:val="24"/>
              </w:rPr>
              <w:t>Përfitimet për biznesin – në vazhdimësi</w:t>
            </w:r>
          </w:p>
        </w:tc>
        <w:tc>
          <w:tcPr>
            <w:tcW w:w="1350" w:type="dxa"/>
            <w:vAlign w:val="bottom"/>
          </w:tcPr>
          <w:p w:rsidRPr="00E139C5" w:rsidR="00D76AAB" w:rsidP="00D76AAB" w:rsidRDefault="00D76AAB" w14:paraId="198EC910" w14:textId="2289D146">
            <w:pPr>
              <w:spacing w:line="276" w:lineRule="auto"/>
              <w:ind w:left="-108" w:firstLine="108"/>
              <w:jc w:val="right"/>
              <w:rPr>
                <w:szCs w:val="24"/>
              </w:rPr>
            </w:pPr>
            <w:r>
              <w:rPr>
                <w:color w:val="000000"/>
              </w:rPr>
              <w:t>472</w:t>
            </w:r>
          </w:p>
        </w:tc>
        <w:tc>
          <w:tcPr>
            <w:tcW w:w="1170" w:type="dxa"/>
            <w:vAlign w:val="bottom"/>
          </w:tcPr>
          <w:p w:rsidRPr="00E139C5" w:rsidR="00D76AAB" w:rsidP="00D76AAB" w:rsidRDefault="00D76AAB" w14:paraId="15C43991" w14:textId="1C2E2FBE">
            <w:pPr>
              <w:spacing w:line="276" w:lineRule="auto"/>
              <w:ind w:left="-108" w:firstLine="108"/>
              <w:jc w:val="right"/>
              <w:rPr>
                <w:szCs w:val="24"/>
              </w:rPr>
            </w:pPr>
            <w:r>
              <w:rPr>
                <w:color w:val="000000"/>
              </w:rPr>
              <w:t>472</w:t>
            </w:r>
          </w:p>
        </w:tc>
        <w:tc>
          <w:tcPr>
            <w:tcW w:w="1080" w:type="dxa"/>
            <w:vAlign w:val="bottom"/>
          </w:tcPr>
          <w:p w:rsidRPr="00E139C5" w:rsidR="00D76AAB" w:rsidP="00D76AAB" w:rsidRDefault="00D76AAB" w14:paraId="23E11F7B" w14:textId="32EA402D">
            <w:pPr>
              <w:spacing w:line="276" w:lineRule="auto"/>
              <w:jc w:val="right"/>
              <w:rPr>
                <w:szCs w:val="24"/>
              </w:rPr>
            </w:pPr>
            <w:r>
              <w:rPr>
                <w:color w:val="000000"/>
              </w:rPr>
              <w:t>472</w:t>
            </w:r>
          </w:p>
        </w:tc>
        <w:tc>
          <w:tcPr>
            <w:tcW w:w="1170" w:type="dxa"/>
            <w:vAlign w:val="bottom"/>
          </w:tcPr>
          <w:p w:rsidRPr="00E139C5" w:rsidR="00D76AAB" w:rsidP="00D76AAB" w:rsidRDefault="00D76AAB" w14:paraId="0E81872E" w14:textId="5FACC202">
            <w:pPr>
              <w:spacing w:line="276" w:lineRule="auto"/>
              <w:jc w:val="right"/>
              <w:rPr>
                <w:szCs w:val="24"/>
              </w:rPr>
            </w:pPr>
            <w:r>
              <w:rPr>
                <w:color w:val="000000"/>
              </w:rPr>
              <w:t>472</w:t>
            </w:r>
          </w:p>
        </w:tc>
        <w:tc>
          <w:tcPr>
            <w:tcW w:w="1080" w:type="dxa"/>
            <w:vAlign w:val="bottom"/>
          </w:tcPr>
          <w:p w:rsidRPr="00E139C5" w:rsidR="00D76AAB" w:rsidP="00D76AAB" w:rsidRDefault="00D76AAB" w14:paraId="1A2BACDB" w14:textId="019BA165">
            <w:pPr>
              <w:spacing w:line="276" w:lineRule="auto"/>
              <w:jc w:val="right"/>
              <w:rPr>
                <w:szCs w:val="24"/>
              </w:rPr>
            </w:pPr>
            <w:r>
              <w:rPr>
                <w:color w:val="000000"/>
              </w:rPr>
              <w:t>472</w:t>
            </w:r>
          </w:p>
        </w:tc>
        <w:tc>
          <w:tcPr>
            <w:tcW w:w="1260" w:type="dxa"/>
            <w:vAlign w:val="bottom"/>
          </w:tcPr>
          <w:p w:rsidRPr="00E139C5" w:rsidR="00D76AAB" w:rsidP="00D76AAB" w:rsidRDefault="00D76AAB" w14:paraId="1893096E" w14:textId="4A8B4AED">
            <w:pPr>
              <w:spacing w:line="276" w:lineRule="auto"/>
              <w:jc w:val="right"/>
              <w:rPr>
                <w:szCs w:val="24"/>
              </w:rPr>
            </w:pPr>
            <w:r>
              <w:rPr>
                <w:color w:val="000000"/>
              </w:rPr>
              <w:t>472</w:t>
            </w:r>
          </w:p>
        </w:tc>
        <w:tc>
          <w:tcPr>
            <w:tcW w:w="1080" w:type="dxa"/>
            <w:vAlign w:val="bottom"/>
          </w:tcPr>
          <w:p w:rsidRPr="00E139C5" w:rsidR="00D76AAB" w:rsidP="00D76AAB" w:rsidRDefault="00D76AAB" w14:paraId="5BDD7975" w14:textId="5CC63885">
            <w:pPr>
              <w:spacing w:line="276" w:lineRule="auto"/>
              <w:jc w:val="right"/>
              <w:rPr>
                <w:szCs w:val="24"/>
              </w:rPr>
            </w:pPr>
            <w:r>
              <w:rPr>
                <w:color w:val="000000"/>
              </w:rPr>
              <w:t>472</w:t>
            </w:r>
          </w:p>
        </w:tc>
        <w:tc>
          <w:tcPr>
            <w:tcW w:w="1260" w:type="dxa"/>
            <w:vAlign w:val="bottom"/>
          </w:tcPr>
          <w:p w:rsidRPr="00E139C5" w:rsidR="00D76AAB" w:rsidP="00D76AAB" w:rsidRDefault="00D76AAB" w14:paraId="5A8955B1" w14:textId="3B732421">
            <w:pPr>
              <w:spacing w:line="276" w:lineRule="auto"/>
              <w:jc w:val="right"/>
              <w:rPr>
                <w:szCs w:val="24"/>
              </w:rPr>
            </w:pPr>
            <w:r>
              <w:rPr>
                <w:color w:val="000000"/>
              </w:rPr>
              <w:t>472</w:t>
            </w:r>
          </w:p>
        </w:tc>
        <w:tc>
          <w:tcPr>
            <w:tcW w:w="1260" w:type="dxa"/>
            <w:vAlign w:val="bottom"/>
          </w:tcPr>
          <w:p w:rsidRPr="00E139C5" w:rsidR="00D76AAB" w:rsidP="00D76AAB" w:rsidRDefault="00D76AAB" w14:paraId="61A95F7C" w14:textId="4B3DC959">
            <w:pPr>
              <w:spacing w:line="276" w:lineRule="auto"/>
              <w:jc w:val="right"/>
              <w:rPr>
                <w:szCs w:val="24"/>
              </w:rPr>
            </w:pPr>
            <w:r>
              <w:rPr>
                <w:color w:val="000000"/>
              </w:rPr>
              <w:t>472</w:t>
            </w:r>
          </w:p>
        </w:tc>
        <w:tc>
          <w:tcPr>
            <w:tcW w:w="1260" w:type="dxa"/>
            <w:vAlign w:val="bottom"/>
          </w:tcPr>
          <w:p w:rsidRPr="00E139C5" w:rsidR="00D76AAB" w:rsidP="00D76AAB" w:rsidRDefault="00D76AAB" w14:paraId="39C0FF60" w14:textId="1C62407D">
            <w:pPr>
              <w:spacing w:line="276" w:lineRule="auto"/>
              <w:jc w:val="right"/>
              <w:rPr>
                <w:szCs w:val="24"/>
              </w:rPr>
            </w:pPr>
            <w:r>
              <w:rPr>
                <w:color w:val="000000"/>
              </w:rPr>
              <w:t>472</w:t>
            </w:r>
          </w:p>
        </w:tc>
      </w:tr>
      <w:tr w:rsidRPr="00E139C5" w:rsidR="00D76AAB" w:rsidTr="00BE5099" w14:paraId="04089200" w14:textId="77777777">
        <w:trPr>
          <w:trHeight w:val="285"/>
        </w:trPr>
        <w:tc>
          <w:tcPr>
            <w:tcW w:w="3145" w:type="dxa"/>
            <w:hideMark/>
          </w:tcPr>
          <w:p w:rsidRPr="00E139C5" w:rsidR="00D76AAB" w:rsidP="00D76AAB" w:rsidRDefault="00D76AAB" w14:paraId="11C6836D" w14:textId="77777777">
            <w:pPr>
              <w:spacing w:line="276" w:lineRule="auto"/>
              <w:rPr>
                <w:b/>
                <w:bCs/>
                <w:szCs w:val="24"/>
              </w:rPr>
            </w:pPr>
            <w:r w:rsidRPr="00E139C5">
              <w:rPr>
                <w:b/>
                <w:bCs/>
                <w:szCs w:val="24"/>
              </w:rPr>
              <w:t>Përfitimet totale</w:t>
            </w:r>
          </w:p>
        </w:tc>
        <w:tc>
          <w:tcPr>
            <w:tcW w:w="1350" w:type="dxa"/>
            <w:tcBorders>
              <w:bottom w:val="single" w:color="auto" w:sz="4" w:space="0"/>
            </w:tcBorders>
            <w:vAlign w:val="bottom"/>
          </w:tcPr>
          <w:p w:rsidRPr="00E139C5" w:rsidR="00D76AAB" w:rsidP="00D76AAB" w:rsidRDefault="00D76AAB" w14:paraId="07ACB189" w14:textId="77777777">
            <w:pPr>
              <w:spacing w:line="276" w:lineRule="auto"/>
              <w:ind w:left="-108" w:firstLine="108"/>
              <w:jc w:val="right"/>
              <w:rPr>
                <w:szCs w:val="24"/>
              </w:rPr>
            </w:pPr>
            <w:r>
              <w:rPr>
                <w:color w:val="000000"/>
              </w:rPr>
              <w:t>472</w:t>
            </w:r>
          </w:p>
        </w:tc>
        <w:tc>
          <w:tcPr>
            <w:tcW w:w="1170" w:type="dxa"/>
            <w:tcBorders>
              <w:bottom w:val="single" w:color="auto" w:sz="4" w:space="0"/>
            </w:tcBorders>
            <w:vAlign w:val="bottom"/>
          </w:tcPr>
          <w:p w:rsidRPr="00E139C5" w:rsidR="00D76AAB" w:rsidP="00D76AAB" w:rsidRDefault="00D76AAB" w14:paraId="07238C72" w14:textId="77777777">
            <w:pPr>
              <w:spacing w:line="276" w:lineRule="auto"/>
              <w:ind w:left="-108" w:firstLine="108"/>
              <w:jc w:val="right"/>
              <w:rPr>
                <w:szCs w:val="24"/>
              </w:rPr>
            </w:pPr>
            <w:r>
              <w:rPr>
                <w:color w:val="000000"/>
              </w:rPr>
              <w:t>472</w:t>
            </w:r>
          </w:p>
        </w:tc>
        <w:tc>
          <w:tcPr>
            <w:tcW w:w="1080" w:type="dxa"/>
            <w:tcBorders>
              <w:bottom w:val="single" w:color="auto" w:sz="4" w:space="0"/>
            </w:tcBorders>
            <w:vAlign w:val="bottom"/>
          </w:tcPr>
          <w:p w:rsidRPr="00E139C5" w:rsidR="00D76AAB" w:rsidP="00D76AAB" w:rsidRDefault="00D76AAB" w14:paraId="79CFA350" w14:textId="77777777">
            <w:pPr>
              <w:spacing w:line="276" w:lineRule="auto"/>
              <w:jc w:val="right"/>
              <w:rPr>
                <w:szCs w:val="24"/>
              </w:rPr>
            </w:pPr>
            <w:r>
              <w:rPr>
                <w:color w:val="000000"/>
              </w:rPr>
              <w:t>472</w:t>
            </w:r>
          </w:p>
        </w:tc>
        <w:tc>
          <w:tcPr>
            <w:tcW w:w="1170" w:type="dxa"/>
            <w:tcBorders>
              <w:bottom w:val="single" w:color="auto" w:sz="4" w:space="0"/>
            </w:tcBorders>
            <w:vAlign w:val="bottom"/>
          </w:tcPr>
          <w:p w:rsidRPr="00E139C5" w:rsidR="00D76AAB" w:rsidP="00D76AAB" w:rsidRDefault="00D76AAB" w14:paraId="2DB93338" w14:textId="77777777">
            <w:pPr>
              <w:spacing w:line="276" w:lineRule="auto"/>
              <w:jc w:val="right"/>
              <w:rPr>
                <w:szCs w:val="24"/>
              </w:rPr>
            </w:pPr>
            <w:r>
              <w:rPr>
                <w:color w:val="000000"/>
              </w:rPr>
              <w:t>472</w:t>
            </w:r>
          </w:p>
        </w:tc>
        <w:tc>
          <w:tcPr>
            <w:tcW w:w="1080" w:type="dxa"/>
            <w:tcBorders>
              <w:bottom w:val="single" w:color="auto" w:sz="4" w:space="0"/>
            </w:tcBorders>
            <w:vAlign w:val="bottom"/>
          </w:tcPr>
          <w:p w:rsidRPr="00E139C5" w:rsidR="00D76AAB" w:rsidP="00D76AAB" w:rsidRDefault="00D76AAB" w14:paraId="34EEA843" w14:textId="77777777">
            <w:pPr>
              <w:spacing w:line="276" w:lineRule="auto"/>
              <w:jc w:val="right"/>
              <w:rPr>
                <w:szCs w:val="24"/>
              </w:rPr>
            </w:pPr>
            <w:r>
              <w:rPr>
                <w:color w:val="000000"/>
              </w:rPr>
              <w:t>472</w:t>
            </w:r>
          </w:p>
        </w:tc>
        <w:tc>
          <w:tcPr>
            <w:tcW w:w="1260" w:type="dxa"/>
            <w:tcBorders>
              <w:bottom w:val="single" w:color="auto" w:sz="4" w:space="0"/>
            </w:tcBorders>
            <w:vAlign w:val="bottom"/>
          </w:tcPr>
          <w:p w:rsidRPr="00E139C5" w:rsidR="00D76AAB" w:rsidP="00D76AAB" w:rsidRDefault="00D76AAB" w14:paraId="42B9DFAA" w14:textId="77777777">
            <w:pPr>
              <w:spacing w:line="276" w:lineRule="auto"/>
              <w:jc w:val="right"/>
              <w:rPr>
                <w:szCs w:val="24"/>
              </w:rPr>
            </w:pPr>
            <w:r>
              <w:rPr>
                <w:color w:val="000000"/>
              </w:rPr>
              <w:t>472</w:t>
            </w:r>
          </w:p>
        </w:tc>
        <w:tc>
          <w:tcPr>
            <w:tcW w:w="1080" w:type="dxa"/>
            <w:tcBorders>
              <w:bottom w:val="single" w:color="auto" w:sz="4" w:space="0"/>
            </w:tcBorders>
            <w:vAlign w:val="bottom"/>
          </w:tcPr>
          <w:p w:rsidRPr="00E139C5" w:rsidR="00D76AAB" w:rsidP="00D76AAB" w:rsidRDefault="00D76AAB" w14:paraId="6FC667FA" w14:textId="77777777">
            <w:pPr>
              <w:spacing w:line="276" w:lineRule="auto"/>
              <w:jc w:val="right"/>
              <w:rPr>
                <w:szCs w:val="24"/>
              </w:rPr>
            </w:pPr>
            <w:r>
              <w:rPr>
                <w:color w:val="000000"/>
              </w:rPr>
              <w:t>472</w:t>
            </w:r>
          </w:p>
        </w:tc>
        <w:tc>
          <w:tcPr>
            <w:tcW w:w="1260" w:type="dxa"/>
            <w:tcBorders>
              <w:bottom w:val="single" w:color="auto" w:sz="4" w:space="0"/>
            </w:tcBorders>
            <w:vAlign w:val="bottom"/>
          </w:tcPr>
          <w:p w:rsidRPr="00E139C5" w:rsidR="00D76AAB" w:rsidP="00D76AAB" w:rsidRDefault="00D76AAB" w14:paraId="298FDF41" w14:textId="77777777">
            <w:pPr>
              <w:spacing w:line="276" w:lineRule="auto"/>
              <w:jc w:val="right"/>
              <w:rPr>
                <w:szCs w:val="24"/>
              </w:rPr>
            </w:pPr>
            <w:r>
              <w:rPr>
                <w:color w:val="000000"/>
              </w:rPr>
              <w:t>472</w:t>
            </w:r>
          </w:p>
        </w:tc>
        <w:tc>
          <w:tcPr>
            <w:tcW w:w="1260" w:type="dxa"/>
            <w:tcBorders>
              <w:bottom w:val="single" w:color="auto" w:sz="4" w:space="0"/>
            </w:tcBorders>
            <w:vAlign w:val="bottom"/>
          </w:tcPr>
          <w:p w:rsidRPr="00E139C5" w:rsidR="00D76AAB" w:rsidP="00D76AAB" w:rsidRDefault="00D76AAB" w14:paraId="0F7476CA" w14:textId="77777777">
            <w:pPr>
              <w:spacing w:line="276" w:lineRule="auto"/>
              <w:jc w:val="right"/>
              <w:rPr>
                <w:szCs w:val="24"/>
              </w:rPr>
            </w:pPr>
            <w:r>
              <w:rPr>
                <w:color w:val="000000"/>
              </w:rPr>
              <w:t>472</w:t>
            </w:r>
          </w:p>
        </w:tc>
        <w:tc>
          <w:tcPr>
            <w:tcW w:w="1260" w:type="dxa"/>
            <w:tcBorders>
              <w:bottom w:val="single" w:color="auto" w:sz="4" w:space="0"/>
            </w:tcBorders>
            <w:vAlign w:val="bottom"/>
          </w:tcPr>
          <w:p w:rsidRPr="00E139C5" w:rsidR="00D76AAB" w:rsidP="00D76AAB" w:rsidRDefault="00D76AAB" w14:paraId="01FDE360" w14:textId="77777777">
            <w:pPr>
              <w:spacing w:line="276" w:lineRule="auto"/>
              <w:jc w:val="right"/>
              <w:rPr>
                <w:szCs w:val="24"/>
              </w:rPr>
            </w:pPr>
            <w:r>
              <w:rPr>
                <w:color w:val="000000"/>
              </w:rPr>
              <w:t>472</w:t>
            </w:r>
          </w:p>
        </w:tc>
      </w:tr>
      <w:tr w:rsidRPr="00E139C5" w:rsidR="00D76AAB" w:rsidTr="00BE5099" w14:paraId="1A5E7A27" w14:textId="77777777">
        <w:trPr>
          <w:trHeight w:val="390"/>
        </w:trPr>
        <w:tc>
          <w:tcPr>
            <w:tcW w:w="3145" w:type="dxa"/>
            <w:hideMark/>
          </w:tcPr>
          <w:p w:rsidRPr="00E139C5" w:rsidR="00D76AAB" w:rsidP="00D76AAB" w:rsidRDefault="00D76AAB" w14:paraId="57D5BF5A" w14:textId="77777777">
            <w:pPr>
              <w:spacing w:line="276" w:lineRule="auto"/>
              <w:rPr>
                <w:bCs/>
                <w:szCs w:val="24"/>
              </w:rPr>
            </w:pPr>
            <w:r w:rsidRPr="00E139C5">
              <w:rPr>
                <w:b/>
                <w:bCs/>
                <w:szCs w:val="24"/>
              </w:rPr>
              <w:t>Përfitimi i zbritur</w:t>
            </w:r>
            <w:r w:rsidRPr="00E139C5">
              <w:rPr>
                <w:szCs w:val="24"/>
              </w:rPr>
              <w:t>= Përfitimi në total x faktori zbritës</w:t>
            </w:r>
          </w:p>
        </w:tc>
        <w:tc>
          <w:tcPr>
            <w:tcW w:w="1350" w:type="dxa"/>
            <w:tcBorders>
              <w:bottom w:val="single" w:color="auto" w:sz="4" w:space="0"/>
            </w:tcBorders>
            <w:vAlign w:val="bottom"/>
          </w:tcPr>
          <w:p w:rsidRPr="00E139C5" w:rsidR="00D76AAB" w:rsidP="00D76AAB" w:rsidRDefault="00D76AAB" w14:paraId="3E1AB6C1" w14:textId="77777777">
            <w:pPr>
              <w:spacing w:line="276" w:lineRule="auto"/>
              <w:ind w:left="-108" w:firstLine="108"/>
              <w:jc w:val="right"/>
              <w:rPr>
                <w:szCs w:val="24"/>
              </w:rPr>
            </w:pPr>
            <w:r>
              <w:rPr>
                <w:color w:val="000000"/>
              </w:rPr>
              <w:t>472</w:t>
            </w:r>
          </w:p>
        </w:tc>
        <w:tc>
          <w:tcPr>
            <w:tcW w:w="1170" w:type="dxa"/>
            <w:tcBorders>
              <w:bottom w:val="single" w:color="auto" w:sz="4" w:space="0"/>
            </w:tcBorders>
            <w:vAlign w:val="bottom"/>
          </w:tcPr>
          <w:p w:rsidRPr="00E139C5" w:rsidR="00D76AAB" w:rsidP="00D76AAB" w:rsidRDefault="00D76AAB" w14:paraId="21E1D737" w14:textId="77777777">
            <w:pPr>
              <w:spacing w:line="276" w:lineRule="auto"/>
              <w:ind w:left="-108" w:firstLine="108"/>
              <w:jc w:val="right"/>
              <w:rPr>
                <w:szCs w:val="24"/>
              </w:rPr>
            </w:pPr>
            <w:r>
              <w:rPr>
                <w:color w:val="000000"/>
              </w:rPr>
              <w:t>448.4</w:t>
            </w:r>
          </w:p>
        </w:tc>
        <w:tc>
          <w:tcPr>
            <w:tcW w:w="1080" w:type="dxa"/>
            <w:tcBorders>
              <w:bottom w:val="single" w:color="auto" w:sz="4" w:space="0"/>
            </w:tcBorders>
            <w:vAlign w:val="bottom"/>
          </w:tcPr>
          <w:p w:rsidRPr="00E139C5" w:rsidR="00D76AAB" w:rsidP="00D76AAB" w:rsidRDefault="00D76AAB" w14:paraId="700A2F4C" w14:textId="77777777">
            <w:pPr>
              <w:spacing w:line="276" w:lineRule="auto"/>
              <w:jc w:val="right"/>
              <w:rPr>
                <w:szCs w:val="24"/>
              </w:rPr>
            </w:pPr>
            <w:r>
              <w:rPr>
                <w:color w:val="000000"/>
              </w:rPr>
              <w:t>429.52</w:t>
            </w:r>
          </w:p>
        </w:tc>
        <w:tc>
          <w:tcPr>
            <w:tcW w:w="1170" w:type="dxa"/>
            <w:tcBorders>
              <w:bottom w:val="single" w:color="auto" w:sz="4" w:space="0"/>
            </w:tcBorders>
            <w:vAlign w:val="bottom"/>
          </w:tcPr>
          <w:p w:rsidRPr="00E139C5" w:rsidR="00D76AAB" w:rsidP="00D76AAB" w:rsidRDefault="00D76AAB" w14:paraId="51C55A0A" w14:textId="77777777">
            <w:pPr>
              <w:spacing w:line="276" w:lineRule="auto"/>
              <w:jc w:val="right"/>
              <w:rPr>
                <w:szCs w:val="24"/>
              </w:rPr>
            </w:pPr>
            <w:r>
              <w:rPr>
                <w:color w:val="000000"/>
              </w:rPr>
              <w:t>410.64</w:t>
            </w:r>
          </w:p>
        </w:tc>
        <w:tc>
          <w:tcPr>
            <w:tcW w:w="1080" w:type="dxa"/>
            <w:tcBorders>
              <w:bottom w:val="single" w:color="auto" w:sz="4" w:space="0"/>
            </w:tcBorders>
            <w:vAlign w:val="bottom"/>
          </w:tcPr>
          <w:p w:rsidRPr="00E139C5" w:rsidR="00D76AAB" w:rsidP="00D76AAB" w:rsidRDefault="00D76AAB" w14:paraId="1B1C0CF9" w14:textId="77777777">
            <w:pPr>
              <w:spacing w:line="276" w:lineRule="auto"/>
              <w:jc w:val="right"/>
              <w:rPr>
                <w:szCs w:val="24"/>
              </w:rPr>
            </w:pPr>
            <w:r>
              <w:rPr>
                <w:color w:val="000000"/>
              </w:rPr>
              <w:t>387.04</w:t>
            </w:r>
          </w:p>
        </w:tc>
        <w:tc>
          <w:tcPr>
            <w:tcW w:w="1260" w:type="dxa"/>
            <w:tcBorders>
              <w:bottom w:val="single" w:color="auto" w:sz="4" w:space="0"/>
            </w:tcBorders>
            <w:vAlign w:val="bottom"/>
          </w:tcPr>
          <w:p w:rsidRPr="00E139C5" w:rsidR="00D76AAB" w:rsidP="00D76AAB" w:rsidRDefault="00D76AAB" w14:paraId="1E2A700B" w14:textId="77777777">
            <w:pPr>
              <w:spacing w:line="276" w:lineRule="auto"/>
              <w:jc w:val="right"/>
              <w:rPr>
                <w:szCs w:val="24"/>
              </w:rPr>
            </w:pPr>
            <w:r>
              <w:rPr>
                <w:color w:val="000000"/>
              </w:rPr>
              <w:t>372.88</w:t>
            </w:r>
          </w:p>
        </w:tc>
        <w:tc>
          <w:tcPr>
            <w:tcW w:w="1080" w:type="dxa"/>
            <w:tcBorders>
              <w:bottom w:val="single" w:color="auto" w:sz="4" w:space="0"/>
            </w:tcBorders>
            <w:vAlign w:val="bottom"/>
          </w:tcPr>
          <w:p w:rsidRPr="00E139C5" w:rsidR="00D76AAB" w:rsidP="00D76AAB" w:rsidRDefault="00D76AAB" w14:paraId="5D1929B1" w14:textId="77777777">
            <w:pPr>
              <w:spacing w:line="276" w:lineRule="auto"/>
              <w:jc w:val="right"/>
              <w:rPr>
                <w:szCs w:val="24"/>
              </w:rPr>
            </w:pPr>
            <w:r>
              <w:rPr>
                <w:color w:val="000000"/>
              </w:rPr>
              <w:t>354</w:t>
            </w:r>
          </w:p>
        </w:tc>
        <w:tc>
          <w:tcPr>
            <w:tcW w:w="1260" w:type="dxa"/>
            <w:tcBorders>
              <w:bottom w:val="single" w:color="auto" w:sz="4" w:space="0"/>
            </w:tcBorders>
            <w:vAlign w:val="bottom"/>
          </w:tcPr>
          <w:p w:rsidRPr="00E139C5" w:rsidR="00D76AAB" w:rsidP="00D76AAB" w:rsidRDefault="00D76AAB" w14:paraId="29614105" w14:textId="77777777">
            <w:pPr>
              <w:spacing w:line="276" w:lineRule="auto"/>
              <w:jc w:val="right"/>
              <w:rPr>
                <w:szCs w:val="24"/>
              </w:rPr>
            </w:pPr>
            <w:r>
              <w:rPr>
                <w:color w:val="000000"/>
              </w:rPr>
              <w:t>335.12</w:t>
            </w:r>
          </w:p>
        </w:tc>
        <w:tc>
          <w:tcPr>
            <w:tcW w:w="1260" w:type="dxa"/>
            <w:tcBorders>
              <w:bottom w:val="single" w:color="auto" w:sz="4" w:space="0"/>
            </w:tcBorders>
            <w:vAlign w:val="bottom"/>
          </w:tcPr>
          <w:p w:rsidRPr="00E139C5" w:rsidR="00D76AAB" w:rsidP="00D76AAB" w:rsidRDefault="00D76AAB" w14:paraId="13082EDE" w14:textId="77777777">
            <w:pPr>
              <w:spacing w:line="276" w:lineRule="auto"/>
              <w:jc w:val="right"/>
              <w:rPr>
                <w:szCs w:val="24"/>
              </w:rPr>
            </w:pPr>
            <w:r>
              <w:rPr>
                <w:color w:val="000000"/>
              </w:rPr>
              <w:t>320.96</w:t>
            </w:r>
          </w:p>
        </w:tc>
        <w:tc>
          <w:tcPr>
            <w:tcW w:w="1260" w:type="dxa"/>
            <w:tcBorders>
              <w:bottom w:val="single" w:color="auto" w:sz="4" w:space="0"/>
            </w:tcBorders>
            <w:vAlign w:val="bottom"/>
          </w:tcPr>
          <w:p w:rsidRPr="00E139C5" w:rsidR="00D76AAB" w:rsidP="00D76AAB" w:rsidRDefault="00D76AAB" w14:paraId="3BFAAA27" w14:textId="77777777">
            <w:pPr>
              <w:spacing w:line="276" w:lineRule="auto"/>
              <w:jc w:val="right"/>
              <w:rPr>
                <w:szCs w:val="24"/>
              </w:rPr>
            </w:pPr>
            <w:r>
              <w:rPr>
                <w:color w:val="000000"/>
              </w:rPr>
              <w:t>306.8</w:t>
            </w:r>
          </w:p>
        </w:tc>
      </w:tr>
      <w:tr w:rsidRPr="00C367DE" w:rsidR="00D76AAB" w:rsidTr="00BE5099" w14:paraId="78E2CE96" w14:textId="77777777">
        <w:trPr>
          <w:trHeight w:val="375"/>
        </w:trPr>
        <w:tc>
          <w:tcPr>
            <w:tcW w:w="3145" w:type="dxa"/>
            <w:shd w:val="clear" w:color="auto" w:fill="F2F2F2" w:themeFill="background1" w:themeFillShade="F2"/>
            <w:hideMark/>
          </w:tcPr>
          <w:p w:rsidRPr="001155AF" w:rsidR="00D76AAB" w:rsidP="00D76AAB" w:rsidRDefault="00D76AAB" w14:paraId="3580F7CB" w14:textId="77777777">
            <w:pPr>
              <w:spacing w:line="276" w:lineRule="auto"/>
              <w:rPr>
                <w:b/>
                <w:bCs/>
                <w:szCs w:val="24"/>
                <w:lang w:val="it-IT"/>
              </w:rPr>
            </w:pPr>
            <w:r w:rsidRPr="001155AF">
              <w:rPr>
                <w:b/>
                <w:bCs/>
                <w:szCs w:val="24"/>
                <w:lang w:val="it-IT"/>
              </w:rPr>
              <w:t>Vlera prezente aktuale e përfitimit në total</w:t>
            </w:r>
          </w:p>
        </w:tc>
        <w:tc>
          <w:tcPr>
            <w:tcW w:w="1350" w:type="dxa"/>
            <w:tcBorders>
              <w:top w:val="single" w:color="auto" w:sz="4" w:space="0"/>
              <w:right w:val="single" w:color="auto" w:sz="4" w:space="0"/>
            </w:tcBorders>
            <w:shd w:val="clear" w:color="auto" w:fill="F2F2F2" w:themeFill="background1" w:themeFillShade="F2"/>
          </w:tcPr>
          <w:p w:rsidRPr="00DE53BA" w:rsidR="00D76AAB" w:rsidP="00D76AAB" w:rsidRDefault="00D76AAB" w14:paraId="2FAF077B" w14:textId="77777777">
            <w:pPr>
              <w:spacing w:line="276" w:lineRule="auto"/>
              <w:ind w:left="-108" w:firstLine="108"/>
              <w:jc w:val="right"/>
              <w:rPr>
                <w:bCs/>
                <w:szCs w:val="24"/>
                <w:lang w:val="it-IT"/>
              </w:rPr>
            </w:pPr>
            <w:r w:rsidRPr="00A90B99">
              <w:rPr>
                <w:bCs/>
                <w:szCs w:val="24"/>
                <w:lang w:val="it-IT"/>
              </w:rPr>
              <w:t>3,837</w:t>
            </w:r>
          </w:p>
        </w:tc>
        <w:tc>
          <w:tcPr>
            <w:tcW w:w="10620" w:type="dxa"/>
            <w:gridSpan w:val="9"/>
            <w:tcBorders>
              <w:top w:val="single" w:color="auto" w:sz="4" w:space="0"/>
              <w:left w:val="single" w:color="auto" w:sz="4" w:space="0"/>
              <w:bottom w:val="nil"/>
              <w:right w:val="nil"/>
            </w:tcBorders>
            <w:hideMark/>
          </w:tcPr>
          <w:p w:rsidRPr="00DE53BA" w:rsidR="00D76AAB" w:rsidP="00D76AAB" w:rsidRDefault="00D76AAB" w14:paraId="68BEC044" w14:textId="77777777">
            <w:pPr>
              <w:spacing w:line="276" w:lineRule="auto"/>
              <w:ind w:left="-108" w:firstLine="108"/>
              <w:jc w:val="right"/>
              <w:rPr>
                <w:szCs w:val="24"/>
                <w:lang w:val="it-IT"/>
              </w:rPr>
            </w:pPr>
            <w:r w:rsidRPr="00DE53BA">
              <w:rPr>
                <w:szCs w:val="24"/>
                <w:lang w:val="it-IT"/>
              </w:rPr>
              <w:t> </w:t>
            </w:r>
          </w:p>
        </w:tc>
      </w:tr>
      <w:tr w:rsidRPr="00E75562" w:rsidR="00D76AAB" w:rsidTr="00BE5099" w14:paraId="15C7051B" w14:textId="77777777">
        <w:trPr>
          <w:trHeight w:val="270"/>
        </w:trPr>
        <w:tc>
          <w:tcPr>
            <w:tcW w:w="3145" w:type="dxa"/>
            <w:shd w:val="clear" w:color="auto" w:fill="F2F2F2" w:themeFill="background1" w:themeFillShade="F2"/>
            <w:hideMark/>
          </w:tcPr>
          <w:p w:rsidRPr="001155AF" w:rsidR="00D76AAB" w:rsidP="00D76AAB" w:rsidRDefault="00D76AAB" w14:paraId="301C4130" w14:textId="77777777">
            <w:pPr>
              <w:spacing w:line="276" w:lineRule="auto"/>
              <w:rPr>
                <w:b/>
                <w:bCs/>
                <w:szCs w:val="24"/>
                <w:lang w:val="it-IT"/>
              </w:rPr>
            </w:pPr>
            <w:r w:rsidRPr="001155AF">
              <w:rPr>
                <w:b/>
                <w:bCs/>
                <w:szCs w:val="24"/>
                <w:lang w:val="it-IT"/>
              </w:rPr>
              <w:t>Vlera prezente aktuale e kostos në total</w:t>
            </w:r>
          </w:p>
        </w:tc>
        <w:tc>
          <w:tcPr>
            <w:tcW w:w="1350" w:type="dxa"/>
            <w:tcBorders>
              <w:right w:val="single" w:color="auto" w:sz="4" w:space="0"/>
            </w:tcBorders>
            <w:shd w:val="clear" w:color="auto" w:fill="F2F2F2" w:themeFill="background1" w:themeFillShade="F2"/>
          </w:tcPr>
          <w:p w:rsidRPr="00DE53BA" w:rsidR="00D76AAB" w:rsidP="00D76AAB" w:rsidRDefault="00D76AAB" w14:paraId="46FD891B" w14:textId="77777777">
            <w:pPr>
              <w:spacing w:line="276" w:lineRule="auto"/>
              <w:ind w:left="-108" w:firstLine="108"/>
              <w:jc w:val="right"/>
              <w:rPr>
                <w:bCs/>
                <w:szCs w:val="24"/>
                <w:lang w:val="it-IT"/>
              </w:rPr>
            </w:pPr>
          </w:p>
        </w:tc>
        <w:tc>
          <w:tcPr>
            <w:tcW w:w="10620" w:type="dxa"/>
            <w:gridSpan w:val="9"/>
            <w:tcBorders>
              <w:top w:val="nil"/>
              <w:left w:val="single" w:color="auto" w:sz="4" w:space="0"/>
              <w:bottom w:val="nil"/>
              <w:right w:val="nil"/>
            </w:tcBorders>
            <w:hideMark/>
          </w:tcPr>
          <w:p w:rsidRPr="00DE53BA" w:rsidR="00D76AAB" w:rsidP="00D76AAB" w:rsidRDefault="00D76AAB" w14:paraId="0781B345" w14:textId="77777777">
            <w:pPr>
              <w:spacing w:line="276" w:lineRule="auto"/>
              <w:ind w:left="-108" w:firstLine="108"/>
              <w:jc w:val="right"/>
              <w:rPr>
                <w:szCs w:val="24"/>
                <w:lang w:val="it-IT"/>
              </w:rPr>
            </w:pPr>
            <w:r w:rsidRPr="00DE53BA">
              <w:rPr>
                <w:szCs w:val="24"/>
                <w:lang w:val="it-IT"/>
              </w:rPr>
              <w:t> </w:t>
            </w:r>
          </w:p>
        </w:tc>
      </w:tr>
      <w:tr w:rsidRPr="00C367DE" w:rsidR="00D76AAB" w:rsidTr="00BE5099" w14:paraId="327CE6ED" w14:textId="77777777">
        <w:trPr>
          <w:trHeight w:val="555"/>
        </w:trPr>
        <w:tc>
          <w:tcPr>
            <w:tcW w:w="3145" w:type="dxa"/>
            <w:shd w:val="clear" w:color="auto" w:fill="F2F2F2" w:themeFill="background1" w:themeFillShade="F2"/>
            <w:hideMark/>
          </w:tcPr>
          <w:p w:rsidRPr="001155AF" w:rsidR="00D76AAB" w:rsidP="00D76AAB" w:rsidRDefault="00D76AAB" w14:paraId="0F1BA8A4" w14:textId="77777777">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color="auto" w:sz="4" w:space="0"/>
            </w:tcBorders>
            <w:shd w:val="clear" w:color="auto" w:fill="F2F2F2" w:themeFill="background1" w:themeFillShade="F2"/>
          </w:tcPr>
          <w:p w:rsidRPr="00DE53BA" w:rsidR="00D76AAB" w:rsidP="00D76AAB" w:rsidRDefault="00D76AAB" w14:paraId="33214829" w14:textId="77777777">
            <w:pPr>
              <w:spacing w:line="276" w:lineRule="auto"/>
              <w:ind w:left="-108" w:firstLine="108"/>
              <w:jc w:val="right"/>
              <w:rPr>
                <w:bCs/>
                <w:szCs w:val="24"/>
                <w:lang w:val="it-IT"/>
              </w:rPr>
            </w:pPr>
            <w:r w:rsidRPr="00A90B99">
              <w:rPr>
                <w:bCs/>
                <w:szCs w:val="24"/>
                <w:lang w:val="it-IT"/>
              </w:rPr>
              <w:t>3,837</w:t>
            </w:r>
            <w:r w:rsidRPr="00A90B99">
              <w:t xml:space="preserve"> </w:t>
            </w:r>
          </w:p>
        </w:tc>
        <w:tc>
          <w:tcPr>
            <w:tcW w:w="10620" w:type="dxa"/>
            <w:gridSpan w:val="9"/>
            <w:tcBorders>
              <w:top w:val="nil"/>
              <w:left w:val="single" w:color="auto" w:sz="4" w:space="0"/>
              <w:bottom w:val="nil"/>
              <w:right w:val="nil"/>
            </w:tcBorders>
            <w:hideMark/>
          </w:tcPr>
          <w:p w:rsidRPr="00DE53BA" w:rsidR="00D76AAB" w:rsidP="00D76AAB" w:rsidRDefault="00D76AAB" w14:paraId="1EDA29A8" w14:textId="77777777">
            <w:pPr>
              <w:spacing w:line="276" w:lineRule="auto"/>
              <w:ind w:left="-108" w:firstLine="108"/>
              <w:jc w:val="right"/>
              <w:rPr>
                <w:szCs w:val="24"/>
                <w:lang w:val="it-IT"/>
              </w:rPr>
            </w:pPr>
            <w:r w:rsidRPr="00DE53BA">
              <w:rPr>
                <w:szCs w:val="24"/>
                <w:lang w:val="it-IT"/>
              </w:rPr>
              <w:t> </w:t>
            </w:r>
          </w:p>
        </w:tc>
      </w:tr>
    </w:tbl>
    <w:p w:rsidR="00E463E6" w:rsidP="00E463E6" w:rsidRDefault="00E463E6" w14:paraId="7CB3E437" w14:textId="77777777">
      <w:pPr>
        <w:spacing w:line="276" w:lineRule="auto"/>
        <w:rPr>
          <w:b/>
          <w:szCs w:val="24"/>
        </w:rPr>
        <w:sectPr w:rsidR="00E463E6" w:rsidSect="00E463E6">
          <w:footnotePr>
            <w:numRestart w:val="eachSect"/>
          </w:footnotePr>
          <w:type w:val="continuous"/>
          <w:pgSz w:w="16840" w:h="11907" w:orient="landscape" w:code="9"/>
          <w:pgMar w:top="850" w:right="677" w:bottom="850" w:left="677" w:header="288" w:footer="288" w:gutter="0"/>
          <w:cols w:space="708"/>
          <w:docGrid w:linePitch="360"/>
        </w:sectPr>
      </w:pPr>
      <w:r>
        <w:rPr>
          <w:b/>
          <w:szCs w:val="24"/>
        </w:rPr>
        <w:fldChar w:fldCharType="end"/>
      </w:r>
    </w:p>
    <w:p w:rsidRPr="006624FC" w:rsidR="00E463E6" w:rsidP="00E463E6" w:rsidRDefault="00E463E6" w14:paraId="1A7D2ED8" w14:textId="77777777">
      <w:pPr>
        <w:spacing w:line="276" w:lineRule="auto"/>
        <w:jc w:val="center"/>
        <w:rPr>
          <w:b/>
          <w:szCs w:val="24"/>
        </w:rPr>
      </w:pPr>
    </w:p>
    <w:p w:rsidRPr="00325A1F" w:rsidR="00E463E6" w:rsidP="00E463E6" w:rsidRDefault="00E463E6" w14:paraId="4F7AC1BA" w14:textId="77777777">
      <w:pPr>
        <w:pStyle w:val="IASpacer"/>
        <w:spacing w:line="276" w:lineRule="auto"/>
        <w:rPr>
          <w:sz w:val="24"/>
          <w:szCs w:val="24"/>
        </w:rPr>
      </w:pPr>
    </w:p>
    <w:p w:rsidRPr="00325A1F" w:rsidR="00E463E6" w:rsidP="00E463E6" w:rsidRDefault="00E463E6" w14:paraId="3366CB52" w14:textId="77777777">
      <w:pPr>
        <w:spacing w:line="276" w:lineRule="auto"/>
        <w:rPr>
          <w:szCs w:val="24"/>
        </w:rPr>
      </w:pPr>
    </w:p>
    <w:p w:rsidRPr="00DE53BA" w:rsidR="00225F7F" w:rsidP="584B7111" w:rsidRDefault="002005F1" w14:paraId="2EF855F9" w14:textId="0992DEF6">
      <w:pPr>
        <w:spacing w:line="276" w:lineRule="auto"/>
      </w:pPr>
      <w:r w:rsidRPr="00225F7F">
        <w:rPr>
          <w:rStyle w:val="Strong"/>
          <w:szCs w:val="24"/>
        </w:rPr>
        <w:fldChar w:fldCharType="begin"/>
      </w:r>
      <w:r w:rsidRPr="00225F7F" w:rsidR="002125B7">
        <w:rPr>
          <w:rStyle w:val="Strong"/>
          <w:szCs w:val="24"/>
        </w:rPr>
        <w:instrText xml:space="preserve"> LINK Excel.SheetBinaryMacroEnabled.12 "C:\\Users\\nako\\Downloads\\Shembull i llogaritjes se Costo  perfitimeve  te RIAs - CBA calculation alb.xlsb" "Tabela Perfundimtare !R2C1:R21C11" \a \f 5 \h  \* MERGEFORMAT </w:instrText>
      </w:r>
      <w:r w:rsidRPr="00225F7F">
        <w:rPr>
          <w:rStyle w:val="Strong"/>
          <w:szCs w:val="24"/>
        </w:rPr>
        <w:fldChar w:fldCharType="end"/>
      </w:r>
    </w:p>
    <w:p w:rsidRPr="001155AF" w:rsidR="00E139C5" w:rsidP="009D13F4" w:rsidRDefault="002005F1" w14:paraId="0806EE14" w14:textId="77777777">
      <w:pPr>
        <w:spacing w:line="276" w:lineRule="auto"/>
      </w:pPr>
      <w:r>
        <w:rPr>
          <w:b/>
          <w:szCs w:val="24"/>
        </w:rPr>
        <w:fldChar w:fldCharType="begin"/>
      </w:r>
      <w:r w:rsidR="009F625C">
        <w:rPr>
          <w:b/>
          <w:szCs w:val="24"/>
        </w:rPr>
        <w:instrText xml:space="preserve"> LINK Excel.SheetBinaryMacroEnabled.12 "C:\\Users\\nako\\Downloads\\Shembull i llogaritjes se Costo  perfitimeve  te RIAs - CBA calculation alb.xlsb" "Tabela Perfundimtare !R2C1:R22C11" \a \f 5 \h  \* MERGEFORMAT </w:instrText>
      </w:r>
      <w:r>
        <w:rPr>
          <w:b/>
          <w:szCs w:val="24"/>
        </w:rPr>
        <w:fldChar w:fldCharType="separate"/>
      </w:r>
    </w:p>
    <w:p w:rsidR="00225F7F" w:rsidP="009D13F4" w:rsidRDefault="002005F1" w14:paraId="0DA50FED" w14:textId="77777777">
      <w:pPr>
        <w:spacing w:line="276" w:lineRule="auto"/>
        <w:rPr>
          <w:b/>
          <w:szCs w:val="24"/>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rPr>
        <w:fldChar w:fldCharType="end"/>
      </w:r>
    </w:p>
    <w:p w:rsidRPr="006624FC" w:rsidR="006624FC" w:rsidP="006624FC" w:rsidRDefault="006624FC" w14:paraId="7BC48F2A" w14:textId="77777777">
      <w:pPr>
        <w:spacing w:line="276" w:lineRule="auto"/>
        <w:jc w:val="center"/>
        <w:rPr>
          <w:b/>
          <w:szCs w:val="24"/>
        </w:rPr>
      </w:pPr>
    </w:p>
    <w:p w:rsidRPr="00325A1F" w:rsidR="002125B7" w:rsidP="009D13F4" w:rsidRDefault="002125B7" w14:paraId="70989480" w14:textId="77777777">
      <w:pPr>
        <w:pStyle w:val="IASpacer"/>
        <w:spacing w:line="276" w:lineRule="auto"/>
        <w:rPr>
          <w:sz w:val="24"/>
          <w:szCs w:val="24"/>
        </w:rPr>
      </w:pPr>
    </w:p>
    <w:p w:rsidRPr="00325A1F" w:rsidR="00E463E6" w:rsidP="00E463E6" w:rsidRDefault="00E463E6" w14:paraId="382B5935" w14:textId="77777777">
      <w:pPr>
        <w:spacing w:line="276" w:lineRule="auto"/>
        <w:rPr>
          <w:rStyle w:val="Strong"/>
          <w:szCs w:val="24"/>
        </w:rPr>
      </w:pPr>
      <w:r w:rsidRPr="00325A1F">
        <w:rPr>
          <w:b/>
          <w:szCs w:val="24"/>
        </w:rPr>
        <w:t xml:space="preserve">Raporti i vlerësimit të ndikimit - Shtojca 2/b </w:t>
      </w:r>
    </w:p>
    <w:p w:rsidRPr="00325A1F" w:rsidR="00E463E6" w:rsidP="00E463E6" w:rsidRDefault="00E463E6" w14:paraId="720A1E71" w14:textId="77777777">
      <w:pPr>
        <w:spacing w:line="276" w:lineRule="auto"/>
        <w:rPr>
          <w:rStyle w:val="Strong"/>
          <w:b w:val="0"/>
          <w:szCs w:val="24"/>
        </w:rPr>
      </w:pPr>
    </w:p>
    <w:p w:rsidRPr="00325A1F" w:rsidR="00E463E6" w:rsidP="00E463E6" w:rsidRDefault="00E463E6" w14:paraId="093ECD3D" w14:textId="77777777">
      <w:pPr>
        <w:spacing w:line="276" w:lineRule="auto"/>
        <w:rPr>
          <w:rStyle w:val="Strong"/>
          <w:b w:val="0"/>
          <w:bCs w:val="0"/>
          <w:i/>
          <w:szCs w:val="24"/>
        </w:rPr>
      </w:pPr>
      <w:r w:rsidRPr="00325A1F">
        <w:rPr>
          <w:rStyle w:val="Strong"/>
          <w:i/>
          <w:szCs w:val="24"/>
        </w:rPr>
        <w:t xml:space="preserve">Tabelë: Vlera aktuale neto në total e çdo opsioni   </w:t>
      </w:r>
    </w:p>
    <w:p w:rsidRPr="00325A1F" w:rsidR="00E463E6" w:rsidP="00E463E6" w:rsidRDefault="00E463E6" w14:paraId="49545E1F" w14:textId="77777777">
      <w:pPr>
        <w:autoSpaceDE w:val="0"/>
        <w:autoSpaceDN w:val="0"/>
        <w:adjustRightInd w:val="0"/>
        <w:spacing w:line="276" w:lineRule="auto"/>
        <w:jc w:val="both"/>
        <w:rPr>
          <w:color w:val="000000"/>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Pr="00E75562" w:rsidR="00E463E6" w:rsidTr="00BE5099" w14:paraId="41932731" w14:textId="77777777">
        <w:tc>
          <w:tcPr>
            <w:tcW w:w="1698" w:type="dxa"/>
            <w:vMerge w:val="restart"/>
          </w:tcPr>
          <w:p w:rsidRPr="00325A1F" w:rsidR="00E463E6" w:rsidP="00BE5099" w:rsidRDefault="00E463E6" w14:paraId="44ABB79C" w14:textId="77777777">
            <w:pPr>
              <w:autoSpaceDE w:val="0"/>
              <w:autoSpaceDN w:val="0"/>
              <w:adjustRightInd w:val="0"/>
              <w:spacing w:line="276" w:lineRule="auto"/>
              <w:jc w:val="center"/>
              <w:rPr>
                <w:color w:val="000000"/>
                <w:szCs w:val="24"/>
              </w:rPr>
            </w:pPr>
            <w:r w:rsidRPr="00325A1F">
              <w:rPr>
                <w:b/>
                <w:szCs w:val="24"/>
              </w:rPr>
              <w:t>Opsioni</w:t>
            </w:r>
          </w:p>
        </w:tc>
        <w:tc>
          <w:tcPr>
            <w:tcW w:w="4668" w:type="dxa"/>
            <w:gridSpan w:val="2"/>
          </w:tcPr>
          <w:p w:rsidRPr="00325A1F" w:rsidR="00E463E6" w:rsidP="00BE5099" w:rsidRDefault="00E463E6" w14:paraId="0AAFA82D" w14:textId="77777777">
            <w:pPr>
              <w:autoSpaceDE w:val="0"/>
              <w:autoSpaceDN w:val="0"/>
              <w:adjustRightInd w:val="0"/>
              <w:spacing w:line="276" w:lineRule="auto"/>
              <w:jc w:val="center"/>
              <w:rPr>
                <w:color w:val="000000"/>
                <w:szCs w:val="24"/>
              </w:rPr>
            </w:pPr>
            <w:r w:rsidRPr="00325A1F">
              <w:rPr>
                <w:b/>
                <w:szCs w:val="24"/>
              </w:rPr>
              <w:t>Vlera aktuale në milionë lekë</w:t>
            </w:r>
          </w:p>
        </w:tc>
        <w:tc>
          <w:tcPr>
            <w:tcW w:w="3444" w:type="dxa"/>
            <w:vMerge w:val="restart"/>
          </w:tcPr>
          <w:p w:rsidRPr="00325A1F" w:rsidR="00E463E6" w:rsidP="00BE5099" w:rsidRDefault="00E463E6" w14:paraId="0FD38B49" w14:textId="77777777">
            <w:pPr>
              <w:autoSpaceDE w:val="0"/>
              <w:autoSpaceDN w:val="0"/>
              <w:adjustRightInd w:val="0"/>
              <w:spacing w:line="276" w:lineRule="auto"/>
              <w:jc w:val="center"/>
              <w:rPr>
                <w:color w:val="000000"/>
                <w:szCs w:val="24"/>
              </w:rPr>
            </w:pPr>
            <w:r w:rsidRPr="00325A1F">
              <w:rPr>
                <w:b/>
                <w:szCs w:val="24"/>
              </w:rPr>
              <w:t>Vlera aktuale neto në milionë lekë</w:t>
            </w:r>
          </w:p>
        </w:tc>
      </w:tr>
      <w:tr w:rsidRPr="00325A1F" w:rsidR="00E463E6" w:rsidTr="00BE5099" w14:paraId="7EF741D6" w14:textId="77777777">
        <w:tc>
          <w:tcPr>
            <w:tcW w:w="1698" w:type="dxa"/>
            <w:vMerge/>
          </w:tcPr>
          <w:p w:rsidRPr="00325A1F" w:rsidR="00E463E6" w:rsidP="00BE5099" w:rsidRDefault="00E463E6" w14:paraId="45535B11" w14:textId="77777777">
            <w:pPr>
              <w:autoSpaceDE w:val="0"/>
              <w:autoSpaceDN w:val="0"/>
              <w:adjustRightInd w:val="0"/>
              <w:spacing w:line="276" w:lineRule="auto"/>
              <w:jc w:val="both"/>
              <w:rPr>
                <w:szCs w:val="24"/>
              </w:rPr>
            </w:pPr>
          </w:p>
        </w:tc>
        <w:tc>
          <w:tcPr>
            <w:tcW w:w="2258" w:type="dxa"/>
          </w:tcPr>
          <w:p w:rsidRPr="00325A1F" w:rsidR="00E463E6" w:rsidP="00BE5099" w:rsidRDefault="00E463E6" w14:paraId="29D973F8" w14:textId="77777777">
            <w:pPr>
              <w:autoSpaceDE w:val="0"/>
              <w:autoSpaceDN w:val="0"/>
              <w:adjustRightInd w:val="0"/>
              <w:spacing w:line="276" w:lineRule="auto"/>
              <w:jc w:val="center"/>
              <w:rPr>
                <w:b/>
                <w:szCs w:val="24"/>
              </w:rPr>
            </w:pPr>
            <w:r w:rsidRPr="00325A1F">
              <w:rPr>
                <w:b/>
                <w:szCs w:val="24"/>
              </w:rPr>
              <w:t>Kosto</w:t>
            </w:r>
          </w:p>
        </w:tc>
        <w:tc>
          <w:tcPr>
            <w:tcW w:w="2410" w:type="dxa"/>
          </w:tcPr>
          <w:p w:rsidRPr="00325A1F" w:rsidR="00E463E6" w:rsidP="00BE5099" w:rsidRDefault="00E463E6" w14:paraId="1642ADF0" w14:textId="77777777">
            <w:pPr>
              <w:autoSpaceDE w:val="0"/>
              <w:autoSpaceDN w:val="0"/>
              <w:adjustRightInd w:val="0"/>
              <w:spacing w:line="276" w:lineRule="auto"/>
              <w:jc w:val="center"/>
              <w:rPr>
                <w:b/>
                <w:szCs w:val="24"/>
              </w:rPr>
            </w:pPr>
            <w:r w:rsidRPr="00325A1F">
              <w:rPr>
                <w:b/>
                <w:szCs w:val="24"/>
              </w:rPr>
              <w:t>Përfitimi</w:t>
            </w:r>
          </w:p>
        </w:tc>
        <w:tc>
          <w:tcPr>
            <w:tcW w:w="3444" w:type="dxa"/>
            <w:vMerge/>
          </w:tcPr>
          <w:p w:rsidRPr="00325A1F" w:rsidR="00E463E6" w:rsidP="00BE5099" w:rsidRDefault="00E463E6" w14:paraId="1717968C" w14:textId="77777777">
            <w:pPr>
              <w:autoSpaceDE w:val="0"/>
              <w:autoSpaceDN w:val="0"/>
              <w:adjustRightInd w:val="0"/>
              <w:spacing w:line="276" w:lineRule="auto"/>
              <w:jc w:val="center"/>
              <w:rPr>
                <w:color w:val="000000"/>
                <w:szCs w:val="24"/>
              </w:rPr>
            </w:pPr>
          </w:p>
        </w:tc>
      </w:tr>
      <w:tr w:rsidRPr="00325A1F" w:rsidR="00E463E6" w:rsidTr="00BE5099" w14:paraId="016AE4DE" w14:textId="77777777">
        <w:tc>
          <w:tcPr>
            <w:tcW w:w="1698" w:type="dxa"/>
          </w:tcPr>
          <w:p w:rsidRPr="00325A1F" w:rsidR="00E463E6" w:rsidP="00BE5099" w:rsidRDefault="00E463E6" w14:paraId="6EA5ABCC" w14:textId="77777777">
            <w:pPr>
              <w:autoSpaceDE w:val="0"/>
              <w:autoSpaceDN w:val="0"/>
              <w:adjustRightInd w:val="0"/>
              <w:spacing w:line="276" w:lineRule="auto"/>
              <w:jc w:val="both"/>
              <w:rPr>
                <w:color w:val="000000"/>
                <w:szCs w:val="24"/>
              </w:rPr>
            </w:pPr>
            <w:r w:rsidRPr="00325A1F">
              <w:rPr>
                <w:szCs w:val="24"/>
              </w:rPr>
              <w:t>Opsioni 1</w:t>
            </w:r>
          </w:p>
        </w:tc>
        <w:tc>
          <w:tcPr>
            <w:tcW w:w="2258" w:type="dxa"/>
          </w:tcPr>
          <w:p w:rsidRPr="00325A1F" w:rsidR="00E463E6" w:rsidP="00BE5099" w:rsidRDefault="00E463E6" w14:paraId="64BC9117" w14:textId="77777777">
            <w:pPr>
              <w:autoSpaceDE w:val="0"/>
              <w:autoSpaceDN w:val="0"/>
              <w:adjustRightInd w:val="0"/>
              <w:spacing w:line="276" w:lineRule="auto"/>
              <w:jc w:val="right"/>
              <w:rPr>
                <w:color w:val="000000"/>
                <w:szCs w:val="24"/>
              </w:rPr>
            </w:pPr>
            <w:r>
              <w:rPr>
                <w:color w:val="808080" w:themeColor="background1" w:themeShade="80"/>
                <w:szCs w:val="24"/>
              </w:rPr>
              <w:t>-</w:t>
            </w:r>
          </w:p>
        </w:tc>
        <w:tc>
          <w:tcPr>
            <w:tcW w:w="2410" w:type="dxa"/>
          </w:tcPr>
          <w:p w:rsidRPr="00325A1F" w:rsidR="00E463E6" w:rsidP="00BE5099" w:rsidRDefault="00E463E6" w14:paraId="3117136C" w14:textId="77777777">
            <w:pPr>
              <w:autoSpaceDE w:val="0"/>
              <w:autoSpaceDN w:val="0"/>
              <w:adjustRightInd w:val="0"/>
              <w:spacing w:line="276" w:lineRule="auto"/>
              <w:jc w:val="right"/>
              <w:rPr>
                <w:color w:val="000000"/>
                <w:szCs w:val="24"/>
              </w:rPr>
            </w:pPr>
            <w:r>
              <w:rPr>
                <w:color w:val="808080" w:themeColor="background1" w:themeShade="80"/>
                <w:szCs w:val="24"/>
              </w:rPr>
              <w:t>3,837</w:t>
            </w:r>
          </w:p>
        </w:tc>
        <w:tc>
          <w:tcPr>
            <w:tcW w:w="3444" w:type="dxa"/>
          </w:tcPr>
          <w:p w:rsidRPr="00325A1F" w:rsidR="00E463E6" w:rsidP="00BE5099" w:rsidRDefault="00E463E6" w14:paraId="5D50D792" w14:textId="77777777">
            <w:pPr>
              <w:autoSpaceDE w:val="0"/>
              <w:autoSpaceDN w:val="0"/>
              <w:adjustRightInd w:val="0"/>
              <w:spacing w:line="276" w:lineRule="auto"/>
              <w:jc w:val="right"/>
              <w:rPr>
                <w:color w:val="000000"/>
                <w:szCs w:val="24"/>
              </w:rPr>
            </w:pPr>
            <w:r>
              <w:rPr>
                <w:color w:val="808080" w:themeColor="background1" w:themeShade="80"/>
                <w:szCs w:val="24"/>
              </w:rPr>
              <w:t>3,837</w:t>
            </w:r>
          </w:p>
        </w:tc>
      </w:tr>
      <w:tr w:rsidRPr="00325A1F" w:rsidR="00E463E6" w:rsidTr="00BE5099" w14:paraId="76CC7484" w14:textId="77777777">
        <w:tc>
          <w:tcPr>
            <w:tcW w:w="1698" w:type="dxa"/>
          </w:tcPr>
          <w:p w:rsidRPr="00325A1F" w:rsidR="00E463E6" w:rsidP="00BE5099" w:rsidRDefault="00E463E6" w14:paraId="7CDAD08B" w14:textId="77777777">
            <w:pPr>
              <w:autoSpaceDE w:val="0"/>
              <w:autoSpaceDN w:val="0"/>
              <w:adjustRightInd w:val="0"/>
              <w:spacing w:line="276" w:lineRule="auto"/>
              <w:jc w:val="both"/>
              <w:rPr>
                <w:color w:val="000000"/>
                <w:szCs w:val="24"/>
              </w:rPr>
            </w:pPr>
            <w:r w:rsidRPr="00325A1F">
              <w:rPr>
                <w:szCs w:val="24"/>
              </w:rPr>
              <w:t>Opsioni 2</w:t>
            </w:r>
          </w:p>
        </w:tc>
        <w:tc>
          <w:tcPr>
            <w:tcW w:w="2258" w:type="dxa"/>
          </w:tcPr>
          <w:p w:rsidRPr="00325A1F" w:rsidR="00E463E6" w:rsidP="00BE5099" w:rsidRDefault="00E463E6" w14:paraId="717F51AA" w14:textId="77777777">
            <w:pPr>
              <w:autoSpaceDE w:val="0"/>
              <w:autoSpaceDN w:val="0"/>
              <w:adjustRightInd w:val="0"/>
              <w:spacing w:line="276" w:lineRule="auto"/>
              <w:jc w:val="right"/>
              <w:rPr>
                <w:color w:val="000000"/>
                <w:szCs w:val="24"/>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rsidRPr="00325A1F" w:rsidR="00E463E6" w:rsidP="00BE5099" w:rsidRDefault="00E463E6" w14:paraId="3C6CE52A" w14:textId="77777777">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rsidRPr="00325A1F" w:rsidR="00E463E6" w:rsidP="00BE5099" w:rsidRDefault="00E463E6" w14:paraId="38A04038" w14:textId="77777777">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Pr="00325A1F" w:rsidR="00E463E6" w:rsidTr="00BE5099" w14:paraId="400DE3DD" w14:textId="77777777">
        <w:tc>
          <w:tcPr>
            <w:tcW w:w="1698" w:type="dxa"/>
          </w:tcPr>
          <w:p w:rsidRPr="00325A1F" w:rsidR="00E463E6" w:rsidP="00BE5099" w:rsidRDefault="00E463E6" w14:paraId="1C9ED36E" w14:textId="77777777">
            <w:pPr>
              <w:autoSpaceDE w:val="0"/>
              <w:autoSpaceDN w:val="0"/>
              <w:adjustRightInd w:val="0"/>
              <w:spacing w:line="276" w:lineRule="auto"/>
              <w:jc w:val="both"/>
              <w:rPr>
                <w:szCs w:val="24"/>
              </w:rPr>
            </w:pPr>
            <w:r w:rsidRPr="00325A1F">
              <w:rPr>
                <w:szCs w:val="24"/>
              </w:rPr>
              <w:t xml:space="preserve">Opsioni </w:t>
            </w:r>
            <w:r>
              <w:rPr>
                <w:szCs w:val="24"/>
              </w:rPr>
              <w:t>3</w:t>
            </w:r>
          </w:p>
        </w:tc>
        <w:tc>
          <w:tcPr>
            <w:tcW w:w="2258" w:type="dxa"/>
          </w:tcPr>
          <w:p w:rsidR="00E463E6" w:rsidP="00BE5099" w:rsidRDefault="00E463E6" w14:paraId="1421F6F5" w14:textId="77777777">
            <w:pPr>
              <w:autoSpaceDE w:val="0"/>
              <w:autoSpaceDN w:val="0"/>
              <w:adjustRightInd w:val="0"/>
              <w:spacing w:line="276" w:lineRule="auto"/>
              <w:jc w:val="right"/>
              <w:rPr>
                <w:color w:val="808080" w:themeColor="background1" w:themeShade="80"/>
                <w:szCs w:val="24"/>
              </w:rPr>
            </w:pPr>
          </w:p>
        </w:tc>
        <w:tc>
          <w:tcPr>
            <w:tcW w:w="2410" w:type="dxa"/>
          </w:tcPr>
          <w:p w:rsidRPr="003A12EA" w:rsidR="00E463E6" w:rsidP="00BE5099" w:rsidRDefault="00E463E6" w14:paraId="760BE03B" w14:textId="77777777">
            <w:pPr>
              <w:autoSpaceDE w:val="0"/>
              <w:autoSpaceDN w:val="0"/>
              <w:adjustRightInd w:val="0"/>
              <w:spacing w:line="276" w:lineRule="auto"/>
              <w:jc w:val="right"/>
              <w:rPr>
                <w:color w:val="808080" w:themeColor="background1" w:themeShade="80"/>
                <w:szCs w:val="24"/>
              </w:rPr>
            </w:pPr>
          </w:p>
        </w:tc>
        <w:tc>
          <w:tcPr>
            <w:tcW w:w="3444" w:type="dxa"/>
          </w:tcPr>
          <w:p w:rsidRPr="003A12EA" w:rsidR="00E463E6" w:rsidP="00BE5099" w:rsidRDefault="00E463E6" w14:paraId="40A61F5C" w14:textId="77777777">
            <w:pPr>
              <w:autoSpaceDE w:val="0"/>
              <w:autoSpaceDN w:val="0"/>
              <w:adjustRightInd w:val="0"/>
              <w:spacing w:line="276" w:lineRule="auto"/>
              <w:jc w:val="right"/>
              <w:rPr>
                <w:color w:val="808080" w:themeColor="background1" w:themeShade="80"/>
                <w:szCs w:val="24"/>
              </w:rPr>
            </w:pPr>
          </w:p>
        </w:tc>
      </w:tr>
    </w:tbl>
    <w:p w:rsidRPr="00325A1F" w:rsidR="00E463E6" w:rsidP="00E463E6" w:rsidRDefault="00E463E6" w14:paraId="6FEB6E26" w14:textId="77777777">
      <w:pPr>
        <w:spacing w:line="276" w:lineRule="auto"/>
        <w:rPr>
          <w:b/>
          <w:szCs w:val="24"/>
        </w:rPr>
      </w:pPr>
    </w:p>
    <w:p w:rsidRPr="00325A1F" w:rsidR="00E463E6" w:rsidP="00E463E6" w:rsidRDefault="00E463E6" w14:paraId="35ED91FB" w14:textId="77777777">
      <w:pPr>
        <w:spacing w:line="276" w:lineRule="auto"/>
        <w:rPr>
          <w:b/>
          <w:szCs w:val="24"/>
        </w:rPr>
      </w:pPr>
    </w:p>
    <w:p w:rsidRPr="00325A1F" w:rsidR="00E463E6" w:rsidP="00E463E6" w:rsidRDefault="00E463E6" w14:paraId="76060C7E" w14:textId="77777777">
      <w:pPr>
        <w:spacing w:line="276" w:lineRule="auto"/>
        <w:jc w:val="center"/>
        <w:rPr>
          <w:b/>
          <w:szCs w:val="24"/>
        </w:rPr>
      </w:pPr>
      <w:r w:rsidRPr="00325A1F">
        <w:rPr>
          <w:b/>
          <w:szCs w:val="24"/>
        </w:rPr>
        <w:t>MINISTËR</w:t>
      </w:r>
    </w:p>
    <w:p w:rsidRPr="00325A1F" w:rsidR="00E463E6" w:rsidP="00E463E6" w:rsidRDefault="00E463E6" w14:paraId="611A3475" w14:textId="77777777">
      <w:pPr>
        <w:spacing w:line="276" w:lineRule="auto"/>
        <w:jc w:val="center"/>
        <w:rPr>
          <w:b/>
          <w:szCs w:val="24"/>
        </w:rPr>
      </w:pPr>
    </w:p>
    <w:p w:rsidRPr="006624FC" w:rsidR="00E463E6" w:rsidP="00E463E6" w:rsidRDefault="00A32E1F" w14:paraId="455B61EB" w14:textId="5A287E44">
      <w:pPr>
        <w:spacing w:line="276" w:lineRule="auto"/>
        <w:jc w:val="center"/>
        <w:rPr>
          <w:b/>
          <w:szCs w:val="24"/>
        </w:rPr>
      </w:pPr>
      <w:r>
        <w:rPr>
          <w:b/>
          <w:szCs w:val="24"/>
        </w:rPr>
        <w:t>Delina Ibrahimaj</w:t>
      </w:r>
      <w:r w:rsidRPr="006624FC" w:rsidR="00E463E6">
        <w:rPr>
          <w:b/>
          <w:szCs w:val="24"/>
        </w:rPr>
        <w:t xml:space="preserve"> </w:t>
      </w:r>
    </w:p>
    <w:p w:rsidRPr="00325A1F" w:rsidR="001F5DD9" w:rsidP="009D13F4" w:rsidRDefault="001F5DD9" w14:paraId="2885F76D" w14:textId="77777777">
      <w:pPr>
        <w:spacing w:line="276" w:lineRule="auto"/>
        <w:rPr>
          <w:szCs w:val="24"/>
        </w:rPr>
      </w:pPr>
    </w:p>
    <w:sectPr w:rsidRPr="00325A1F" w:rsidR="001F5DD9" w:rsidSect="00225F7F">
      <w:footnotePr>
        <w:numRestart w:val="eachSect"/>
      </w:footnotePr>
      <w:type w:val="continuous"/>
      <w:pgSz w:w="11907" w:h="16840" w:orient="portrait"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75562" w:rsidR="00E3015A" w:rsidRDefault="00E3015A" w14:paraId="1B2E995B" w14:textId="77777777">
      <w:r w:rsidRPr="00E75562">
        <w:separator/>
      </w:r>
    </w:p>
  </w:endnote>
  <w:endnote w:type="continuationSeparator" w:id="0">
    <w:p w:rsidRPr="00E75562" w:rsidR="00E3015A" w:rsidRDefault="00E3015A" w14:paraId="454BF28D" w14:textId="77777777">
      <w:r w:rsidRPr="00E75562">
        <w:continuationSeparator/>
      </w:r>
    </w:p>
  </w:endnote>
  <w:endnote w:type="continuationNotice" w:id="1">
    <w:p w:rsidRPr="00E75562" w:rsidR="00E3015A" w:rsidRDefault="00E3015A" w14:paraId="0728A8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5562" w:rsidR="005961A1" w:rsidP="000407D8" w:rsidRDefault="005961A1" w14:paraId="46D8BD9D" w14:textId="77777777">
    <w:pPr>
      <w:pStyle w:val="Footer"/>
    </w:pPr>
    <w:r w:rsidRPr="00E75562">
      <w:rPr>
        <w:rStyle w:val="PageNumber"/>
        <w:b w:val="0"/>
        <w:szCs w:val="18"/>
      </w:rPr>
      <w:fldChar w:fldCharType="begin"/>
    </w:r>
    <w:r w:rsidRPr="00E75562">
      <w:rPr>
        <w:rStyle w:val="PageNumber"/>
        <w:b w:val="0"/>
        <w:szCs w:val="18"/>
      </w:rPr>
      <w:instrText xml:space="preserve"> PAGE </w:instrText>
    </w:r>
    <w:r w:rsidRPr="00E75562">
      <w:rPr>
        <w:rStyle w:val="PageNumber"/>
        <w:b w:val="0"/>
        <w:szCs w:val="18"/>
      </w:rPr>
      <w:fldChar w:fldCharType="separate"/>
    </w:r>
    <w:r w:rsidRPr="00E75562" w:rsidR="00DE53BA">
      <w:rPr>
        <w:rStyle w:val="PageNumber"/>
        <w:b w:val="0"/>
        <w:szCs w:val="18"/>
      </w:rPr>
      <w:t>20</w:t>
    </w:r>
    <w:r w:rsidRPr="00E75562">
      <w:rPr>
        <w:rStyle w:val="PageNumber"/>
        <w:b w:val="0"/>
        <w:szCs w:val="18"/>
      </w:rPr>
      <w:fldChar w:fldCharType="end"/>
    </w:r>
  </w:p>
  <w:p w:rsidRPr="00E75562" w:rsidR="005961A1" w:rsidRDefault="005961A1" w14:paraId="03EF0755" w14:textId="77777777"/>
  <w:p w:rsidRPr="00E75562" w:rsidR="005961A1" w:rsidRDefault="005961A1" w14:paraId="03F8EC7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75562" w:rsidR="00E3015A" w:rsidRDefault="00E3015A" w14:paraId="76278D34" w14:textId="77777777">
      <w:r w:rsidRPr="00E75562">
        <w:separator/>
      </w:r>
    </w:p>
  </w:footnote>
  <w:footnote w:type="continuationSeparator" w:id="0">
    <w:p w:rsidRPr="00E75562" w:rsidR="00E3015A" w:rsidRDefault="00E3015A" w14:paraId="344E39C4" w14:textId="77777777">
      <w:r w:rsidRPr="00E75562">
        <w:continuationSeparator/>
      </w:r>
    </w:p>
  </w:footnote>
  <w:footnote w:type="continuationNotice" w:id="1">
    <w:p w:rsidRPr="00E75562" w:rsidR="00E3015A" w:rsidRDefault="00E3015A" w14:paraId="13ABEC94" w14:textId="77777777"/>
  </w:footnote>
  <w:footnote w:id="2">
    <w:p w:rsidRPr="00E75562" w:rsidR="00210844" w:rsidRDefault="00210844" w14:paraId="13CBBF14" w14:textId="3C0CEFD7">
      <w:pPr>
        <w:pStyle w:val="FootnoteText"/>
        <w:rPr>
          <w:lang w:val="fr-FR"/>
        </w:rPr>
      </w:pPr>
      <w:r w:rsidRPr="00E75562">
        <w:rPr>
          <w:rStyle w:val="FootnoteReference"/>
        </w:rPr>
        <w:footnoteRef/>
      </w:r>
      <w:r w:rsidRPr="00E75562">
        <w:t xml:space="preserve"> </w:t>
      </w:r>
      <w:r w:rsidRPr="00E75562" w:rsidR="00396770">
        <w:t xml:space="preserve">Shih faqet </w:t>
      </w:r>
      <w:r w:rsidRPr="00E75562" w:rsidR="004057F2">
        <w:t>12 dhe 67 të Progress Raportit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5562" w:rsidR="005961A1" w:rsidRDefault="005961A1" w14:paraId="7C7A7777" w14:textId="77777777"/>
  <w:p w:rsidRPr="00E75562" w:rsidR="005961A1" w:rsidRDefault="005961A1" w14:paraId="0146091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C20"/>
    <w:multiLevelType w:val="multilevel"/>
    <w:tmpl w:val="B1185CD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2CA308F"/>
    <w:multiLevelType w:val="multilevel"/>
    <w:tmpl w:val="599E7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707AC6"/>
    <w:multiLevelType w:val="multilevel"/>
    <w:tmpl w:val="B7EED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B735B2"/>
    <w:multiLevelType w:val="multilevel"/>
    <w:tmpl w:val="3FC01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D82841"/>
    <w:multiLevelType w:val="multilevel"/>
    <w:tmpl w:val="1590B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AF0C65"/>
    <w:multiLevelType w:val="multilevel"/>
    <w:tmpl w:val="73D40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DB065D"/>
    <w:multiLevelType w:val="multilevel"/>
    <w:tmpl w:val="919C8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79236E"/>
    <w:multiLevelType w:val="multilevel"/>
    <w:tmpl w:val="C4C2C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0239E1"/>
    <w:multiLevelType w:val="multilevel"/>
    <w:tmpl w:val="5450D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EC3405"/>
    <w:multiLevelType w:val="multilevel"/>
    <w:tmpl w:val="DC80A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640AFC"/>
    <w:multiLevelType w:val="hybridMultilevel"/>
    <w:tmpl w:val="6F6CE620"/>
    <w:lvl w:ilvl="0" w:tplc="82DA6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4DD0"/>
    <w:multiLevelType w:val="multilevel"/>
    <w:tmpl w:val="D460E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C20E39"/>
    <w:multiLevelType w:val="multilevel"/>
    <w:tmpl w:val="B9A2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82BCE"/>
    <w:multiLevelType w:val="multilevel"/>
    <w:tmpl w:val="7524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90960"/>
    <w:multiLevelType w:val="multilevel"/>
    <w:tmpl w:val="A3846A2C"/>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imes New Roman" w:hAnsi="Times New Roman" w:eastAsia="Times New Roman" w:cs="Times New Roman"/>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hint="default" w:ascii="Symbol" w:hAnsi="Symbol"/>
      </w:rPr>
    </w:lvl>
    <w:lvl w:ilvl="1">
      <w:start w:val="1"/>
      <w:numFmt w:val="bullet"/>
      <w:lvlText w:val=""/>
      <w:lvlJc w:val="left"/>
      <w:pPr>
        <w:tabs>
          <w:tab w:val="num" w:pos="567"/>
        </w:tabs>
        <w:ind w:left="567" w:hanging="283"/>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6" w15:restartNumberingAfterBreak="0">
    <w:nsid w:val="31683207"/>
    <w:multiLevelType w:val="multilevel"/>
    <w:tmpl w:val="E618C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7269DE"/>
    <w:multiLevelType w:val="multilevel"/>
    <w:tmpl w:val="4FB2C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48669D"/>
    <w:multiLevelType w:val="multilevel"/>
    <w:tmpl w:val="D88AA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86E0A17"/>
    <w:multiLevelType w:val="multilevel"/>
    <w:tmpl w:val="70E21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AB20634"/>
    <w:multiLevelType w:val="hybridMultilevel"/>
    <w:tmpl w:val="5A52808C"/>
    <w:lvl w:ilvl="0" w:tplc="045A29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B5630"/>
    <w:multiLevelType w:val="hybridMultilevel"/>
    <w:tmpl w:val="D660DB82"/>
    <w:lvl w:ilvl="0" w:tplc="5606964E">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11051EE"/>
    <w:multiLevelType w:val="multilevel"/>
    <w:tmpl w:val="9C063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185EEF"/>
    <w:multiLevelType w:val="hybridMultilevel"/>
    <w:tmpl w:val="E1ECB01E"/>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42E475AD"/>
    <w:multiLevelType w:val="multilevel"/>
    <w:tmpl w:val="5AD63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4B80EA5"/>
    <w:multiLevelType w:val="multilevel"/>
    <w:tmpl w:val="1F88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BCC1089"/>
    <w:multiLevelType w:val="multilevel"/>
    <w:tmpl w:val="3968A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E5F47AB"/>
    <w:multiLevelType w:val="hybridMultilevel"/>
    <w:tmpl w:val="E312C816"/>
    <w:lvl w:ilvl="0" w:tplc="04090001">
      <w:start w:val="1"/>
      <w:numFmt w:val="bullet"/>
      <w:lvlText w:val=""/>
      <w:lvlJc w:val="left"/>
      <w:pPr>
        <w:ind w:left="90" w:hanging="360"/>
      </w:pPr>
      <w:rPr>
        <w:rFonts w:hint="default" w:ascii="Symbol" w:hAnsi="Symbol"/>
      </w:rPr>
    </w:lvl>
    <w:lvl w:ilvl="1" w:tplc="04090003" w:tentative="1">
      <w:start w:val="1"/>
      <w:numFmt w:val="bullet"/>
      <w:lvlText w:val="o"/>
      <w:lvlJc w:val="left"/>
      <w:pPr>
        <w:ind w:left="810" w:hanging="360"/>
      </w:pPr>
      <w:rPr>
        <w:rFonts w:hint="default" w:ascii="Courier New" w:hAnsi="Courier New" w:cs="Courier New"/>
      </w:rPr>
    </w:lvl>
    <w:lvl w:ilvl="2" w:tplc="04090005" w:tentative="1">
      <w:start w:val="1"/>
      <w:numFmt w:val="bullet"/>
      <w:lvlText w:val=""/>
      <w:lvlJc w:val="left"/>
      <w:pPr>
        <w:ind w:left="1530" w:hanging="360"/>
      </w:pPr>
      <w:rPr>
        <w:rFonts w:hint="default" w:ascii="Wingdings" w:hAnsi="Wingdings"/>
      </w:rPr>
    </w:lvl>
    <w:lvl w:ilvl="3" w:tplc="04090001" w:tentative="1">
      <w:start w:val="1"/>
      <w:numFmt w:val="bullet"/>
      <w:lvlText w:val=""/>
      <w:lvlJc w:val="left"/>
      <w:pPr>
        <w:ind w:left="2250" w:hanging="360"/>
      </w:pPr>
      <w:rPr>
        <w:rFonts w:hint="default" w:ascii="Symbol" w:hAnsi="Symbol"/>
      </w:rPr>
    </w:lvl>
    <w:lvl w:ilvl="4" w:tplc="04090003" w:tentative="1">
      <w:start w:val="1"/>
      <w:numFmt w:val="bullet"/>
      <w:lvlText w:val="o"/>
      <w:lvlJc w:val="left"/>
      <w:pPr>
        <w:ind w:left="2970" w:hanging="360"/>
      </w:pPr>
      <w:rPr>
        <w:rFonts w:hint="default" w:ascii="Courier New" w:hAnsi="Courier New" w:cs="Courier New"/>
      </w:rPr>
    </w:lvl>
    <w:lvl w:ilvl="5" w:tplc="04090005" w:tentative="1">
      <w:start w:val="1"/>
      <w:numFmt w:val="bullet"/>
      <w:lvlText w:val=""/>
      <w:lvlJc w:val="left"/>
      <w:pPr>
        <w:ind w:left="3690" w:hanging="360"/>
      </w:pPr>
      <w:rPr>
        <w:rFonts w:hint="default" w:ascii="Wingdings" w:hAnsi="Wingdings"/>
      </w:rPr>
    </w:lvl>
    <w:lvl w:ilvl="6" w:tplc="04090001" w:tentative="1">
      <w:start w:val="1"/>
      <w:numFmt w:val="bullet"/>
      <w:lvlText w:val=""/>
      <w:lvlJc w:val="left"/>
      <w:pPr>
        <w:ind w:left="4410" w:hanging="360"/>
      </w:pPr>
      <w:rPr>
        <w:rFonts w:hint="default" w:ascii="Symbol" w:hAnsi="Symbol"/>
      </w:rPr>
    </w:lvl>
    <w:lvl w:ilvl="7" w:tplc="04090003" w:tentative="1">
      <w:start w:val="1"/>
      <w:numFmt w:val="bullet"/>
      <w:lvlText w:val="o"/>
      <w:lvlJc w:val="left"/>
      <w:pPr>
        <w:ind w:left="5130" w:hanging="360"/>
      </w:pPr>
      <w:rPr>
        <w:rFonts w:hint="default" w:ascii="Courier New" w:hAnsi="Courier New" w:cs="Courier New"/>
      </w:rPr>
    </w:lvl>
    <w:lvl w:ilvl="8" w:tplc="04090005" w:tentative="1">
      <w:start w:val="1"/>
      <w:numFmt w:val="bullet"/>
      <w:lvlText w:val=""/>
      <w:lvlJc w:val="left"/>
      <w:pPr>
        <w:ind w:left="5850" w:hanging="360"/>
      </w:pPr>
      <w:rPr>
        <w:rFonts w:hint="default" w:ascii="Wingdings" w:hAnsi="Wingdings"/>
      </w:rPr>
    </w:lvl>
  </w:abstractNum>
  <w:abstractNum w:abstractNumId="30" w15:restartNumberingAfterBreak="0">
    <w:nsid w:val="523211C5"/>
    <w:multiLevelType w:val="hybridMultilevel"/>
    <w:tmpl w:val="961EA23C"/>
    <w:lvl w:ilvl="0" w:tplc="674EB0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91579"/>
    <w:multiLevelType w:val="hybridMultilevel"/>
    <w:tmpl w:val="E8F81B28"/>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86148F6"/>
    <w:multiLevelType w:val="multilevel"/>
    <w:tmpl w:val="B9A20674"/>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F7A44"/>
    <w:multiLevelType w:val="multilevel"/>
    <w:tmpl w:val="1F88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E33111"/>
    <w:multiLevelType w:val="multilevel"/>
    <w:tmpl w:val="22F0B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1F707F4"/>
    <w:multiLevelType w:val="multilevel"/>
    <w:tmpl w:val="A2F40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29715D2"/>
    <w:multiLevelType w:val="multilevel"/>
    <w:tmpl w:val="7FDED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3B739A7"/>
    <w:multiLevelType w:val="multilevel"/>
    <w:tmpl w:val="D7DC9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7922236"/>
    <w:multiLevelType w:val="multilevel"/>
    <w:tmpl w:val="738C4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86D63BA"/>
    <w:multiLevelType w:val="multilevel"/>
    <w:tmpl w:val="45D21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F4E5778"/>
    <w:multiLevelType w:val="multilevel"/>
    <w:tmpl w:val="E00CB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FF66E4A"/>
    <w:multiLevelType w:val="hybridMultilevel"/>
    <w:tmpl w:val="B6E04B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0F23781"/>
    <w:multiLevelType w:val="hybridMultilevel"/>
    <w:tmpl w:val="FB6AC54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1385474"/>
    <w:multiLevelType w:val="multilevel"/>
    <w:tmpl w:val="43AA2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18851C2"/>
    <w:multiLevelType w:val="multilevel"/>
    <w:tmpl w:val="3626DD9A"/>
    <w:lvl w:ilvl="0">
      <w:start w:val="1"/>
      <w:numFmt w:val="decimal"/>
      <w:pStyle w:val="IARefNumber"/>
      <w:suff w:val="nothing"/>
      <w:lvlText w:val="%1"/>
      <w:lvlJc w:val="left"/>
      <w:pPr>
        <w:ind w:firstLine="113"/>
      </w:pPr>
      <w:rPr>
        <w:rFonts w:hint="default" w:cs="Times New Roman"/>
      </w:rPr>
    </w:lvl>
    <w:lvl w:ilvl="1">
      <w:start w:val="1"/>
      <w:numFmt w:val="decimal"/>
      <w:lvlText w:val="%1.%2."/>
      <w:lvlJc w:val="left"/>
      <w:pPr>
        <w:tabs>
          <w:tab w:val="num" w:pos="1080"/>
        </w:tabs>
        <w:ind w:left="792" w:hanging="432"/>
      </w:pPr>
      <w:rPr>
        <w:rFonts w:hint="default" w:cs="Times New Roman"/>
      </w:rPr>
    </w:lvl>
    <w:lvl w:ilvl="2">
      <w:start w:val="1"/>
      <w:numFmt w:val="decimal"/>
      <w:lvlText w:val="%1.%2.%3."/>
      <w:lvlJc w:val="left"/>
      <w:pPr>
        <w:tabs>
          <w:tab w:val="num" w:pos="1800"/>
        </w:tabs>
        <w:ind w:left="1224" w:hanging="504"/>
      </w:pPr>
      <w:rPr>
        <w:rFonts w:hint="default" w:cs="Times New Roman"/>
      </w:rPr>
    </w:lvl>
    <w:lvl w:ilvl="3">
      <w:start w:val="1"/>
      <w:numFmt w:val="decimal"/>
      <w:lvlText w:val="%1.%2.%3.%4."/>
      <w:lvlJc w:val="left"/>
      <w:pPr>
        <w:tabs>
          <w:tab w:val="num" w:pos="252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600"/>
        </w:tabs>
        <w:ind w:left="2736" w:hanging="936"/>
      </w:pPr>
      <w:rPr>
        <w:rFonts w:hint="default" w:cs="Times New Roman"/>
      </w:rPr>
    </w:lvl>
    <w:lvl w:ilvl="6">
      <w:start w:val="1"/>
      <w:numFmt w:val="decimal"/>
      <w:lvlText w:val="%1.%2.%3.%4.%5.%6.%7."/>
      <w:lvlJc w:val="left"/>
      <w:pPr>
        <w:tabs>
          <w:tab w:val="num" w:pos="4320"/>
        </w:tabs>
        <w:ind w:left="3240" w:hanging="1080"/>
      </w:pPr>
      <w:rPr>
        <w:rFonts w:hint="default" w:cs="Times New Roman"/>
      </w:rPr>
    </w:lvl>
    <w:lvl w:ilvl="7">
      <w:start w:val="1"/>
      <w:numFmt w:val="decimal"/>
      <w:lvlText w:val="%1.%2.%3.%4.%5.%6.%7.%8."/>
      <w:lvlJc w:val="left"/>
      <w:pPr>
        <w:tabs>
          <w:tab w:val="num" w:pos="5040"/>
        </w:tabs>
        <w:ind w:left="3744" w:hanging="1224"/>
      </w:pPr>
      <w:rPr>
        <w:rFonts w:hint="default" w:cs="Times New Roman"/>
      </w:rPr>
    </w:lvl>
    <w:lvl w:ilvl="8">
      <w:start w:val="1"/>
      <w:numFmt w:val="decimal"/>
      <w:lvlText w:val="%1.%2.%3.%4.%5.%6.%7.%8.%9."/>
      <w:lvlJc w:val="left"/>
      <w:pPr>
        <w:tabs>
          <w:tab w:val="num" w:pos="5760"/>
        </w:tabs>
        <w:ind w:left="4320" w:hanging="1440"/>
      </w:pPr>
      <w:rPr>
        <w:rFonts w:hint="default" w:cs="Times New Roman"/>
      </w:rPr>
    </w:lvl>
  </w:abstractNum>
  <w:abstractNum w:abstractNumId="45" w15:restartNumberingAfterBreak="0">
    <w:nsid w:val="718A7901"/>
    <w:multiLevelType w:val="multilevel"/>
    <w:tmpl w:val="CAACA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4553925"/>
    <w:multiLevelType w:val="multilevel"/>
    <w:tmpl w:val="1772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797644"/>
    <w:multiLevelType w:val="multilevel"/>
    <w:tmpl w:val="9B745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C6D2BEE"/>
    <w:multiLevelType w:val="multilevel"/>
    <w:tmpl w:val="1A2EB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FB75C1D"/>
    <w:multiLevelType w:val="multilevel"/>
    <w:tmpl w:val="E2CC615A"/>
    <w:lvl w:ilvl="0">
      <w:start w:val="1"/>
      <w:numFmt w:val="none"/>
      <w:pStyle w:val="EBNumberRestart"/>
      <w:suff w:val="nothing"/>
      <w:lvlText w:val="%1"/>
      <w:lvlJc w:val="left"/>
      <w:rPr>
        <w:rFonts w:hint="default" w:cs="Times New Roman"/>
      </w:rPr>
    </w:lvl>
    <w:lvl w:ilvl="1">
      <w:start w:val="1"/>
      <w:numFmt w:val="decimal"/>
      <w:pStyle w:val="EBNumber"/>
      <w:lvlText w:val="%1%2."/>
      <w:lvlJc w:val="left"/>
      <w:pPr>
        <w:tabs>
          <w:tab w:val="num" w:pos="425"/>
        </w:tabs>
        <w:ind w:left="425" w:hanging="425"/>
      </w:pPr>
      <w:rPr>
        <w:rFonts w:hint="default" w:cs="Times New Roman"/>
      </w:rPr>
    </w:lvl>
    <w:lvl w:ilvl="2">
      <w:start w:val="1"/>
      <w:numFmt w:val="lowerLetter"/>
      <w:lvlText w:val="%1%3."/>
      <w:lvlJc w:val="left"/>
      <w:pPr>
        <w:tabs>
          <w:tab w:val="num" w:pos="851"/>
        </w:tabs>
        <w:ind w:left="851" w:hanging="426"/>
      </w:pPr>
      <w:rPr>
        <w:rFonts w:hint="default" w:cs="Times New Roman"/>
      </w:rPr>
    </w:lvl>
    <w:lvl w:ilvl="3">
      <w:start w:val="1"/>
      <w:numFmt w:val="none"/>
      <w:lvlText w:val="%1"/>
      <w:lvlJc w:val="left"/>
      <w:pPr>
        <w:tabs>
          <w:tab w:val="num" w:pos="2880"/>
        </w:tabs>
        <w:ind w:left="1728" w:hanging="648"/>
      </w:pPr>
      <w:rPr>
        <w:rFonts w:hint="default" w:cs="Times New Roman"/>
      </w:rPr>
    </w:lvl>
    <w:lvl w:ilvl="4">
      <w:start w:val="1"/>
      <w:numFmt w:val="none"/>
      <w:lvlText w:val="%1"/>
      <w:lvlJc w:val="left"/>
      <w:pPr>
        <w:tabs>
          <w:tab w:val="num" w:pos="3600"/>
        </w:tabs>
        <w:ind w:left="2232" w:hanging="792"/>
      </w:pPr>
      <w:rPr>
        <w:rFonts w:hint="default" w:cs="Times New Roman"/>
      </w:rPr>
    </w:lvl>
    <w:lvl w:ilvl="5">
      <w:start w:val="1"/>
      <w:numFmt w:val="none"/>
      <w:lvlText w:val="%1"/>
      <w:lvlJc w:val="left"/>
      <w:pPr>
        <w:tabs>
          <w:tab w:val="num" w:pos="4320"/>
        </w:tabs>
        <w:ind w:left="2736" w:hanging="936"/>
      </w:pPr>
      <w:rPr>
        <w:rFonts w:hint="default" w:cs="Times New Roman"/>
      </w:rPr>
    </w:lvl>
    <w:lvl w:ilvl="6">
      <w:start w:val="1"/>
      <w:numFmt w:val="none"/>
      <w:lvlText w:val="%1"/>
      <w:lvlJc w:val="left"/>
      <w:pPr>
        <w:tabs>
          <w:tab w:val="num" w:pos="5040"/>
        </w:tabs>
        <w:ind w:left="3240" w:hanging="1080"/>
      </w:pPr>
      <w:rPr>
        <w:rFonts w:hint="default" w:cs="Times New Roman"/>
      </w:rPr>
    </w:lvl>
    <w:lvl w:ilvl="7">
      <w:start w:val="1"/>
      <w:numFmt w:val="decimal"/>
      <w:lvlText w:val="%1.%2.%3.%4.%5.%6.%7.%8."/>
      <w:lvlJc w:val="left"/>
      <w:pPr>
        <w:tabs>
          <w:tab w:val="num" w:pos="5760"/>
        </w:tabs>
        <w:ind w:left="3744" w:hanging="1224"/>
      </w:pPr>
      <w:rPr>
        <w:rFonts w:hint="default" w:cs="Times New Roman"/>
      </w:rPr>
    </w:lvl>
    <w:lvl w:ilvl="8">
      <w:start w:val="1"/>
      <w:numFmt w:val="decimal"/>
      <w:lvlText w:val="%1.%2.%3.%4.%5.%6.%7.%8.%9."/>
      <w:lvlJc w:val="left"/>
      <w:pPr>
        <w:tabs>
          <w:tab w:val="num" w:pos="6480"/>
        </w:tabs>
        <w:ind w:left="4320" w:hanging="1440"/>
      </w:pPr>
      <w:rPr>
        <w:rFonts w:hint="default" w:cs="Times New Roman"/>
      </w:rPr>
    </w:lvl>
  </w:abstractNum>
  <w:num w:numId="1" w16cid:durableId="906964333">
    <w:abstractNumId w:val="44"/>
  </w:num>
  <w:num w:numId="2" w16cid:durableId="728236416">
    <w:abstractNumId w:val="15"/>
  </w:num>
  <w:num w:numId="3" w16cid:durableId="1234001809">
    <w:abstractNumId w:val="49"/>
  </w:num>
  <w:num w:numId="4" w16cid:durableId="466633792">
    <w:abstractNumId w:val="27"/>
  </w:num>
  <w:num w:numId="5" w16cid:durableId="2033534855">
    <w:abstractNumId w:val="25"/>
  </w:num>
  <w:num w:numId="6" w16cid:durableId="9480060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6702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0747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902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694041">
    <w:abstractNumId w:val="31"/>
  </w:num>
  <w:num w:numId="11" w16cid:durableId="290866111">
    <w:abstractNumId w:val="12"/>
  </w:num>
  <w:num w:numId="12" w16cid:durableId="1439985383">
    <w:abstractNumId w:val="30"/>
  </w:num>
  <w:num w:numId="13" w16cid:durableId="1020931950">
    <w:abstractNumId w:val="41"/>
  </w:num>
  <w:num w:numId="14" w16cid:durableId="1636719704">
    <w:abstractNumId w:val="40"/>
  </w:num>
  <w:num w:numId="15" w16cid:durableId="964314598">
    <w:abstractNumId w:val="46"/>
  </w:num>
  <w:num w:numId="16" w16cid:durableId="1851528977">
    <w:abstractNumId w:val="10"/>
  </w:num>
  <w:num w:numId="17" w16cid:durableId="1712849758">
    <w:abstractNumId w:val="29"/>
  </w:num>
  <w:num w:numId="18" w16cid:durableId="1534417491">
    <w:abstractNumId w:val="11"/>
  </w:num>
  <w:num w:numId="19" w16cid:durableId="677269205">
    <w:abstractNumId w:val="13"/>
  </w:num>
  <w:num w:numId="20" w16cid:durableId="1987779121">
    <w:abstractNumId w:val="26"/>
  </w:num>
  <w:num w:numId="21" w16cid:durableId="907694753">
    <w:abstractNumId w:val="14"/>
  </w:num>
  <w:num w:numId="22" w16cid:durableId="1696149575">
    <w:abstractNumId w:val="23"/>
  </w:num>
  <w:num w:numId="23" w16cid:durableId="2048292035">
    <w:abstractNumId w:val="42"/>
  </w:num>
  <w:num w:numId="24" w16cid:durableId="454324929">
    <w:abstractNumId w:val="21"/>
  </w:num>
  <w:num w:numId="25" w16cid:durableId="1899971212">
    <w:abstractNumId w:val="20"/>
  </w:num>
  <w:num w:numId="26" w16cid:durableId="1222327147">
    <w:abstractNumId w:val="33"/>
  </w:num>
  <w:num w:numId="27" w16cid:durableId="758908406">
    <w:abstractNumId w:val="47"/>
  </w:num>
  <w:num w:numId="28" w16cid:durableId="1305701330">
    <w:abstractNumId w:val="45"/>
  </w:num>
  <w:num w:numId="29" w16cid:durableId="1437402138">
    <w:abstractNumId w:val="19"/>
  </w:num>
  <w:num w:numId="30" w16cid:durableId="1558124536">
    <w:abstractNumId w:val="0"/>
  </w:num>
  <w:num w:numId="31" w16cid:durableId="2065060693">
    <w:abstractNumId w:val="8"/>
  </w:num>
  <w:num w:numId="32" w16cid:durableId="1354957809">
    <w:abstractNumId w:val="9"/>
  </w:num>
  <w:num w:numId="33" w16cid:durableId="1434282783">
    <w:abstractNumId w:val="37"/>
  </w:num>
  <w:num w:numId="34" w16cid:durableId="2120755026">
    <w:abstractNumId w:val="28"/>
  </w:num>
  <w:num w:numId="35" w16cid:durableId="191840322">
    <w:abstractNumId w:val="36"/>
  </w:num>
  <w:num w:numId="36" w16cid:durableId="2092962891">
    <w:abstractNumId w:val="35"/>
  </w:num>
  <w:num w:numId="37" w16cid:durableId="1380477017">
    <w:abstractNumId w:val="18"/>
  </w:num>
  <w:num w:numId="38" w16cid:durableId="1219323810">
    <w:abstractNumId w:val="2"/>
  </w:num>
  <w:num w:numId="39" w16cid:durableId="1909266801">
    <w:abstractNumId w:val="4"/>
  </w:num>
  <w:num w:numId="40" w16cid:durableId="1446726988">
    <w:abstractNumId w:val="22"/>
  </w:num>
  <w:num w:numId="41" w16cid:durableId="2065595446">
    <w:abstractNumId w:val="17"/>
  </w:num>
  <w:num w:numId="42" w16cid:durableId="1591431633">
    <w:abstractNumId w:val="39"/>
  </w:num>
  <w:num w:numId="43" w16cid:durableId="622270081">
    <w:abstractNumId w:val="48"/>
  </w:num>
  <w:num w:numId="44" w16cid:durableId="1883713168">
    <w:abstractNumId w:val="6"/>
  </w:num>
  <w:num w:numId="45" w16cid:durableId="1120800811">
    <w:abstractNumId w:val="7"/>
  </w:num>
  <w:num w:numId="46" w16cid:durableId="44329430">
    <w:abstractNumId w:val="38"/>
  </w:num>
  <w:num w:numId="47" w16cid:durableId="39745518">
    <w:abstractNumId w:val="5"/>
  </w:num>
  <w:num w:numId="48" w16cid:durableId="1666057799">
    <w:abstractNumId w:val="24"/>
  </w:num>
  <w:num w:numId="49" w16cid:durableId="1803112010">
    <w:abstractNumId w:val="1"/>
  </w:num>
  <w:num w:numId="50" w16cid:durableId="1478256071">
    <w:abstractNumId w:val="16"/>
  </w:num>
  <w:num w:numId="51" w16cid:durableId="1013920737">
    <w:abstractNumId w:val="34"/>
  </w:num>
  <w:num w:numId="52" w16cid:durableId="758796013">
    <w:abstractNumId w:val="43"/>
  </w:num>
  <w:num w:numId="53" w16cid:durableId="1574313491">
    <w:abstractNumId w:val="3"/>
  </w:num>
  <w:num w:numId="54" w16cid:durableId="1047603510">
    <w:abstractNumId w:val="32"/>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formatting="1" w:enforcement="0"/>
  <w:defaultTabStop w:val="720"/>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79A"/>
    <w:rsid w:val="00003A70"/>
    <w:rsid w:val="0000459E"/>
    <w:rsid w:val="000045C0"/>
    <w:rsid w:val="0000505F"/>
    <w:rsid w:val="000071A5"/>
    <w:rsid w:val="000079C0"/>
    <w:rsid w:val="00007ADE"/>
    <w:rsid w:val="00010798"/>
    <w:rsid w:val="00010950"/>
    <w:rsid w:val="00010D6E"/>
    <w:rsid w:val="00010EE1"/>
    <w:rsid w:val="00011878"/>
    <w:rsid w:val="00012458"/>
    <w:rsid w:val="0001324D"/>
    <w:rsid w:val="0001412C"/>
    <w:rsid w:val="000142F1"/>
    <w:rsid w:val="0001460F"/>
    <w:rsid w:val="000166B7"/>
    <w:rsid w:val="00017609"/>
    <w:rsid w:val="00020A8C"/>
    <w:rsid w:val="00021306"/>
    <w:rsid w:val="000222F1"/>
    <w:rsid w:val="00022BE0"/>
    <w:rsid w:val="00022BE4"/>
    <w:rsid w:val="00022F52"/>
    <w:rsid w:val="00023080"/>
    <w:rsid w:val="0002370C"/>
    <w:rsid w:val="000239A7"/>
    <w:rsid w:val="00023CF7"/>
    <w:rsid w:val="00023E62"/>
    <w:rsid w:val="00024710"/>
    <w:rsid w:val="00024B39"/>
    <w:rsid w:val="000251D0"/>
    <w:rsid w:val="000253B7"/>
    <w:rsid w:val="00025CC4"/>
    <w:rsid w:val="00026555"/>
    <w:rsid w:val="00026738"/>
    <w:rsid w:val="0002689D"/>
    <w:rsid w:val="00026AC0"/>
    <w:rsid w:val="00027038"/>
    <w:rsid w:val="00027056"/>
    <w:rsid w:val="00031B0D"/>
    <w:rsid w:val="00036337"/>
    <w:rsid w:val="0003786D"/>
    <w:rsid w:val="0004016B"/>
    <w:rsid w:val="000404D5"/>
    <w:rsid w:val="000407D8"/>
    <w:rsid w:val="00041FBC"/>
    <w:rsid w:val="000423ED"/>
    <w:rsid w:val="00044FE7"/>
    <w:rsid w:val="000457A1"/>
    <w:rsid w:val="00045828"/>
    <w:rsid w:val="00045BAD"/>
    <w:rsid w:val="000465C4"/>
    <w:rsid w:val="0005089F"/>
    <w:rsid w:val="00051403"/>
    <w:rsid w:val="00052F44"/>
    <w:rsid w:val="00053B43"/>
    <w:rsid w:val="00053C0A"/>
    <w:rsid w:val="0005543F"/>
    <w:rsid w:val="00056EE6"/>
    <w:rsid w:val="00057C47"/>
    <w:rsid w:val="00060371"/>
    <w:rsid w:val="0006047F"/>
    <w:rsid w:val="0006053F"/>
    <w:rsid w:val="00061D9C"/>
    <w:rsid w:val="00063FFC"/>
    <w:rsid w:val="00065D47"/>
    <w:rsid w:val="000671A2"/>
    <w:rsid w:val="000705A0"/>
    <w:rsid w:val="00070EEB"/>
    <w:rsid w:val="00071110"/>
    <w:rsid w:val="00071299"/>
    <w:rsid w:val="00072272"/>
    <w:rsid w:val="0007268C"/>
    <w:rsid w:val="00072AA6"/>
    <w:rsid w:val="000750BB"/>
    <w:rsid w:val="0007524C"/>
    <w:rsid w:val="0007532E"/>
    <w:rsid w:val="00075E7B"/>
    <w:rsid w:val="0007637D"/>
    <w:rsid w:val="000767AC"/>
    <w:rsid w:val="0007695E"/>
    <w:rsid w:val="00076A78"/>
    <w:rsid w:val="00076C08"/>
    <w:rsid w:val="0007783C"/>
    <w:rsid w:val="00080AE0"/>
    <w:rsid w:val="00081835"/>
    <w:rsid w:val="00082659"/>
    <w:rsid w:val="00082B2E"/>
    <w:rsid w:val="00082BAC"/>
    <w:rsid w:val="00084E12"/>
    <w:rsid w:val="000860CC"/>
    <w:rsid w:val="000860E6"/>
    <w:rsid w:val="00086128"/>
    <w:rsid w:val="0008731F"/>
    <w:rsid w:val="000903E3"/>
    <w:rsid w:val="00090950"/>
    <w:rsid w:val="000922E2"/>
    <w:rsid w:val="000924A0"/>
    <w:rsid w:val="00093598"/>
    <w:rsid w:val="0009381F"/>
    <w:rsid w:val="00093FC4"/>
    <w:rsid w:val="00094680"/>
    <w:rsid w:val="000956FD"/>
    <w:rsid w:val="0009719A"/>
    <w:rsid w:val="000A03F0"/>
    <w:rsid w:val="000A0923"/>
    <w:rsid w:val="000A36EE"/>
    <w:rsid w:val="000A5C5D"/>
    <w:rsid w:val="000A6E4B"/>
    <w:rsid w:val="000A757B"/>
    <w:rsid w:val="000A79FC"/>
    <w:rsid w:val="000B0524"/>
    <w:rsid w:val="000B0749"/>
    <w:rsid w:val="000B07A1"/>
    <w:rsid w:val="000B1176"/>
    <w:rsid w:val="000B1A2E"/>
    <w:rsid w:val="000B3E49"/>
    <w:rsid w:val="000B5867"/>
    <w:rsid w:val="000C031E"/>
    <w:rsid w:val="000C165A"/>
    <w:rsid w:val="000C1942"/>
    <w:rsid w:val="000C1D45"/>
    <w:rsid w:val="000C2589"/>
    <w:rsid w:val="000C30D8"/>
    <w:rsid w:val="000C3CF6"/>
    <w:rsid w:val="000C4589"/>
    <w:rsid w:val="000C4DBA"/>
    <w:rsid w:val="000C57D5"/>
    <w:rsid w:val="000C5EF8"/>
    <w:rsid w:val="000C6A87"/>
    <w:rsid w:val="000C7689"/>
    <w:rsid w:val="000D1CB0"/>
    <w:rsid w:val="000D31B0"/>
    <w:rsid w:val="000D55B5"/>
    <w:rsid w:val="000D58BD"/>
    <w:rsid w:val="000D5974"/>
    <w:rsid w:val="000D5ED5"/>
    <w:rsid w:val="000D7F7C"/>
    <w:rsid w:val="000E02BE"/>
    <w:rsid w:val="000E0C37"/>
    <w:rsid w:val="000E0E94"/>
    <w:rsid w:val="000E3308"/>
    <w:rsid w:val="000E3FD7"/>
    <w:rsid w:val="000E452D"/>
    <w:rsid w:val="000F004E"/>
    <w:rsid w:val="000F0840"/>
    <w:rsid w:val="000F0D86"/>
    <w:rsid w:val="000F13F2"/>
    <w:rsid w:val="000F22B4"/>
    <w:rsid w:val="000F37BB"/>
    <w:rsid w:val="000F4481"/>
    <w:rsid w:val="000F5100"/>
    <w:rsid w:val="000F57BB"/>
    <w:rsid w:val="000F77AE"/>
    <w:rsid w:val="0010152B"/>
    <w:rsid w:val="00101961"/>
    <w:rsid w:val="00102870"/>
    <w:rsid w:val="00103DFB"/>
    <w:rsid w:val="00105959"/>
    <w:rsid w:val="001064DC"/>
    <w:rsid w:val="00110396"/>
    <w:rsid w:val="001110DB"/>
    <w:rsid w:val="00112C42"/>
    <w:rsid w:val="001132D7"/>
    <w:rsid w:val="00115432"/>
    <w:rsid w:val="001155AF"/>
    <w:rsid w:val="00115D70"/>
    <w:rsid w:val="00120113"/>
    <w:rsid w:val="001216FC"/>
    <w:rsid w:val="0012327F"/>
    <w:rsid w:val="001235DD"/>
    <w:rsid w:val="0012369A"/>
    <w:rsid w:val="00123CDD"/>
    <w:rsid w:val="001243CD"/>
    <w:rsid w:val="0012460B"/>
    <w:rsid w:val="001248DE"/>
    <w:rsid w:val="001269E0"/>
    <w:rsid w:val="00126ACC"/>
    <w:rsid w:val="00127373"/>
    <w:rsid w:val="001276F9"/>
    <w:rsid w:val="0013023A"/>
    <w:rsid w:val="00131CE4"/>
    <w:rsid w:val="001334EC"/>
    <w:rsid w:val="00133A17"/>
    <w:rsid w:val="00133C58"/>
    <w:rsid w:val="00134EA8"/>
    <w:rsid w:val="001365F4"/>
    <w:rsid w:val="0014140D"/>
    <w:rsid w:val="00141B6F"/>
    <w:rsid w:val="0014336D"/>
    <w:rsid w:val="001477D1"/>
    <w:rsid w:val="00150DAE"/>
    <w:rsid w:val="001510A5"/>
    <w:rsid w:val="001514A4"/>
    <w:rsid w:val="001517DD"/>
    <w:rsid w:val="00151E9F"/>
    <w:rsid w:val="0015254E"/>
    <w:rsid w:val="00152C60"/>
    <w:rsid w:val="00152F72"/>
    <w:rsid w:val="001535F3"/>
    <w:rsid w:val="00155C6A"/>
    <w:rsid w:val="00156E0C"/>
    <w:rsid w:val="00157090"/>
    <w:rsid w:val="00160691"/>
    <w:rsid w:val="00161429"/>
    <w:rsid w:val="00161FC0"/>
    <w:rsid w:val="00162489"/>
    <w:rsid w:val="001635A9"/>
    <w:rsid w:val="00165113"/>
    <w:rsid w:val="001709E2"/>
    <w:rsid w:val="00171E95"/>
    <w:rsid w:val="0017205B"/>
    <w:rsid w:val="00174C10"/>
    <w:rsid w:val="00175447"/>
    <w:rsid w:val="00176F42"/>
    <w:rsid w:val="00176F89"/>
    <w:rsid w:val="001777B1"/>
    <w:rsid w:val="00181F2C"/>
    <w:rsid w:val="001828C9"/>
    <w:rsid w:val="00182A48"/>
    <w:rsid w:val="00182B85"/>
    <w:rsid w:val="00183038"/>
    <w:rsid w:val="00183882"/>
    <w:rsid w:val="001844B6"/>
    <w:rsid w:val="00184DEA"/>
    <w:rsid w:val="001851A3"/>
    <w:rsid w:val="001851B9"/>
    <w:rsid w:val="001851C2"/>
    <w:rsid w:val="001855B1"/>
    <w:rsid w:val="00186D01"/>
    <w:rsid w:val="0019021E"/>
    <w:rsid w:val="00190A8C"/>
    <w:rsid w:val="00190F9A"/>
    <w:rsid w:val="00194002"/>
    <w:rsid w:val="00194050"/>
    <w:rsid w:val="00194745"/>
    <w:rsid w:val="00194E96"/>
    <w:rsid w:val="001966B6"/>
    <w:rsid w:val="00196E51"/>
    <w:rsid w:val="001975FE"/>
    <w:rsid w:val="001A07F1"/>
    <w:rsid w:val="001A2509"/>
    <w:rsid w:val="001A3B0B"/>
    <w:rsid w:val="001A4332"/>
    <w:rsid w:val="001A4432"/>
    <w:rsid w:val="001A478E"/>
    <w:rsid w:val="001A509E"/>
    <w:rsid w:val="001A5F28"/>
    <w:rsid w:val="001A6FE6"/>
    <w:rsid w:val="001A7B61"/>
    <w:rsid w:val="001A7BE2"/>
    <w:rsid w:val="001A7D6D"/>
    <w:rsid w:val="001B0D10"/>
    <w:rsid w:val="001B1210"/>
    <w:rsid w:val="001B2F84"/>
    <w:rsid w:val="001B305C"/>
    <w:rsid w:val="001B34EB"/>
    <w:rsid w:val="001C0644"/>
    <w:rsid w:val="001C0B2C"/>
    <w:rsid w:val="001C0B58"/>
    <w:rsid w:val="001C1EB3"/>
    <w:rsid w:val="001C3363"/>
    <w:rsid w:val="001C4862"/>
    <w:rsid w:val="001C5CE9"/>
    <w:rsid w:val="001C7C39"/>
    <w:rsid w:val="001D09CC"/>
    <w:rsid w:val="001D0AF4"/>
    <w:rsid w:val="001D12D6"/>
    <w:rsid w:val="001D1FC0"/>
    <w:rsid w:val="001D2096"/>
    <w:rsid w:val="001D257A"/>
    <w:rsid w:val="001D2A5A"/>
    <w:rsid w:val="001D3732"/>
    <w:rsid w:val="001D3A43"/>
    <w:rsid w:val="001D3C11"/>
    <w:rsid w:val="001D4AA8"/>
    <w:rsid w:val="001D4D42"/>
    <w:rsid w:val="001D5EC9"/>
    <w:rsid w:val="001D6583"/>
    <w:rsid w:val="001D6716"/>
    <w:rsid w:val="001D6B90"/>
    <w:rsid w:val="001D6CC1"/>
    <w:rsid w:val="001E0D36"/>
    <w:rsid w:val="001E152A"/>
    <w:rsid w:val="001E1DA0"/>
    <w:rsid w:val="001E3B6F"/>
    <w:rsid w:val="001E429F"/>
    <w:rsid w:val="001E4F94"/>
    <w:rsid w:val="001E69A2"/>
    <w:rsid w:val="001E69E8"/>
    <w:rsid w:val="001E7137"/>
    <w:rsid w:val="001E774E"/>
    <w:rsid w:val="001E79D0"/>
    <w:rsid w:val="001F02C1"/>
    <w:rsid w:val="001F1EF1"/>
    <w:rsid w:val="001F2DD3"/>
    <w:rsid w:val="001F3A62"/>
    <w:rsid w:val="001F4352"/>
    <w:rsid w:val="001F5423"/>
    <w:rsid w:val="001F5DD9"/>
    <w:rsid w:val="001F69E9"/>
    <w:rsid w:val="001F6D51"/>
    <w:rsid w:val="001F6F17"/>
    <w:rsid w:val="001F71C9"/>
    <w:rsid w:val="001F7CF8"/>
    <w:rsid w:val="00200315"/>
    <w:rsid w:val="002005F1"/>
    <w:rsid w:val="0020104C"/>
    <w:rsid w:val="0020151D"/>
    <w:rsid w:val="00201B79"/>
    <w:rsid w:val="00201BA5"/>
    <w:rsid w:val="002029F5"/>
    <w:rsid w:val="00202E56"/>
    <w:rsid w:val="002033D6"/>
    <w:rsid w:val="00203758"/>
    <w:rsid w:val="00204AB1"/>
    <w:rsid w:val="00205C18"/>
    <w:rsid w:val="00205E05"/>
    <w:rsid w:val="0020708B"/>
    <w:rsid w:val="00207B21"/>
    <w:rsid w:val="00207D2A"/>
    <w:rsid w:val="00210844"/>
    <w:rsid w:val="00211257"/>
    <w:rsid w:val="002125B7"/>
    <w:rsid w:val="00213EFD"/>
    <w:rsid w:val="002144F0"/>
    <w:rsid w:val="002151A9"/>
    <w:rsid w:val="00216F02"/>
    <w:rsid w:val="0021731F"/>
    <w:rsid w:val="00217CA1"/>
    <w:rsid w:val="00220F29"/>
    <w:rsid w:val="00221FAD"/>
    <w:rsid w:val="0022350E"/>
    <w:rsid w:val="0022490F"/>
    <w:rsid w:val="0022569C"/>
    <w:rsid w:val="00225F7F"/>
    <w:rsid w:val="00225F9C"/>
    <w:rsid w:val="002274E5"/>
    <w:rsid w:val="0022767B"/>
    <w:rsid w:val="00227EBE"/>
    <w:rsid w:val="00227F30"/>
    <w:rsid w:val="002306B7"/>
    <w:rsid w:val="00231ABF"/>
    <w:rsid w:val="0023355B"/>
    <w:rsid w:val="002335FE"/>
    <w:rsid w:val="00233F75"/>
    <w:rsid w:val="002347A2"/>
    <w:rsid w:val="00235C5F"/>
    <w:rsid w:val="00235DD9"/>
    <w:rsid w:val="002362C7"/>
    <w:rsid w:val="00241738"/>
    <w:rsid w:val="002425C2"/>
    <w:rsid w:val="00242C41"/>
    <w:rsid w:val="00243798"/>
    <w:rsid w:val="002437A8"/>
    <w:rsid w:val="00243E3C"/>
    <w:rsid w:val="00245FEB"/>
    <w:rsid w:val="002462E5"/>
    <w:rsid w:val="00246360"/>
    <w:rsid w:val="00246AF8"/>
    <w:rsid w:val="00246FA1"/>
    <w:rsid w:val="00247BD2"/>
    <w:rsid w:val="00250259"/>
    <w:rsid w:val="002512E1"/>
    <w:rsid w:val="00251ED1"/>
    <w:rsid w:val="002530A8"/>
    <w:rsid w:val="00253F4D"/>
    <w:rsid w:val="00254A1A"/>
    <w:rsid w:val="00255123"/>
    <w:rsid w:val="00255318"/>
    <w:rsid w:val="002561A0"/>
    <w:rsid w:val="0026191F"/>
    <w:rsid w:val="00262437"/>
    <w:rsid w:val="00264EB9"/>
    <w:rsid w:val="00265153"/>
    <w:rsid w:val="00265E85"/>
    <w:rsid w:val="0026604F"/>
    <w:rsid w:val="002669DB"/>
    <w:rsid w:val="002718D6"/>
    <w:rsid w:val="0027240D"/>
    <w:rsid w:val="00272539"/>
    <w:rsid w:val="00272991"/>
    <w:rsid w:val="00272F62"/>
    <w:rsid w:val="00272FA0"/>
    <w:rsid w:val="00273A3C"/>
    <w:rsid w:val="00274855"/>
    <w:rsid w:val="00275CB4"/>
    <w:rsid w:val="0027786C"/>
    <w:rsid w:val="00281E7E"/>
    <w:rsid w:val="00282EFA"/>
    <w:rsid w:val="002835FB"/>
    <w:rsid w:val="002837FC"/>
    <w:rsid w:val="00284677"/>
    <w:rsid w:val="002849FB"/>
    <w:rsid w:val="00284C30"/>
    <w:rsid w:val="00285FA9"/>
    <w:rsid w:val="00286034"/>
    <w:rsid w:val="00286282"/>
    <w:rsid w:val="0028755A"/>
    <w:rsid w:val="00287BA8"/>
    <w:rsid w:val="00287DF9"/>
    <w:rsid w:val="00287E3A"/>
    <w:rsid w:val="00290335"/>
    <w:rsid w:val="0029158C"/>
    <w:rsid w:val="0029447F"/>
    <w:rsid w:val="0029561B"/>
    <w:rsid w:val="002A06DA"/>
    <w:rsid w:val="002A33A0"/>
    <w:rsid w:val="002A456F"/>
    <w:rsid w:val="002A60B2"/>
    <w:rsid w:val="002A66D3"/>
    <w:rsid w:val="002A6E2B"/>
    <w:rsid w:val="002B14A1"/>
    <w:rsid w:val="002B2572"/>
    <w:rsid w:val="002B2BB5"/>
    <w:rsid w:val="002B3160"/>
    <w:rsid w:val="002B4D79"/>
    <w:rsid w:val="002B56C0"/>
    <w:rsid w:val="002B5DD5"/>
    <w:rsid w:val="002B7335"/>
    <w:rsid w:val="002B743F"/>
    <w:rsid w:val="002B77F5"/>
    <w:rsid w:val="002C0355"/>
    <w:rsid w:val="002C1D0C"/>
    <w:rsid w:val="002C1EC2"/>
    <w:rsid w:val="002C231B"/>
    <w:rsid w:val="002C331D"/>
    <w:rsid w:val="002C459C"/>
    <w:rsid w:val="002C677F"/>
    <w:rsid w:val="002C6D4D"/>
    <w:rsid w:val="002C76CF"/>
    <w:rsid w:val="002C7CB1"/>
    <w:rsid w:val="002D1361"/>
    <w:rsid w:val="002D1AE9"/>
    <w:rsid w:val="002D1D42"/>
    <w:rsid w:val="002D1FAA"/>
    <w:rsid w:val="002D2D7E"/>
    <w:rsid w:val="002D3103"/>
    <w:rsid w:val="002D3204"/>
    <w:rsid w:val="002D4104"/>
    <w:rsid w:val="002D4177"/>
    <w:rsid w:val="002D548B"/>
    <w:rsid w:val="002D6459"/>
    <w:rsid w:val="002D66B1"/>
    <w:rsid w:val="002D7616"/>
    <w:rsid w:val="002D7ECF"/>
    <w:rsid w:val="002E10AB"/>
    <w:rsid w:val="002E1C94"/>
    <w:rsid w:val="002E46DE"/>
    <w:rsid w:val="002E5406"/>
    <w:rsid w:val="002E753B"/>
    <w:rsid w:val="002E78D7"/>
    <w:rsid w:val="002E7CBE"/>
    <w:rsid w:val="002F1CB1"/>
    <w:rsid w:val="002F3633"/>
    <w:rsid w:val="002F4FFF"/>
    <w:rsid w:val="002F5B67"/>
    <w:rsid w:val="002F653C"/>
    <w:rsid w:val="002F7D4C"/>
    <w:rsid w:val="00300197"/>
    <w:rsid w:val="00300CED"/>
    <w:rsid w:val="00300D77"/>
    <w:rsid w:val="003030E1"/>
    <w:rsid w:val="003043B5"/>
    <w:rsid w:val="00304677"/>
    <w:rsid w:val="0030472A"/>
    <w:rsid w:val="00304C1D"/>
    <w:rsid w:val="003059B3"/>
    <w:rsid w:val="003069E8"/>
    <w:rsid w:val="00306F4A"/>
    <w:rsid w:val="00307737"/>
    <w:rsid w:val="00307DD4"/>
    <w:rsid w:val="00307E85"/>
    <w:rsid w:val="00310269"/>
    <w:rsid w:val="003102B3"/>
    <w:rsid w:val="00310532"/>
    <w:rsid w:val="0031087D"/>
    <w:rsid w:val="00310BBC"/>
    <w:rsid w:val="00310E67"/>
    <w:rsid w:val="003111DB"/>
    <w:rsid w:val="00311373"/>
    <w:rsid w:val="00311CCB"/>
    <w:rsid w:val="00313937"/>
    <w:rsid w:val="00314466"/>
    <w:rsid w:val="003147F5"/>
    <w:rsid w:val="003149E9"/>
    <w:rsid w:val="00315292"/>
    <w:rsid w:val="00316338"/>
    <w:rsid w:val="00316B83"/>
    <w:rsid w:val="00317004"/>
    <w:rsid w:val="0031750D"/>
    <w:rsid w:val="003178E7"/>
    <w:rsid w:val="00317DAD"/>
    <w:rsid w:val="00317FF8"/>
    <w:rsid w:val="003203C7"/>
    <w:rsid w:val="00320415"/>
    <w:rsid w:val="0032145B"/>
    <w:rsid w:val="003228BF"/>
    <w:rsid w:val="00322E0B"/>
    <w:rsid w:val="00323107"/>
    <w:rsid w:val="00323394"/>
    <w:rsid w:val="00323C5A"/>
    <w:rsid w:val="00324485"/>
    <w:rsid w:val="00324FA6"/>
    <w:rsid w:val="0032573B"/>
    <w:rsid w:val="00325A1F"/>
    <w:rsid w:val="00327606"/>
    <w:rsid w:val="00331DCE"/>
    <w:rsid w:val="00332055"/>
    <w:rsid w:val="00332280"/>
    <w:rsid w:val="003323DB"/>
    <w:rsid w:val="00332B05"/>
    <w:rsid w:val="003330C7"/>
    <w:rsid w:val="0033316A"/>
    <w:rsid w:val="00333BF1"/>
    <w:rsid w:val="00335C9A"/>
    <w:rsid w:val="00340364"/>
    <w:rsid w:val="003409BF"/>
    <w:rsid w:val="003416F3"/>
    <w:rsid w:val="00341895"/>
    <w:rsid w:val="00341944"/>
    <w:rsid w:val="003422D8"/>
    <w:rsid w:val="003424A8"/>
    <w:rsid w:val="00344F17"/>
    <w:rsid w:val="00345525"/>
    <w:rsid w:val="00345A72"/>
    <w:rsid w:val="003465E8"/>
    <w:rsid w:val="00347039"/>
    <w:rsid w:val="003510AD"/>
    <w:rsid w:val="00351302"/>
    <w:rsid w:val="003542E0"/>
    <w:rsid w:val="003546C6"/>
    <w:rsid w:val="00355E73"/>
    <w:rsid w:val="00356841"/>
    <w:rsid w:val="00357288"/>
    <w:rsid w:val="00357DAD"/>
    <w:rsid w:val="0036013E"/>
    <w:rsid w:val="00360D41"/>
    <w:rsid w:val="00361D64"/>
    <w:rsid w:val="003640B6"/>
    <w:rsid w:val="00364715"/>
    <w:rsid w:val="003654A4"/>
    <w:rsid w:val="00365687"/>
    <w:rsid w:val="003657AB"/>
    <w:rsid w:val="00365F28"/>
    <w:rsid w:val="00367AAE"/>
    <w:rsid w:val="0037070D"/>
    <w:rsid w:val="003709CB"/>
    <w:rsid w:val="00370A03"/>
    <w:rsid w:val="00372979"/>
    <w:rsid w:val="00372A69"/>
    <w:rsid w:val="003732DC"/>
    <w:rsid w:val="00373564"/>
    <w:rsid w:val="0037450E"/>
    <w:rsid w:val="00376491"/>
    <w:rsid w:val="00380189"/>
    <w:rsid w:val="00380A15"/>
    <w:rsid w:val="00381107"/>
    <w:rsid w:val="00381308"/>
    <w:rsid w:val="003818E8"/>
    <w:rsid w:val="00383295"/>
    <w:rsid w:val="003848EF"/>
    <w:rsid w:val="00384905"/>
    <w:rsid w:val="00385BF8"/>
    <w:rsid w:val="00386560"/>
    <w:rsid w:val="00386D2E"/>
    <w:rsid w:val="003913B0"/>
    <w:rsid w:val="00391D8B"/>
    <w:rsid w:val="003930D5"/>
    <w:rsid w:val="003946A1"/>
    <w:rsid w:val="003947F2"/>
    <w:rsid w:val="00395D43"/>
    <w:rsid w:val="00395DFD"/>
    <w:rsid w:val="00395F95"/>
    <w:rsid w:val="00396770"/>
    <w:rsid w:val="00396C1A"/>
    <w:rsid w:val="003972F5"/>
    <w:rsid w:val="003A0857"/>
    <w:rsid w:val="003A12B1"/>
    <w:rsid w:val="003A12EA"/>
    <w:rsid w:val="003A151C"/>
    <w:rsid w:val="003A2472"/>
    <w:rsid w:val="003A2861"/>
    <w:rsid w:val="003A3AA7"/>
    <w:rsid w:val="003A4286"/>
    <w:rsid w:val="003A53C5"/>
    <w:rsid w:val="003A5EEC"/>
    <w:rsid w:val="003A6079"/>
    <w:rsid w:val="003A68AB"/>
    <w:rsid w:val="003A6B46"/>
    <w:rsid w:val="003A7247"/>
    <w:rsid w:val="003A74A3"/>
    <w:rsid w:val="003A7572"/>
    <w:rsid w:val="003B00FB"/>
    <w:rsid w:val="003B04F0"/>
    <w:rsid w:val="003B1336"/>
    <w:rsid w:val="003B1FF8"/>
    <w:rsid w:val="003B20FC"/>
    <w:rsid w:val="003B30DD"/>
    <w:rsid w:val="003B3E18"/>
    <w:rsid w:val="003B5080"/>
    <w:rsid w:val="003B557C"/>
    <w:rsid w:val="003B5CBC"/>
    <w:rsid w:val="003B699E"/>
    <w:rsid w:val="003B72CF"/>
    <w:rsid w:val="003B78AB"/>
    <w:rsid w:val="003C12C7"/>
    <w:rsid w:val="003C226C"/>
    <w:rsid w:val="003C264A"/>
    <w:rsid w:val="003C2DEE"/>
    <w:rsid w:val="003C4286"/>
    <w:rsid w:val="003C43B7"/>
    <w:rsid w:val="003C4C86"/>
    <w:rsid w:val="003C6C81"/>
    <w:rsid w:val="003D11C0"/>
    <w:rsid w:val="003D2341"/>
    <w:rsid w:val="003D2D82"/>
    <w:rsid w:val="003D33A3"/>
    <w:rsid w:val="003D3E7C"/>
    <w:rsid w:val="003D4DC2"/>
    <w:rsid w:val="003D572E"/>
    <w:rsid w:val="003D57B2"/>
    <w:rsid w:val="003D58AF"/>
    <w:rsid w:val="003D6960"/>
    <w:rsid w:val="003D77EE"/>
    <w:rsid w:val="003D791F"/>
    <w:rsid w:val="003E0510"/>
    <w:rsid w:val="003E1B1F"/>
    <w:rsid w:val="003E1BBB"/>
    <w:rsid w:val="003E2295"/>
    <w:rsid w:val="003E30DE"/>
    <w:rsid w:val="003E47B8"/>
    <w:rsid w:val="003E54B6"/>
    <w:rsid w:val="003E58BD"/>
    <w:rsid w:val="003E5E49"/>
    <w:rsid w:val="003E66BB"/>
    <w:rsid w:val="003E7A4D"/>
    <w:rsid w:val="003F1D29"/>
    <w:rsid w:val="003F1F49"/>
    <w:rsid w:val="003F2C1E"/>
    <w:rsid w:val="003F2FA0"/>
    <w:rsid w:val="003F42A7"/>
    <w:rsid w:val="003F5E0D"/>
    <w:rsid w:val="003F6045"/>
    <w:rsid w:val="003F6081"/>
    <w:rsid w:val="003F71C5"/>
    <w:rsid w:val="004016DE"/>
    <w:rsid w:val="004025DC"/>
    <w:rsid w:val="00402E80"/>
    <w:rsid w:val="00402EBC"/>
    <w:rsid w:val="004035B3"/>
    <w:rsid w:val="004037F1"/>
    <w:rsid w:val="004041B8"/>
    <w:rsid w:val="004045D6"/>
    <w:rsid w:val="004057F2"/>
    <w:rsid w:val="00405ACA"/>
    <w:rsid w:val="00406B23"/>
    <w:rsid w:val="004077BD"/>
    <w:rsid w:val="004077DF"/>
    <w:rsid w:val="004104D9"/>
    <w:rsid w:val="00411503"/>
    <w:rsid w:val="00415552"/>
    <w:rsid w:val="00416050"/>
    <w:rsid w:val="00417259"/>
    <w:rsid w:val="00417404"/>
    <w:rsid w:val="004175D4"/>
    <w:rsid w:val="004205B4"/>
    <w:rsid w:val="004213F0"/>
    <w:rsid w:val="00422963"/>
    <w:rsid w:val="004240A9"/>
    <w:rsid w:val="0042494E"/>
    <w:rsid w:val="00426AB3"/>
    <w:rsid w:val="00426BB9"/>
    <w:rsid w:val="004303EF"/>
    <w:rsid w:val="00430900"/>
    <w:rsid w:val="00430D68"/>
    <w:rsid w:val="00432445"/>
    <w:rsid w:val="004333CE"/>
    <w:rsid w:val="0043344E"/>
    <w:rsid w:val="00433533"/>
    <w:rsid w:val="0043446F"/>
    <w:rsid w:val="00435DA5"/>
    <w:rsid w:val="0043683F"/>
    <w:rsid w:val="0044034F"/>
    <w:rsid w:val="004403B3"/>
    <w:rsid w:val="004406D1"/>
    <w:rsid w:val="00440A77"/>
    <w:rsid w:val="004422A6"/>
    <w:rsid w:val="0044290D"/>
    <w:rsid w:val="004437B7"/>
    <w:rsid w:val="004442E2"/>
    <w:rsid w:val="00444DC8"/>
    <w:rsid w:val="00445634"/>
    <w:rsid w:val="004503D6"/>
    <w:rsid w:val="0045253C"/>
    <w:rsid w:val="00452925"/>
    <w:rsid w:val="00452987"/>
    <w:rsid w:val="00452B35"/>
    <w:rsid w:val="00452B4D"/>
    <w:rsid w:val="0045452E"/>
    <w:rsid w:val="004547EA"/>
    <w:rsid w:val="0045487E"/>
    <w:rsid w:val="00455895"/>
    <w:rsid w:val="00455EAA"/>
    <w:rsid w:val="0045629A"/>
    <w:rsid w:val="00456494"/>
    <w:rsid w:val="00457408"/>
    <w:rsid w:val="004577E1"/>
    <w:rsid w:val="0045799A"/>
    <w:rsid w:val="00461240"/>
    <w:rsid w:val="00462598"/>
    <w:rsid w:val="004629D0"/>
    <w:rsid w:val="00462A0B"/>
    <w:rsid w:val="004633C1"/>
    <w:rsid w:val="00463490"/>
    <w:rsid w:val="004646E7"/>
    <w:rsid w:val="00464B36"/>
    <w:rsid w:val="00466326"/>
    <w:rsid w:val="00470048"/>
    <w:rsid w:val="00470BEA"/>
    <w:rsid w:val="00471060"/>
    <w:rsid w:val="004716AC"/>
    <w:rsid w:val="00471E07"/>
    <w:rsid w:val="0047273D"/>
    <w:rsid w:val="00473870"/>
    <w:rsid w:val="004763AF"/>
    <w:rsid w:val="00477CAE"/>
    <w:rsid w:val="00481238"/>
    <w:rsid w:val="0048167B"/>
    <w:rsid w:val="0048196D"/>
    <w:rsid w:val="004819EB"/>
    <w:rsid w:val="00481DBF"/>
    <w:rsid w:val="00482506"/>
    <w:rsid w:val="004832D1"/>
    <w:rsid w:val="00483E1A"/>
    <w:rsid w:val="00483FB7"/>
    <w:rsid w:val="00485114"/>
    <w:rsid w:val="0048590C"/>
    <w:rsid w:val="00485CDC"/>
    <w:rsid w:val="004860C0"/>
    <w:rsid w:val="00486F04"/>
    <w:rsid w:val="00487074"/>
    <w:rsid w:val="0049072A"/>
    <w:rsid w:val="00490FCE"/>
    <w:rsid w:val="00490FF7"/>
    <w:rsid w:val="004916A8"/>
    <w:rsid w:val="00492BF0"/>
    <w:rsid w:val="004930E8"/>
    <w:rsid w:val="004930F6"/>
    <w:rsid w:val="004934E8"/>
    <w:rsid w:val="00493B5E"/>
    <w:rsid w:val="0049416F"/>
    <w:rsid w:val="004948C9"/>
    <w:rsid w:val="00495404"/>
    <w:rsid w:val="00497931"/>
    <w:rsid w:val="004A0E80"/>
    <w:rsid w:val="004A14BC"/>
    <w:rsid w:val="004A3D93"/>
    <w:rsid w:val="004A3EFD"/>
    <w:rsid w:val="004A3F27"/>
    <w:rsid w:val="004A51B2"/>
    <w:rsid w:val="004A7E39"/>
    <w:rsid w:val="004B04F6"/>
    <w:rsid w:val="004B1880"/>
    <w:rsid w:val="004B2E55"/>
    <w:rsid w:val="004B3866"/>
    <w:rsid w:val="004B3B7B"/>
    <w:rsid w:val="004B4937"/>
    <w:rsid w:val="004B5251"/>
    <w:rsid w:val="004B5A8D"/>
    <w:rsid w:val="004B6DD6"/>
    <w:rsid w:val="004B7DC3"/>
    <w:rsid w:val="004C0DDA"/>
    <w:rsid w:val="004C1BBB"/>
    <w:rsid w:val="004C3CF1"/>
    <w:rsid w:val="004C4C17"/>
    <w:rsid w:val="004C4C8F"/>
    <w:rsid w:val="004C4DF0"/>
    <w:rsid w:val="004C52A8"/>
    <w:rsid w:val="004C5754"/>
    <w:rsid w:val="004C583E"/>
    <w:rsid w:val="004C6368"/>
    <w:rsid w:val="004D0574"/>
    <w:rsid w:val="004D06ED"/>
    <w:rsid w:val="004D0C7C"/>
    <w:rsid w:val="004D118B"/>
    <w:rsid w:val="004D1F96"/>
    <w:rsid w:val="004D2A2F"/>
    <w:rsid w:val="004D2FF8"/>
    <w:rsid w:val="004D3AC4"/>
    <w:rsid w:val="004D490F"/>
    <w:rsid w:val="004D4CAA"/>
    <w:rsid w:val="004D4E18"/>
    <w:rsid w:val="004D6A72"/>
    <w:rsid w:val="004D7D6D"/>
    <w:rsid w:val="004E1174"/>
    <w:rsid w:val="004E242F"/>
    <w:rsid w:val="004E29C6"/>
    <w:rsid w:val="004E2DD2"/>
    <w:rsid w:val="004E3E8F"/>
    <w:rsid w:val="004E402A"/>
    <w:rsid w:val="004E4095"/>
    <w:rsid w:val="004E4889"/>
    <w:rsid w:val="004E54B6"/>
    <w:rsid w:val="004E5E6C"/>
    <w:rsid w:val="004E6683"/>
    <w:rsid w:val="004E6D79"/>
    <w:rsid w:val="004F0623"/>
    <w:rsid w:val="004F3FD1"/>
    <w:rsid w:val="004F526C"/>
    <w:rsid w:val="004F5E43"/>
    <w:rsid w:val="004F6413"/>
    <w:rsid w:val="004F739C"/>
    <w:rsid w:val="004F7BA3"/>
    <w:rsid w:val="00500698"/>
    <w:rsid w:val="00500C9D"/>
    <w:rsid w:val="0050152C"/>
    <w:rsid w:val="00501D0F"/>
    <w:rsid w:val="00503C39"/>
    <w:rsid w:val="005047F9"/>
    <w:rsid w:val="00505D7A"/>
    <w:rsid w:val="00506528"/>
    <w:rsid w:val="00507986"/>
    <w:rsid w:val="00510AC6"/>
    <w:rsid w:val="005110CD"/>
    <w:rsid w:val="005116B1"/>
    <w:rsid w:val="00513989"/>
    <w:rsid w:val="00514907"/>
    <w:rsid w:val="00514E64"/>
    <w:rsid w:val="00517351"/>
    <w:rsid w:val="00520444"/>
    <w:rsid w:val="005216AE"/>
    <w:rsid w:val="005238F6"/>
    <w:rsid w:val="0052463E"/>
    <w:rsid w:val="005250E6"/>
    <w:rsid w:val="00525217"/>
    <w:rsid w:val="00525511"/>
    <w:rsid w:val="00526136"/>
    <w:rsid w:val="00526B28"/>
    <w:rsid w:val="00527387"/>
    <w:rsid w:val="00527A7D"/>
    <w:rsid w:val="00530C1B"/>
    <w:rsid w:val="00530C51"/>
    <w:rsid w:val="005315E5"/>
    <w:rsid w:val="0053193D"/>
    <w:rsid w:val="00531A01"/>
    <w:rsid w:val="00533D7B"/>
    <w:rsid w:val="00534191"/>
    <w:rsid w:val="00534E2C"/>
    <w:rsid w:val="00535433"/>
    <w:rsid w:val="00537A14"/>
    <w:rsid w:val="00540336"/>
    <w:rsid w:val="005409C5"/>
    <w:rsid w:val="00540A7C"/>
    <w:rsid w:val="00544292"/>
    <w:rsid w:val="005448AD"/>
    <w:rsid w:val="005456EC"/>
    <w:rsid w:val="00545701"/>
    <w:rsid w:val="005460CE"/>
    <w:rsid w:val="0054621A"/>
    <w:rsid w:val="00547154"/>
    <w:rsid w:val="00547B76"/>
    <w:rsid w:val="0055078B"/>
    <w:rsid w:val="00551AFD"/>
    <w:rsid w:val="00553A7A"/>
    <w:rsid w:val="00554795"/>
    <w:rsid w:val="005547B8"/>
    <w:rsid w:val="00556DEA"/>
    <w:rsid w:val="00560465"/>
    <w:rsid w:val="0056070C"/>
    <w:rsid w:val="00560972"/>
    <w:rsid w:val="00562485"/>
    <w:rsid w:val="00563378"/>
    <w:rsid w:val="00563F7B"/>
    <w:rsid w:val="005640A6"/>
    <w:rsid w:val="00564A9A"/>
    <w:rsid w:val="0056664A"/>
    <w:rsid w:val="005667C5"/>
    <w:rsid w:val="00570267"/>
    <w:rsid w:val="00570F8E"/>
    <w:rsid w:val="005719FD"/>
    <w:rsid w:val="00571B06"/>
    <w:rsid w:val="00572118"/>
    <w:rsid w:val="00572745"/>
    <w:rsid w:val="00573359"/>
    <w:rsid w:val="00573B4E"/>
    <w:rsid w:val="00574A89"/>
    <w:rsid w:val="00575FFA"/>
    <w:rsid w:val="00576F30"/>
    <w:rsid w:val="00577065"/>
    <w:rsid w:val="00577B44"/>
    <w:rsid w:val="00580B97"/>
    <w:rsid w:val="005815D5"/>
    <w:rsid w:val="00581DE4"/>
    <w:rsid w:val="00582997"/>
    <w:rsid w:val="00584C71"/>
    <w:rsid w:val="005862CC"/>
    <w:rsid w:val="00586CE4"/>
    <w:rsid w:val="00586D82"/>
    <w:rsid w:val="005875FD"/>
    <w:rsid w:val="005879B8"/>
    <w:rsid w:val="00591130"/>
    <w:rsid w:val="005919F5"/>
    <w:rsid w:val="005920A2"/>
    <w:rsid w:val="0059302C"/>
    <w:rsid w:val="00593648"/>
    <w:rsid w:val="00594141"/>
    <w:rsid w:val="00594AC6"/>
    <w:rsid w:val="00594F99"/>
    <w:rsid w:val="005961A1"/>
    <w:rsid w:val="0059679F"/>
    <w:rsid w:val="00596F19"/>
    <w:rsid w:val="005970B5"/>
    <w:rsid w:val="005978D0"/>
    <w:rsid w:val="005A0026"/>
    <w:rsid w:val="005A0B86"/>
    <w:rsid w:val="005A2FC0"/>
    <w:rsid w:val="005A3880"/>
    <w:rsid w:val="005A4C7B"/>
    <w:rsid w:val="005A533D"/>
    <w:rsid w:val="005A540A"/>
    <w:rsid w:val="005A55A5"/>
    <w:rsid w:val="005A66F6"/>
    <w:rsid w:val="005A78F1"/>
    <w:rsid w:val="005A7A14"/>
    <w:rsid w:val="005A7FA9"/>
    <w:rsid w:val="005B341F"/>
    <w:rsid w:val="005B44D6"/>
    <w:rsid w:val="005B47AA"/>
    <w:rsid w:val="005B5651"/>
    <w:rsid w:val="005B613F"/>
    <w:rsid w:val="005B65BD"/>
    <w:rsid w:val="005C0D42"/>
    <w:rsid w:val="005C0E7F"/>
    <w:rsid w:val="005C2E91"/>
    <w:rsid w:val="005C4CBC"/>
    <w:rsid w:val="005C54A9"/>
    <w:rsid w:val="005C6612"/>
    <w:rsid w:val="005D0BD1"/>
    <w:rsid w:val="005D16E1"/>
    <w:rsid w:val="005D27B8"/>
    <w:rsid w:val="005D2E03"/>
    <w:rsid w:val="005D3895"/>
    <w:rsid w:val="005D3E03"/>
    <w:rsid w:val="005D4544"/>
    <w:rsid w:val="005D4BD9"/>
    <w:rsid w:val="005D4F09"/>
    <w:rsid w:val="005D5178"/>
    <w:rsid w:val="005D547E"/>
    <w:rsid w:val="005D5779"/>
    <w:rsid w:val="005D6EA8"/>
    <w:rsid w:val="005D6F05"/>
    <w:rsid w:val="005E10E3"/>
    <w:rsid w:val="005E2A18"/>
    <w:rsid w:val="005E2B65"/>
    <w:rsid w:val="005E3FC7"/>
    <w:rsid w:val="005E49A3"/>
    <w:rsid w:val="005E5AE4"/>
    <w:rsid w:val="005F0A6A"/>
    <w:rsid w:val="005F0ADA"/>
    <w:rsid w:val="005F24F8"/>
    <w:rsid w:val="005F2526"/>
    <w:rsid w:val="005F301A"/>
    <w:rsid w:val="005F32E7"/>
    <w:rsid w:val="005F54D7"/>
    <w:rsid w:val="005F698B"/>
    <w:rsid w:val="005F7161"/>
    <w:rsid w:val="005F74F0"/>
    <w:rsid w:val="00600956"/>
    <w:rsid w:val="006011E1"/>
    <w:rsid w:val="00601F24"/>
    <w:rsid w:val="006020DD"/>
    <w:rsid w:val="00602401"/>
    <w:rsid w:val="00604158"/>
    <w:rsid w:val="0060499A"/>
    <w:rsid w:val="0060559A"/>
    <w:rsid w:val="0060666C"/>
    <w:rsid w:val="00606C5F"/>
    <w:rsid w:val="00610F2D"/>
    <w:rsid w:val="0061103F"/>
    <w:rsid w:val="00612DCF"/>
    <w:rsid w:val="00613116"/>
    <w:rsid w:val="00614249"/>
    <w:rsid w:val="00614CE6"/>
    <w:rsid w:val="006158F9"/>
    <w:rsid w:val="00615CA5"/>
    <w:rsid w:val="00615D43"/>
    <w:rsid w:val="00616558"/>
    <w:rsid w:val="006165D7"/>
    <w:rsid w:val="00616BCC"/>
    <w:rsid w:val="0061761A"/>
    <w:rsid w:val="0062080A"/>
    <w:rsid w:val="00621EE1"/>
    <w:rsid w:val="006221F5"/>
    <w:rsid w:val="00622448"/>
    <w:rsid w:val="00623DFF"/>
    <w:rsid w:val="00623FDD"/>
    <w:rsid w:val="00623FEF"/>
    <w:rsid w:val="0062418D"/>
    <w:rsid w:val="00624299"/>
    <w:rsid w:val="006243EB"/>
    <w:rsid w:val="0062531E"/>
    <w:rsid w:val="00625536"/>
    <w:rsid w:val="00625AC1"/>
    <w:rsid w:val="00626698"/>
    <w:rsid w:val="006267F8"/>
    <w:rsid w:val="006270AB"/>
    <w:rsid w:val="00627EA3"/>
    <w:rsid w:val="00630966"/>
    <w:rsid w:val="00630EC4"/>
    <w:rsid w:val="00630EC9"/>
    <w:rsid w:val="006316EF"/>
    <w:rsid w:val="00631B4C"/>
    <w:rsid w:val="00632522"/>
    <w:rsid w:val="00632794"/>
    <w:rsid w:val="006328B1"/>
    <w:rsid w:val="00632CB9"/>
    <w:rsid w:val="00634C43"/>
    <w:rsid w:val="00635BAE"/>
    <w:rsid w:val="00635F86"/>
    <w:rsid w:val="006376F5"/>
    <w:rsid w:val="00637714"/>
    <w:rsid w:val="00637A52"/>
    <w:rsid w:val="00641D5A"/>
    <w:rsid w:val="00642777"/>
    <w:rsid w:val="0064281B"/>
    <w:rsid w:val="00643B89"/>
    <w:rsid w:val="00644C50"/>
    <w:rsid w:val="00645936"/>
    <w:rsid w:val="00646433"/>
    <w:rsid w:val="00646B92"/>
    <w:rsid w:val="00647402"/>
    <w:rsid w:val="00650282"/>
    <w:rsid w:val="00650A11"/>
    <w:rsid w:val="00650A1C"/>
    <w:rsid w:val="006511BB"/>
    <w:rsid w:val="006531EF"/>
    <w:rsid w:val="0065501A"/>
    <w:rsid w:val="00655DA6"/>
    <w:rsid w:val="006561C9"/>
    <w:rsid w:val="00656305"/>
    <w:rsid w:val="00657E87"/>
    <w:rsid w:val="0066034A"/>
    <w:rsid w:val="006624FC"/>
    <w:rsid w:val="006631B8"/>
    <w:rsid w:val="006635FC"/>
    <w:rsid w:val="00664867"/>
    <w:rsid w:val="006656EC"/>
    <w:rsid w:val="006662EE"/>
    <w:rsid w:val="006664CB"/>
    <w:rsid w:val="00667977"/>
    <w:rsid w:val="00667D10"/>
    <w:rsid w:val="0067070B"/>
    <w:rsid w:val="006707DD"/>
    <w:rsid w:val="006725A4"/>
    <w:rsid w:val="00674043"/>
    <w:rsid w:val="00674D00"/>
    <w:rsid w:val="00676701"/>
    <w:rsid w:val="00676E91"/>
    <w:rsid w:val="0067720E"/>
    <w:rsid w:val="00677C65"/>
    <w:rsid w:val="0068051F"/>
    <w:rsid w:val="006812CF"/>
    <w:rsid w:val="00681B40"/>
    <w:rsid w:val="006820E6"/>
    <w:rsid w:val="006824EE"/>
    <w:rsid w:val="00682BBC"/>
    <w:rsid w:val="00684490"/>
    <w:rsid w:val="00684651"/>
    <w:rsid w:val="00685CB3"/>
    <w:rsid w:val="006867B7"/>
    <w:rsid w:val="00686F5E"/>
    <w:rsid w:val="00687D88"/>
    <w:rsid w:val="00687E80"/>
    <w:rsid w:val="006914EF"/>
    <w:rsid w:val="00692DE8"/>
    <w:rsid w:val="0069403E"/>
    <w:rsid w:val="006945C8"/>
    <w:rsid w:val="00696A20"/>
    <w:rsid w:val="006A0557"/>
    <w:rsid w:val="006A0782"/>
    <w:rsid w:val="006A145A"/>
    <w:rsid w:val="006A1B09"/>
    <w:rsid w:val="006A1F7A"/>
    <w:rsid w:val="006A2A2C"/>
    <w:rsid w:val="006A2D92"/>
    <w:rsid w:val="006A37A2"/>
    <w:rsid w:val="006A3B26"/>
    <w:rsid w:val="006A3FAE"/>
    <w:rsid w:val="006A4C40"/>
    <w:rsid w:val="006A516A"/>
    <w:rsid w:val="006A56C1"/>
    <w:rsid w:val="006A5A2E"/>
    <w:rsid w:val="006A67EB"/>
    <w:rsid w:val="006B04D1"/>
    <w:rsid w:val="006B131C"/>
    <w:rsid w:val="006B3C15"/>
    <w:rsid w:val="006B3C41"/>
    <w:rsid w:val="006B422D"/>
    <w:rsid w:val="006B4257"/>
    <w:rsid w:val="006B4B0D"/>
    <w:rsid w:val="006B4E05"/>
    <w:rsid w:val="006B70AF"/>
    <w:rsid w:val="006C0521"/>
    <w:rsid w:val="006C17EA"/>
    <w:rsid w:val="006C1C3F"/>
    <w:rsid w:val="006C2C4A"/>
    <w:rsid w:val="006C3E32"/>
    <w:rsid w:val="006C5354"/>
    <w:rsid w:val="006C5CE3"/>
    <w:rsid w:val="006C6483"/>
    <w:rsid w:val="006C7426"/>
    <w:rsid w:val="006D0629"/>
    <w:rsid w:val="006D0DA9"/>
    <w:rsid w:val="006D0DF8"/>
    <w:rsid w:val="006D1474"/>
    <w:rsid w:val="006D1F7D"/>
    <w:rsid w:val="006D29CD"/>
    <w:rsid w:val="006D2BE3"/>
    <w:rsid w:val="006D2BEB"/>
    <w:rsid w:val="006D2BF3"/>
    <w:rsid w:val="006D37CF"/>
    <w:rsid w:val="006D3DCE"/>
    <w:rsid w:val="006D436A"/>
    <w:rsid w:val="006D71BE"/>
    <w:rsid w:val="006E11EC"/>
    <w:rsid w:val="006E17B6"/>
    <w:rsid w:val="006E1919"/>
    <w:rsid w:val="006E58A2"/>
    <w:rsid w:val="006E679E"/>
    <w:rsid w:val="006E6C78"/>
    <w:rsid w:val="006E7242"/>
    <w:rsid w:val="006E7CFB"/>
    <w:rsid w:val="006F0945"/>
    <w:rsid w:val="006F0B37"/>
    <w:rsid w:val="006F1ED4"/>
    <w:rsid w:val="006F2805"/>
    <w:rsid w:val="006F3477"/>
    <w:rsid w:val="006F3BB8"/>
    <w:rsid w:val="006F4252"/>
    <w:rsid w:val="006F6CFD"/>
    <w:rsid w:val="006F6F73"/>
    <w:rsid w:val="00700CEA"/>
    <w:rsid w:val="0070149F"/>
    <w:rsid w:val="00703D2D"/>
    <w:rsid w:val="00704842"/>
    <w:rsid w:val="00706FE9"/>
    <w:rsid w:val="00707505"/>
    <w:rsid w:val="00710BF9"/>
    <w:rsid w:val="0071191B"/>
    <w:rsid w:val="00712143"/>
    <w:rsid w:val="00712914"/>
    <w:rsid w:val="0071360C"/>
    <w:rsid w:val="0071367B"/>
    <w:rsid w:val="007139B6"/>
    <w:rsid w:val="0071468E"/>
    <w:rsid w:val="007148AA"/>
    <w:rsid w:val="00715340"/>
    <w:rsid w:val="0071541B"/>
    <w:rsid w:val="0071686F"/>
    <w:rsid w:val="00716A12"/>
    <w:rsid w:val="00716C4D"/>
    <w:rsid w:val="00716D5C"/>
    <w:rsid w:val="00716DC1"/>
    <w:rsid w:val="00716E66"/>
    <w:rsid w:val="00717760"/>
    <w:rsid w:val="00717800"/>
    <w:rsid w:val="007208D9"/>
    <w:rsid w:val="00720AF5"/>
    <w:rsid w:val="00720C9D"/>
    <w:rsid w:val="00720FFE"/>
    <w:rsid w:val="007212B1"/>
    <w:rsid w:val="00722934"/>
    <w:rsid w:val="00722BD6"/>
    <w:rsid w:val="00724C0F"/>
    <w:rsid w:val="007319E0"/>
    <w:rsid w:val="00732185"/>
    <w:rsid w:val="0073258B"/>
    <w:rsid w:val="00732BA8"/>
    <w:rsid w:val="00733073"/>
    <w:rsid w:val="0073350E"/>
    <w:rsid w:val="00733DCB"/>
    <w:rsid w:val="00733F8C"/>
    <w:rsid w:val="00734CA3"/>
    <w:rsid w:val="00734E99"/>
    <w:rsid w:val="007359A7"/>
    <w:rsid w:val="00736976"/>
    <w:rsid w:val="00736A54"/>
    <w:rsid w:val="007404CD"/>
    <w:rsid w:val="00740C42"/>
    <w:rsid w:val="00740C97"/>
    <w:rsid w:val="0074128D"/>
    <w:rsid w:val="00742316"/>
    <w:rsid w:val="00742CA3"/>
    <w:rsid w:val="00744ECC"/>
    <w:rsid w:val="0074677C"/>
    <w:rsid w:val="00746D09"/>
    <w:rsid w:val="00746E21"/>
    <w:rsid w:val="0074740B"/>
    <w:rsid w:val="00747E73"/>
    <w:rsid w:val="007509DC"/>
    <w:rsid w:val="00752E77"/>
    <w:rsid w:val="0075393B"/>
    <w:rsid w:val="0075471A"/>
    <w:rsid w:val="00754B08"/>
    <w:rsid w:val="00755AAD"/>
    <w:rsid w:val="007566BA"/>
    <w:rsid w:val="00757369"/>
    <w:rsid w:val="0075771C"/>
    <w:rsid w:val="007608D7"/>
    <w:rsid w:val="00760C0D"/>
    <w:rsid w:val="00761231"/>
    <w:rsid w:val="00762D70"/>
    <w:rsid w:val="0076341D"/>
    <w:rsid w:val="00763D76"/>
    <w:rsid w:val="00764FAA"/>
    <w:rsid w:val="00767A04"/>
    <w:rsid w:val="00772AD4"/>
    <w:rsid w:val="00772D54"/>
    <w:rsid w:val="00773719"/>
    <w:rsid w:val="00773B58"/>
    <w:rsid w:val="00774343"/>
    <w:rsid w:val="0077456A"/>
    <w:rsid w:val="0077542E"/>
    <w:rsid w:val="007754E1"/>
    <w:rsid w:val="00777487"/>
    <w:rsid w:val="007774DD"/>
    <w:rsid w:val="007777A1"/>
    <w:rsid w:val="0078003D"/>
    <w:rsid w:val="00781A56"/>
    <w:rsid w:val="00781ED7"/>
    <w:rsid w:val="0078273E"/>
    <w:rsid w:val="00782DCD"/>
    <w:rsid w:val="00782F88"/>
    <w:rsid w:val="0078341E"/>
    <w:rsid w:val="0078471D"/>
    <w:rsid w:val="00784EC0"/>
    <w:rsid w:val="007854D4"/>
    <w:rsid w:val="00786D45"/>
    <w:rsid w:val="00787159"/>
    <w:rsid w:val="0078730F"/>
    <w:rsid w:val="0078760F"/>
    <w:rsid w:val="007913FD"/>
    <w:rsid w:val="0079221B"/>
    <w:rsid w:val="007925C2"/>
    <w:rsid w:val="007933E0"/>
    <w:rsid w:val="0079426A"/>
    <w:rsid w:val="0079627F"/>
    <w:rsid w:val="00796A50"/>
    <w:rsid w:val="007A01E1"/>
    <w:rsid w:val="007A1417"/>
    <w:rsid w:val="007A173B"/>
    <w:rsid w:val="007A49C2"/>
    <w:rsid w:val="007A4BDD"/>
    <w:rsid w:val="007A5492"/>
    <w:rsid w:val="007A7F62"/>
    <w:rsid w:val="007B05B3"/>
    <w:rsid w:val="007B14CE"/>
    <w:rsid w:val="007B2017"/>
    <w:rsid w:val="007B33D7"/>
    <w:rsid w:val="007B5AC7"/>
    <w:rsid w:val="007B6556"/>
    <w:rsid w:val="007B732A"/>
    <w:rsid w:val="007C0890"/>
    <w:rsid w:val="007C08F8"/>
    <w:rsid w:val="007C10F1"/>
    <w:rsid w:val="007C1837"/>
    <w:rsid w:val="007C1BF0"/>
    <w:rsid w:val="007C2377"/>
    <w:rsid w:val="007C293A"/>
    <w:rsid w:val="007C29D5"/>
    <w:rsid w:val="007C3B78"/>
    <w:rsid w:val="007C5269"/>
    <w:rsid w:val="007D0844"/>
    <w:rsid w:val="007D0CC0"/>
    <w:rsid w:val="007D2908"/>
    <w:rsid w:val="007D537B"/>
    <w:rsid w:val="007D6F3F"/>
    <w:rsid w:val="007D7E72"/>
    <w:rsid w:val="007E1522"/>
    <w:rsid w:val="007E190E"/>
    <w:rsid w:val="007E1D58"/>
    <w:rsid w:val="007E3668"/>
    <w:rsid w:val="007E4D87"/>
    <w:rsid w:val="007E5591"/>
    <w:rsid w:val="007E5728"/>
    <w:rsid w:val="007E65B8"/>
    <w:rsid w:val="007E6CF8"/>
    <w:rsid w:val="007E6ECC"/>
    <w:rsid w:val="007E7285"/>
    <w:rsid w:val="007F0ABE"/>
    <w:rsid w:val="007F0ED9"/>
    <w:rsid w:val="007F1A4E"/>
    <w:rsid w:val="007F25A7"/>
    <w:rsid w:val="007F2645"/>
    <w:rsid w:val="007F4129"/>
    <w:rsid w:val="007F435A"/>
    <w:rsid w:val="007F4668"/>
    <w:rsid w:val="007F5257"/>
    <w:rsid w:val="007F571B"/>
    <w:rsid w:val="007F64C7"/>
    <w:rsid w:val="008031EC"/>
    <w:rsid w:val="008034D8"/>
    <w:rsid w:val="00803DCD"/>
    <w:rsid w:val="008050BB"/>
    <w:rsid w:val="008054F0"/>
    <w:rsid w:val="00805BD3"/>
    <w:rsid w:val="00805D9B"/>
    <w:rsid w:val="00807DB6"/>
    <w:rsid w:val="00807E46"/>
    <w:rsid w:val="008111C9"/>
    <w:rsid w:val="008112E3"/>
    <w:rsid w:val="00812523"/>
    <w:rsid w:val="00815425"/>
    <w:rsid w:val="008155E3"/>
    <w:rsid w:val="00817638"/>
    <w:rsid w:val="00820CDA"/>
    <w:rsid w:val="008210C5"/>
    <w:rsid w:val="008221F2"/>
    <w:rsid w:val="008228A5"/>
    <w:rsid w:val="00822B3C"/>
    <w:rsid w:val="00823B96"/>
    <w:rsid w:val="00823E38"/>
    <w:rsid w:val="00826F71"/>
    <w:rsid w:val="008271AA"/>
    <w:rsid w:val="00830048"/>
    <w:rsid w:val="00830ED9"/>
    <w:rsid w:val="008326DB"/>
    <w:rsid w:val="00834156"/>
    <w:rsid w:val="00834367"/>
    <w:rsid w:val="00834AB9"/>
    <w:rsid w:val="0083590D"/>
    <w:rsid w:val="00835DDA"/>
    <w:rsid w:val="008369A3"/>
    <w:rsid w:val="00837300"/>
    <w:rsid w:val="00837F65"/>
    <w:rsid w:val="008410B6"/>
    <w:rsid w:val="008418D8"/>
    <w:rsid w:val="00841C40"/>
    <w:rsid w:val="008433FD"/>
    <w:rsid w:val="00845B33"/>
    <w:rsid w:val="00845CAE"/>
    <w:rsid w:val="008465F3"/>
    <w:rsid w:val="008478CE"/>
    <w:rsid w:val="00847A93"/>
    <w:rsid w:val="00847C2B"/>
    <w:rsid w:val="00847E7D"/>
    <w:rsid w:val="00847F14"/>
    <w:rsid w:val="00850325"/>
    <w:rsid w:val="00850B48"/>
    <w:rsid w:val="00850CF7"/>
    <w:rsid w:val="00852318"/>
    <w:rsid w:val="00852546"/>
    <w:rsid w:val="00854B58"/>
    <w:rsid w:val="00855329"/>
    <w:rsid w:val="008553B0"/>
    <w:rsid w:val="0085583B"/>
    <w:rsid w:val="008574B1"/>
    <w:rsid w:val="008576E4"/>
    <w:rsid w:val="00857E85"/>
    <w:rsid w:val="00860E75"/>
    <w:rsid w:val="0086103A"/>
    <w:rsid w:val="008617EA"/>
    <w:rsid w:val="0086208D"/>
    <w:rsid w:val="0086289E"/>
    <w:rsid w:val="00862925"/>
    <w:rsid w:val="008629E3"/>
    <w:rsid w:val="00864321"/>
    <w:rsid w:val="00864F11"/>
    <w:rsid w:val="00865139"/>
    <w:rsid w:val="00865DC8"/>
    <w:rsid w:val="00870D58"/>
    <w:rsid w:val="008712A0"/>
    <w:rsid w:val="008717D4"/>
    <w:rsid w:val="008723CC"/>
    <w:rsid w:val="00872621"/>
    <w:rsid w:val="008727AA"/>
    <w:rsid w:val="008729DD"/>
    <w:rsid w:val="00873250"/>
    <w:rsid w:val="00873825"/>
    <w:rsid w:val="008739EF"/>
    <w:rsid w:val="00873ADE"/>
    <w:rsid w:val="00875C3A"/>
    <w:rsid w:val="00876F9A"/>
    <w:rsid w:val="008771BC"/>
    <w:rsid w:val="008779FE"/>
    <w:rsid w:val="00877C17"/>
    <w:rsid w:val="00880709"/>
    <w:rsid w:val="008821E8"/>
    <w:rsid w:val="008839E5"/>
    <w:rsid w:val="00883BE1"/>
    <w:rsid w:val="00883C2B"/>
    <w:rsid w:val="00883C78"/>
    <w:rsid w:val="00885315"/>
    <w:rsid w:val="0088679A"/>
    <w:rsid w:val="00886892"/>
    <w:rsid w:val="0088761A"/>
    <w:rsid w:val="00890A9E"/>
    <w:rsid w:val="00892576"/>
    <w:rsid w:val="00894601"/>
    <w:rsid w:val="00894CD3"/>
    <w:rsid w:val="00895722"/>
    <w:rsid w:val="00895D49"/>
    <w:rsid w:val="0089699B"/>
    <w:rsid w:val="008A2561"/>
    <w:rsid w:val="008A4174"/>
    <w:rsid w:val="008A4654"/>
    <w:rsid w:val="008A470F"/>
    <w:rsid w:val="008A599D"/>
    <w:rsid w:val="008A6491"/>
    <w:rsid w:val="008A6708"/>
    <w:rsid w:val="008A70C3"/>
    <w:rsid w:val="008A77B8"/>
    <w:rsid w:val="008A7CF1"/>
    <w:rsid w:val="008B056D"/>
    <w:rsid w:val="008B0674"/>
    <w:rsid w:val="008B0B60"/>
    <w:rsid w:val="008B0CFF"/>
    <w:rsid w:val="008B20C2"/>
    <w:rsid w:val="008B333C"/>
    <w:rsid w:val="008B3CD2"/>
    <w:rsid w:val="008B3E17"/>
    <w:rsid w:val="008B519F"/>
    <w:rsid w:val="008B5C6E"/>
    <w:rsid w:val="008B75E1"/>
    <w:rsid w:val="008C011F"/>
    <w:rsid w:val="008C0805"/>
    <w:rsid w:val="008C096C"/>
    <w:rsid w:val="008C0B6E"/>
    <w:rsid w:val="008C1CAA"/>
    <w:rsid w:val="008C26F4"/>
    <w:rsid w:val="008C3539"/>
    <w:rsid w:val="008C4888"/>
    <w:rsid w:val="008C4E18"/>
    <w:rsid w:val="008C624A"/>
    <w:rsid w:val="008C757E"/>
    <w:rsid w:val="008C7E35"/>
    <w:rsid w:val="008D102D"/>
    <w:rsid w:val="008D1AD7"/>
    <w:rsid w:val="008D1DB1"/>
    <w:rsid w:val="008D1DF0"/>
    <w:rsid w:val="008D3502"/>
    <w:rsid w:val="008D3892"/>
    <w:rsid w:val="008D39AA"/>
    <w:rsid w:val="008D5118"/>
    <w:rsid w:val="008D55F9"/>
    <w:rsid w:val="008D6A2B"/>
    <w:rsid w:val="008D6A9C"/>
    <w:rsid w:val="008E04A2"/>
    <w:rsid w:val="008E0D56"/>
    <w:rsid w:val="008E19DA"/>
    <w:rsid w:val="008E2B2F"/>
    <w:rsid w:val="008E348C"/>
    <w:rsid w:val="008E3CB1"/>
    <w:rsid w:val="008E4DFF"/>
    <w:rsid w:val="008E549E"/>
    <w:rsid w:val="008E54D0"/>
    <w:rsid w:val="008E5E23"/>
    <w:rsid w:val="008E67C0"/>
    <w:rsid w:val="008E7F9F"/>
    <w:rsid w:val="008F09FE"/>
    <w:rsid w:val="008F0C7E"/>
    <w:rsid w:val="008F1046"/>
    <w:rsid w:val="008F1462"/>
    <w:rsid w:val="008F18B3"/>
    <w:rsid w:val="008F1E40"/>
    <w:rsid w:val="008F2132"/>
    <w:rsid w:val="008F24A5"/>
    <w:rsid w:val="008F281A"/>
    <w:rsid w:val="008F2DC7"/>
    <w:rsid w:val="008F5890"/>
    <w:rsid w:val="008F5B59"/>
    <w:rsid w:val="008F5D7B"/>
    <w:rsid w:val="008F64EF"/>
    <w:rsid w:val="008F6E9D"/>
    <w:rsid w:val="008F7EA7"/>
    <w:rsid w:val="00900BB1"/>
    <w:rsid w:val="00900C12"/>
    <w:rsid w:val="00901AFF"/>
    <w:rsid w:val="00901EDF"/>
    <w:rsid w:val="00902944"/>
    <w:rsid w:val="00903968"/>
    <w:rsid w:val="00903CAE"/>
    <w:rsid w:val="00903D80"/>
    <w:rsid w:val="009041BE"/>
    <w:rsid w:val="00904B02"/>
    <w:rsid w:val="00904BBF"/>
    <w:rsid w:val="009050B9"/>
    <w:rsid w:val="00905618"/>
    <w:rsid w:val="00905752"/>
    <w:rsid w:val="0090575C"/>
    <w:rsid w:val="00905D5B"/>
    <w:rsid w:val="00906288"/>
    <w:rsid w:val="00906C4F"/>
    <w:rsid w:val="00906E14"/>
    <w:rsid w:val="009076FD"/>
    <w:rsid w:val="0091113E"/>
    <w:rsid w:val="009128E8"/>
    <w:rsid w:val="00914581"/>
    <w:rsid w:val="00914697"/>
    <w:rsid w:val="0091671D"/>
    <w:rsid w:val="00920962"/>
    <w:rsid w:val="00920A27"/>
    <w:rsid w:val="00922E17"/>
    <w:rsid w:val="0092431A"/>
    <w:rsid w:val="0092467E"/>
    <w:rsid w:val="00924E21"/>
    <w:rsid w:val="0092726F"/>
    <w:rsid w:val="009308F0"/>
    <w:rsid w:val="0093251D"/>
    <w:rsid w:val="00932CDB"/>
    <w:rsid w:val="0093589C"/>
    <w:rsid w:val="00935F44"/>
    <w:rsid w:val="00936C94"/>
    <w:rsid w:val="00937CD8"/>
    <w:rsid w:val="00937DFB"/>
    <w:rsid w:val="00940A80"/>
    <w:rsid w:val="00941D69"/>
    <w:rsid w:val="009434B1"/>
    <w:rsid w:val="00944597"/>
    <w:rsid w:val="00944936"/>
    <w:rsid w:val="00944AA7"/>
    <w:rsid w:val="009463EC"/>
    <w:rsid w:val="009464EC"/>
    <w:rsid w:val="00946AD7"/>
    <w:rsid w:val="00946EFE"/>
    <w:rsid w:val="00947C30"/>
    <w:rsid w:val="00947F91"/>
    <w:rsid w:val="0095045E"/>
    <w:rsid w:val="00950571"/>
    <w:rsid w:val="00952D7C"/>
    <w:rsid w:val="009540D9"/>
    <w:rsid w:val="009546F6"/>
    <w:rsid w:val="00954DF1"/>
    <w:rsid w:val="0095626F"/>
    <w:rsid w:val="009569C9"/>
    <w:rsid w:val="00956BA1"/>
    <w:rsid w:val="009606C8"/>
    <w:rsid w:val="00961356"/>
    <w:rsid w:val="00962C9F"/>
    <w:rsid w:val="00963DA9"/>
    <w:rsid w:val="0096455D"/>
    <w:rsid w:val="00964F55"/>
    <w:rsid w:val="00965ABA"/>
    <w:rsid w:val="00965CBF"/>
    <w:rsid w:val="00966271"/>
    <w:rsid w:val="009707A2"/>
    <w:rsid w:val="009709DA"/>
    <w:rsid w:val="0097133C"/>
    <w:rsid w:val="0097372C"/>
    <w:rsid w:val="009739EB"/>
    <w:rsid w:val="00974A91"/>
    <w:rsid w:val="00974E56"/>
    <w:rsid w:val="0097570D"/>
    <w:rsid w:val="009769C6"/>
    <w:rsid w:val="00977A8C"/>
    <w:rsid w:val="00977C33"/>
    <w:rsid w:val="00977F47"/>
    <w:rsid w:val="00980FD2"/>
    <w:rsid w:val="009837EF"/>
    <w:rsid w:val="00984BDC"/>
    <w:rsid w:val="00985591"/>
    <w:rsid w:val="009857E0"/>
    <w:rsid w:val="00986496"/>
    <w:rsid w:val="00987A1D"/>
    <w:rsid w:val="00990976"/>
    <w:rsid w:val="00990D4F"/>
    <w:rsid w:val="009918FB"/>
    <w:rsid w:val="0099198E"/>
    <w:rsid w:val="00991CE2"/>
    <w:rsid w:val="0099386C"/>
    <w:rsid w:val="009945E4"/>
    <w:rsid w:val="009954C5"/>
    <w:rsid w:val="009957E9"/>
    <w:rsid w:val="00996E7A"/>
    <w:rsid w:val="009A0497"/>
    <w:rsid w:val="009A1142"/>
    <w:rsid w:val="009A15BE"/>
    <w:rsid w:val="009A1A9A"/>
    <w:rsid w:val="009A2D21"/>
    <w:rsid w:val="009A4828"/>
    <w:rsid w:val="009A63E0"/>
    <w:rsid w:val="009A7E16"/>
    <w:rsid w:val="009B157C"/>
    <w:rsid w:val="009B2293"/>
    <w:rsid w:val="009B239D"/>
    <w:rsid w:val="009B258B"/>
    <w:rsid w:val="009B25BD"/>
    <w:rsid w:val="009B36BF"/>
    <w:rsid w:val="009B38E2"/>
    <w:rsid w:val="009B44D5"/>
    <w:rsid w:val="009B46EE"/>
    <w:rsid w:val="009B5060"/>
    <w:rsid w:val="009B5872"/>
    <w:rsid w:val="009B5928"/>
    <w:rsid w:val="009B5A80"/>
    <w:rsid w:val="009B671B"/>
    <w:rsid w:val="009B6ACF"/>
    <w:rsid w:val="009B6B48"/>
    <w:rsid w:val="009B7123"/>
    <w:rsid w:val="009B7B65"/>
    <w:rsid w:val="009C0CEB"/>
    <w:rsid w:val="009C22A4"/>
    <w:rsid w:val="009C2B62"/>
    <w:rsid w:val="009C2CB4"/>
    <w:rsid w:val="009C2E11"/>
    <w:rsid w:val="009C3E19"/>
    <w:rsid w:val="009C4560"/>
    <w:rsid w:val="009C552D"/>
    <w:rsid w:val="009C6DC2"/>
    <w:rsid w:val="009C74B5"/>
    <w:rsid w:val="009C7BD2"/>
    <w:rsid w:val="009D0E47"/>
    <w:rsid w:val="009D0F79"/>
    <w:rsid w:val="009D13F4"/>
    <w:rsid w:val="009D1F1C"/>
    <w:rsid w:val="009D2902"/>
    <w:rsid w:val="009D3AEC"/>
    <w:rsid w:val="009D5A13"/>
    <w:rsid w:val="009D7957"/>
    <w:rsid w:val="009D7CE6"/>
    <w:rsid w:val="009E008F"/>
    <w:rsid w:val="009E0870"/>
    <w:rsid w:val="009E0D56"/>
    <w:rsid w:val="009E262C"/>
    <w:rsid w:val="009E3B03"/>
    <w:rsid w:val="009E4390"/>
    <w:rsid w:val="009E43FD"/>
    <w:rsid w:val="009E5251"/>
    <w:rsid w:val="009E5D8C"/>
    <w:rsid w:val="009E611F"/>
    <w:rsid w:val="009E6430"/>
    <w:rsid w:val="009E64A4"/>
    <w:rsid w:val="009E6C01"/>
    <w:rsid w:val="009E6C3B"/>
    <w:rsid w:val="009E720C"/>
    <w:rsid w:val="009E771F"/>
    <w:rsid w:val="009F46D2"/>
    <w:rsid w:val="009F471D"/>
    <w:rsid w:val="009F48BD"/>
    <w:rsid w:val="009F4EF3"/>
    <w:rsid w:val="009F56A0"/>
    <w:rsid w:val="009F625C"/>
    <w:rsid w:val="009F6692"/>
    <w:rsid w:val="00A00F82"/>
    <w:rsid w:val="00A027D7"/>
    <w:rsid w:val="00A02AB8"/>
    <w:rsid w:val="00A0444F"/>
    <w:rsid w:val="00A05393"/>
    <w:rsid w:val="00A05924"/>
    <w:rsid w:val="00A11FE2"/>
    <w:rsid w:val="00A12337"/>
    <w:rsid w:val="00A127AE"/>
    <w:rsid w:val="00A1324A"/>
    <w:rsid w:val="00A13298"/>
    <w:rsid w:val="00A13C00"/>
    <w:rsid w:val="00A143E0"/>
    <w:rsid w:val="00A168E4"/>
    <w:rsid w:val="00A16C06"/>
    <w:rsid w:val="00A20ECB"/>
    <w:rsid w:val="00A212FC"/>
    <w:rsid w:val="00A21C3A"/>
    <w:rsid w:val="00A22274"/>
    <w:rsid w:val="00A223AF"/>
    <w:rsid w:val="00A224B3"/>
    <w:rsid w:val="00A2267C"/>
    <w:rsid w:val="00A22ECF"/>
    <w:rsid w:val="00A23419"/>
    <w:rsid w:val="00A24DCA"/>
    <w:rsid w:val="00A26FFB"/>
    <w:rsid w:val="00A31426"/>
    <w:rsid w:val="00A31F40"/>
    <w:rsid w:val="00A32793"/>
    <w:rsid w:val="00A32E1F"/>
    <w:rsid w:val="00A33B5E"/>
    <w:rsid w:val="00A33FF0"/>
    <w:rsid w:val="00A35515"/>
    <w:rsid w:val="00A376D1"/>
    <w:rsid w:val="00A412A4"/>
    <w:rsid w:val="00A41F77"/>
    <w:rsid w:val="00A448D6"/>
    <w:rsid w:val="00A4490F"/>
    <w:rsid w:val="00A44E29"/>
    <w:rsid w:val="00A45752"/>
    <w:rsid w:val="00A46BA8"/>
    <w:rsid w:val="00A46C50"/>
    <w:rsid w:val="00A47442"/>
    <w:rsid w:val="00A510CA"/>
    <w:rsid w:val="00A51A3B"/>
    <w:rsid w:val="00A5214B"/>
    <w:rsid w:val="00A523F9"/>
    <w:rsid w:val="00A53786"/>
    <w:rsid w:val="00A53A3A"/>
    <w:rsid w:val="00A54607"/>
    <w:rsid w:val="00A5588D"/>
    <w:rsid w:val="00A5615B"/>
    <w:rsid w:val="00A56385"/>
    <w:rsid w:val="00A566F7"/>
    <w:rsid w:val="00A60788"/>
    <w:rsid w:val="00A624D4"/>
    <w:rsid w:val="00A6297D"/>
    <w:rsid w:val="00A63795"/>
    <w:rsid w:val="00A63817"/>
    <w:rsid w:val="00A64DFC"/>
    <w:rsid w:val="00A64E67"/>
    <w:rsid w:val="00A65708"/>
    <w:rsid w:val="00A6590C"/>
    <w:rsid w:val="00A70025"/>
    <w:rsid w:val="00A70C42"/>
    <w:rsid w:val="00A7131D"/>
    <w:rsid w:val="00A74FE2"/>
    <w:rsid w:val="00A75DAF"/>
    <w:rsid w:val="00A76ACC"/>
    <w:rsid w:val="00A80316"/>
    <w:rsid w:val="00A8075F"/>
    <w:rsid w:val="00A80DCD"/>
    <w:rsid w:val="00A82471"/>
    <w:rsid w:val="00A827A8"/>
    <w:rsid w:val="00A8360B"/>
    <w:rsid w:val="00A857D9"/>
    <w:rsid w:val="00A90857"/>
    <w:rsid w:val="00A90A64"/>
    <w:rsid w:val="00A90C97"/>
    <w:rsid w:val="00A912E7"/>
    <w:rsid w:val="00A91448"/>
    <w:rsid w:val="00A92245"/>
    <w:rsid w:val="00A93A78"/>
    <w:rsid w:val="00A94548"/>
    <w:rsid w:val="00A97A8A"/>
    <w:rsid w:val="00AA063E"/>
    <w:rsid w:val="00AA0CF2"/>
    <w:rsid w:val="00AA25A1"/>
    <w:rsid w:val="00AA2B6A"/>
    <w:rsid w:val="00AA3306"/>
    <w:rsid w:val="00AA4B70"/>
    <w:rsid w:val="00AA50B9"/>
    <w:rsid w:val="00AA6787"/>
    <w:rsid w:val="00AA7756"/>
    <w:rsid w:val="00AB0C89"/>
    <w:rsid w:val="00AB1056"/>
    <w:rsid w:val="00AB2055"/>
    <w:rsid w:val="00AB2960"/>
    <w:rsid w:val="00AB336E"/>
    <w:rsid w:val="00AB4054"/>
    <w:rsid w:val="00AB4A42"/>
    <w:rsid w:val="00AB574B"/>
    <w:rsid w:val="00AB6054"/>
    <w:rsid w:val="00AB6DF3"/>
    <w:rsid w:val="00AB79EC"/>
    <w:rsid w:val="00AC06AD"/>
    <w:rsid w:val="00AC0837"/>
    <w:rsid w:val="00AC168C"/>
    <w:rsid w:val="00AC1849"/>
    <w:rsid w:val="00AC1DB2"/>
    <w:rsid w:val="00AC23DB"/>
    <w:rsid w:val="00AC23DD"/>
    <w:rsid w:val="00AC29B4"/>
    <w:rsid w:val="00AC3123"/>
    <w:rsid w:val="00AC4341"/>
    <w:rsid w:val="00AC4436"/>
    <w:rsid w:val="00AC498C"/>
    <w:rsid w:val="00AC5CC0"/>
    <w:rsid w:val="00AC6D7C"/>
    <w:rsid w:val="00AC758F"/>
    <w:rsid w:val="00AD01BB"/>
    <w:rsid w:val="00AD02B4"/>
    <w:rsid w:val="00AD30A2"/>
    <w:rsid w:val="00AD3BAE"/>
    <w:rsid w:val="00AD4CDC"/>
    <w:rsid w:val="00AD5221"/>
    <w:rsid w:val="00AD5272"/>
    <w:rsid w:val="00AD5620"/>
    <w:rsid w:val="00AD5C7A"/>
    <w:rsid w:val="00AD5FA3"/>
    <w:rsid w:val="00AD640D"/>
    <w:rsid w:val="00AD6B21"/>
    <w:rsid w:val="00AD6D7F"/>
    <w:rsid w:val="00AD75A3"/>
    <w:rsid w:val="00AE0DAF"/>
    <w:rsid w:val="00AE1394"/>
    <w:rsid w:val="00AE1C8F"/>
    <w:rsid w:val="00AE1E77"/>
    <w:rsid w:val="00AE2076"/>
    <w:rsid w:val="00AE311C"/>
    <w:rsid w:val="00AE31B0"/>
    <w:rsid w:val="00AE32FC"/>
    <w:rsid w:val="00AE3926"/>
    <w:rsid w:val="00AE3D8B"/>
    <w:rsid w:val="00AE46AA"/>
    <w:rsid w:val="00AE6061"/>
    <w:rsid w:val="00AE6BB6"/>
    <w:rsid w:val="00AE6BED"/>
    <w:rsid w:val="00AE76E1"/>
    <w:rsid w:val="00AE7ADA"/>
    <w:rsid w:val="00AF0388"/>
    <w:rsid w:val="00AF05EF"/>
    <w:rsid w:val="00AF0863"/>
    <w:rsid w:val="00AF29BB"/>
    <w:rsid w:val="00AF2B88"/>
    <w:rsid w:val="00AF51D7"/>
    <w:rsid w:val="00AF5F2E"/>
    <w:rsid w:val="00AF63A9"/>
    <w:rsid w:val="00AF6C90"/>
    <w:rsid w:val="00AF739D"/>
    <w:rsid w:val="00AF75FE"/>
    <w:rsid w:val="00B00194"/>
    <w:rsid w:val="00B006A9"/>
    <w:rsid w:val="00B00A80"/>
    <w:rsid w:val="00B01ECE"/>
    <w:rsid w:val="00B057C1"/>
    <w:rsid w:val="00B06148"/>
    <w:rsid w:val="00B068F2"/>
    <w:rsid w:val="00B06FF2"/>
    <w:rsid w:val="00B073F5"/>
    <w:rsid w:val="00B10278"/>
    <w:rsid w:val="00B1056F"/>
    <w:rsid w:val="00B105C8"/>
    <w:rsid w:val="00B10788"/>
    <w:rsid w:val="00B12922"/>
    <w:rsid w:val="00B13310"/>
    <w:rsid w:val="00B154EA"/>
    <w:rsid w:val="00B16720"/>
    <w:rsid w:val="00B17990"/>
    <w:rsid w:val="00B20969"/>
    <w:rsid w:val="00B2109F"/>
    <w:rsid w:val="00B21702"/>
    <w:rsid w:val="00B221D7"/>
    <w:rsid w:val="00B22390"/>
    <w:rsid w:val="00B2258D"/>
    <w:rsid w:val="00B225B0"/>
    <w:rsid w:val="00B230C6"/>
    <w:rsid w:val="00B23FFF"/>
    <w:rsid w:val="00B273A2"/>
    <w:rsid w:val="00B318B0"/>
    <w:rsid w:val="00B31E83"/>
    <w:rsid w:val="00B3230A"/>
    <w:rsid w:val="00B323F1"/>
    <w:rsid w:val="00B325B0"/>
    <w:rsid w:val="00B328FC"/>
    <w:rsid w:val="00B33342"/>
    <w:rsid w:val="00B3411C"/>
    <w:rsid w:val="00B40857"/>
    <w:rsid w:val="00B40F73"/>
    <w:rsid w:val="00B4136C"/>
    <w:rsid w:val="00B417E4"/>
    <w:rsid w:val="00B4194A"/>
    <w:rsid w:val="00B4271C"/>
    <w:rsid w:val="00B42A04"/>
    <w:rsid w:val="00B42A84"/>
    <w:rsid w:val="00B43453"/>
    <w:rsid w:val="00B447A9"/>
    <w:rsid w:val="00B44A2F"/>
    <w:rsid w:val="00B450F8"/>
    <w:rsid w:val="00B47A0F"/>
    <w:rsid w:val="00B47CFD"/>
    <w:rsid w:val="00B5039C"/>
    <w:rsid w:val="00B50649"/>
    <w:rsid w:val="00B506B4"/>
    <w:rsid w:val="00B51927"/>
    <w:rsid w:val="00B51DCA"/>
    <w:rsid w:val="00B51EDA"/>
    <w:rsid w:val="00B52BE0"/>
    <w:rsid w:val="00B5400D"/>
    <w:rsid w:val="00B549E8"/>
    <w:rsid w:val="00B55516"/>
    <w:rsid w:val="00B557B6"/>
    <w:rsid w:val="00B55E3F"/>
    <w:rsid w:val="00B60542"/>
    <w:rsid w:val="00B60A1E"/>
    <w:rsid w:val="00B6156C"/>
    <w:rsid w:val="00B61595"/>
    <w:rsid w:val="00B62B53"/>
    <w:rsid w:val="00B6327A"/>
    <w:rsid w:val="00B64725"/>
    <w:rsid w:val="00B657A0"/>
    <w:rsid w:val="00B65961"/>
    <w:rsid w:val="00B65FA8"/>
    <w:rsid w:val="00B661CE"/>
    <w:rsid w:val="00B66384"/>
    <w:rsid w:val="00B664D8"/>
    <w:rsid w:val="00B67EB0"/>
    <w:rsid w:val="00B7014D"/>
    <w:rsid w:val="00B7017B"/>
    <w:rsid w:val="00B704EA"/>
    <w:rsid w:val="00B722B5"/>
    <w:rsid w:val="00B73DDD"/>
    <w:rsid w:val="00B73F2E"/>
    <w:rsid w:val="00B74113"/>
    <w:rsid w:val="00B74AB0"/>
    <w:rsid w:val="00B75D81"/>
    <w:rsid w:val="00B75E13"/>
    <w:rsid w:val="00B75F16"/>
    <w:rsid w:val="00B77B55"/>
    <w:rsid w:val="00B8198D"/>
    <w:rsid w:val="00B827C5"/>
    <w:rsid w:val="00B828FA"/>
    <w:rsid w:val="00B83B44"/>
    <w:rsid w:val="00B83D1F"/>
    <w:rsid w:val="00B84190"/>
    <w:rsid w:val="00B9057D"/>
    <w:rsid w:val="00B907A5"/>
    <w:rsid w:val="00B90ABD"/>
    <w:rsid w:val="00B91546"/>
    <w:rsid w:val="00B919DC"/>
    <w:rsid w:val="00B91C91"/>
    <w:rsid w:val="00B91D3B"/>
    <w:rsid w:val="00B925AE"/>
    <w:rsid w:val="00B93466"/>
    <w:rsid w:val="00B93D1A"/>
    <w:rsid w:val="00B94293"/>
    <w:rsid w:val="00B94408"/>
    <w:rsid w:val="00B94B1E"/>
    <w:rsid w:val="00B9525D"/>
    <w:rsid w:val="00B9655E"/>
    <w:rsid w:val="00B9718C"/>
    <w:rsid w:val="00BA0A8C"/>
    <w:rsid w:val="00BA0FD9"/>
    <w:rsid w:val="00BA155D"/>
    <w:rsid w:val="00BA1691"/>
    <w:rsid w:val="00BA2000"/>
    <w:rsid w:val="00BA2B44"/>
    <w:rsid w:val="00BA326C"/>
    <w:rsid w:val="00BA4224"/>
    <w:rsid w:val="00BA49EA"/>
    <w:rsid w:val="00BA622D"/>
    <w:rsid w:val="00BB0CA7"/>
    <w:rsid w:val="00BB1709"/>
    <w:rsid w:val="00BB1DA1"/>
    <w:rsid w:val="00BB249D"/>
    <w:rsid w:val="00BB2F15"/>
    <w:rsid w:val="00BB5F74"/>
    <w:rsid w:val="00BB7457"/>
    <w:rsid w:val="00BB76DF"/>
    <w:rsid w:val="00BC1511"/>
    <w:rsid w:val="00BC17BE"/>
    <w:rsid w:val="00BC2FCC"/>
    <w:rsid w:val="00BC33DB"/>
    <w:rsid w:val="00BC468A"/>
    <w:rsid w:val="00BC521F"/>
    <w:rsid w:val="00BC6D7D"/>
    <w:rsid w:val="00BC6E4E"/>
    <w:rsid w:val="00BC731A"/>
    <w:rsid w:val="00BC7D24"/>
    <w:rsid w:val="00BD0413"/>
    <w:rsid w:val="00BD0C96"/>
    <w:rsid w:val="00BD1479"/>
    <w:rsid w:val="00BD2E17"/>
    <w:rsid w:val="00BD4464"/>
    <w:rsid w:val="00BD45CF"/>
    <w:rsid w:val="00BD483E"/>
    <w:rsid w:val="00BD4A55"/>
    <w:rsid w:val="00BD6E3E"/>
    <w:rsid w:val="00BD7B1A"/>
    <w:rsid w:val="00BD7B51"/>
    <w:rsid w:val="00BD7C45"/>
    <w:rsid w:val="00BE2287"/>
    <w:rsid w:val="00BE22F7"/>
    <w:rsid w:val="00BE2ED0"/>
    <w:rsid w:val="00BE3370"/>
    <w:rsid w:val="00BE4286"/>
    <w:rsid w:val="00BE4622"/>
    <w:rsid w:val="00BE46BF"/>
    <w:rsid w:val="00BE5099"/>
    <w:rsid w:val="00BE51A0"/>
    <w:rsid w:val="00BE5FB9"/>
    <w:rsid w:val="00BE647C"/>
    <w:rsid w:val="00BE650A"/>
    <w:rsid w:val="00BE655B"/>
    <w:rsid w:val="00BE7CC4"/>
    <w:rsid w:val="00BF268F"/>
    <w:rsid w:val="00BF2F80"/>
    <w:rsid w:val="00BF385C"/>
    <w:rsid w:val="00BF3BCF"/>
    <w:rsid w:val="00BF4CAF"/>
    <w:rsid w:val="00BF6B96"/>
    <w:rsid w:val="00C01B68"/>
    <w:rsid w:val="00C03042"/>
    <w:rsid w:val="00C0349A"/>
    <w:rsid w:val="00C04766"/>
    <w:rsid w:val="00C04819"/>
    <w:rsid w:val="00C04A7D"/>
    <w:rsid w:val="00C05111"/>
    <w:rsid w:val="00C05B46"/>
    <w:rsid w:val="00C06197"/>
    <w:rsid w:val="00C06200"/>
    <w:rsid w:val="00C06A01"/>
    <w:rsid w:val="00C079DC"/>
    <w:rsid w:val="00C10024"/>
    <w:rsid w:val="00C11487"/>
    <w:rsid w:val="00C1198C"/>
    <w:rsid w:val="00C120C0"/>
    <w:rsid w:val="00C13270"/>
    <w:rsid w:val="00C133FC"/>
    <w:rsid w:val="00C13EF0"/>
    <w:rsid w:val="00C14AF4"/>
    <w:rsid w:val="00C15A21"/>
    <w:rsid w:val="00C17126"/>
    <w:rsid w:val="00C173DC"/>
    <w:rsid w:val="00C17AAA"/>
    <w:rsid w:val="00C202C8"/>
    <w:rsid w:val="00C20366"/>
    <w:rsid w:val="00C21068"/>
    <w:rsid w:val="00C22EBB"/>
    <w:rsid w:val="00C2545A"/>
    <w:rsid w:val="00C269DD"/>
    <w:rsid w:val="00C26BA5"/>
    <w:rsid w:val="00C30AB4"/>
    <w:rsid w:val="00C31CC0"/>
    <w:rsid w:val="00C3203A"/>
    <w:rsid w:val="00C33045"/>
    <w:rsid w:val="00C332A5"/>
    <w:rsid w:val="00C34AC3"/>
    <w:rsid w:val="00C36146"/>
    <w:rsid w:val="00C364F8"/>
    <w:rsid w:val="00C367DE"/>
    <w:rsid w:val="00C3732E"/>
    <w:rsid w:val="00C37352"/>
    <w:rsid w:val="00C3782B"/>
    <w:rsid w:val="00C40ED5"/>
    <w:rsid w:val="00C41A41"/>
    <w:rsid w:val="00C422FA"/>
    <w:rsid w:val="00C4306B"/>
    <w:rsid w:val="00C44595"/>
    <w:rsid w:val="00C44E0C"/>
    <w:rsid w:val="00C45162"/>
    <w:rsid w:val="00C457F9"/>
    <w:rsid w:val="00C45839"/>
    <w:rsid w:val="00C46EA7"/>
    <w:rsid w:val="00C4714B"/>
    <w:rsid w:val="00C5012F"/>
    <w:rsid w:val="00C509D3"/>
    <w:rsid w:val="00C522A9"/>
    <w:rsid w:val="00C568DC"/>
    <w:rsid w:val="00C60144"/>
    <w:rsid w:val="00C60191"/>
    <w:rsid w:val="00C60355"/>
    <w:rsid w:val="00C60BBD"/>
    <w:rsid w:val="00C63343"/>
    <w:rsid w:val="00C63CA5"/>
    <w:rsid w:val="00C6514B"/>
    <w:rsid w:val="00C66384"/>
    <w:rsid w:val="00C663A3"/>
    <w:rsid w:val="00C67CDD"/>
    <w:rsid w:val="00C72F1C"/>
    <w:rsid w:val="00C7325A"/>
    <w:rsid w:val="00C734E1"/>
    <w:rsid w:val="00C74661"/>
    <w:rsid w:val="00C746AE"/>
    <w:rsid w:val="00C75C12"/>
    <w:rsid w:val="00C75D00"/>
    <w:rsid w:val="00C821DB"/>
    <w:rsid w:val="00C82E7F"/>
    <w:rsid w:val="00C83D8F"/>
    <w:rsid w:val="00C84F64"/>
    <w:rsid w:val="00C850F4"/>
    <w:rsid w:val="00C85510"/>
    <w:rsid w:val="00C85E33"/>
    <w:rsid w:val="00C8661F"/>
    <w:rsid w:val="00C8797D"/>
    <w:rsid w:val="00C902D7"/>
    <w:rsid w:val="00C915B0"/>
    <w:rsid w:val="00C929CB"/>
    <w:rsid w:val="00C92E7E"/>
    <w:rsid w:val="00C943EE"/>
    <w:rsid w:val="00C94463"/>
    <w:rsid w:val="00C94CD6"/>
    <w:rsid w:val="00C94EF0"/>
    <w:rsid w:val="00C95912"/>
    <w:rsid w:val="00C9627B"/>
    <w:rsid w:val="00C96388"/>
    <w:rsid w:val="00C9661C"/>
    <w:rsid w:val="00C971CD"/>
    <w:rsid w:val="00CA10EB"/>
    <w:rsid w:val="00CA31D5"/>
    <w:rsid w:val="00CA40EE"/>
    <w:rsid w:val="00CA4B44"/>
    <w:rsid w:val="00CA53DB"/>
    <w:rsid w:val="00CA5B78"/>
    <w:rsid w:val="00CA6695"/>
    <w:rsid w:val="00CA70B9"/>
    <w:rsid w:val="00CB1F53"/>
    <w:rsid w:val="00CB511B"/>
    <w:rsid w:val="00CB53B7"/>
    <w:rsid w:val="00CB5722"/>
    <w:rsid w:val="00CC3809"/>
    <w:rsid w:val="00CC4078"/>
    <w:rsid w:val="00CC422E"/>
    <w:rsid w:val="00CC4D9E"/>
    <w:rsid w:val="00CC5654"/>
    <w:rsid w:val="00CC74F3"/>
    <w:rsid w:val="00CC7744"/>
    <w:rsid w:val="00CD058E"/>
    <w:rsid w:val="00CD1E19"/>
    <w:rsid w:val="00CD2C94"/>
    <w:rsid w:val="00CD2DF7"/>
    <w:rsid w:val="00CD349A"/>
    <w:rsid w:val="00CD3C18"/>
    <w:rsid w:val="00CD3F58"/>
    <w:rsid w:val="00CD44C8"/>
    <w:rsid w:val="00CD4647"/>
    <w:rsid w:val="00CD55D4"/>
    <w:rsid w:val="00CD5A0E"/>
    <w:rsid w:val="00CD5B12"/>
    <w:rsid w:val="00CD5C0D"/>
    <w:rsid w:val="00CD63D8"/>
    <w:rsid w:val="00CD74B8"/>
    <w:rsid w:val="00CD7913"/>
    <w:rsid w:val="00CD7AAF"/>
    <w:rsid w:val="00CD7C25"/>
    <w:rsid w:val="00CE015A"/>
    <w:rsid w:val="00CE0571"/>
    <w:rsid w:val="00CE30A6"/>
    <w:rsid w:val="00CE3385"/>
    <w:rsid w:val="00CE3B03"/>
    <w:rsid w:val="00CE42A1"/>
    <w:rsid w:val="00CE6738"/>
    <w:rsid w:val="00CE6BDB"/>
    <w:rsid w:val="00CE7932"/>
    <w:rsid w:val="00CE7C01"/>
    <w:rsid w:val="00CF0D74"/>
    <w:rsid w:val="00CF2024"/>
    <w:rsid w:val="00CF2ADA"/>
    <w:rsid w:val="00CF2DF6"/>
    <w:rsid w:val="00CF3FBF"/>
    <w:rsid w:val="00CF4AD8"/>
    <w:rsid w:val="00CF4B8F"/>
    <w:rsid w:val="00CF5EBE"/>
    <w:rsid w:val="00CF61B6"/>
    <w:rsid w:val="00CF671F"/>
    <w:rsid w:val="00D00503"/>
    <w:rsid w:val="00D00750"/>
    <w:rsid w:val="00D00846"/>
    <w:rsid w:val="00D01950"/>
    <w:rsid w:val="00D025D0"/>
    <w:rsid w:val="00D02C89"/>
    <w:rsid w:val="00D0336F"/>
    <w:rsid w:val="00D04919"/>
    <w:rsid w:val="00D04FCF"/>
    <w:rsid w:val="00D052B4"/>
    <w:rsid w:val="00D07E33"/>
    <w:rsid w:val="00D10076"/>
    <w:rsid w:val="00D10137"/>
    <w:rsid w:val="00D1193F"/>
    <w:rsid w:val="00D12108"/>
    <w:rsid w:val="00D12778"/>
    <w:rsid w:val="00D12EC5"/>
    <w:rsid w:val="00D13B5A"/>
    <w:rsid w:val="00D1488F"/>
    <w:rsid w:val="00D16690"/>
    <w:rsid w:val="00D1711F"/>
    <w:rsid w:val="00D20645"/>
    <w:rsid w:val="00D20D4C"/>
    <w:rsid w:val="00D22AD5"/>
    <w:rsid w:val="00D23A87"/>
    <w:rsid w:val="00D2449C"/>
    <w:rsid w:val="00D24AAD"/>
    <w:rsid w:val="00D252D1"/>
    <w:rsid w:val="00D2758D"/>
    <w:rsid w:val="00D27EE2"/>
    <w:rsid w:val="00D30D14"/>
    <w:rsid w:val="00D3177D"/>
    <w:rsid w:val="00D31EA6"/>
    <w:rsid w:val="00D3286E"/>
    <w:rsid w:val="00D337D1"/>
    <w:rsid w:val="00D33EFF"/>
    <w:rsid w:val="00D356A3"/>
    <w:rsid w:val="00D357D2"/>
    <w:rsid w:val="00D35822"/>
    <w:rsid w:val="00D35E5E"/>
    <w:rsid w:val="00D36E4F"/>
    <w:rsid w:val="00D3772B"/>
    <w:rsid w:val="00D406B9"/>
    <w:rsid w:val="00D41A06"/>
    <w:rsid w:val="00D41FA2"/>
    <w:rsid w:val="00D42082"/>
    <w:rsid w:val="00D420DA"/>
    <w:rsid w:val="00D432F5"/>
    <w:rsid w:val="00D43E31"/>
    <w:rsid w:val="00D478C9"/>
    <w:rsid w:val="00D50283"/>
    <w:rsid w:val="00D5127D"/>
    <w:rsid w:val="00D51696"/>
    <w:rsid w:val="00D547E1"/>
    <w:rsid w:val="00D6007C"/>
    <w:rsid w:val="00D60604"/>
    <w:rsid w:val="00D62413"/>
    <w:rsid w:val="00D64154"/>
    <w:rsid w:val="00D6521D"/>
    <w:rsid w:val="00D65913"/>
    <w:rsid w:val="00D65A18"/>
    <w:rsid w:val="00D675F9"/>
    <w:rsid w:val="00D6772B"/>
    <w:rsid w:val="00D67B59"/>
    <w:rsid w:val="00D7188D"/>
    <w:rsid w:val="00D71EBA"/>
    <w:rsid w:val="00D71F7D"/>
    <w:rsid w:val="00D71F97"/>
    <w:rsid w:val="00D7239D"/>
    <w:rsid w:val="00D72C39"/>
    <w:rsid w:val="00D73421"/>
    <w:rsid w:val="00D7450E"/>
    <w:rsid w:val="00D7478D"/>
    <w:rsid w:val="00D74A41"/>
    <w:rsid w:val="00D768BD"/>
    <w:rsid w:val="00D76907"/>
    <w:rsid w:val="00D76AAB"/>
    <w:rsid w:val="00D77C30"/>
    <w:rsid w:val="00D81644"/>
    <w:rsid w:val="00D8256B"/>
    <w:rsid w:val="00D826E3"/>
    <w:rsid w:val="00D85A49"/>
    <w:rsid w:val="00D85D6C"/>
    <w:rsid w:val="00D8754E"/>
    <w:rsid w:val="00D93449"/>
    <w:rsid w:val="00D9441D"/>
    <w:rsid w:val="00D957B1"/>
    <w:rsid w:val="00D95AEB"/>
    <w:rsid w:val="00D95F22"/>
    <w:rsid w:val="00D96FC9"/>
    <w:rsid w:val="00DA04ED"/>
    <w:rsid w:val="00DA11FB"/>
    <w:rsid w:val="00DA166D"/>
    <w:rsid w:val="00DA1C42"/>
    <w:rsid w:val="00DA2387"/>
    <w:rsid w:val="00DA35CD"/>
    <w:rsid w:val="00DA4E70"/>
    <w:rsid w:val="00DA664C"/>
    <w:rsid w:val="00DA791C"/>
    <w:rsid w:val="00DB11A3"/>
    <w:rsid w:val="00DB17A2"/>
    <w:rsid w:val="00DB1D74"/>
    <w:rsid w:val="00DB25E4"/>
    <w:rsid w:val="00DB3596"/>
    <w:rsid w:val="00DB36C2"/>
    <w:rsid w:val="00DB45EC"/>
    <w:rsid w:val="00DB4917"/>
    <w:rsid w:val="00DB5F07"/>
    <w:rsid w:val="00DB6524"/>
    <w:rsid w:val="00DB66B6"/>
    <w:rsid w:val="00DB6D0F"/>
    <w:rsid w:val="00DB788D"/>
    <w:rsid w:val="00DC14F0"/>
    <w:rsid w:val="00DC15B5"/>
    <w:rsid w:val="00DC16E0"/>
    <w:rsid w:val="00DC1945"/>
    <w:rsid w:val="00DC39A3"/>
    <w:rsid w:val="00DC3DE0"/>
    <w:rsid w:val="00DC4D19"/>
    <w:rsid w:val="00DC5D87"/>
    <w:rsid w:val="00DC68C9"/>
    <w:rsid w:val="00DC6A66"/>
    <w:rsid w:val="00DD1347"/>
    <w:rsid w:val="00DD1643"/>
    <w:rsid w:val="00DD1B1B"/>
    <w:rsid w:val="00DD2098"/>
    <w:rsid w:val="00DD29ED"/>
    <w:rsid w:val="00DD32DC"/>
    <w:rsid w:val="00DD617D"/>
    <w:rsid w:val="00DD6D6F"/>
    <w:rsid w:val="00DE04E0"/>
    <w:rsid w:val="00DE06E0"/>
    <w:rsid w:val="00DE171A"/>
    <w:rsid w:val="00DE39C4"/>
    <w:rsid w:val="00DE53BA"/>
    <w:rsid w:val="00DE55FF"/>
    <w:rsid w:val="00DE5F6F"/>
    <w:rsid w:val="00DE79D3"/>
    <w:rsid w:val="00DE7A41"/>
    <w:rsid w:val="00DE7CA9"/>
    <w:rsid w:val="00DE7F03"/>
    <w:rsid w:val="00DF281F"/>
    <w:rsid w:val="00DF28B9"/>
    <w:rsid w:val="00DF2F4B"/>
    <w:rsid w:val="00DF4CA3"/>
    <w:rsid w:val="00DF58CE"/>
    <w:rsid w:val="00DF5D92"/>
    <w:rsid w:val="00DF71A3"/>
    <w:rsid w:val="00DF782B"/>
    <w:rsid w:val="00E00448"/>
    <w:rsid w:val="00E00B23"/>
    <w:rsid w:val="00E0117D"/>
    <w:rsid w:val="00E02973"/>
    <w:rsid w:val="00E0310F"/>
    <w:rsid w:val="00E03125"/>
    <w:rsid w:val="00E04357"/>
    <w:rsid w:val="00E04D95"/>
    <w:rsid w:val="00E054D1"/>
    <w:rsid w:val="00E0769B"/>
    <w:rsid w:val="00E1037F"/>
    <w:rsid w:val="00E10B5C"/>
    <w:rsid w:val="00E10F9F"/>
    <w:rsid w:val="00E11286"/>
    <w:rsid w:val="00E11324"/>
    <w:rsid w:val="00E11760"/>
    <w:rsid w:val="00E119E8"/>
    <w:rsid w:val="00E12973"/>
    <w:rsid w:val="00E139C5"/>
    <w:rsid w:val="00E13CF2"/>
    <w:rsid w:val="00E141EC"/>
    <w:rsid w:val="00E14792"/>
    <w:rsid w:val="00E14DAE"/>
    <w:rsid w:val="00E155FA"/>
    <w:rsid w:val="00E16600"/>
    <w:rsid w:val="00E169CD"/>
    <w:rsid w:val="00E204A0"/>
    <w:rsid w:val="00E205A2"/>
    <w:rsid w:val="00E20C25"/>
    <w:rsid w:val="00E217A2"/>
    <w:rsid w:val="00E2280E"/>
    <w:rsid w:val="00E228DE"/>
    <w:rsid w:val="00E22E89"/>
    <w:rsid w:val="00E23208"/>
    <w:rsid w:val="00E24758"/>
    <w:rsid w:val="00E2763D"/>
    <w:rsid w:val="00E3015A"/>
    <w:rsid w:val="00E31A86"/>
    <w:rsid w:val="00E33069"/>
    <w:rsid w:val="00E3374A"/>
    <w:rsid w:val="00E345DB"/>
    <w:rsid w:val="00E3545D"/>
    <w:rsid w:val="00E3574A"/>
    <w:rsid w:val="00E35A46"/>
    <w:rsid w:val="00E36123"/>
    <w:rsid w:val="00E37BAE"/>
    <w:rsid w:val="00E40533"/>
    <w:rsid w:val="00E405B8"/>
    <w:rsid w:val="00E428EE"/>
    <w:rsid w:val="00E435D8"/>
    <w:rsid w:val="00E4448D"/>
    <w:rsid w:val="00E463E6"/>
    <w:rsid w:val="00E46F96"/>
    <w:rsid w:val="00E475AC"/>
    <w:rsid w:val="00E47A7B"/>
    <w:rsid w:val="00E50D28"/>
    <w:rsid w:val="00E51807"/>
    <w:rsid w:val="00E5294C"/>
    <w:rsid w:val="00E53519"/>
    <w:rsid w:val="00E53642"/>
    <w:rsid w:val="00E53896"/>
    <w:rsid w:val="00E55584"/>
    <w:rsid w:val="00E5597A"/>
    <w:rsid w:val="00E55ABB"/>
    <w:rsid w:val="00E5686D"/>
    <w:rsid w:val="00E6038C"/>
    <w:rsid w:val="00E60876"/>
    <w:rsid w:val="00E60BCA"/>
    <w:rsid w:val="00E62FEA"/>
    <w:rsid w:val="00E63E6B"/>
    <w:rsid w:val="00E63F98"/>
    <w:rsid w:val="00E64602"/>
    <w:rsid w:val="00E653D4"/>
    <w:rsid w:val="00E659E5"/>
    <w:rsid w:val="00E675B6"/>
    <w:rsid w:val="00E67B60"/>
    <w:rsid w:val="00E67D90"/>
    <w:rsid w:val="00E72931"/>
    <w:rsid w:val="00E744F3"/>
    <w:rsid w:val="00E74DC5"/>
    <w:rsid w:val="00E75380"/>
    <w:rsid w:val="00E75562"/>
    <w:rsid w:val="00E75999"/>
    <w:rsid w:val="00E76032"/>
    <w:rsid w:val="00E7665D"/>
    <w:rsid w:val="00E766DF"/>
    <w:rsid w:val="00E77B80"/>
    <w:rsid w:val="00E811BB"/>
    <w:rsid w:val="00E8172C"/>
    <w:rsid w:val="00E81F35"/>
    <w:rsid w:val="00E82A56"/>
    <w:rsid w:val="00E82B1A"/>
    <w:rsid w:val="00E83D8A"/>
    <w:rsid w:val="00E90731"/>
    <w:rsid w:val="00E909C8"/>
    <w:rsid w:val="00E914B0"/>
    <w:rsid w:val="00E928E2"/>
    <w:rsid w:val="00E950F1"/>
    <w:rsid w:val="00E951C7"/>
    <w:rsid w:val="00E95694"/>
    <w:rsid w:val="00E95A84"/>
    <w:rsid w:val="00E9620E"/>
    <w:rsid w:val="00E9629B"/>
    <w:rsid w:val="00E96CB5"/>
    <w:rsid w:val="00E9789E"/>
    <w:rsid w:val="00E97BF4"/>
    <w:rsid w:val="00EA020C"/>
    <w:rsid w:val="00EA0217"/>
    <w:rsid w:val="00EA0B74"/>
    <w:rsid w:val="00EA27CE"/>
    <w:rsid w:val="00EA2A88"/>
    <w:rsid w:val="00EA3E93"/>
    <w:rsid w:val="00EA78FF"/>
    <w:rsid w:val="00EA7D9E"/>
    <w:rsid w:val="00EB002B"/>
    <w:rsid w:val="00EB094A"/>
    <w:rsid w:val="00EB0ADD"/>
    <w:rsid w:val="00EB128E"/>
    <w:rsid w:val="00EB12CF"/>
    <w:rsid w:val="00EB1641"/>
    <w:rsid w:val="00EB20B2"/>
    <w:rsid w:val="00EB279B"/>
    <w:rsid w:val="00EB27A3"/>
    <w:rsid w:val="00EB2CA5"/>
    <w:rsid w:val="00EB43FD"/>
    <w:rsid w:val="00EB44BE"/>
    <w:rsid w:val="00EB4682"/>
    <w:rsid w:val="00EB477D"/>
    <w:rsid w:val="00EB56D6"/>
    <w:rsid w:val="00EB7FCF"/>
    <w:rsid w:val="00EC064A"/>
    <w:rsid w:val="00EC0E11"/>
    <w:rsid w:val="00EC124D"/>
    <w:rsid w:val="00EC17A1"/>
    <w:rsid w:val="00EC1E41"/>
    <w:rsid w:val="00EC28E5"/>
    <w:rsid w:val="00EC2BC8"/>
    <w:rsid w:val="00EC5183"/>
    <w:rsid w:val="00EC543F"/>
    <w:rsid w:val="00EC5448"/>
    <w:rsid w:val="00EC6350"/>
    <w:rsid w:val="00EC6B93"/>
    <w:rsid w:val="00EC7095"/>
    <w:rsid w:val="00EC741D"/>
    <w:rsid w:val="00ED0004"/>
    <w:rsid w:val="00ED1ED7"/>
    <w:rsid w:val="00ED2D6D"/>
    <w:rsid w:val="00ED514D"/>
    <w:rsid w:val="00ED5603"/>
    <w:rsid w:val="00ED7C75"/>
    <w:rsid w:val="00EE0868"/>
    <w:rsid w:val="00EE1372"/>
    <w:rsid w:val="00EE1515"/>
    <w:rsid w:val="00EE1BFF"/>
    <w:rsid w:val="00EE1DA9"/>
    <w:rsid w:val="00EE1F4E"/>
    <w:rsid w:val="00EE2B95"/>
    <w:rsid w:val="00EE3DCF"/>
    <w:rsid w:val="00EE5650"/>
    <w:rsid w:val="00EE585D"/>
    <w:rsid w:val="00EE58CB"/>
    <w:rsid w:val="00EE75A5"/>
    <w:rsid w:val="00EE784D"/>
    <w:rsid w:val="00EF0B62"/>
    <w:rsid w:val="00EF0CA4"/>
    <w:rsid w:val="00EF0FF1"/>
    <w:rsid w:val="00EF1989"/>
    <w:rsid w:val="00EF3A40"/>
    <w:rsid w:val="00EF4072"/>
    <w:rsid w:val="00EF468B"/>
    <w:rsid w:val="00EF5429"/>
    <w:rsid w:val="00EF5B58"/>
    <w:rsid w:val="00EF6007"/>
    <w:rsid w:val="00EF70A2"/>
    <w:rsid w:val="00F02460"/>
    <w:rsid w:val="00F02857"/>
    <w:rsid w:val="00F03025"/>
    <w:rsid w:val="00F03060"/>
    <w:rsid w:val="00F03424"/>
    <w:rsid w:val="00F03EC7"/>
    <w:rsid w:val="00F0471E"/>
    <w:rsid w:val="00F04CDD"/>
    <w:rsid w:val="00F0606D"/>
    <w:rsid w:val="00F06858"/>
    <w:rsid w:val="00F06BB9"/>
    <w:rsid w:val="00F071A7"/>
    <w:rsid w:val="00F0778D"/>
    <w:rsid w:val="00F077D3"/>
    <w:rsid w:val="00F07E0C"/>
    <w:rsid w:val="00F1328C"/>
    <w:rsid w:val="00F13817"/>
    <w:rsid w:val="00F13939"/>
    <w:rsid w:val="00F1396A"/>
    <w:rsid w:val="00F13B21"/>
    <w:rsid w:val="00F14463"/>
    <w:rsid w:val="00F14EE4"/>
    <w:rsid w:val="00F154A0"/>
    <w:rsid w:val="00F1653E"/>
    <w:rsid w:val="00F16C75"/>
    <w:rsid w:val="00F16C7C"/>
    <w:rsid w:val="00F17944"/>
    <w:rsid w:val="00F17FE9"/>
    <w:rsid w:val="00F2128C"/>
    <w:rsid w:val="00F219AD"/>
    <w:rsid w:val="00F23291"/>
    <w:rsid w:val="00F232CD"/>
    <w:rsid w:val="00F25284"/>
    <w:rsid w:val="00F26CA1"/>
    <w:rsid w:val="00F270C1"/>
    <w:rsid w:val="00F30E47"/>
    <w:rsid w:val="00F31416"/>
    <w:rsid w:val="00F33190"/>
    <w:rsid w:val="00F3329B"/>
    <w:rsid w:val="00F332A2"/>
    <w:rsid w:val="00F337B2"/>
    <w:rsid w:val="00F33D36"/>
    <w:rsid w:val="00F35CB2"/>
    <w:rsid w:val="00F363AD"/>
    <w:rsid w:val="00F37131"/>
    <w:rsid w:val="00F4080E"/>
    <w:rsid w:val="00F4152B"/>
    <w:rsid w:val="00F43FAA"/>
    <w:rsid w:val="00F447AA"/>
    <w:rsid w:val="00F45799"/>
    <w:rsid w:val="00F46593"/>
    <w:rsid w:val="00F46C39"/>
    <w:rsid w:val="00F4755A"/>
    <w:rsid w:val="00F52C71"/>
    <w:rsid w:val="00F52D35"/>
    <w:rsid w:val="00F547A2"/>
    <w:rsid w:val="00F555C6"/>
    <w:rsid w:val="00F56E1B"/>
    <w:rsid w:val="00F60CC6"/>
    <w:rsid w:val="00F622E8"/>
    <w:rsid w:val="00F63895"/>
    <w:rsid w:val="00F63F4E"/>
    <w:rsid w:val="00F64822"/>
    <w:rsid w:val="00F65CB3"/>
    <w:rsid w:val="00F66B4C"/>
    <w:rsid w:val="00F6759D"/>
    <w:rsid w:val="00F67A71"/>
    <w:rsid w:val="00F707E3"/>
    <w:rsid w:val="00F70A77"/>
    <w:rsid w:val="00F717B9"/>
    <w:rsid w:val="00F71CD0"/>
    <w:rsid w:val="00F71FC5"/>
    <w:rsid w:val="00F73049"/>
    <w:rsid w:val="00F7378F"/>
    <w:rsid w:val="00F73E80"/>
    <w:rsid w:val="00F74152"/>
    <w:rsid w:val="00F77609"/>
    <w:rsid w:val="00F80533"/>
    <w:rsid w:val="00F80AE5"/>
    <w:rsid w:val="00F82258"/>
    <w:rsid w:val="00F83E4E"/>
    <w:rsid w:val="00F84225"/>
    <w:rsid w:val="00F84599"/>
    <w:rsid w:val="00F846D6"/>
    <w:rsid w:val="00F849F5"/>
    <w:rsid w:val="00F84E50"/>
    <w:rsid w:val="00F85083"/>
    <w:rsid w:val="00F85952"/>
    <w:rsid w:val="00F85CB9"/>
    <w:rsid w:val="00F8607C"/>
    <w:rsid w:val="00F9065F"/>
    <w:rsid w:val="00F9076B"/>
    <w:rsid w:val="00F90C9C"/>
    <w:rsid w:val="00F9142F"/>
    <w:rsid w:val="00F91F5A"/>
    <w:rsid w:val="00F92F01"/>
    <w:rsid w:val="00F941C2"/>
    <w:rsid w:val="00F94202"/>
    <w:rsid w:val="00F94870"/>
    <w:rsid w:val="00F958ED"/>
    <w:rsid w:val="00F95B2C"/>
    <w:rsid w:val="00F96BA2"/>
    <w:rsid w:val="00F971E5"/>
    <w:rsid w:val="00FA028B"/>
    <w:rsid w:val="00FA0AA2"/>
    <w:rsid w:val="00FA17AC"/>
    <w:rsid w:val="00FA1A8E"/>
    <w:rsid w:val="00FA509B"/>
    <w:rsid w:val="00FA63FD"/>
    <w:rsid w:val="00FB0F81"/>
    <w:rsid w:val="00FB17F6"/>
    <w:rsid w:val="00FB202E"/>
    <w:rsid w:val="00FB3263"/>
    <w:rsid w:val="00FB46A3"/>
    <w:rsid w:val="00FB5BC7"/>
    <w:rsid w:val="00FB5CFE"/>
    <w:rsid w:val="00FB605F"/>
    <w:rsid w:val="00FB6ED3"/>
    <w:rsid w:val="00FB79D5"/>
    <w:rsid w:val="00FC0090"/>
    <w:rsid w:val="00FC059D"/>
    <w:rsid w:val="00FC07D5"/>
    <w:rsid w:val="00FC0D50"/>
    <w:rsid w:val="00FC3832"/>
    <w:rsid w:val="00FC4514"/>
    <w:rsid w:val="00FC4754"/>
    <w:rsid w:val="00FC514A"/>
    <w:rsid w:val="00FC594B"/>
    <w:rsid w:val="00FC6BFA"/>
    <w:rsid w:val="00FD0D24"/>
    <w:rsid w:val="00FD1F2A"/>
    <w:rsid w:val="00FD2056"/>
    <w:rsid w:val="00FD40B0"/>
    <w:rsid w:val="00FD4195"/>
    <w:rsid w:val="00FD5942"/>
    <w:rsid w:val="00FD5FBF"/>
    <w:rsid w:val="00FD6838"/>
    <w:rsid w:val="00FD79BD"/>
    <w:rsid w:val="00FD7ABD"/>
    <w:rsid w:val="00FE1391"/>
    <w:rsid w:val="00FE3537"/>
    <w:rsid w:val="00FE41CB"/>
    <w:rsid w:val="00FE574F"/>
    <w:rsid w:val="00FE610F"/>
    <w:rsid w:val="00FF029E"/>
    <w:rsid w:val="00FF0918"/>
    <w:rsid w:val="00FF0A78"/>
    <w:rsid w:val="00FF0F21"/>
    <w:rsid w:val="00FF1006"/>
    <w:rsid w:val="00FF160F"/>
    <w:rsid w:val="00FF2332"/>
    <w:rsid w:val="00FF237A"/>
    <w:rsid w:val="00FF261B"/>
    <w:rsid w:val="00FF48F9"/>
    <w:rsid w:val="00FF616D"/>
    <w:rsid w:val="00FF6F4D"/>
    <w:rsid w:val="00FF7B29"/>
    <w:rsid w:val="19EDCC1D"/>
    <w:rsid w:val="1AF5597D"/>
    <w:rsid w:val="267D1AEA"/>
    <w:rsid w:val="3B8D31D2"/>
    <w:rsid w:val="4BC2FF46"/>
    <w:rsid w:val="584B7111"/>
    <w:rsid w:val="651A1F6E"/>
    <w:rsid w:val="65600A46"/>
    <w:rsid w:val="6DFCD129"/>
    <w:rsid w:val="7CA39270"/>
    <w:rsid w:val="7CF12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9764E"/>
  <w15:docId w15:val="{E3C98CE9-A3DB-45E6-9221-ED5C72EB93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15340"/>
    <w:rPr>
      <w:lang w:val="sq-AL"/>
    </w:rPr>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sid w:val="002005F1"/>
    <w:rPr>
      <w:rFonts w:cs="Times New Roman" w:asciiTheme="majorHAnsi" w:hAnsiTheme="majorHAnsi" w:eastAsiaTheme="majorEastAsia"/>
      <w:b/>
      <w:bCs/>
      <w:kern w:val="32"/>
      <w:sz w:val="32"/>
      <w:szCs w:val="32"/>
      <w:lang w:eastAsia="en-US"/>
    </w:rPr>
  </w:style>
  <w:style w:type="character" w:styleId="Heading2Char" w:customStyle="1">
    <w:name w:val="Heading 2 Char"/>
    <w:aliases w:val="EBHeading1 Char"/>
    <w:basedOn w:val="DefaultParagraphFont"/>
    <w:link w:val="Heading2"/>
    <w:uiPriority w:val="9"/>
    <w:semiHidden/>
    <w:locked/>
    <w:rsid w:val="002005F1"/>
    <w:rPr>
      <w:rFonts w:cs="Times New Roman" w:asciiTheme="majorHAnsi" w:hAnsiTheme="majorHAnsi" w:eastAsiaTheme="majorEastAsia"/>
      <w:b/>
      <w:bCs/>
      <w:i/>
      <w:iCs/>
      <w:sz w:val="28"/>
      <w:szCs w:val="28"/>
      <w:lang w:eastAsia="en-US"/>
    </w:rPr>
  </w:style>
  <w:style w:type="character" w:styleId="Heading3Char" w:customStyle="1">
    <w:name w:val="Heading 3 Char"/>
    <w:aliases w:val="EBHeading2 Char"/>
    <w:basedOn w:val="DefaultParagraphFont"/>
    <w:link w:val="Heading3"/>
    <w:uiPriority w:val="9"/>
    <w:semiHidden/>
    <w:locked/>
    <w:rsid w:val="002005F1"/>
    <w:rPr>
      <w:rFonts w:cs="Times New Roman" w:asciiTheme="majorHAnsi" w:hAnsiTheme="majorHAnsi" w:eastAsiaTheme="majorEastAsia"/>
      <w:b/>
      <w:bCs/>
      <w:sz w:val="26"/>
      <w:szCs w:val="26"/>
      <w:lang w:eastAsia="en-US"/>
    </w:rPr>
  </w:style>
  <w:style w:type="character" w:styleId="Heading4Char" w:customStyle="1">
    <w:name w:val="Heading 4 Char"/>
    <w:aliases w:val="EBHeading3 Char"/>
    <w:basedOn w:val="DefaultParagraphFont"/>
    <w:link w:val="Heading4"/>
    <w:uiPriority w:val="9"/>
    <w:semiHidden/>
    <w:locked/>
    <w:rsid w:val="002005F1"/>
    <w:rPr>
      <w:rFonts w:cs="Times New Roman" w:asciiTheme="minorHAnsi" w:hAnsiTheme="minorHAnsi" w:eastAsiaTheme="minorEastAsia"/>
      <w:b/>
      <w:bCs/>
      <w:sz w:val="28"/>
      <w:szCs w:val="28"/>
      <w:lang w:eastAsia="en-US"/>
    </w:rPr>
  </w:style>
  <w:style w:type="character" w:styleId="Heading5Char" w:customStyle="1">
    <w:name w:val="Heading 5 Char"/>
    <w:aliases w:val="EBHeading4 Char"/>
    <w:basedOn w:val="DefaultParagraphFont"/>
    <w:link w:val="Heading5"/>
    <w:uiPriority w:val="9"/>
    <w:semiHidden/>
    <w:locked/>
    <w:rsid w:val="002005F1"/>
    <w:rPr>
      <w:rFonts w:cs="Times New Roman" w:asciiTheme="minorHAnsi" w:hAnsiTheme="minorHAnsi" w:eastAsiaTheme="minorEastAsia"/>
      <w:b/>
      <w:bCs/>
      <w:i/>
      <w:iCs/>
      <w:sz w:val="26"/>
      <w:szCs w:val="26"/>
      <w:lang w:eastAsia="en-US"/>
    </w:rPr>
  </w:style>
  <w:style w:type="paragraph" w:styleId="IATableLabel" w:customStyle="1">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styleId="IATableLabelCharChar" w:customStyle="1">
    <w:name w:val="IATableLabel Char Char"/>
    <w:link w:val="IATableLabel"/>
    <w:locked/>
    <w:rsid w:val="00402E80"/>
    <w:rPr>
      <w:rFonts w:ascii="Arial" w:hAnsi="Arial" w:eastAsia="SimSun"/>
      <w:b/>
      <w:color w:val="000000"/>
      <w:spacing w:val="-5"/>
      <w:lang w:val="en-GB" w:eastAsia="zh-CN"/>
    </w:rPr>
  </w:style>
  <w:style w:type="paragraph" w:styleId="IASpacer" w:customStyle="1">
    <w:name w:val="IASpacer"/>
    <w:basedOn w:val="Normal"/>
    <w:rsid w:val="007208D9"/>
    <w:pPr>
      <w:spacing w:line="80" w:lineRule="exact"/>
    </w:pPr>
    <w:rPr>
      <w:rFonts w:eastAsia="SimSun"/>
      <w:sz w:val="22"/>
      <w:lang w:eastAsia="zh-CN"/>
    </w:rPr>
  </w:style>
  <w:style w:type="paragraph" w:styleId="IATableText" w:customStyle="1">
    <w:name w:val="IATableText"/>
    <w:basedOn w:val="IATableLabel"/>
    <w:link w:val="IATableTextChar"/>
    <w:rsid w:val="00220F29"/>
    <w:rPr>
      <w:b w:val="0"/>
      <w:color w:val="auto"/>
      <w:sz w:val="22"/>
    </w:rPr>
  </w:style>
  <w:style w:type="character" w:styleId="IATableTextChar" w:customStyle="1">
    <w:name w:val="IATableText Char"/>
    <w:link w:val="IATableText"/>
    <w:locked/>
    <w:rsid w:val="00220F29"/>
    <w:rPr>
      <w:rFonts w:ascii="Arial" w:hAnsi="Arial" w:eastAsia="SimSun"/>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styleId="BodyTextChar" w:customStyle="1">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styleId="TitleChar" w:customStyle="1">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styleId="IAHeadDept" w:customStyle="1">
    <w:name w:val="IAHeadDept"/>
    <w:basedOn w:val="IATableText"/>
    <w:link w:val="IAHeadDeptChar"/>
    <w:rsid w:val="00C120C0"/>
    <w:pPr>
      <w:spacing w:after="120"/>
      <w:ind w:left="0" w:right="57"/>
    </w:pPr>
    <w:rPr>
      <w:spacing w:val="-6"/>
      <w:szCs w:val="22"/>
    </w:rPr>
  </w:style>
  <w:style w:type="paragraph" w:styleId="IAHeadLabel" w:customStyle="1">
    <w:name w:val="IAHeadLabel"/>
    <w:basedOn w:val="IATableLabel"/>
    <w:link w:val="IAHeadLabelChar"/>
    <w:rsid w:val="00570F8E"/>
    <w:pPr>
      <w:spacing w:before="110"/>
      <w:ind w:left="0" w:right="0"/>
    </w:pPr>
  </w:style>
  <w:style w:type="character" w:styleId="IAHeadLabelChar" w:customStyle="1">
    <w:name w:val="IAHeadLabel Char"/>
    <w:basedOn w:val="IATableLabelCharChar"/>
    <w:link w:val="IAHeadLabel"/>
    <w:locked/>
    <w:rsid w:val="00570F8E"/>
    <w:rPr>
      <w:rFonts w:ascii="Arial" w:hAnsi="Arial" w:eastAsia="SimSun" w:cs="Times New Roman"/>
      <w:b/>
      <w:color w:val="000000"/>
      <w:spacing w:val="-5"/>
      <w:lang w:val="en-GB" w:eastAsia="zh-CN" w:bidi="ar-SA"/>
    </w:rPr>
  </w:style>
  <w:style w:type="table" w:styleId="TableIAHeading" w:customStyle="1">
    <w:name w:val="Table_IAHeading"/>
    <w:basedOn w:val="TableNormal"/>
    <w:semiHidden/>
    <w:rsid w:val="006A5A2E"/>
    <w:rPr>
      <w:rFonts w:eastAsia="SimSun"/>
      <w:color w:val="FFFFFF"/>
    </w:rPr>
    <w:tblPr>
      <w:tblBorders>
        <w:top w:val="single" w:color="008080" w:sz="12" w:space="0"/>
        <w:left w:val="single" w:color="008080" w:sz="12" w:space="0"/>
        <w:bottom w:val="single" w:color="008080" w:sz="12" w:space="0"/>
        <w:right w:val="single" w:color="008080" w:sz="12" w:space="0"/>
        <w:insideH w:val="single" w:color="008080" w:sz="12" w:space="0"/>
      </w:tblBorders>
      <w:tblCellMar>
        <w:left w:w="0" w:type="dxa"/>
        <w:right w:w="0" w:type="dxa"/>
      </w:tblCellMar>
    </w:tblPr>
    <w:tcPr>
      <w:shd w:val="clear" w:color="auto" w:fill="008080"/>
    </w:tcPr>
  </w:style>
  <w:style w:type="paragraph" w:styleId="IATableNotes" w:customStyle="1">
    <w:name w:val="IATableNotes"/>
    <w:basedOn w:val="Normal"/>
    <w:link w:val="IATableNotesChar"/>
    <w:rsid w:val="006A5A2E"/>
    <w:pPr>
      <w:spacing w:before="60" w:after="60"/>
      <w:ind w:left="113" w:right="113"/>
    </w:pPr>
    <w:rPr>
      <w:rFonts w:eastAsia="SimSun"/>
      <w:sz w:val="18"/>
      <w:lang w:eastAsia="zh-CN"/>
    </w:rPr>
  </w:style>
  <w:style w:type="character" w:styleId="IATableNotesChar" w:customStyle="1">
    <w:name w:val="IATableNotes Char"/>
    <w:link w:val="IATableNotes"/>
    <w:locked/>
    <w:rsid w:val="006A5A2E"/>
    <w:rPr>
      <w:rFonts w:ascii="Arial" w:hAnsi="Arial" w:eastAsia="SimSun"/>
      <w:sz w:val="18"/>
      <w:lang w:val="en-GB" w:eastAsia="zh-CN"/>
    </w:rPr>
  </w:style>
  <w:style w:type="paragraph" w:styleId="IASignOff" w:customStyle="1">
    <w:name w:val="IASignOff"/>
    <w:basedOn w:val="IATableNotes"/>
    <w:next w:val="IATableNotes"/>
    <w:link w:val="IASignOffChar"/>
    <w:semiHidden/>
    <w:rsid w:val="006A5A2E"/>
    <w:pPr>
      <w:spacing w:before="120" w:after="120"/>
      <w:ind w:left="567" w:right="567"/>
    </w:pPr>
    <w:rPr>
      <w:b/>
      <w:bCs/>
      <w:i/>
      <w:iCs/>
    </w:rPr>
  </w:style>
  <w:style w:type="character" w:styleId="IASignOffChar" w:customStyle="1">
    <w:name w:val="IASignOff Char"/>
    <w:link w:val="IASignOff"/>
    <w:locked/>
    <w:rsid w:val="006A5A2E"/>
    <w:rPr>
      <w:rFonts w:ascii="Arial" w:hAnsi="Arial" w:eastAsia="SimSun"/>
      <w:b/>
      <w:i/>
      <w:sz w:val="18"/>
      <w:lang w:val="en-GB" w:eastAsia="zh-CN"/>
    </w:rPr>
  </w:style>
  <w:style w:type="paragraph" w:styleId="IAHeadTitle" w:customStyle="1">
    <w:name w:val="IAHeadTitle"/>
    <w:basedOn w:val="IAHeadDept"/>
    <w:link w:val="IAHeadTitleChar"/>
    <w:rsid w:val="008228A5"/>
    <w:pPr>
      <w:spacing w:before="0" w:after="0"/>
    </w:pPr>
    <w:rPr>
      <w:b/>
      <w:sz w:val="28"/>
      <w:szCs w:val="28"/>
    </w:rPr>
  </w:style>
  <w:style w:type="paragraph" w:styleId="IASignature" w:customStyle="1">
    <w:name w:val="IA Signature"/>
    <w:basedOn w:val="IATableText"/>
    <w:rsid w:val="00C67CDD"/>
    <w:pPr>
      <w:tabs>
        <w:tab w:val="left" w:leader="dot" w:pos="6804"/>
        <w:tab w:val="right" w:leader="dot" w:pos="10206"/>
      </w:tabs>
      <w:spacing w:before="0" w:after="0"/>
      <w:ind w:left="0"/>
    </w:pPr>
  </w:style>
  <w:style w:type="paragraph" w:styleId="IASign-offlabel" w:customStyle="1">
    <w:name w:val="IA Sign-off label"/>
    <w:basedOn w:val="IAHeadLabel"/>
    <w:link w:val="IASign-offlabelChar"/>
    <w:rsid w:val="00FB5CFE"/>
    <w:pPr>
      <w:spacing w:after="120"/>
    </w:pPr>
    <w:rPr>
      <w:szCs w:val="22"/>
      <w:u w:val="single"/>
    </w:rPr>
  </w:style>
  <w:style w:type="character" w:styleId="IASign-offlabelChar" w:customStyle="1">
    <w:name w:val="IA Sign-off label Char"/>
    <w:link w:val="IASign-offlabel"/>
    <w:locked/>
    <w:rsid w:val="009050B9"/>
    <w:rPr>
      <w:rFonts w:ascii="Arial" w:hAnsi="Arial" w:eastAsia="SimSun"/>
      <w:b/>
      <w:color w:val="000000"/>
      <w:spacing w:val="-5"/>
      <w:sz w:val="22"/>
      <w:u w:val="single"/>
      <w:lang w:val="en-GB" w:eastAsia="zh-CN"/>
    </w:rPr>
  </w:style>
  <w:style w:type="paragraph" w:styleId="IASign-off" w:customStyle="1">
    <w:name w:val="IA Sign-off"/>
    <w:basedOn w:val="IATableText"/>
    <w:rsid w:val="00C67CDD"/>
    <w:pPr>
      <w:spacing w:before="0" w:after="0"/>
      <w:ind w:left="0" w:right="284"/>
    </w:pPr>
    <w:rPr>
      <w:b/>
      <w:i/>
    </w:rPr>
  </w:style>
  <w:style w:type="paragraph" w:styleId="IAHeading2" w:customStyle="1">
    <w:name w:val="IAHeading2"/>
    <w:basedOn w:val="Normal"/>
    <w:semiHidden/>
    <w:rsid w:val="000A79FC"/>
    <w:pPr>
      <w:keepNext/>
      <w:keepLines/>
      <w:spacing w:before="60" w:after="60"/>
      <w:ind w:left="113" w:right="113"/>
    </w:pPr>
    <w:rPr>
      <w:rFonts w:eastAsia="SimSun"/>
      <w:b/>
      <w:sz w:val="20"/>
      <w:lang w:eastAsia="zh-CN"/>
    </w:rPr>
  </w:style>
  <w:style w:type="table" w:styleId="TableIABox" w:customStyle="1">
    <w:name w:val="Table_IABox"/>
    <w:basedOn w:val="TableNormal"/>
    <w:rsid w:val="007777A1"/>
    <w:rPr>
      <w:rFonts w:eastAsia="SimSun"/>
    </w:rPr>
    <w:tblPr>
      <w:tblBorders>
        <w:top w:val="single" w:color="auto" w:sz="4" w:space="0"/>
        <w:left w:val="single" w:color="auto" w:sz="4" w:space="0"/>
        <w:bottom w:val="single" w:color="auto" w:sz="4" w:space="0"/>
        <w:right w:val="single" w:color="auto" w:sz="4" w:space="0"/>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styleId="HeaderChar" w:customStyle="1">
    <w:name w:val="Header Char"/>
    <w:basedOn w:val="DefaultParagraphFont"/>
    <w:link w:val="Header"/>
    <w:uiPriority w:val="99"/>
    <w:semiHidden/>
    <w:locked/>
    <w:rsid w:val="002005F1"/>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styleId="FooterChar" w:customStyle="1">
    <w:name w:val="Footer Char"/>
    <w:basedOn w:val="DefaultParagraphFont"/>
    <w:link w:val="Footer"/>
    <w:uiPriority w:val="99"/>
    <w:semiHidden/>
    <w:locked/>
    <w:rsid w:val="002005F1"/>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styleId="IANotes" w:customStyle="1">
    <w:name w:val="IANotes"/>
    <w:basedOn w:val="Normal"/>
    <w:semiHidden/>
    <w:rsid w:val="00650282"/>
    <w:rPr>
      <w:rFonts w:eastAsia="SimSun"/>
      <w:color w:val="008080"/>
      <w:sz w:val="22"/>
      <w:lang w:eastAsia="zh-CN"/>
    </w:rPr>
  </w:style>
  <w:style w:type="paragraph" w:styleId="IATableHeading" w:customStyle="1">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styleId="FootnoteTextChar" w:customStyle="1">
    <w:name w:val="Footnote Text Char"/>
    <w:basedOn w:val="DefaultParagraphFont"/>
    <w:link w:val="FootnoteText"/>
    <w:uiPriority w:val="99"/>
    <w:semiHidden/>
    <w:locked/>
    <w:rsid w:val="002005F1"/>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styleId="EBBodyPara" w:customStyle="1">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2005F1"/>
    <w:rPr>
      <w:rFonts w:ascii="Segoe UI" w:hAnsi="Segoe UI" w:cs="Segoe UI"/>
      <w:sz w:val="18"/>
      <w:szCs w:val="18"/>
      <w:lang w:eastAsia="en-US"/>
    </w:rPr>
  </w:style>
  <w:style w:type="paragraph" w:styleId="EBNumber" w:customStyle="1">
    <w:name w:val="EBNumber"/>
    <w:basedOn w:val="BodyText"/>
    <w:rsid w:val="002B7335"/>
    <w:pPr>
      <w:numPr>
        <w:ilvl w:val="1"/>
        <w:numId w:val="3"/>
      </w:numPr>
    </w:pPr>
  </w:style>
  <w:style w:type="paragraph" w:styleId="EBNumberRestart" w:customStyle="1">
    <w:name w:val="EBNumberRestart"/>
    <w:basedOn w:val="BodyText"/>
    <w:next w:val="EBNumber"/>
    <w:rsid w:val="002B7335"/>
    <w:pPr>
      <w:numPr>
        <w:numId w:val="3"/>
      </w:numPr>
    </w:pPr>
  </w:style>
  <w:style w:type="paragraph" w:styleId="StyleIATableText10ptRight" w:customStyle="1">
    <w:name w:val="Style IATableText + 10 pt Right"/>
    <w:basedOn w:val="IATableText"/>
    <w:rsid w:val="008D39AA"/>
    <w:pPr>
      <w:ind w:left="0" w:right="57"/>
      <w:jc w:val="right"/>
    </w:pPr>
    <w:rPr>
      <w:rFonts w:eastAsia="Times New Roman"/>
      <w:sz w:val="20"/>
    </w:rPr>
  </w:style>
  <w:style w:type="paragraph" w:styleId="SecurityClass" w:customStyle="1">
    <w:name w:val="SecurityClass"/>
    <w:basedOn w:val="Header"/>
    <w:rsid w:val="00AE46AA"/>
  </w:style>
  <w:style w:type="paragraph" w:styleId="IARefNumber" w:customStyle="1">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styleId="POPBY" w:customStyle="1">
    <w:name w:val="POPBY"/>
    <w:basedOn w:val="IATableLabel"/>
    <w:rsid w:val="00AB574B"/>
  </w:style>
  <w:style w:type="paragraph" w:styleId="EBBullet" w:customStyle="1">
    <w:name w:val="EBBullet"/>
    <w:basedOn w:val="BodyText"/>
    <w:rsid w:val="002B7335"/>
    <w:pPr>
      <w:numPr>
        <w:numId w:val="2"/>
      </w:numPr>
    </w:pPr>
  </w:style>
  <w:style w:type="paragraph" w:styleId="IAHeadText" w:customStyle="1">
    <w:name w:val="IAHeadText"/>
    <w:basedOn w:val="IATableText"/>
    <w:rsid w:val="00632CB9"/>
    <w:pPr>
      <w:spacing w:before="0" w:after="0"/>
      <w:ind w:left="0" w:right="57"/>
    </w:pPr>
    <w:rPr>
      <w:spacing w:val="-6"/>
    </w:rPr>
  </w:style>
  <w:style w:type="paragraph" w:styleId="IAHeadLabel0" w:customStyle="1">
    <w:name w:val="IAHeadLabel0"/>
    <w:basedOn w:val="IAHeadLabel"/>
    <w:next w:val="IAHeadTitle"/>
    <w:rsid w:val="00632CB9"/>
    <w:pPr>
      <w:spacing w:before="0"/>
    </w:pPr>
  </w:style>
  <w:style w:type="paragraph" w:styleId="IATableLines" w:customStyle="1">
    <w:name w:val="IATableLines"/>
    <w:basedOn w:val="IATableText"/>
    <w:link w:val="IATableLinesChar"/>
    <w:rsid w:val="00E82A56"/>
    <w:pPr>
      <w:spacing w:before="0" w:after="0"/>
    </w:pPr>
  </w:style>
  <w:style w:type="paragraph" w:styleId="EvidenceHeadPIR" w:customStyle="1">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styleId="IASpacer2" w:customStyle="1">
    <w:name w:val="IASpacer2"/>
    <w:basedOn w:val="IASpacer"/>
    <w:rsid w:val="00311373"/>
    <w:pPr>
      <w:spacing w:line="40" w:lineRule="exact"/>
    </w:pPr>
  </w:style>
  <w:style w:type="paragraph" w:styleId="POPVBY" w:customStyle="1">
    <w:name w:val="POPVBY"/>
    <w:basedOn w:val="IATableLabel"/>
    <w:rsid w:val="00AB574B"/>
  </w:style>
  <w:style w:type="paragraph" w:styleId="POTPY" w:customStyle="1">
    <w:name w:val="POTPY"/>
    <w:basedOn w:val="IATableLabel"/>
    <w:rsid w:val="00F622E8"/>
  </w:style>
  <w:style w:type="paragraph" w:styleId="PONBLow" w:customStyle="1">
    <w:name w:val="PONBLow"/>
    <w:basedOn w:val="IATableLabel"/>
    <w:link w:val="PONBLowCharChar"/>
    <w:rsid w:val="00F622E8"/>
    <w:rPr>
      <w:b w:val="0"/>
      <w:szCs w:val="22"/>
    </w:rPr>
  </w:style>
  <w:style w:type="character" w:styleId="PONBLowCharChar" w:customStyle="1">
    <w:name w:val="PONBLow Char Char"/>
    <w:link w:val="PONBLow"/>
    <w:locked/>
    <w:rsid w:val="00F622E8"/>
    <w:rPr>
      <w:rFonts w:ascii="Arial" w:hAnsi="Arial" w:eastAsia="SimSun"/>
      <w:b/>
      <w:color w:val="000000"/>
      <w:spacing w:val="-5"/>
      <w:sz w:val="22"/>
      <w:lang w:val="en-GB" w:eastAsia="zh-CN"/>
    </w:rPr>
  </w:style>
  <w:style w:type="paragraph" w:styleId="PONBHigh" w:customStyle="1">
    <w:name w:val="PONBHigh"/>
    <w:basedOn w:val="IATableLabel"/>
    <w:link w:val="PONBHighChar"/>
    <w:rsid w:val="00F622E8"/>
    <w:rPr>
      <w:b w:val="0"/>
      <w:szCs w:val="22"/>
    </w:rPr>
  </w:style>
  <w:style w:type="character" w:styleId="PONBHighChar" w:customStyle="1">
    <w:name w:val="PONBHigh Char"/>
    <w:link w:val="PONBHigh"/>
    <w:locked/>
    <w:rsid w:val="00F622E8"/>
    <w:rPr>
      <w:rFonts w:ascii="Arial" w:hAnsi="Arial" w:eastAsia="SimSun"/>
      <w:b/>
      <w:color w:val="000000"/>
      <w:spacing w:val="-5"/>
      <w:sz w:val="22"/>
      <w:lang w:val="en-GB" w:eastAsia="zh-CN"/>
    </w:rPr>
  </w:style>
  <w:style w:type="paragraph" w:styleId="PONBBestEst" w:customStyle="1">
    <w:name w:val="PONBBestEst"/>
    <w:basedOn w:val="IATableLabel"/>
    <w:link w:val="PONBBestEstChar"/>
    <w:rsid w:val="00F622E8"/>
    <w:rPr>
      <w:b w:val="0"/>
      <w:szCs w:val="22"/>
    </w:rPr>
  </w:style>
  <w:style w:type="character" w:styleId="PONBBestEstChar" w:customStyle="1">
    <w:name w:val="PONBBestEst Char"/>
    <w:link w:val="PONBBestEst"/>
    <w:locked/>
    <w:rsid w:val="00F622E8"/>
    <w:rPr>
      <w:rFonts w:ascii="Arial" w:hAnsi="Arial" w:eastAsia="SimSun"/>
      <w:b/>
      <w:color w:val="000000"/>
      <w:spacing w:val="-5"/>
      <w:sz w:val="22"/>
      <w:lang w:val="en-GB" w:eastAsia="zh-CN"/>
    </w:rPr>
  </w:style>
  <w:style w:type="paragraph" w:styleId="POTTCostsHigh" w:customStyle="1">
    <w:name w:val="POTTCostsHigh"/>
    <w:basedOn w:val="IATableText"/>
    <w:rsid w:val="00B318B0"/>
    <w:pPr>
      <w:jc w:val="right"/>
    </w:pPr>
  </w:style>
  <w:style w:type="paragraph" w:styleId="POTTCostsLow" w:customStyle="1">
    <w:name w:val="POTTCostsLow"/>
    <w:basedOn w:val="POTTCostsHigh"/>
    <w:rsid w:val="00B318B0"/>
  </w:style>
  <w:style w:type="paragraph" w:styleId="POTTCostsBest" w:customStyle="1">
    <w:name w:val="POTTCostsBest"/>
    <w:basedOn w:val="IATableText"/>
    <w:rsid w:val="00B318B0"/>
    <w:pPr>
      <w:jc w:val="right"/>
    </w:pPr>
  </w:style>
  <w:style w:type="paragraph" w:styleId="POTTCostsYear" w:customStyle="1">
    <w:name w:val="POTTCostsYear"/>
    <w:basedOn w:val="IATableText"/>
    <w:rsid w:val="00B318B0"/>
    <w:pPr>
      <w:jc w:val="center"/>
    </w:pPr>
    <w:rPr>
      <w:szCs w:val="18"/>
    </w:rPr>
  </w:style>
  <w:style w:type="paragraph" w:styleId="POAACostsLow" w:customStyle="1">
    <w:name w:val="POAACostsLow"/>
    <w:basedOn w:val="IATableText"/>
    <w:rsid w:val="00B318B0"/>
    <w:pPr>
      <w:jc w:val="right"/>
    </w:pPr>
  </w:style>
  <w:style w:type="paragraph" w:styleId="POAACostsHigh" w:customStyle="1">
    <w:name w:val="POAACostsHigh"/>
    <w:basedOn w:val="POAACostsLow"/>
    <w:rsid w:val="00B318B0"/>
  </w:style>
  <w:style w:type="paragraph" w:styleId="POAACostsBest" w:customStyle="1">
    <w:name w:val="POAACostsBest"/>
    <w:basedOn w:val="IATableText"/>
    <w:rsid w:val="00B318B0"/>
    <w:pPr>
      <w:jc w:val="right"/>
    </w:pPr>
  </w:style>
  <w:style w:type="paragraph" w:styleId="POTCCostsLow" w:customStyle="1">
    <w:name w:val="POTCCostsLow"/>
    <w:basedOn w:val="IATableText"/>
    <w:rsid w:val="00B318B0"/>
    <w:pPr>
      <w:jc w:val="right"/>
    </w:pPr>
    <w:rPr>
      <w:b/>
    </w:rPr>
  </w:style>
  <w:style w:type="paragraph" w:styleId="POTCCostsHigh" w:customStyle="1">
    <w:name w:val="POTCCostsHigh"/>
    <w:basedOn w:val="IATableText"/>
    <w:rsid w:val="00B318B0"/>
    <w:pPr>
      <w:jc w:val="right"/>
    </w:pPr>
    <w:rPr>
      <w:b/>
    </w:rPr>
  </w:style>
  <w:style w:type="paragraph" w:styleId="POTCCostsBest" w:customStyle="1">
    <w:name w:val="POTCCostsBest"/>
    <w:basedOn w:val="IATableText"/>
    <w:rsid w:val="00B318B0"/>
    <w:pPr>
      <w:jc w:val="right"/>
    </w:pPr>
    <w:rPr>
      <w:b/>
    </w:rPr>
  </w:style>
  <w:style w:type="paragraph" w:styleId="IAPOQ1" w:customStyle="1">
    <w:name w:val="IAPOQ1"/>
    <w:basedOn w:val="IATableLabel"/>
    <w:rsid w:val="00B006A9"/>
  </w:style>
  <w:style w:type="paragraph" w:styleId="IAPOA1" w:customStyle="1">
    <w:name w:val="IAPOA1"/>
    <w:basedOn w:val="IATableLines"/>
    <w:rsid w:val="00B006A9"/>
  </w:style>
  <w:style w:type="paragraph" w:styleId="IAPOQ2" w:customStyle="1">
    <w:name w:val="IAPOQ2"/>
    <w:basedOn w:val="IATableLabel"/>
    <w:link w:val="IAPOQ2Char"/>
    <w:rsid w:val="00B006A9"/>
  </w:style>
  <w:style w:type="paragraph" w:styleId="IAPOA2" w:customStyle="1">
    <w:name w:val="IAPOA2"/>
    <w:basedOn w:val="IATableLines"/>
    <w:rsid w:val="00B006A9"/>
  </w:style>
  <w:style w:type="paragraph" w:styleId="POTTBenLow" w:customStyle="1">
    <w:name w:val="POTTBenLow"/>
    <w:basedOn w:val="POTTCostsLow"/>
    <w:rsid w:val="00B006A9"/>
  </w:style>
  <w:style w:type="paragraph" w:styleId="POTTBenHigh" w:customStyle="1">
    <w:name w:val="POTTBenHigh"/>
    <w:basedOn w:val="POTTCostsHigh"/>
    <w:rsid w:val="00B006A9"/>
  </w:style>
  <w:style w:type="paragraph" w:styleId="POTTBenBest" w:customStyle="1">
    <w:name w:val="POTTBenBest"/>
    <w:basedOn w:val="POTTCostsBest"/>
    <w:rsid w:val="00B006A9"/>
  </w:style>
  <w:style w:type="paragraph" w:styleId="POAABenLow" w:customStyle="1">
    <w:name w:val="POAABenLow"/>
    <w:basedOn w:val="POAACostsLow"/>
    <w:rsid w:val="00B006A9"/>
  </w:style>
  <w:style w:type="paragraph" w:styleId="POAABenHigh" w:customStyle="1">
    <w:name w:val="POAABenHigh"/>
    <w:basedOn w:val="POAABenLow"/>
    <w:rsid w:val="00B006A9"/>
  </w:style>
  <w:style w:type="paragraph" w:styleId="POAABenBest" w:customStyle="1">
    <w:name w:val="POAABenBest"/>
    <w:basedOn w:val="POAABenHigh"/>
    <w:rsid w:val="00B006A9"/>
  </w:style>
  <w:style w:type="paragraph" w:styleId="POTBBenLow" w:customStyle="1">
    <w:name w:val="POTBBenLow"/>
    <w:basedOn w:val="POTCCostsLow"/>
    <w:rsid w:val="00B006A9"/>
  </w:style>
  <w:style w:type="paragraph" w:styleId="POTBBenHigh" w:customStyle="1">
    <w:name w:val="POTBBenHigh"/>
    <w:basedOn w:val="POTBBenLow"/>
    <w:rsid w:val="00B006A9"/>
  </w:style>
  <w:style w:type="paragraph" w:styleId="POTBBenBest" w:customStyle="1">
    <w:name w:val="POTBBenBest"/>
    <w:basedOn w:val="POTBBenHigh"/>
    <w:rsid w:val="00B006A9"/>
  </w:style>
  <w:style w:type="paragraph" w:styleId="IPPOQ3" w:customStyle="1">
    <w:name w:val="IPPOQ3"/>
    <w:basedOn w:val="IAPOQ2"/>
    <w:link w:val="IPPOQ3Char"/>
    <w:rsid w:val="00F1653E"/>
  </w:style>
  <w:style w:type="paragraph" w:styleId="IAPOQ4" w:customStyle="1">
    <w:name w:val="IAPOQ4"/>
    <w:basedOn w:val="IPPOQ3"/>
    <w:link w:val="IAPOQ4Char"/>
    <w:rsid w:val="00F1653E"/>
  </w:style>
  <w:style w:type="paragraph" w:styleId="IAPOA3" w:customStyle="1">
    <w:name w:val="IAPOA3"/>
    <w:basedOn w:val="IAPOA2"/>
    <w:rsid w:val="00F1653E"/>
  </w:style>
  <w:style w:type="paragraph" w:styleId="IAPOA4" w:customStyle="1">
    <w:name w:val="IAPOA4"/>
    <w:basedOn w:val="IAPOA3"/>
    <w:rsid w:val="00F1653E"/>
  </w:style>
  <w:style w:type="paragraph" w:styleId="IAPOA5" w:customStyle="1">
    <w:name w:val="IAPOA5"/>
    <w:basedOn w:val="IAPOA4"/>
    <w:rsid w:val="00F1653E"/>
  </w:style>
  <w:style w:type="paragraph" w:styleId="IAPOQ5" w:customStyle="1">
    <w:name w:val="IAPOQ5"/>
    <w:basedOn w:val="IAPOQ4"/>
    <w:link w:val="IAPOQ5Char"/>
    <w:rsid w:val="00F1653E"/>
  </w:style>
  <w:style w:type="character" w:styleId="IAPOQ2Char" w:customStyle="1">
    <w:name w:val="IAPOQ2 Char"/>
    <w:basedOn w:val="IATableLabelCharChar"/>
    <w:link w:val="IAPOQ2"/>
    <w:locked/>
    <w:rsid w:val="00F1653E"/>
    <w:rPr>
      <w:rFonts w:ascii="Arial" w:hAnsi="Arial" w:eastAsia="SimSun" w:cs="Times New Roman"/>
      <w:b/>
      <w:color w:val="000000"/>
      <w:spacing w:val="-5"/>
      <w:lang w:val="en-GB" w:eastAsia="zh-CN" w:bidi="ar-SA"/>
    </w:rPr>
  </w:style>
  <w:style w:type="character" w:styleId="IPPOQ3Char" w:customStyle="1">
    <w:name w:val="IPPOQ3 Char"/>
    <w:basedOn w:val="IAPOQ2Char"/>
    <w:link w:val="IPPOQ3"/>
    <w:locked/>
    <w:rsid w:val="00F1653E"/>
    <w:rPr>
      <w:rFonts w:ascii="Arial" w:hAnsi="Arial" w:eastAsia="SimSun" w:cs="Times New Roman"/>
      <w:b/>
      <w:color w:val="000000"/>
      <w:spacing w:val="-5"/>
      <w:lang w:val="en-GB" w:eastAsia="zh-CN" w:bidi="ar-SA"/>
    </w:rPr>
  </w:style>
  <w:style w:type="character" w:styleId="IAPOQ4Char" w:customStyle="1">
    <w:name w:val="IAPOQ4 Char"/>
    <w:basedOn w:val="IPPOQ3Char"/>
    <w:link w:val="IAPOQ4"/>
    <w:locked/>
    <w:rsid w:val="00F1653E"/>
    <w:rPr>
      <w:rFonts w:ascii="Arial" w:hAnsi="Arial" w:eastAsia="SimSun" w:cs="Times New Roman"/>
      <w:b/>
      <w:color w:val="000000"/>
      <w:spacing w:val="-5"/>
      <w:lang w:val="en-GB" w:eastAsia="zh-CN" w:bidi="ar-SA"/>
    </w:rPr>
  </w:style>
  <w:style w:type="character" w:styleId="IAPOQ5Char" w:customStyle="1">
    <w:name w:val="IAPOQ5 Char"/>
    <w:basedOn w:val="IAPOQ4Char"/>
    <w:link w:val="IAPOQ5"/>
    <w:locked/>
    <w:rsid w:val="00F1653E"/>
    <w:rPr>
      <w:rFonts w:ascii="Arial" w:hAnsi="Arial" w:eastAsia="SimSun" w:cs="Times New Roman"/>
      <w:b/>
      <w:color w:val="000000"/>
      <w:spacing w:val="-5"/>
      <w:lang w:val="en-GB" w:eastAsia="zh-CN" w:bidi="ar-SA"/>
    </w:rPr>
  </w:style>
  <w:style w:type="paragraph" w:styleId="IAPODisRate" w:customStyle="1">
    <w:name w:val="IAPODisRate"/>
    <w:basedOn w:val="IATableLabel"/>
    <w:rsid w:val="00F1653E"/>
    <w:pPr>
      <w:ind w:left="0"/>
      <w:jc w:val="center"/>
    </w:pPr>
    <w:rPr>
      <w:b w:val="0"/>
    </w:rPr>
  </w:style>
  <w:style w:type="paragraph" w:styleId="IAPODICost" w:customStyle="1">
    <w:name w:val="IAPODICost"/>
    <w:basedOn w:val="IATableLabel"/>
    <w:link w:val="IAPODICostChar"/>
    <w:rsid w:val="000E3FD7"/>
    <w:rPr>
      <w:b w:val="0"/>
      <w:sz w:val="22"/>
      <w:szCs w:val="22"/>
    </w:rPr>
  </w:style>
  <w:style w:type="character" w:styleId="IAPODICostChar" w:customStyle="1">
    <w:name w:val="IAPODICost Char"/>
    <w:link w:val="IAPODICost"/>
    <w:locked/>
    <w:rsid w:val="000E3FD7"/>
    <w:rPr>
      <w:rFonts w:ascii="Arial" w:hAnsi="Arial" w:eastAsia="SimSun"/>
      <w:b/>
      <w:color w:val="000000"/>
      <w:spacing w:val="-5"/>
      <w:sz w:val="22"/>
      <w:lang w:val="en-GB" w:eastAsia="zh-CN"/>
    </w:rPr>
  </w:style>
  <w:style w:type="paragraph" w:styleId="IAPODIBen" w:customStyle="1">
    <w:name w:val="IAPODIBen"/>
    <w:basedOn w:val="IATableLabel"/>
    <w:link w:val="IAPODIBenChar"/>
    <w:rsid w:val="000E3FD7"/>
    <w:rPr>
      <w:b w:val="0"/>
      <w:sz w:val="22"/>
      <w:szCs w:val="22"/>
    </w:rPr>
  </w:style>
  <w:style w:type="paragraph" w:styleId="IAPODINet" w:customStyle="1">
    <w:name w:val="IAPODINet"/>
    <w:basedOn w:val="IATableLabel"/>
    <w:link w:val="IAPODINetChar"/>
    <w:rsid w:val="000E3FD7"/>
    <w:rPr>
      <w:b w:val="0"/>
      <w:sz w:val="22"/>
      <w:szCs w:val="22"/>
    </w:rPr>
  </w:style>
  <w:style w:type="paragraph" w:styleId="IAPODIOIOO" w:customStyle="1">
    <w:name w:val="IAPODIOIOO"/>
    <w:basedOn w:val="IATableLabel"/>
    <w:rsid w:val="000E3FD7"/>
    <w:rPr>
      <w:b w:val="0"/>
      <w:sz w:val="22"/>
      <w:szCs w:val="22"/>
    </w:rPr>
  </w:style>
  <w:style w:type="character" w:styleId="IAPODINetChar" w:customStyle="1">
    <w:name w:val="IAPODINet Char"/>
    <w:link w:val="IAPODINet"/>
    <w:locked/>
    <w:rsid w:val="000E3FD7"/>
    <w:rPr>
      <w:rFonts w:ascii="Arial" w:hAnsi="Arial" w:eastAsia="SimSun"/>
      <w:b/>
      <w:color w:val="000000"/>
      <w:spacing w:val="-5"/>
      <w:sz w:val="22"/>
      <w:lang w:val="en-GB" w:eastAsia="zh-CN"/>
    </w:rPr>
  </w:style>
  <w:style w:type="character" w:styleId="IAPODIBenChar" w:customStyle="1">
    <w:name w:val="IAPODIBen Char"/>
    <w:link w:val="IAPODIBen"/>
    <w:locked/>
    <w:rsid w:val="000E3FD7"/>
    <w:rPr>
      <w:rFonts w:ascii="Arial" w:hAnsi="Arial" w:eastAsia="SimSun"/>
      <w:b/>
      <w:color w:val="000000"/>
      <w:spacing w:val="-5"/>
      <w:sz w:val="22"/>
      <w:lang w:val="en-GB" w:eastAsia="zh-CN"/>
    </w:rPr>
  </w:style>
  <w:style w:type="paragraph" w:styleId="IAPODIMQ" w:customStyle="1">
    <w:name w:val="IAPODIMQ"/>
    <w:basedOn w:val="IATableText"/>
    <w:rsid w:val="000E3FD7"/>
    <w:rPr>
      <w:color w:val="000000"/>
      <w:sz w:val="20"/>
    </w:rPr>
  </w:style>
  <w:style w:type="paragraph" w:styleId="ebbullet0" w:customStyle="1">
    <w:name w:val="ebbullet"/>
    <w:basedOn w:val="Normal"/>
    <w:rsid w:val="001F5423"/>
    <w:pPr>
      <w:spacing w:before="100" w:beforeAutospacing="1" w:after="100" w:afterAutospacing="1"/>
    </w:pPr>
  </w:style>
  <w:style w:type="paragraph" w:styleId="IATitle" w:customStyle="1">
    <w:name w:val="IATitle"/>
    <w:basedOn w:val="Normal"/>
    <w:rsid w:val="005F32E7"/>
    <w:pPr>
      <w:ind w:left="113"/>
    </w:pPr>
    <w:rPr>
      <w:rFonts w:eastAsia="SimSun" w:cs="Arial"/>
      <w:sz w:val="20"/>
    </w:rPr>
  </w:style>
  <w:style w:type="paragraph" w:styleId="IANo" w:customStyle="1">
    <w:name w:val="IANo"/>
    <w:basedOn w:val="Normal"/>
    <w:link w:val="IANoChar"/>
    <w:rsid w:val="005F32E7"/>
    <w:pPr>
      <w:ind w:left="113"/>
    </w:pPr>
    <w:rPr>
      <w:sz w:val="20"/>
      <w:szCs w:val="22"/>
    </w:rPr>
  </w:style>
  <w:style w:type="character" w:styleId="IAHeadDeptChar" w:customStyle="1">
    <w:name w:val="IAHeadDept Char"/>
    <w:link w:val="IAHeadDept"/>
    <w:locked/>
    <w:rsid w:val="008031EC"/>
    <w:rPr>
      <w:rFonts w:ascii="Arial" w:hAnsi="Arial" w:eastAsia="SimSun"/>
      <w:b/>
      <w:color w:val="000000"/>
      <w:spacing w:val="-6"/>
      <w:sz w:val="22"/>
      <w:lang w:val="en-GB" w:eastAsia="zh-CN"/>
    </w:rPr>
  </w:style>
  <w:style w:type="character" w:styleId="IAHeadTitleChar" w:customStyle="1">
    <w:name w:val="IAHeadTitle Char"/>
    <w:link w:val="IAHeadTitle"/>
    <w:locked/>
    <w:rsid w:val="008031EC"/>
    <w:rPr>
      <w:rFonts w:ascii="Arial" w:hAnsi="Arial" w:eastAsia="SimSun"/>
      <w:b/>
      <w:color w:val="000000"/>
      <w:spacing w:val="-6"/>
      <w:sz w:val="28"/>
      <w:lang w:val="en-GB" w:eastAsia="zh-CN"/>
    </w:rPr>
  </w:style>
  <w:style w:type="character" w:styleId="IANoChar" w:customStyle="1">
    <w:name w:val="IANo Char"/>
    <w:link w:val="IANo"/>
    <w:locked/>
    <w:rsid w:val="005F32E7"/>
    <w:rPr>
      <w:rFonts w:ascii="Arial" w:hAnsi="Arial" w:eastAsia="SimSun"/>
      <w:b/>
      <w:color w:val="000000"/>
      <w:spacing w:val="-6"/>
      <w:sz w:val="22"/>
      <w:lang w:val="en-GB" w:eastAsia="en-US"/>
    </w:rPr>
  </w:style>
  <w:style w:type="paragraph" w:styleId="IALeadDept" w:customStyle="1">
    <w:name w:val="IALeadDept"/>
    <w:basedOn w:val="Normal"/>
    <w:rsid w:val="005F32E7"/>
    <w:pPr>
      <w:ind w:left="113"/>
    </w:pPr>
    <w:rPr>
      <w:rFonts w:cs="Arial"/>
      <w:noProof/>
      <w:sz w:val="20"/>
    </w:rPr>
  </w:style>
  <w:style w:type="paragraph" w:styleId="IAOtherDepts" w:customStyle="1">
    <w:name w:val="IAOtherDepts"/>
    <w:basedOn w:val="IATableLabel"/>
    <w:rsid w:val="008031EC"/>
    <w:pPr>
      <w:spacing w:after="0"/>
    </w:pPr>
    <w:rPr>
      <w:b w:val="0"/>
    </w:rPr>
  </w:style>
  <w:style w:type="paragraph" w:styleId="IADate" w:customStyle="1">
    <w:name w:val="IADate"/>
    <w:basedOn w:val="IATableLabel"/>
    <w:link w:val="IADateChar"/>
    <w:rsid w:val="008031EC"/>
    <w:rPr>
      <w:b w:val="0"/>
      <w:sz w:val="22"/>
      <w:szCs w:val="22"/>
    </w:rPr>
  </w:style>
  <w:style w:type="paragraph" w:styleId="IAStage" w:customStyle="1">
    <w:name w:val="IAStage"/>
    <w:basedOn w:val="IATableLabel"/>
    <w:link w:val="IAStageChar"/>
    <w:rsid w:val="008031EC"/>
    <w:rPr>
      <w:b w:val="0"/>
      <w:sz w:val="22"/>
    </w:rPr>
  </w:style>
  <w:style w:type="paragraph" w:styleId="IASOI" w:customStyle="1">
    <w:name w:val="IASOI"/>
    <w:basedOn w:val="IATableLabel"/>
    <w:link w:val="IASOIChar"/>
    <w:rsid w:val="008031EC"/>
    <w:rPr>
      <w:b w:val="0"/>
      <w:sz w:val="22"/>
    </w:rPr>
  </w:style>
  <w:style w:type="paragraph" w:styleId="IATOM" w:customStyle="1">
    <w:name w:val="IATOM"/>
    <w:basedOn w:val="IATableLabel"/>
    <w:link w:val="IATOMChar"/>
    <w:rsid w:val="008031EC"/>
    <w:rPr>
      <w:b w:val="0"/>
      <w:sz w:val="22"/>
    </w:rPr>
  </w:style>
  <w:style w:type="paragraph" w:styleId="IACOE" w:customStyle="1">
    <w:name w:val="IACOE"/>
    <w:basedOn w:val="Normal"/>
    <w:link w:val="IACOEChar"/>
    <w:autoRedefine/>
    <w:rsid w:val="00B225B0"/>
    <w:rPr>
      <w:rFonts w:eastAsia="SimSun"/>
      <w:spacing w:val="-5"/>
      <w:sz w:val="20"/>
      <w:lang w:eastAsia="zh-CN"/>
    </w:rPr>
  </w:style>
  <w:style w:type="paragraph" w:styleId="IARPC" w:customStyle="1">
    <w:name w:val="IARPC"/>
    <w:basedOn w:val="Title"/>
    <w:link w:val="IARPCChar"/>
    <w:rsid w:val="00174C10"/>
    <w:rPr>
      <w:rFonts w:eastAsia="SimSun"/>
      <w:color w:val="000000"/>
      <w:sz w:val="24"/>
      <w:szCs w:val="24"/>
    </w:rPr>
  </w:style>
  <w:style w:type="paragraph" w:styleId="IAIIOTNPV" w:customStyle="1">
    <w:name w:val="IAIIOTNPV"/>
    <w:basedOn w:val="IATableLabel"/>
    <w:rsid w:val="008031EC"/>
    <w:pPr>
      <w:spacing w:before="0" w:after="0"/>
      <w:jc w:val="both"/>
    </w:pPr>
    <w:rPr>
      <w:b w:val="0"/>
      <w:sz w:val="22"/>
      <w:szCs w:val="22"/>
    </w:rPr>
  </w:style>
  <w:style w:type="paragraph" w:styleId="IAIOBNPV" w:customStyle="1">
    <w:name w:val="IAIOBNPV"/>
    <w:basedOn w:val="IATableLabel"/>
    <w:rsid w:val="008031EC"/>
    <w:pPr>
      <w:spacing w:before="0" w:after="0"/>
    </w:pPr>
    <w:rPr>
      <w:b w:val="0"/>
      <w:sz w:val="22"/>
      <w:szCs w:val="22"/>
    </w:rPr>
  </w:style>
  <w:style w:type="paragraph" w:styleId="IAIONCTBPY" w:customStyle="1">
    <w:name w:val="IAIONCTBPY"/>
    <w:basedOn w:val="IATableLabel"/>
    <w:rsid w:val="008031EC"/>
    <w:pPr>
      <w:spacing w:before="0" w:after="0"/>
    </w:pPr>
    <w:rPr>
      <w:b w:val="0"/>
      <w:sz w:val="22"/>
      <w:szCs w:val="22"/>
    </w:rPr>
  </w:style>
  <w:style w:type="paragraph" w:styleId="IAIOInScopeInOut" w:customStyle="1">
    <w:name w:val="IAIOInScopeInOut"/>
    <w:basedOn w:val="IATableLabel"/>
    <w:rsid w:val="008369A3"/>
    <w:pPr>
      <w:spacing w:before="0" w:after="0"/>
    </w:pPr>
    <w:rPr>
      <w:b w:val="0"/>
      <w:sz w:val="22"/>
      <w:szCs w:val="22"/>
    </w:rPr>
  </w:style>
  <w:style w:type="paragraph" w:styleId="IAIOPrefMQ" w:customStyle="1">
    <w:name w:val="IAIOPrefMQ"/>
    <w:basedOn w:val="IATableText"/>
    <w:rsid w:val="008369A3"/>
    <w:pPr>
      <w:spacing w:before="0" w:after="0"/>
    </w:pPr>
    <w:rPr>
      <w:color w:val="000000"/>
      <w:szCs w:val="22"/>
    </w:rPr>
  </w:style>
  <w:style w:type="paragraph" w:styleId="IAIOQ1" w:customStyle="1">
    <w:name w:val="IAIOQ1"/>
    <w:basedOn w:val="IATableLabel"/>
    <w:rsid w:val="008369A3"/>
  </w:style>
  <w:style w:type="paragraph" w:styleId="IAIOA1" w:customStyle="1">
    <w:name w:val="IAIOA1"/>
    <w:basedOn w:val="IATableLines"/>
    <w:rsid w:val="008369A3"/>
  </w:style>
  <w:style w:type="paragraph" w:styleId="IAIOQ2" w:customStyle="1">
    <w:name w:val="IAIOQ2"/>
    <w:basedOn w:val="IATableLabel"/>
    <w:rsid w:val="008369A3"/>
  </w:style>
  <w:style w:type="paragraph" w:styleId="IAIOA2" w:customStyle="1">
    <w:name w:val="IAIOA2"/>
    <w:basedOn w:val="IATableLines"/>
    <w:rsid w:val="008369A3"/>
  </w:style>
  <w:style w:type="paragraph" w:styleId="IAIOQ3" w:customStyle="1">
    <w:name w:val="IAIOQ3"/>
    <w:basedOn w:val="IATableLabel"/>
    <w:rsid w:val="008369A3"/>
  </w:style>
  <w:style w:type="paragraph" w:styleId="IAIOA3" w:customStyle="1">
    <w:name w:val="IAIOA3"/>
    <w:basedOn w:val="IATableLines"/>
    <w:rsid w:val="008369A3"/>
  </w:style>
  <w:style w:type="paragraph" w:styleId="IAIOPolicyReview" w:customStyle="1">
    <w:name w:val="IAIOPolicyReview"/>
    <w:basedOn w:val="IATableLabel"/>
    <w:link w:val="IAIOPolicyReviewChar"/>
    <w:rsid w:val="00F91F5A"/>
    <w:rPr>
      <w:b w:val="0"/>
      <w:sz w:val="22"/>
      <w:szCs w:val="22"/>
    </w:rPr>
  </w:style>
  <w:style w:type="character" w:styleId="IAIOPolicyReviewChar" w:customStyle="1">
    <w:name w:val="IAIOPolicyReview Char"/>
    <w:link w:val="IAIOPolicyReview"/>
    <w:locked/>
    <w:rsid w:val="00F91F5A"/>
    <w:rPr>
      <w:rFonts w:ascii="Arial" w:hAnsi="Arial" w:eastAsia="SimSun"/>
      <w:b/>
      <w:color w:val="000000"/>
      <w:spacing w:val="-5"/>
      <w:sz w:val="22"/>
      <w:lang w:val="en-GB" w:eastAsia="zh-CN"/>
    </w:rPr>
  </w:style>
  <w:style w:type="paragraph" w:styleId="IAIOReviewMonth" w:customStyle="1">
    <w:name w:val="IAIOReviewMonth"/>
    <w:basedOn w:val="IATableLabel"/>
    <w:link w:val="IAIOReviewMonthChar"/>
    <w:rsid w:val="00F91F5A"/>
    <w:rPr>
      <w:b w:val="0"/>
      <w:sz w:val="22"/>
      <w:szCs w:val="22"/>
    </w:rPr>
  </w:style>
  <w:style w:type="paragraph" w:styleId="IAIOReviewYear" w:customStyle="1">
    <w:name w:val="IAIOReviewYear"/>
    <w:basedOn w:val="IATableLabel"/>
    <w:link w:val="IAIOReviewYearChar"/>
    <w:rsid w:val="00F91F5A"/>
    <w:rPr>
      <w:b w:val="0"/>
      <w:sz w:val="22"/>
      <w:szCs w:val="22"/>
    </w:rPr>
  </w:style>
  <w:style w:type="paragraph" w:styleId="IAIOCheckEU" w:customStyle="1">
    <w:name w:val="IAIOCheckEU"/>
    <w:basedOn w:val="IATableText"/>
    <w:rsid w:val="00F91F5A"/>
    <w:pPr>
      <w:spacing w:before="0" w:after="0"/>
    </w:pPr>
    <w:rPr>
      <w:sz w:val="20"/>
    </w:rPr>
  </w:style>
  <w:style w:type="character" w:styleId="IAIOReviewYearChar" w:customStyle="1">
    <w:name w:val="IAIOReviewYear Char"/>
    <w:link w:val="IAIOReviewYear"/>
    <w:locked/>
    <w:rsid w:val="00F91F5A"/>
    <w:rPr>
      <w:rFonts w:ascii="Arial" w:hAnsi="Arial" w:eastAsia="SimSun"/>
      <w:b/>
      <w:color w:val="000000"/>
      <w:spacing w:val="-5"/>
      <w:sz w:val="22"/>
      <w:lang w:val="en-GB" w:eastAsia="zh-CN"/>
    </w:rPr>
  </w:style>
  <w:style w:type="character" w:styleId="IAIOReviewMonthChar" w:customStyle="1">
    <w:name w:val="IAIOReviewMonth Char"/>
    <w:link w:val="IAIOReviewMonth"/>
    <w:locked/>
    <w:rsid w:val="00F91F5A"/>
    <w:rPr>
      <w:rFonts w:ascii="Arial" w:hAnsi="Arial" w:eastAsia="SimSun"/>
      <w:b/>
      <w:color w:val="000000"/>
      <w:spacing w:val="-5"/>
      <w:sz w:val="22"/>
      <w:lang w:val="en-GB" w:eastAsia="zh-CN"/>
    </w:rPr>
  </w:style>
  <w:style w:type="paragraph" w:styleId="IAIOCheckMicro" w:customStyle="1">
    <w:name w:val="IAIOCheckMicro"/>
    <w:basedOn w:val="IATableLines"/>
    <w:link w:val="IAIOCheckMicroChar"/>
    <w:rsid w:val="00F91F5A"/>
    <w:rPr>
      <w:sz w:val="20"/>
    </w:rPr>
  </w:style>
  <w:style w:type="paragraph" w:styleId="IAIOCheck20" w:customStyle="1">
    <w:name w:val="IAIOCheck20"/>
    <w:basedOn w:val="IATableLines"/>
    <w:rsid w:val="00F91F5A"/>
    <w:rPr>
      <w:sz w:val="20"/>
    </w:rPr>
  </w:style>
  <w:style w:type="paragraph" w:styleId="IAIOCheckSmall" w:customStyle="1">
    <w:name w:val="IAIOCheckSmall"/>
    <w:basedOn w:val="IATableLines"/>
    <w:link w:val="IAIOCheckSmallChar"/>
    <w:rsid w:val="00F91F5A"/>
    <w:rPr>
      <w:sz w:val="20"/>
    </w:rPr>
  </w:style>
  <w:style w:type="paragraph" w:styleId="IAIOCheckMedium" w:customStyle="1">
    <w:name w:val="IAIOCheckMedium"/>
    <w:basedOn w:val="IATableLines"/>
    <w:link w:val="IAIOCheckMediumChar"/>
    <w:rsid w:val="00F91F5A"/>
    <w:rPr>
      <w:sz w:val="20"/>
    </w:rPr>
  </w:style>
  <w:style w:type="paragraph" w:styleId="IAIOCheckLarge" w:customStyle="1">
    <w:name w:val="IAIOCheckLarge"/>
    <w:basedOn w:val="IATableLines"/>
    <w:link w:val="IAIOCheckLargeChar"/>
    <w:rsid w:val="00F91F5A"/>
    <w:rPr>
      <w:sz w:val="20"/>
    </w:rPr>
  </w:style>
  <w:style w:type="paragraph" w:styleId="IAIOCO2Traded" w:customStyle="1">
    <w:name w:val="IAIOCO2Traded"/>
    <w:basedOn w:val="IATableLabel"/>
    <w:link w:val="IAIOCO2TradedChar"/>
    <w:rsid w:val="00F91F5A"/>
    <w:rPr>
      <w:b w:val="0"/>
      <w:sz w:val="22"/>
    </w:rPr>
  </w:style>
  <w:style w:type="paragraph" w:styleId="IAIOCO2NonTraded" w:customStyle="1">
    <w:name w:val="IAIOCO2NonTraded"/>
    <w:basedOn w:val="IAIOCO2Traded"/>
    <w:rsid w:val="008155E3"/>
    <w:rPr>
      <w:sz w:val="20"/>
    </w:rPr>
  </w:style>
  <w:style w:type="paragraph" w:styleId="IAIOtextSign" w:customStyle="1">
    <w:name w:val="IAIOtextSign"/>
    <w:basedOn w:val="Normal"/>
    <w:rsid w:val="00F91F5A"/>
    <w:pPr>
      <w:jc w:val="center"/>
    </w:pPr>
  </w:style>
  <w:style w:type="paragraph" w:styleId="IAIOSigDate" w:customStyle="1">
    <w:name w:val="IAIOSigDate"/>
    <w:basedOn w:val="Normal"/>
    <w:rsid w:val="00F91F5A"/>
    <w:pPr>
      <w:jc w:val="center"/>
    </w:pPr>
    <w:rPr>
      <w:sz w:val="22"/>
      <w:szCs w:val="22"/>
    </w:rPr>
  </w:style>
  <w:style w:type="paragraph" w:styleId="IAPODescription" w:customStyle="1">
    <w:name w:val="IAPODescription"/>
    <w:basedOn w:val="IAHeadLabel"/>
    <w:link w:val="IAPODescriptionCharChar"/>
    <w:rsid w:val="00D00846"/>
    <w:pPr>
      <w:spacing w:before="50"/>
    </w:pPr>
    <w:rPr>
      <w:b w:val="0"/>
    </w:rPr>
  </w:style>
  <w:style w:type="character" w:styleId="IAPODescriptionCharChar" w:customStyle="1">
    <w:name w:val="IAPODescription Char Char"/>
    <w:basedOn w:val="IAHeadLabelChar"/>
    <w:link w:val="IAPODescription"/>
    <w:locked/>
    <w:rsid w:val="00D00846"/>
    <w:rPr>
      <w:rFonts w:ascii="Arial" w:hAnsi="Arial" w:eastAsia="SimSun" w:cs="Times New Roman"/>
      <w:b/>
      <w:color w:val="000000"/>
      <w:spacing w:val="-5"/>
      <w:lang w:val="en-GB" w:eastAsia="zh-CN" w:bidi="ar-SA"/>
    </w:rPr>
  </w:style>
  <w:style w:type="character" w:styleId="IADateChar" w:customStyle="1">
    <w:name w:val="IADate Char"/>
    <w:link w:val="IADate"/>
    <w:locked/>
    <w:rsid w:val="00174C10"/>
    <w:rPr>
      <w:rFonts w:ascii="Arial" w:hAnsi="Arial" w:eastAsia="SimSun"/>
      <w:b/>
      <w:color w:val="000000"/>
      <w:spacing w:val="-5"/>
      <w:sz w:val="22"/>
      <w:lang w:val="en-GB" w:eastAsia="zh-CN"/>
    </w:rPr>
  </w:style>
  <w:style w:type="character" w:styleId="IATableLinesChar" w:customStyle="1">
    <w:name w:val="IATableLines Char"/>
    <w:basedOn w:val="IATableTextChar"/>
    <w:link w:val="IATableLines"/>
    <w:locked/>
    <w:rsid w:val="00174C10"/>
    <w:rPr>
      <w:rFonts w:ascii="Arial" w:hAnsi="Arial" w:eastAsia="SimSun" w:cs="Times New Roman"/>
      <w:b/>
      <w:color w:val="000000"/>
      <w:spacing w:val="-5"/>
      <w:sz w:val="22"/>
      <w:lang w:val="en-GB" w:eastAsia="zh-CN" w:bidi="ar-SA"/>
    </w:rPr>
  </w:style>
  <w:style w:type="character" w:styleId="IACOEChar" w:customStyle="1">
    <w:name w:val="IACOE Char"/>
    <w:link w:val="IACOE"/>
    <w:locked/>
    <w:rsid w:val="00B225B0"/>
    <w:rPr>
      <w:rFonts w:ascii="Arial" w:hAnsi="Arial" w:eastAsia="SimSun"/>
      <w:b/>
      <w:color w:val="000000"/>
      <w:spacing w:val="-5"/>
      <w:sz w:val="24"/>
      <w:lang w:val="en-GB" w:eastAsia="zh-CN"/>
    </w:rPr>
  </w:style>
  <w:style w:type="character" w:styleId="IAStageChar" w:customStyle="1">
    <w:name w:val="IAStage Char"/>
    <w:link w:val="IAStage"/>
    <w:locked/>
    <w:rsid w:val="00174C10"/>
    <w:rPr>
      <w:rFonts w:ascii="Arial" w:hAnsi="Arial" w:eastAsia="SimSun"/>
      <w:b/>
      <w:color w:val="000000"/>
      <w:spacing w:val="-5"/>
      <w:sz w:val="22"/>
      <w:lang w:val="en-GB" w:eastAsia="zh-CN"/>
    </w:rPr>
  </w:style>
  <w:style w:type="character" w:styleId="IASOIChar" w:customStyle="1">
    <w:name w:val="IASOI Char"/>
    <w:link w:val="IASOI"/>
    <w:locked/>
    <w:rsid w:val="00174C10"/>
    <w:rPr>
      <w:rFonts w:ascii="Arial" w:hAnsi="Arial" w:eastAsia="SimSun"/>
      <w:b/>
      <w:color w:val="000000"/>
      <w:spacing w:val="-5"/>
      <w:sz w:val="22"/>
      <w:lang w:val="en-GB" w:eastAsia="zh-CN"/>
    </w:rPr>
  </w:style>
  <w:style w:type="character" w:styleId="IATOMChar" w:customStyle="1">
    <w:name w:val="IATOM Char"/>
    <w:link w:val="IATOM"/>
    <w:locked/>
    <w:rsid w:val="00174C10"/>
    <w:rPr>
      <w:rFonts w:ascii="Arial" w:hAnsi="Arial" w:eastAsia="SimSun"/>
      <w:b/>
      <w:color w:val="000000"/>
      <w:spacing w:val="-5"/>
      <w:sz w:val="22"/>
      <w:lang w:val="en-GB" w:eastAsia="zh-CN"/>
    </w:rPr>
  </w:style>
  <w:style w:type="character" w:styleId="IARPCChar" w:customStyle="1">
    <w:name w:val="IARPC Char"/>
    <w:link w:val="IARPC"/>
    <w:locked/>
    <w:rsid w:val="00174C10"/>
    <w:rPr>
      <w:rFonts w:ascii="Arial" w:hAnsi="Arial" w:eastAsia="SimSun"/>
      <w:color w:val="000000"/>
      <w:kern w:val="28"/>
      <w:sz w:val="24"/>
      <w:lang w:val="en-GB" w:eastAsia="en-US"/>
    </w:rPr>
  </w:style>
  <w:style w:type="character" w:styleId="IAIOCheckMicroChar" w:customStyle="1">
    <w:name w:val="IAIOCheckMicro Char"/>
    <w:basedOn w:val="IATableLinesChar"/>
    <w:link w:val="IAIOCheckMicro"/>
    <w:locked/>
    <w:rsid w:val="00D478C9"/>
    <w:rPr>
      <w:rFonts w:ascii="Arial" w:hAnsi="Arial" w:eastAsia="SimSun" w:cs="Times New Roman"/>
      <w:b/>
      <w:color w:val="000000"/>
      <w:spacing w:val="-5"/>
      <w:sz w:val="22"/>
      <w:lang w:val="en-GB" w:eastAsia="zh-CN" w:bidi="ar-SA"/>
    </w:rPr>
  </w:style>
  <w:style w:type="character" w:styleId="IAIOCheckSmallChar" w:customStyle="1">
    <w:name w:val="IAIOCheckSmall Char"/>
    <w:basedOn w:val="IATableLinesChar"/>
    <w:link w:val="IAIOCheckSmall"/>
    <w:locked/>
    <w:rsid w:val="00D478C9"/>
    <w:rPr>
      <w:rFonts w:ascii="Arial" w:hAnsi="Arial" w:eastAsia="SimSun" w:cs="Times New Roman"/>
      <w:b/>
      <w:color w:val="000000"/>
      <w:spacing w:val="-5"/>
      <w:sz w:val="22"/>
      <w:lang w:val="en-GB" w:eastAsia="zh-CN" w:bidi="ar-SA"/>
    </w:rPr>
  </w:style>
  <w:style w:type="character" w:styleId="IAIOCheckMediumChar" w:customStyle="1">
    <w:name w:val="IAIOCheckMedium Char"/>
    <w:basedOn w:val="IATableLinesChar"/>
    <w:link w:val="IAIOCheckMedium"/>
    <w:locked/>
    <w:rsid w:val="00D478C9"/>
    <w:rPr>
      <w:rFonts w:ascii="Arial" w:hAnsi="Arial" w:eastAsia="SimSun" w:cs="Times New Roman"/>
      <w:b/>
      <w:color w:val="000000"/>
      <w:spacing w:val="-5"/>
      <w:sz w:val="22"/>
      <w:lang w:val="en-GB" w:eastAsia="zh-CN" w:bidi="ar-SA"/>
    </w:rPr>
  </w:style>
  <w:style w:type="character" w:styleId="IAIOCheckLargeChar" w:customStyle="1">
    <w:name w:val="IAIOCheckLarge Char"/>
    <w:basedOn w:val="IATableLinesChar"/>
    <w:link w:val="IAIOCheckLarge"/>
    <w:locked/>
    <w:rsid w:val="00D478C9"/>
    <w:rPr>
      <w:rFonts w:ascii="Arial" w:hAnsi="Arial" w:eastAsia="SimSun" w:cs="Times New Roman"/>
      <w:b/>
      <w:color w:val="000000"/>
      <w:spacing w:val="-5"/>
      <w:sz w:val="22"/>
      <w:lang w:val="en-GB" w:eastAsia="zh-CN" w:bidi="ar-SA"/>
    </w:rPr>
  </w:style>
  <w:style w:type="character" w:styleId="IAIOCO2TradedChar" w:customStyle="1">
    <w:name w:val="IAIOCO2Traded Char"/>
    <w:link w:val="IAIOCO2Traded"/>
    <w:locked/>
    <w:rsid w:val="00D478C9"/>
    <w:rPr>
      <w:rFonts w:ascii="Arial" w:hAnsi="Arial" w:eastAsia="SimSun"/>
      <w:b/>
      <w:color w:val="000000"/>
      <w:spacing w:val="-5"/>
      <w:sz w:val="22"/>
      <w:lang w:val="en-GB" w:eastAsia="zh-CN"/>
    </w:rPr>
  </w:style>
  <w:style w:type="character" w:styleId="IALabel" w:customStyle="1">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styleId="CommentTextChar" w:customStyle="1">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styleId="Style1-BodyText" w:customStyle="1">
    <w:name w:val="Style1- Body Text"/>
    <w:basedOn w:val="Normal"/>
    <w:link w:val="Style1-BodyTextChar"/>
    <w:qFormat/>
    <w:rsid w:val="002125B7"/>
    <w:pPr>
      <w:spacing w:after="120"/>
      <w:jc w:val="both"/>
    </w:pPr>
    <w:rPr>
      <w:rFonts w:cs="Arial"/>
      <w:sz w:val="22"/>
    </w:rPr>
  </w:style>
  <w:style w:type="character" w:styleId="Style1-BodyTextChar" w:customStyle="1">
    <w:name w:val="Style1- Body Text Char"/>
    <w:basedOn w:val="DefaultParagraphFont"/>
    <w:link w:val="Style1-BodyText"/>
    <w:rsid w:val="002125B7"/>
    <w:rPr>
      <w:rFonts w:ascii="Arial" w:hAnsi="Arial" w:cs="Arial"/>
      <w:sz w:val="22"/>
      <w:szCs w:val="24"/>
      <w:lang w:eastAsia="en-US"/>
    </w:rPr>
  </w:style>
  <w:style w:type="character" w:styleId="ListParagraphChar" w:customStyle="1">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styleId="CommentSubjectChar" w:customStyle="1">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5A55A5"/>
    <w:pPr>
      <w:spacing w:before="100" w:beforeAutospacing="1" w:after="100" w:afterAutospacing="1"/>
    </w:pPr>
    <w:rPr>
      <w:szCs w:val="24"/>
      <w:lang w:val="en-US" w:eastAsia="en-US"/>
    </w:rPr>
  </w:style>
  <w:style w:type="character" w:styleId="t" w:customStyle="1">
    <w:name w:val="t"/>
    <w:basedOn w:val="DefaultParagraphFont"/>
    <w:rsid w:val="008A77B8"/>
  </w:style>
  <w:style w:type="table" w:styleId="TableGrid111" w:customStyle="1">
    <w:name w:val="Table Grid111"/>
    <w:basedOn w:val="TableNormal"/>
    <w:next w:val="TableGrid"/>
    <w:uiPriority w:val="59"/>
    <w:rsid w:val="00AB105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f0" w:customStyle="1">
    <w:name w:val="pf0"/>
    <w:basedOn w:val="Normal"/>
    <w:rsid w:val="006624FC"/>
    <w:pPr>
      <w:spacing w:before="100" w:beforeAutospacing="1" w:after="100" w:afterAutospacing="1"/>
    </w:pPr>
    <w:rPr>
      <w:szCs w:val="24"/>
      <w:lang w:val="en-US" w:eastAsia="en-US"/>
    </w:rPr>
  </w:style>
  <w:style w:type="character" w:styleId="cf01" w:customStyle="1">
    <w:name w:val="cf01"/>
    <w:basedOn w:val="DefaultParagraphFont"/>
    <w:rsid w:val="006624FC"/>
    <w:rPr>
      <w:rFonts w:hint="default" w:ascii="Segoe UI" w:hAnsi="Segoe UI" w:cs="Segoe UI"/>
      <w:b/>
      <w:bCs/>
      <w:sz w:val="18"/>
      <w:szCs w:val="18"/>
    </w:rPr>
  </w:style>
  <w:style w:type="character" w:styleId="cf11" w:customStyle="1">
    <w:name w:val="cf11"/>
    <w:basedOn w:val="DefaultParagraphFont"/>
    <w:rsid w:val="006624FC"/>
    <w:rPr>
      <w:rFonts w:hint="default" w:ascii="Segoe UI" w:hAnsi="Segoe UI" w:cs="Segoe UI"/>
      <w:b/>
      <w:bCs/>
      <w:sz w:val="18"/>
      <w:szCs w:val="18"/>
      <w:u w:val="single"/>
    </w:rPr>
  </w:style>
  <w:style w:type="character" w:styleId="cf21" w:customStyle="1">
    <w:name w:val="cf21"/>
    <w:basedOn w:val="DefaultParagraphFont"/>
    <w:rsid w:val="006624FC"/>
    <w:rPr>
      <w:rFonts w:hint="default" w:ascii="Segoe UI" w:hAnsi="Segoe UI" w:cs="Segoe UI"/>
      <w:sz w:val="18"/>
      <w:szCs w:val="18"/>
      <w:u w:val="single"/>
    </w:rPr>
  </w:style>
  <w:style w:type="character" w:styleId="cf31" w:customStyle="1">
    <w:name w:val="cf31"/>
    <w:basedOn w:val="DefaultParagraphFont"/>
    <w:rsid w:val="006624FC"/>
    <w:rPr>
      <w:rFonts w:hint="default" w:ascii="Segoe UI" w:hAnsi="Segoe UI" w:cs="Segoe UI"/>
      <w:sz w:val="18"/>
      <w:szCs w:val="18"/>
    </w:rPr>
  </w:style>
  <w:style w:type="character" w:styleId="cf51" w:customStyle="1">
    <w:name w:val="cf51"/>
    <w:basedOn w:val="DefaultParagraphFont"/>
    <w:rsid w:val="006624FC"/>
    <w:rPr>
      <w:rFonts w:hint="default" w:ascii="Segoe UI" w:hAnsi="Segoe UI" w:cs="Segoe UI"/>
      <w:sz w:val="18"/>
      <w:szCs w:val="18"/>
    </w:rPr>
  </w:style>
  <w:style w:type="character" w:styleId="cf61" w:customStyle="1">
    <w:name w:val="cf61"/>
    <w:basedOn w:val="DefaultParagraphFont"/>
    <w:rsid w:val="006624FC"/>
    <w:rPr>
      <w:rFonts w:hint="default" w:ascii="Segoe UI" w:hAnsi="Segoe UI" w:cs="Segoe UI"/>
      <w:b/>
      <w:bCs/>
      <w:sz w:val="18"/>
      <w:szCs w:val="18"/>
      <w:u w:val="single"/>
    </w:rPr>
  </w:style>
  <w:style w:type="character" w:styleId="cf71" w:customStyle="1">
    <w:name w:val="cf71"/>
    <w:basedOn w:val="DefaultParagraphFont"/>
    <w:rsid w:val="006624FC"/>
    <w:rPr>
      <w:rFonts w:hint="default" w:ascii="Segoe UI" w:hAnsi="Segoe UI" w:cs="Segoe UI"/>
      <w:sz w:val="18"/>
      <w:szCs w:val="18"/>
    </w:rPr>
  </w:style>
  <w:style w:type="character" w:styleId="cf81" w:customStyle="1">
    <w:name w:val="cf81"/>
    <w:basedOn w:val="DefaultParagraphFont"/>
    <w:rsid w:val="006624FC"/>
    <w:rPr>
      <w:rFonts w:hint="default" w:ascii="Segoe UI" w:hAnsi="Segoe UI" w:cs="Segoe UI"/>
      <w:b/>
      <w:bCs/>
      <w:sz w:val="18"/>
      <w:szCs w:val="18"/>
      <w:u w:val="single"/>
    </w:rPr>
  </w:style>
  <w:style w:type="character" w:styleId="cf91" w:customStyle="1">
    <w:name w:val="cf91"/>
    <w:basedOn w:val="DefaultParagraphFont"/>
    <w:rsid w:val="006624FC"/>
    <w:rPr>
      <w:rFonts w:hint="default" w:ascii="Segoe UI" w:hAnsi="Segoe UI" w:cs="Segoe UI"/>
      <w:sz w:val="18"/>
      <w:szCs w:val="18"/>
    </w:rPr>
  </w:style>
  <w:style w:type="character" w:styleId="cf101" w:customStyle="1">
    <w:name w:val="cf101"/>
    <w:basedOn w:val="DefaultParagraphFont"/>
    <w:rsid w:val="006624FC"/>
    <w:rPr>
      <w:rFonts w:hint="default" w:ascii="Segoe UI" w:hAnsi="Segoe UI" w:cs="Segoe UI"/>
      <w:b/>
      <w:bCs/>
      <w:sz w:val="18"/>
      <w:szCs w:val="18"/>
    </w:rPr>
  </w:style>
  <w:style w:type="paragraph" w:styleId="Revision">
    <w:name w:val="Revision"/>
    <w:hidden/>
    <w:uiPriority w:val="99"/>
    <w:semiHidden/>
    <w:rsid w:val="00977A8C"/>
  </w:style>
  <w:style w:type="character" w:styleId="UnresolvedMention1" w:customStyle="1">
    <w:name w:val="Unresolved Mention1"/>
    <w:basedOn w:val="DefaultParagraphFont"/>
    <w:uiPriority w:val="99"/>
    <w:semiHidden/>
    <w:unhideWhenUsed/>
    <w:rsid w:val="00BA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212">
      <w:bodyDiv w:val="1"/>
      <w:marLeft w:val="0"/>
      <w:marRight w:val="0"/>
      <w:marTop w:val="0"/>
      <w:marBottom w:val="0"/>
      <w:divBdr>
        <w:top w:val="none" w:sz="0" w:space="0" w:color="auto"/>
        <w:left w:val="none" w:sz="0" w:space="0" w:color="auto"/>
        <w:bottom w:val="none" w:sz="0" w:space="0" w:color="auto"/>
        <w:right w:val="none" w:sz="0" w:space="0" w:color="auto"/>
      </w:divBdr>
    </w:div>
    <w:div w:id="43601109">
      <w:bodyDiv w:val="1"/>
      <w:marLeft w:val="0"/>
      <w:marRight w:val="0"/>
      <w:marTop w:val="0"/>
      <w:marBottom w:val="0"/>
      <w:divBdr>
        <w:top w:val="none" w:sz="0" w:space="0" w:color="auto"/>
        <w:left w:val="none" w:sz="0" w:space="0" w:color="auto"/>
        <w:bottom w:val="none" w:sz="0" w:space="0" w:color="auto"/>
        <w:right w:val="none" w:sz="0" w:space="0" w:color="auto"/>
      </w:divBdr>
    </w:div>
    <w:div w:id="105581077">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0322014">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57955313">
      <w:bodyDiv w:val="1"/>
      <w:marLeft w:val="0"/>
      <w:marRight w:val="0"/>
      <w:marTop w:val="0"/>
      <w:marBottom w:val="0"/>
      <w:divBdr>
        <w:top w:val="none" w:sz="0" w:space="0" w:color="auto"/>
        <w:left w:val="none" w:sz="0" w:space="0" w:color="auto"/>
        <w:bottom w:val="none" w:sz="0" w:space="0" w:color="auto"/>
        <w:right w:val="none" w:sz="0" w:space="0" w:color="auto"/>
      </w:divBdr>
    </w:div>
    <w:div w:id="271253892">
      <w:bodyDiv w:val="1"/>
      <w:marLeft w:val="0"/>
      <w:marRight w:val="0"/>
      <w:marTop w:val="0"/>
      <w:marBottom w:val="0"/>
      <w:divBdr>
        <w:top w:val="none" w:sz="0" w:space="0" w:color="auto"/>
        <w:left w:val="none" w:sz="0" w:space="0" w:color="auto"/>
        <w:bottom w:val="none" w:sz="0" w:space="0" w:color="auto"/>
        <w:right w:val="none" w:sz="0" w:space="0" w:color="auto"/>
      </w:divBdr>
    </w:div>
    <w:div w:id="297222516">
      <w:bodyDiv w:val="1"/>
      <w:marLeft w:val="0"/>
      <w:marRight w:val="0"/>
      <w:marTop w:val="0"/>
      <w:marBottom w:val="0"/>
      <w:divBdr>
        <w:top w:val="none" w:sz="0" w:space="0" w:color="auto"/>
        <w:left w:val="none" w:sz="0" w:space="0" w:color="auto"/>
        <w:bottom w:val="none" w:sz="0" w:space="0" w:color="auto"/>
        <w:right w:val="none" w:sz="0" w:space="0" w:color="auto"/>
      </w:divBdr>
    </w:div>
    <w:div w:id="336033903">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395974885">
      <w:bodyDiv w:val="1"/>
      <w:marLeft w:val="0"/>
      <w:marRight w:val="0"/>
      <w:marTop w:val="0"/>
      <w:marBottom w:val="0"/>
      <w:divBdr>
        <w:top w:val="none" w:sz="0" w:space="0" w:color="auto"/>
        <w:left w:val="none" w:sz="0" w:space="0" w:color="auto"/>
        <w:bottom w:val="none" w:sz="0" w:space="0" w:color="auto"/>
        <w:right w:val="none" w:sz="0" w:space="0" w:color="auto"/>
      </w:divBdr>
    </w:div>
    <w:div w:id="399601121">
      <w:bodyDiv w:val="1"/>
      <w:marLeft w:val="0"/>
      <w:marRight w:val="0"/>
      <w:marTop w:val="0"/>
      <w:marBottom w:val="0"/>
      <w:divBdr>
        <w:top w:val="none" w:sz="0" w:space="0" w:color="auto"/>
        <w:left w:val="none" w:sz="0" w:space="0" w:color="auto"/>
        <w:bottom w:val="none" w:sz="0" w:space="0" w:color="auto"/>
        <w:right w:val="none" w:sz="0" w:space="0" w:color="auto"/>
      </w:divBdr>
    </w:div>
    <w:div w:id="466246811">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73861016">
      <w:bodyDiv w:val="1"/>
      <w:marLeft w:val="0"/>
      <w:marRight w:val="0"/>
      <w:marTop w:val="0"/>
      <w:marBottom w:val="0"/>
      <w:divBdr>
        <w:top w:val="none" w:sz="0" w:space="0" w:color="auto"/>
        <w:left w:val="none" w:sz="0" w:space="0" w:color="auto"/>
        <w:bottom w:val="none" w:sz="0" w:space="0" w:color="auto"/>
        <w:right w:val="none" w:sz="0" w:space="0" w:color="auto"/>
      </w:divBdr>
    </w:div>
    <w:div w:id="602998914">
      <w:bodyDiv w:val="1"/>
      <w:marLeft w:val="0"/>
      <w:marRight w:val="0"/>
      <w:marTop w:val="0"/>
      <w:marBottom w:val="0"/>
      <w:divBdr>
        <w:top w:val="none" w:sz="0" w:space="0" w:color="auto"/>
        <w:left w:val="none" w:sz="0" w:space="0" w:color="auto"/>
        <w:bottom w:val="none" w:sz="0" w:space="0" w:color="auto"/>
        <w:right w:val="none" w:sz="0" w:space="0" w:color="auto"/>
      </w:divBdr>
    </w:div>
    <w:div w:id="609821253">
      <w:bodyDiv w:val="1"/>
      <w:marLeft w:val="0"/>
      <w:marRight w:val="0"/>
      <w:marTop w:val="0"/>
      <w:marBottom w:val="0"/>
      <w:divBdr>
        <w:top w:val="none" w:sz="0" w:space="0" w:color="auto"/>
        <w:left w:val="none" w:sz="0" w:space="0" w:color="auto"/>
        <w:bottom w:val="none" w:sz="0" w:space="0" w:color="auto"/>
        <w:right w:val="none" w:sz="0" w:space="0" w:color="auto"/>
      </w:divBdr>
    </w:div>
    <w:div w:id="617950486">
      <w:bodyDiv w:val="1"/>
      <w:marLeft w:val="0"/>
      <w:marRight w:val="0"/>
      <w:marTop w:val="0"/>
      <w:marBottom w:val="0"/>
      <w:divBdr>
        <w:top w:val="none" w:sz="0" w:space="0" w:color="auto"/>
        <w:left w:val="none" w:sz="0" w:space="0" w:color="auto"/>
        <w:bottom w:val="none" w:sz="0" w:space="0" w:color="auto"/>
        <w:right w:val="none" w:sz="0" w:space="0" w:color="auto"/>
      </w:divBdr>
    </w:div>
    <w:div w:id="634681581">
      <w:bodyDiv w:val="1"/>
      <w:marLeft w:val="0"/>
      <w:marRight w:val="0"/>
      <w:marTop w:val="0"/>
      <w:marBottom w:val="0"/>
      <w:divBdr>
        <w:top w:val="none" w:sz="0" w:space="0" w:color="auto"/>
        <w:left w:val="none" w:sz="0" w:space="0" w:color="auto"/>
        <w:bottom w:val="none" w:sz="0" w:space="0" w:color="auto"/>
        <w:right w:val="none" w:sz="0" w:space="0" w:color="auto"/>
      </w:divBdr>
    </w:div>
    <w:div w:id="76723429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30174824">
      <w:bodyDiv w:val="1"/>
      <w:marLeft w:val="0"/>
      <w:marRight w:val="0"/>
      <w:marTop w:val="0"/>
      <w:marBottom w:val="0"/>
      <w:divBdr>
        <w:top w:val="none" w:sz="0" w:space="0" w:color="auto"/>
        <w:left w:val="none" w:sz="0" w:space="0" w:color="auto"/>
        <w:bottom w:val="none" w:sz="0" w:space="0" w:color="auto"/>
        <w:right w:val="none" w:sz="0" w:space="0" w:color="auto"/>
      </w:divBdr>
      <w:divsChild>
        <w:div w:id="1057317089">
          <w:marLeft w:val="0"/>
          <w:marRight w:val="0"/>
          <w:marTop w:val="0"/>
          <w:marBottom w:val="0"/>
          <w:divBdr>
            <w:top w:val="none" w:sz="0" w:space="0" w:color="auto"/>
            <w:left w:val="none" w:sz="0" w:space="0" w:color="auto"/>
            <w:bottom w:val="none" w:sz="0" w:space="0" w:color="auto"/>
            <w:right w:val="none" w:sz="0" w:space="0" w:color="auto"/>
          </w:divBdr>
        </w:div>
      </w:divsChild>
    </w:div>
    <w:div w:id="850339299">
      <w:bodyDiv w:val="1"/>
      <w:marLeft w:val="0"/>
      <w:marRight w:val="0"/>
      <w:marTop w:val="0"/>
      <w:marBottom w:val="0"/>
      <w:divBdr>
        <w:top w:val="none" w:sz="0" w:space="0" w:color="auto"/>
        <w:left w:val="none" w:sz="0" w:space="0" w:color="auto"/>
        <w:bottom w:val="none" w:sz="0" w:space="0" w:color="auto"/>
        <w:right w:val="none" w:sz="0" w:space="0" w:color="auto"/>
      </w:divBdr>
    </w:div>
    <w:div w:id="869730604">
      <w:bodyDiv w:val="1"/>
      <w:marLeft w:val="0"/>
      <w:marRight w:val="0"/>
      <w:marTop w:val="0"/>
      <w:marBottom w:val="0"/>
      <w:divBdr>
        <w:top w:val="none" w:sz="0" w:space="0" w:color="auto"/>
        <w:left w:val="none" w:sz="0" w:space="0" w:color="auto"/>
        <w:bottom w:val="none" w:sz="0" w:space="0" w:color="auto"/>
        <w:right w:val="none" w:sz="0" w:space="0" w:color="auto"/>
      </w:divBdr>
    </w:div>
    <w:div w:id="940184623">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024479233">
      <w:bodyDiv w:val="1"/>
      <w:marLeft w:val="0"/>
      <w:marRight w:val="0"/>
      <w:marTop w:val="0"/>
      <w:marBottom w:val="0"/>
      <w:divBdr>
        <w:top w:val="none" w:sz="0" w:space="0" w:color="auto"/>
        <w:left w:val="none" w:sz="0" w:space="0" w:color="auto"/>
        <w:bottom w:val="none" w:sz="0" w:space="0" w:color="auto"/>
        <w:right w:val="none" w:sz="0" w:space="0" w:color="auto"/>
      </w:divBdr>
    </w:div>
    <w:div w:id="1041826770">
      <w:bodyDiv w:val="1"/>
      <w:marLeft w:val="0"/>
      <w:marRight w:val="0"/>
      <w:marTop w:val="0"/>
      <w:marBottom w:val="0"/>
      <w:divBdr>
        <w:top w:val="none" w:sz="0" w:space="0" w:color="auto"/>
        <w:left w:val="none" w:sz="0" w:space="0" w:color="auto"/>
        <w:bottom w:val="none" w:sz="0" w:space="0" w:color="auto"/>
        <w:right w:val="none" w:sz="0" w:space="0" w:color="auto"/>
      </w:divBdr>
    </w:div>
    <w:div w:id="1056398737">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39109745">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44756070">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85506534">
      <w:bodyDiv w:val="1"/>
      <w:marLeft w:val="0"/>
      <w:marRight w:val="0"/>
      <w:marTop w:val="0"/>
      <w:marBottom w:val="0"/>
      <w:divBdr>
        <w:top w:val="none" w:sz="0" w:space="0" w:color="auto"/>
        <w:left w:val="none" w:sz="0" w:space="0" w:color="auto"/>
        <w:bottom w:val="none" w:sz="0" w:space="0" w:color="auto"/>
        <w:right w:val="none" w:sz="0" w:space="0" w:color="auto"/>
      </w:divBdr>
    </w:div>
    <w:div w:id="1335449709">
      <w:bodyDiv w:val="1"/>
      <w:marLeft w:val="0"/>
      <w:marRight w:val="0"/>
      <w:marTop w:val="0"/>
      <w:marBottom w:val="0"/>
      <w:divBdr>
        <w:top w:val="none" w:sz="0" w:space="0" w:color="auto"/>
        <w:left w:val="none" w:sz="0" w:space="0" w:color="auto"/>
        <w:bottom w:val="none" w:sz="0" w:space="0" w:color="auto"/>
        <w:right w:val="none" w:sz="0" w:space="0" w:color="auto"/>
      </w:divBdr>
      <w:divsChild>
        <w:div w:id="140852459">
          <w:marLeft w:val="0"/>
          <w:marRight w:val="0"/>
          <w:marTop w:val="0"/>
          <w:marBottom w:val="0"/>
          <w:divBdr>
            <w:top w:val="none" w:sz="0" w:space="0" w:color="auto"/>
            <w:left w:val="none" w:sz="0" w:space="0" w:color="auto"/>
            <w:bottom w:val="none" w:sz="0" w:space="0" w:color="auto"/>
            <w:right w:val="none" w:sz="0" w:space="0" w:color="auto"/>
          </w:divBdr>
        </w:div>
        <w:div w:id="418983466">
          <w:marLeft w:val="0"/>
          <w:marRight w:val="0"/>
          <w:marTop w:val="0"/>
          <w:marBottom w:val="0"/>
          <w:divBdr>
            <w:top w:val="none" w:sz="0" w:space="0" w:color="auto"/>
            <w:left w:val="none" w:sz="0" w:space="0" w:color="auto"/>
            <w:bottom w:val="none" w:sz="0" w:space="0" w:color="auto"/>
            <w:right w:val="none" w:sz="0" w:space="0" w:color="auto"/>
          </w:divBdr>
        </w:div>
        <w:div w:id="439379468">
          <w:marLeft w:val="0"/>
          <w:marRight w:val="0"/>
          <w:marTop w:val="0"/>
          <w:marBottom w:val="0"/>
          <w:divBdr>
            <w:top w:val="none" w:sz="0" w:space="0" w:color="auto"/>
            <w:left w:val="none" w:sz="0" w:space="0" w:color="auto"/>
            <w:bottom w:val="none" w:sz="0" w:space="0" w:color="auto"/>
            <w:right w:val="none" w:sz="0" w:space="0" w:color="auto"/>
          </w:divBdr>
        </w:div>
        <w:div w:id="649871523">
          <w:marLeft w:val="0"/>
          <w:marRight w:val="0"/>
          <w:marTop w:val="0"/>
          <w:marBottom w:val="0"/>
          <w:divBdr>
            <w:top w:val="none" w:sz="0" w:space="0" w:color="auto"/>
            <w:left w:val="none" w:sz="0" w:space="0" w:color="auto"/>
            <w:bottom w:val="none" w:sz="0" w:space="0" w:color="auto"/>
            <w:right w:val="none" w:sz="0" w:space="0" w:color="auto"/>
          </w:divBdr>
        </w:div>
        <w:div w:id="681666766">
          <w:marLeft w:val="0"/>
          <w:marRight w:val="0"/>
          <w:marTop w:val="0"/>
          <w:marBottom w:val="0"/>
          <w:divBdr>
            <w:top w:val="none" w:sz="0" w:space="0" w:color="auto"/>
            <w:left w:val="none" w:sz="0" w:space="0" w:color="auto"/>
            <w:bottom w:val="none" w:sz="0" w:space="0" w:color="auto"/>
            <w:right w:val="none" w:sz="0" w:space="0" w:color="auto"/>
          </w:divBdr>
        </w:div>
        <w:div w:id="1282344761">
          <w:marLeft w:val="0"/>
          <w:marRight w:val="0"/>
          <w:marTop w:val="0"/>
          <w:marBottom w:val="0"/>
          <w:divBdr>
            <w:top w:val="none" w:sz="0" w:space="0" w:color="auto"/>
            <w:left w:val="none" w:sz="0" w:space="0" w:color="auto"/>
            <w:bottom w:val="none" w:sz="0" w:space="0" w:color="auto"/>
            <w:right w:val="none" w:sz="0" w:space="0" w:color="auto"/>
          </w:divBdr>
        </w:div>
      </w:divsChild>
    </w:div>
    <w:div w:id="134200659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398164306">
      <w:bodyDiv w:val="1"/>
      <w:marLeft w:val="0"/>
      <w:marRight w:val="0"/>
      <w:marTop w:val="0"/>
      <w:marBottom w:val="0"/>
      <w:divBdr>
        <w:top w:val="none" w:sz="0" w:space="0" w:color="auto"/>
        <w:left w:val="none" w:sz="0" w:space="0" w:color="auto"/>
        <w:bottom w:val="none" w:sz="0" w:space="0" w:color="auto"/>
        <w:right w:val="none" w:sz="0" w:space="0" w:color="auto"/>
      </w:divBdr>
    </w:div>
    <w:div w:id="1405223041">
      <w:bodyDiv w:val="1"/>
      <w:marLeft w:val="0"/>
      <w:marRight w:val="0"/>
      <w:marTop w:val="0"/>
      <w:marBottom w:val="0"/>
      <w:divBdr>
        <w:top w:val="none" w:sz="0" w:space="0" w:color="auto"/>
        <w:left w:val="none" w:sz="0" w:space="0" w:color="auto"/>
        <w:bottom w:val="none" w:sz="0" w:space="0" w:color="auto"/>
        <w:right w:val="none" w:sz="0" w:space="0" w:color="auto"/>
      </w:divBdr>
    </w:div>
    <w:div w:id="1437018228">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2527958">
      <w:bodyDiv w:val="1"/>
      <w:marLeft w:val="0"/>
      <w:marRight w:val="0"/>
      <w:marTop w:val="0"/>
      <w:marBottom w:val="0"/>
      <w:divBdr>
        <w:top w:val="none" w:sz="0" w:space="0" w:color="auto"/>
        <w:left w:val="none" w:sz="0" w:space="0" w:color="auto"/>
        <w:bottom w:val="none" w:sz="0" w:space="0" w:color="auto"/>
        <w:right w:val="none" w:sz="0" w:space="0" w:color="auto"/>
      </w:divBdr>
    </w:div>
    <w:div w:id="1495338476">
      <w:bodyDiv w:val="1"/>
      <w:marLeft w:val="0"/>
      <w:marRight w:val="0"/>
      <w:marTop w:val="0"/>
      <w:marBottom w:val="0"/>
      <w:divBdr>
        <w:top w:val="none" w:sz="0" w:space="0" w:color="auto"/>
        <w:left w:val="none" w:sz="0" w:space="0" w:color="auto"/>
        <w:bottom w:val="none" w:sz="0" w:space="0" w:color="auto"/>
        <w:right w:val="none" w:sz="0" w:space="0" w:color="auto"/>
      </w:divBdr>
    </w:div>
    <w:div w:id="1522085441">
      <w:bodyDiv w:val="1"/>
      <w:marLeft w:val="0"/>
      <w:marRight w:val="0"/>
      <w:marTop w:val="0"/>
      <w:marBottom w:val="0"/>
      <w:divBdr>
        <w:top w:val="none" w:sz="0" w:space="0" w:color="auto"/>
        <w:left w:val="none" w:sz="0" w:space="0" w:color="auto"/>
        <w:bottom w:val="none" w:sz="0" w:space="0" w:color="auto"/>
        <w:right w:val="none" w:sz="0" w:space="0" w:color="auto"/>
      </w:divBdr>
    </w:div>
    <w:div w:id="1573194862">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83388377">
      <w:bodyDiv w:val="1"/>
      <w:marLeft w:val="0"/>
      <w:marRight w:val="0"/>
      <w:marTop w:val="0"/>
      <w:marBottom w:val="0"/>
      <w:divBdr>
        <w:top w:val="none" w:sz="0" w:space="0" w:color="auto"/>
        <w:left w:val="none" w:sz="0" w:space="0" w:color="auto"/>
        <w:bottom w:val="none" w:sz="0" w:space="0" w:color="auto"/>
        <w:right w:val="none" w:sz="0" w:space="0" w:color="auto"/>
      </w:divBdr>
    </w:div>
    <w:div w:id="1689061643">
      <w:bodyDiv w:val="1"/>
      <w:marLeft w:val="0"/>
      <w:marRight w:val="0"/>
      <w:marTop w:val="0"/>
      <w:marBottom w:val="0"/>
      <w:divBdr>
        <w:top w:val="none" w:sz="0" w:space="0" w:color="auto"/>
        <w:left w:val="none" w:sz="0" w:space="0" w:color="auto"/>
        <w:bottom w:val="none" w:sz="0" w:space="0" w:color="auto"/>
        <w:right w:val="none" w:sz="0" w:space="0" w:color="auto"/>
      </w:divBdr>
    </w:div>
    <w:div w:id="1697001775">
      <w:bodyDiv w:val="1"/>
      <w:marLeft w:val="0"/>
      <w:marRight w:val="0"/>
      <w:marTop w:val="0"/>
      <w:marBottom w:val="0"/>
      <w:divBdr>
        <w:top w:val="none" w:sz="0" w:space="0" w:color="auto"/>
        <w:left w:val="none" w:sz="0" w:space="0" w:color="auto"/>
        <w:bottom w:val="none" w:sz="0" w:space="0" w:color="auto"/>
        <w:right w:val="none" w:sz="0" w:space="0" w:color="auto"/>
      </w:divBdr>
    </w:div>
    <w:div w:id="1702632753">
      <w:bodyDiv w:val="1"/>
      <w:marLeft w:val="0"/>
      <w:marRight w:val="0"/>
      <w:marTop w:val="0"/>
      <w:marBottom w:val="0"/>
      <w:divBdr>
        <w:top w:val="none" w:sz="0" w:space="0" w:color="auto"/>
        <w:left w:val="none" w:sz="0" w:space="0" w:color="auto"/>
        <w:bottom w:val="none" w:sz="0" w:space="0" w:color="auto"/>
        <w:right w:val="none" w:sz="0" w:space="0" w:color="auto"/>
      </w:divBdr>
    </w:div>
    <w:div w:id="1734308685">
      <w:bodyDiv w:val="1"/>
      <w:marLeft w:val="0"/>
      <w:marRight w:val="0"/>
      <w:marTop w:val="0"/>
      <w:marBottom w:val="0"/>
      <w:divBdr>
        <w:top w:val="none" w:sz="0" w:space="0" w:color="auto"/>
        <w:left w:val="none" w:sz="0" w:space="0" w:color="auto"/>
        <w:bottom w:val="none" w:sz="0" w:space="0" w:color="auto"/>
        <w:right w:val="none" w:sz="0" w:space="0" w:color="auto"/>
      </w:divBdr>
    </w:div>
    <w:div w:id="1774738271">
      <w:bodyDiv w:val="1"/>
      <w:marLeft w:val="0"/>
      <w:marRight w:val="0"/>
      <w:marTop w:val="0"/>
      <w:marBottom w:val="0"/>
      <w:divBdr>
        <w:top w:val="none" w:sz="0" w:space="0" w:color="auto"/>
        <w:left w:val="none" w:sz="0" w:space="0" w:color="auto"/>
        <w:bottom w:val="none" w:sz="0" w:space="0" w:color="auto"/>
        <w:right w:val="none" w:sz="0" w:space="0" w:color="auto"/>
      </w:divBdr>
    </w:div>
    <w:div w:id="1853955189">
      <w:bodyDiv w:val="1"/>
      <w:marLeft w:val="0"/>
      <w:marRight w:val="0"/>
      <w:marTop w:val="0"/>
      <w:marBottom w:val="0"/>
      <w:divBdr>
        <w:top w:val="none" w:sz="0" w:space="0" w:color="auto"/>
        <w:left w:val="none" w:sz="0" w:space="0" w:color="auto"/>
        <w:bottom w:val="none" w:sz="0" w:space="0" w:color="auto"/>
        <w:right w:val="none" w:sz="0" w:space="0" w:color="auto"/>
      </w:divBdr>
    </w:div>
    <w:div w:id="1876892650">
      <w:bodyDiv w:val="1"/>
      <w:marLeft w:val="0"/>
      <w:marRight w:val="0"/>
      <w:marTop w:val="0"/>
      <w:marBottom w:val="0"/>
      <w:divBdr>
        <w:top w:val="none" w:sz="0" w:space="0" w:color="auto"/>
        <w:left w:val="none" w:sz="0" w:space="0" w:color="auto"/>
        <w:bottom w:val="none" w:sz="0" w:space="0" w:color="auto"/>
        <w:right w:val="none" w:sz="0" w:space="0" w:color="auto"/>
      </w:divBdr>
      <w:divsChild>
        <w:div w:id="1725445647">
          <w:marLeft w:val="0"/>
          <w:marRight w:val="0"/>
          <w:marTop w:val="0"/>
          <w:marBottom w:val="0"/>
          <w:divBdr>
            <w:top w:val="none" w:sz="0" w:space="0" w:color="auto"/>
            <w:left w:val="none" w:sz="0" w:space="0" w:color="auto"/>
            <w:bottom w:val="none" w:sz="0" w:space="0" w:color="auto"/>
            <w:right w:val="none" w:sz="0" w:space="0" w:color="auto"/>
          </w:divBdr>
        </w:div>
      </w:divsChild>
    </w:div>
    <w:div w:id="1941067498">
      <w:bodyDiv w:val="1"/>
      <w:marLeft w:val="0"/>
      <w:marRight w:val="0"/>
      <w:marTop w:val="0"/>
      <w:marBottom w:val="0"/>
      <w:divBdr>
        <w:top w:val="none" w:sz="0" w:space="0" w:color="auto"/>
        <w:left w:val="none" w:sz="0" w:space="0" w:color="auto"/>
        <w:bottom w:val="none" w:sz="0" w:space="0" w:color="auto"/>
        <w:right w:val="none" w:sz="0" w:space="0" w:color="auto"/>
      </w:divBdr>
    </w:div>
    <w:div w:id="1941837391">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49190891">
      <w:bodyDiv w:val="1"/>
      <w:marLeft w:val="0"/>
      <w:marRight w:val="0"/>
      <w:marTop w:val="0"/>
      <w:marBottom w:val="0"/>
      <w:divBdr>
        <w:top w:val="none" w:sz="0" w:space="0" w:color="auto"/>
        <w:left w:val="none" w:sz="0" w:space="0" w:color="auto"/>
        <w:bottom w:val="none" w:sz="0" w:space="0" w:color="auto"/>
        <w:right w:val="none" w:sz="0" w:space="0" w:color="auto"/>
      </w:divBdr>
      <w:divsChild>
        <w:div w:id="654915377">
          <w:marLeft w:val="0"/>
          <w:marRight w:val="0"/>
          <w:marTop w:val="0"/>
          <w:marBottom w:val="0"/>
          <w:divBdr>
            <w:top w:val="none" w:sz="0" w:space="0" w:color="auto"/>
            <w:left w:val="none" w:sz="0" w:space="0" w:color="auto"/>
            <w:bottom w:val="none" w:sz="0" w:space="0" w:color="auto"/>
            <w:right w:val="none" w:sz="0" w:space="0" w:color="auto"/>
          </w:divBdr>
        </w:div>
      </w:divsChild>
    </w:div>
    <w:div w:id="1981692773">
      <w:bodyDiv w:val="1"/>
      <w:marLeft w:val="0"/>
      <w:marRight w:val="0"/>
      <w:marTop w:val="0"/>
      <w:marBottom w:val="0"/>
      <w:divBdr>
        <w:top w:val="none" w:sz="0" w:space="0" w:color="auto"/>
        <w:left w:val="none" w:sz="0" w:space="0" w:color="auto"/>
        <w:bottom w:val="none" w:sz="0" w:space="0" w:color="auto"/>
        <w:right w:val="none" w:sz="0" w:space="0" w:color="auto"/>
      </w:divBdr>
    </w:div>
    <w:div w:id="1999382993">
      <w:bodyDiv w:val="1"/>
      <w:marLeft w:val="0"/>
      <w:marRight w:val="0"/>
      <w:marTop w:val="0"/>
      <w:marBottom w:val="0"/>
      <w:divBdr>
        <w:top w:val="none" w:sz="0" w:space="0" w:color="auto"/>
        <w:left w:val="none" w:sz="0" w:space="0" w:color="auto"/>
        <w:bottom w:val="none" w:sz="0" w:space="0" w:color="auto"/>
        <w:right w:val="none" w:sz="0" w:space="0" w:color="auto"/>
      </w:divBdr>
    </w:div>
    <w:div w:id="2116711993">
      <w:bodyDiv w:val="1"/>
      <w:marLeft w:val="0"/>
      <w:marRight w:val="0"/>
      <w:marTop w:val="0"/>
      <w:marBottom w:val="0"/>
      <w:divBdr>
        <w:top w:val="none" w:sz="0" w:space="0" w:color="auto"/>
        <w:left w:val="none" w:sz="0" w:space="0" w:color="auto"/>
        <w:bottom w:val="none" w:sz="0" w:space="0" w:color="auto"/>
        <w:right w:val="none" w:sz="0" w:space="0" w:color="auto"/>
      </w:divBdr>
      <w:divsChild>
        <w:div w:id="815873655">
          <w:marLeft w:val="0"/>
          <w:marRight w:val="0"/>
          <w:marTop w:val="0"/>
          <w:marBottom w:val="0"/>
          <w:divBdr>
            <w:top w:val="none" w:sz="0" w:space="0" w:color="auto"/>
            <w:left w:val="none" w:sz="0" w:space="0" w:color="auto"/>
            <w:bottom w:val="none" w:sz="0" w:space="0" w:color="auto"/>
            <w:right w:val="none" w:sz="0" w:space="0" w:color="auto"/>
          </w:divBdr>
        </w:div>
        <w:div w:id="1124613127">
          <w:marLeft w:val="0"/>
          <w:marRight w:val="0"/>
          <w:marTop w:val="0"/>
          <w:marBottom w:val="0"/>
          <w:divBdr>
            <w:top w:val="none" w:sz="0" w:space="0" w:color="auto"/>
            <w:left w:val="none" w:sz="0" w:space="0" w:color="auto"/>
            <w:bottom w:val="none" w:sz="0" w:space="0" w:color="auto"/>
            <w:right w:val="none" w:sz="0" w:space="0" w:color="auto"/>
          </w:divBdr>
        </w:div>
        <w:div w:id="1700468599">
          <w:marLeft w:val="0"/>
          <w:marRight w:val="0"/>
          <w:marTop w:val="0"/>
          <w:marBottom w:val="0"/>
          <w:divBdr>
            <w:top w:val="none" w:sz="0" w:space="0" w:color="auto"/>
            <w:left w:val="none" w:sz="0" w:space="0" w:color="auto"/>
            <w:bottom w:val="none" w:sz="0" w:space="0" w:color="auto"/>
            <w:right w:val="none" w:sz="0" w:space="0" w:color="auto"/>
          </w:divBdr>
        </w:div>
        <w:div w:id="1711032899">
          <w:marLeft w:val="0"/>
          <w:marRight w:val="0"/>
          <w:marTop w:val="0"/>
          <w:marBottom w:val="0"/>
          <w:divBdr>
            <w:top w:val="none" w:sz="0" w:space="0" w:color="auto"/>
            <w:left w:val="none" w:sz="0" w:space="0" w:color="auto"/>
            <w:bottom w:val="none" w:sz="0" w:space="0" w:color="auto"/>
            <w:right w:val="none" w:sz="0" w:space="0" w:color="auto"/>
          </w:divBdr>
        </w:div>
        <w:div w:id="1860124189">
          <w:marLeft w:val="0"/>
          <w:marRight w:val="0"/>
          <w:marTop w:val="0"/>
          <w:marBottom w:val="0"/>
          <w:divBdr>
            <w:top w:val="none" w:sz="0" w:space="0" w:color="auto"/>
            <w:left w:val="none" w:sz="0" w:space="0" w:color="auto"/>
            <w:bottom w:val="none" w:sz="0" w:space="0" w:color="auto"/>
            <w:right w:val="none" w:sz="0" w:space="0" w:color="auto"/>
          </w:divBdr>
        </w:div>
        <w:div w:id="2140412541">
          <w:marLeft w:val="0"/>
          <w:marRight w:val="0"/>
          <w:marTop w:val="0"/>
          <w:marBottom w:val="0"/>
          <w:divBdr>
            <w:top w:val="none" w:sz="0" w:space="0" w:color="auto"/>
            <w:left w:val="none" w:sz="0" w:space="0" w:color="auto"/>
            <w:bottom w:val="none" w:sz="0" w:space="0" w:color="auto"/>
            <w:right w:val="none" w:sz="0" w:space="0" w:color="auto"/>
          </w:divBdr>
        </w:div>
      </w:divsChild>
    </w:div>
    <w:div w:id="21182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xmlns:wp14="http://schemas.microsoft.com/office/word/2010/wordml" w:rsidR="008C2583" w:rsidRDefault="00862925" w14:paraId="720703D0" wp14:textId="77777777">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xmlns:wp14="http://schemas.microsoft.com/office/word/2010/wordml" w:rsidR="008C2583" w:rsidP="00862925" w:rsidRDefault="00862925" w14:paraId="54FBB16C" wp14:textId="77777777">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xmlns:wp14="http://schemas.microsoft.com/office/word/2010/wordml" w:rsidR="00B91967" w:rsidRDefault="00265E85" w14:paraId="4C3E277F" wp14:textId="77777777">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xmlns:wp14="http://schemas.microsoft.com/office/word/2010/wordml" w:rsidR="00861778" w:rsidP="00D71EBA" w:rsidRDefault="00D71EBA" w14:paraId="46586F3A" wp14:textId="77777777">
          <w:pPr>
            <w:pStyle w:val="873E64307E5F40099245506EC819755B"/>
          </w:pPr>
          <w:r w:rsidRPr="00CC5954">
            <w:rPr>
              <w:rStyle w:val="PlaceholderText"/>
            </w:rPr>
            <w:t>Click here to enter text.</w:t>
          </w:r>
        </w:p>
      </w:docPartBody>
    </w:docPart>
    <w:docPart>
      <w:docPartPr>
        <w:name w:val="38C4388889164EF79F2F36295DAF2652"/>
        <w:category>
          <w:name w:val="General"/>
          <w:gallery w:val="placeholder"/>
        </w:category>
        <w:types>
          <w:type w:val="bbPlcHdr"/>
        </w:types>
        <w:behaviors>
          <w:behavior w:val="content"/>
        </w:behaviors>
        <w:guid w:val="{B35FD3E0-88F2-4AB5-BE48-BEA3D79C7E97}"/>
      </w:docPartPr>
      <w:docPartBody>
        <w:p xmlns:wp14="http://schemas.microsoft.com/office/word/2010/wordml" w:rsidR="0076232B" w:rsidP="005F0ADA" w:rsidRDefault="005F0ADA" w14:paraId="04F0695E" wp14:textId="77777777">
          <w:pPr>
            <w:pStyle w:val="38C4388889164EF79F2F36295DAF2652"/>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0D4FAF7B9A8E4D57B2B5C5E1F1170ACB"/>
        <w:category>
          <w:name w:val="General"/>
          <w:gallery w:val="placeholder"/>
        </w:category>
        <w:types>
          <w:type w:val="bbPlcHdr"/>
        </w:types>
        <w:behaviors>
          <w:behavior w:val="content"/>
        </w:behaviors>
        <w:guid w:val="{D04826E8-D61E-4823-AEAE-17F762342481}"/>
      </w:docPartPr>
      <w:docPartBody>
        <w:p xmlns:wp14="http://schemas.microsoft.com/office/word/2010/wordml" w:rsidR="0076232B" w:rsidP="005F0ADA" w:rsidRDefault="005F0ADA" w14:paraId="3E56EE2E" wp14:textId="77777777">
          <w:pPr>
            <w:pStyle w:val="0D4FAF7B9A8E4D57B2B5C5E1F1170ACB"/>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0F12F16F9DC497B85B62E325CC72A54"/>
        <w:category>
          <w:name w:val="General"/>
          <w:gallery w:val="placeholder"/>
        </w:category>
        <w:types>
          <w:type w:val="bbPlcHdr"/>
        </w:types>
        <w:behaviors>
          <w:behavior w:val="content"/>
        </w:behaviors>
        <w:guid w:val="{67919277-7ADF-4354-8CC1-4DAA3F3B5651}"/>
      </w:docPartPr>
      <w:docPartBody>
        <w:p xmlns:wp14="http://schemas.microsoft.com/office/word/2010/wordml" w:rsidR="0076232B" w:rsidP="005F0ADA" w:rsidRDefault="005F0ADA" w14:paraId="13529E06" wp14:textId="77777777">
          <w:pPr>
            <w:pStyle w:val="F0F12F16F9DC497B85B62E325CC72A54"/>
          </w:pPr>
          <w:r w:rsidRPr="003B5CBC">
            <w:rPr>
              <w:rStyle w:val="PlaceholderText"/>
              <w:rFonts w:eastAsiaTheme="majorEastAsia"/>
            </w:rPr>
            <w:t>Data e shqyrtimit</w:t>
          </w:r>
        </w:p>
      </w:docPartBody>
    </w:docPart>
    <w:docPart>
      <w:docPartPr>
        <w:name w:val="44A516C976744553A16103A31B359EBF"/>
        <w:category>
          <w:name w:val="General"/>
          <w:gallery w:val="placeholder"/>
        </w:category>
        <w:types>
          <w:type w:val="bbPlcHdr"/>
        </w:types>
        <w:behaviors>
          <w:behavior w:val="content"/>
        </w:behaviors>
        <w:guid w:val="{A2239587-5B0B-4CA3-8123-7DBF92081A61}"/>
      </w:docPartPr>
      <w:docPartBody>
        <w:p xmlns:wp14="http://schemas.microsoft.com/office/word/2010/wordml" w:rsidR="0076232B" w:rsidP="005F0ADA" w:rsidRDefault="005F0ADA" w14:paraId="1D4D299B" wp14:textId="77777777">
          <w:pPr>
            <w:pStyle w:val="44A516C976744553A16103A31B359EBF"/>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2925"/>
    <w:rsid w:val="00010798"/>
    <w:rsid w:val="00024710"/>
    <w:rsid w:val="0003006C"/>
    <w:rsid w:val="000A1390"/>
    <w:rsid w:val="000C3D8E"/>
    <w:rsid w:val="000F5B7B"/>
    <w:rsid w:val="00103345"/>
    <w:rsid w:val="00123CDD"/>
    <w:rsid w:val="00126ACC"/>
    <w:rsid w:val="001A4222"/>
    <w:rsid w:val="001A5F28"/>
    <w:rsid w:val="001A6CB6"/>
    <w:rsid w:val="001C5CE9"/>
    <w:rsid w:val="001D6716"/>
    <w:rsid w:val="00214848"/>
    <w:rsid w:val="00245FEB"/>
    <w:rsid w:val="002462E5"/>
    <w:rsid w:val="00265E85"/>
    <w:rsid w:val="002724FA"/>
    <w:rsid w:val="00276D0E"/>
    <w:rsid w:val="002E48BE"/>
    <w:rsid w:val="00341895"/>
    <w:rsid w:val="0036461E"/>
    <w:rsid w:val="003654A4"/>
    <w:rsid w:val="00395E5F"/>
    <w:rsid w:val="003B1FF8"/>
    <w:rsid w:val="003E572C"/>
    <w:rsid w:val="004B7DC3"/>
    <w:rsid w:val="004D2FF8"/>
    <w:rsid w:val="005047F9"/>
    <w:rsid w:val="00507281"/>
    <w:rsid w:val="005346BA"/>
    <w:rsid w:val="00573B4E"/>
    <w:rsid w:val="005919F5"/>
    <w:rsid w:val="005A6C19"/>
    <w:rsid w:val="005E2B65"/>
    <w:rsid w:val="005F0ADA"/>
    <w:rsid w:val="005F24F8"/>
    <w:rsid w:val="00602C98"/>
    <w:rsid w:val="00613314"/>
    <w:rsid w:val="00616558"/>
    <w:rsid w:val="006165D7"/>
    <w:rsid w:val="006206F1"/>
    <w:rsid w:val="006233D2"/>
    <w:rsid w:val="00627EA3"/>
    <w:rsid w:val="00657E87"/>
    <w:rsid w:val="00680593"/>
    <w:rsid w:val="006A4C40"/>
    <w:rsid w:val="006F0B37"/>
    <w:rsid w:val="006F1ED4"/>
    <w:rsid w:val="007126C8"/>
    <w:rsid w:val="007500C5"/>
    <w:rsid w:val="0076232B"/>
    <w:rsid w:val="007B4F71"/>
    <w:rsid w:val="00800F29"/>
    <w:rsid w:val="00834797"/>
    <w:rsid w:val="00835A5F"/>
    <w:rsid w:val="00841C40"/>
    <w:rsid w:val="00861778"/>
    <w:rsid w:val="0086289E"/>
    <w:rsid w:val="00862925"/>
    <w:rsid w:val="008C2583"/>
    <w:rsid w:val="008D6579"/>
    <w:rsid w:val="008E7E8D"/>
    <w:rsid w:val="00940830"/>
    <w:rsid w:val="00990976"/>
    <w:rsid w:val="009D501C"/>
    <w:rsid w:val="009F4EF3"/>
    <w:rsid w:val="00A33B5E"/>
    <w:rsid w:val="00A33FF0"/>
    <w:rsid w:val="00A47442"/>
    <w:rsid w:val="00A523F9"/>
    <w:rsid w:val="00A60EA2"/>
    <w:rsid w:val="00AB6054"/>
    <w:rsid w:val="00AD30A2"/>
    <w:rsid w:val="00AE5F5F"/>
    <w:rsid w:val="00B520DD"/>
    <w:rsid w:val="00B91967"/>
    <w:rsid w:val="00B94408"/>
    <w:rsid w:val="00BD45CF"/>
    <w:rsid w:val="00C01B68"/>
    <w:rsid w:val="00C11487"/>
    <w:rsid w:val="00C1198C"/>
    <w:rsid w:val="00C269DD"/>
    <w:rsid w:val="00C363C6"/>
    <w:rsid w:val="00C4714B"/>
    <w:rsid w:val="00C62A09"/>
    <w:rsid w:val="00CC282E"/>
    <w:rsid w:val="00CC69F2"/>
    <w:rsid w:val="00CF0D74"/>
    <w:rsid w:val="00D1193F"/>
    <w:rsid w:val="00D55C40"/>
    <w:rsid w:val="00D71EBA"/>
    <w:rsid w:val="00DA1BDD"/>
    <w:rsid w:val="00DC15B5"/>
    <w:rsid w:val="00DC3C88"/>
    <w:rsid w:val="00DC6A66"/>
    <w:rsid w:val="00DD5E00"/>
    <w:rsid w:val="00E02973"/>
    <w:rsid w:val="00E17FD4"/>
    <w:rsid w:val="00EE784D"/>
    <w:rsid w:val="00F03060"/>
    <w:rsid w:val="00F05CAA"/>
    <w:rsid w:val="00F4370F"/>
    <w:rsid w:val="00F63531"/>
    <w:rsid w:val="00F80994"/>
    <w:rsid w:val="00FB279F"/>
    <w:rsid w:val="00FC4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ADA"/>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38C4388889164EF79F2F36295DAF2652">
    <w:name w:val="38C4388889164EF79F2F36295DAF2652"/>
    <w:rsid w:val="005F0ADA"/>
    <w:pPr>
      <w:spacing w:line="278" w:lineRule="auto"/>
    </w:pPr>
    <w:rPr>
      <w:kern w:val="2"/>
      <w:sz w:val="24"/>
      <w:szCs w:val="24"/>
      <w14:ligatures w14:val="standardContextual"/>
    </w:rPr>
  </w:style>
  <w:style w:type="paragraph" w:customStyle="1" w:styleId="0D4FAF7B9A8E4D57B2B5C5E1F1170ACB">
    <w:name w:val="0D4FAF7B9A8E4D57B2B5C5E1F1170ACB"/>
    <w:rsid w:val="005F0ADA"/>
    <w:pPr>
      <w:spacing w:line="278" w:lineRule="auto"/>
    </w:pPr>
    <w:rPr>
      <w:kern w:val="2"/>
      <w:sz w:val="24"/>
      <w:szCs w:val="24"/>
      <w14:ligatures w14:val="standardContextual"/>
    </w:rPr>
  </w:style>
  <w:style w:type="paragraph" w:customStyle="1" w:styleId="F0F12F16F9DC497B85B62E325CC72A54">
    <w:name w:val="F0F12F16F9DC497B85B62E325CC72A54"/>
    <w:rsid w:val="005F0ADA"/>
    <w:pPr>
      <w:spacing w:line="278" w:lineRule="auto"/>
    </w:pPr>
    <w:rPr>
      <w:kern w:val="2"/>
      <w:sz w:val="24"/>
      <w:szCs w:val="24"/>
      <w14:ligatures w14:val="standardContextual"/>
    </w:rPr>
  </w:style>
  <w:style w:type="paragraph" w:customStyle="1" w:styleId="44A516C976744553A16103A31B359EBF">
    <w:name w:val="44A516C976744553A16103A31B359EBF"/>
    <w:rsid w:val="005F0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A6B74-1439-4162-8731-3B6FAC081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CA928-F83B-4507-A83F-468D1F439B5D}">
  <ds:schemaRefs>
    <ds:schemaRef ds:uri="http://schemas.microsoft.com/sharepoint/v3/contenttype/forms"/>
  </ds:schemaRefs>
</ds:datastoreItem>
</file>

<file path=customXml/itemProps3.xml><?xml version="1.0" encoding="utf-8"?>
<ds:datastoreItem xmlns:ds="http://schemas.openxmlformats.org/officeDocument/2006/customXml" ds:itemID="{D9C77A8E-472F-4C8C-9ADD-7564A54F33DE}">
  <ds:schemaRefs>
    <ds:schemaRef ds:uri="http://schemas.openxmlformats.org/officeDocument/2006/bibliography"/>
  </ds:schemaRefs>
</ds:datastoreItem>
</file>

<file path=customXml/itemProps4.xml><?xml version="1.0" encoding="utf-8"?>
<ds:datastoreItem xmlns:ds="http://schemas.openxmlformats.org/officeDocument/2006/customXml" ds:itemID="{A9F3E2BE-3265-4817-BCD4-B0AFEEF0B473}">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Impact Assessment</dc:title>
  <dc:subject/>
  <dc:creator>Ricketts Simon (GO-Science)</dc:creator>
  <keywords/>
  <dc:description/>
  <lastModifiedBy>Ina Rexhepaj</lastModifiedBy>
  <revision>5</revision>
  <lastPrinted>2025-01-09T17:26:00.0000000Z</lastPrinted>
  <dcterms:created xsi:type="dcterms:W3CDTF">2025-12-15T09:03:00.0000000Z</dcterms:created>
  <dcterms:modified xsi:type="dcterms:W3CDTF">2025-12-15T09:39:58.1683094Z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y fmtid="{D5CDD505-2E9C-101B-9397-08002B2CF9AE}" pid="4" name="ContentTypeId">
    <vt:lpwstr>0x01010083FC2A886F6FE144A0D83744568D8B49</vt:lpwstr>
  </property>
</Properties>
</file>