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Pr="00DE3C8B" w:rsidRDefault="0024491D" w:rsidP="002449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14713A24" w14:textId="77777777" w:rsidR="008735E4" w:rsidRPr="00DE3C8B" w:rsidRDefault="008735E4" w:rsidP="002449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F4E3F31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37DB05CE" w14:textId="62270DC4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Projektligji “Për disa shtesa dhe ndryshime ne ligjin nr. 9901, datë 14.04.2008, “Për Tregtarët dhe Shoqëritë Tregtare”, i ndryshuar .</w:t>
      </w:r>
    </w:p>
    <w:p w14:paraId="687A82DB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FAEF4A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22B6C15C" w14:textId="57719F6C" w:rsidR="008735E4" w:rsidRPr="00DE3C8B" w:rsidRDefault="008735E4" w:rsidP="001F118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përfshirë datën e hapjes dhe mbylljes së konsultimeve publike; nëse kohëzgjatja ishte më e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shkurtër se 20 ditë pune e paraparë me ligj, jepni arsye për shkurtimin e kohëzgjatjes.</w:t>
      </w:r>
    </w:p>
    <w:p w14:paraId="5824ADA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1227BC16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Konsultimet në portalin e Regjistrit Elektronik për Njoftimet dhe Konsultimet Publike: 20 ditë</w:t>
      </w:r>
    </w:p>
    <w:p w14:paraId="19676399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Pune, 11.08.2025 – 08.09.2025, bazuar në ligjin 146/2014 “Për njoftimin dhe konsultimin publik”.</w:t>
      </w:r>
    </w:p>
    <w:p w14:paraId="2E64A2A0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BF96E2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020C563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</w:t>
      </w:r>
    </w:p>
    <w:p w14:paraId="11991AFA" w14:textId="70C7415B" w:rsidR="008735E4" w:rsidRPr="00DE3C8B" w:rsidRDefault="008735E4" w:rsidP="001F118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Elektronik, posta elektronike, faqet e internetit, etj.), Takimet publike, seancat e organevekëshilluese…, dhe siguroni informacione për afatin kohor, kohëzgjatjen dhe afatet e 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tyre.</w:t>
      </w:r>
    </w:p>
    <w:p w14:paraId="39BEACE8" w14:textId="77777777" w:rsidR="001F118E" w:rsidRDefault="008735E4" w:rsidP="001F118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30DD5FC9" w14:textId="22308082" w:rsidR="008735E4" w:rsidRPr="00DE3C8B" w:rsidRDefault="008735E4" w:rsidP="001F118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37B0823A" w14:textId="77777777" w:rsidR="008735E4" w:rsidRPr="001F118E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4"/>
          <w:szCs w:val="14"/>
          <w:lang w:val="sq-AL"/>
        </w:rPr>
      </w:pPr>
    </w:p>
    <w:p w14:paraId="0980CD9B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Metodat e konsultimit publik të përdorura si vijon:</w:t>
      </w:r>
    </w:p>
    <w:p w14:paraId="4C0E2822" w14:textId="53AEB767" w:rsidR="008735E4" w:rsidRPr="00DE3C8B" w:rsidRDefault="00FD167D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8735E4" w:rsidRPr="00DE3C8B">
        <w:rPr>
          <w:rFonts w:ascii="Times New Roman" w:hAnsi="Times New Roman" w:cs="Times New Roman"/>
          <w:sz w:val="24"/>
          <w:szCs w:val="24"/>
          <w:lang w:val="sq-AL"/>
        </w:rPr>
        <w:t>. Konsultimi në portalin “</w:t>
      </w:r>
      <w:r w:rsidR="00387725" w:rsidRPr="00DE3C8B">
        <w:rPr>
          <w:rFonts w:ascii="Times New Roman" w:hAnsi="Times New Roman" w:cs="Times New Roman"/>
          <w:sz w:val="24"/>
          <w:szCs w:val="24"/>
          <w:lang w:val="sq-AL"/>
        </w:rPr>
        <w:t>Regjistri</w:t>
      </w:r>
      <w:r w:rsidR="008735E4"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 Elektronik për Njoftimet dhe Konsultimet Publike” për periudhën 11.08.2025 – 08.09.2025. Përmes publikimit në RENJK, në zbatim të ligjit 146/2014, janë ftuar qytetarë, ekspertë të fushës, shoqata dhe përfaqësues të tjerë të publikut të interesuar për të kontribuar përgjatë procesit të konsultimit publik, </w:t>
      </w:r>
      <w:r w:rsidR="00387725" w:rsidRPr="00DE3C8B">
        <w:rPr>
          <w:rFonts w:ascii="Times New Roman" w:hAnsi="Times New Roman" w:cs="Times New Roman"/>
          <w:sz w:val="24"/>
          <w:szCs w:val="24"/>
          <w:lang w:val="sq-AL"/>
        </w:rPr>
        <w:t>projektligjit</w:t>
      </w:r>
      <w:r w:rsidR="008735E4"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, relacionin shpjegues, të publikuar në RENJK ku çdo i interesuar është njohur me dokumentet përkatëse. Gjithashtu, institucionet me të cilat është kryer konsultimi janë njohur me këto dokumente. </w:t>
      </w:r>
    </w:p>
    <w:p w14:paraId="562673AC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Nga publikimi në RENJK janë pritur komente të përgjithshme publike, kryesisht mbi parashikimet për:</w:t>
      </w:r>
    </w:p>
    <w:p w14:paraId="1C3066BA" w14:textId="77777777" w:rsidR="008735E4" w:rsidRPr="001F118E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14:paraId="155F0B2F" w14:textId="42A15B2A" w:rsidR="00E741E9" w:rsidRPr="00DE3C8B" w:rsidRDefault="00E741E9" w:rsidP="00E741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1. Përgjegjësia e Personit Fizik Tregtar (PFT) (Neni 2) : Duhet të qartësohet se Personat Fizikë Tregtarë (PFT) dhe individët e lidhur me ta nuk kanë personalitet juridik të ndarë.</w:t>
      </w:r>
    </w:p>
    <w:p w14:paraId="01360B13" w14:textId="4627E062" w:rsidR="00E741E9" w:rsidRPr="00DE3C8B" w:rsidRDefault="00E741E9" w:rsidP="00E741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2. Regjistrimi dhe Degët e Zyrat e Përfaqësimit (Neni 5/1 dhe Pika 5) : Regjistrimi në distancë duhet të mundësohet edhe për llojet e tjera të subjekteve tregtare (përveç atyre ekzistuese).</w:t>
      </w:r>
    </w:p>
    <w:p w14:paraId="13093891" w14:textId="3643F0F6" w:rsidR="00E741E9" w:rsidRPr="00DE3C8B" w:rsidRDefault="00E741E9" w:rsidP="001E7AA0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3. Dënimet dhe Marrja e Vendimeve (Neni 3, Pika 1/1 (i) dhe (b)) Qartësimi i dënimit (Neni 3, Pika 1/1 (i)): Duhet të sqarohet se bëhet fjalë për personat që janë dënuar me vendim të formës së prerë</w:t>
      </w:r>
      <w:r w:rsidR="001E7AA0" w:rsidRPr="00DE3C8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543C830" w14:textId="0E97C041" w:rsidR="00FD167D" w:rsidRPr="00DE3C8B" w:rsidRDefault="00E741E9" w:rsidP="001F118E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4. Emërimi/Ri-emërimi në Organet Drejtuese</w:t>
      </w:r>
      <w:r w:rsidR="001E7AA0"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DE3C8B">
        <w:rPr>
          <w:rFonts w:ascii="Times New Roman" w:hAnsi="Times New Roman" w:cs="Times New Roman"/>
          <w:sz w:val="24"/>
          <w:szCs w:val="24"/>
          <w:lang w:val="sq-AL"/>
        </w:rPr>
        <w:t>Ri-emërimi: Përveç rasteve të emërimit fillestar të një personi si administrator apo anëtar i organit drejtues ose mbikëqyrës, duhet të specifikohet edhe për rastet e ri-emërimit të tij në këto organe.</w:t>
      </w:r>
    </w:p>
    <w:p w14:paraId="6D5A7CA4" w14:textId="66F65444" w:rsidR="00FD167D" w:rsidRPr="00DE3C8B" w:rsidRDefault="00FD167D" w:rsidP="001F1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b. Projektligji është dërguar mendim pranë Ministrisë së Drejtësisë,  Ministrisë së </w:t>
      </w:r>
      <w:r w:rsidR="00DE3C8B" w:rsidRPr="00DE3C8B">
        <w:rPr>
          <w:rFonts w:ascii="Times New Roman" w:hAnsi="Times New Roman" w:cs="Times New Roman"/>
          <w:sz w:val="24"/>
          <w:szCs w:val="24"/>
          <w:lang w:val="sq-AL"/>
        </w:rPr>
        <w:t>Turizmit</w:t>
      </w:r>
      <w:r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, Kulturës dhe Sportit, Ministrit të Shtetit për Pushtetin Vendor, Ministrisë së Bujqësisë dhe Zhvillimit Rural, Ministrisë për Evropën dhe Punët e Jashtme, Ministria e Arsimit, Ministria e Punëve te Brendshme, Ministria e Shëndetësisë, dhe Mirëqenies Sociale, Ministria e Mbrojtjes, Ministria e Mjedisit, Ministri i Shtetit dhe Kryenegociator, ministri i Shtetit për </w:t>
      </w:r>
      <w:r w:rsidR="00DE3C8B" w:rsidRPr="00DE3C8B">
        <w:rPr>
          <w:rFonts w:ascii="Times New Roman" w:hAnsi="Times New Roman" w:cs="Times New Roman"/>
          <w:sz w:val="24"/>
          <w:szCs w:val="24"/>
          <w:lang w:val="sq-AL"/>
        </w:rPr>
        <w:t>Marrëdhëniet</w:t>
      </w:r>
      <w:r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 me Parlamentin, ministri i shtetit për  </w:t>
      </w:r>
      <w:r w:rsidR="00DE3C8B" w:rsidRPr="00DE3C8B">
        <w:rPr>
          <w:rFonts w:ascii="Times New Roman" w:hAnsi="Times New Roman" w:cs="Times New Roman"/>
          <w:sz w:val="24"/>
          <w:szCs w:val="24"/>
          <w:lang w:val="sq-AL"/>
        </w:rPr>
        <w:t>Administratën</w:t>
      </w:r>
      <w:r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 Publike dhe Antikorupsionin. Agjencisë Kombëtare të Shoqërisë së Informacionit.</w:t>
      </w:r>
    </w:p>
    <w:p w14:paraId="6900EDA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AAF57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6C7D7C3E" w14:textId="233F78E2" w:rsidR="008735E4" w:rsidRPr="00DE3C8B" w:rsidRDefault="008735E4" w:rsidP="0038772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Listoni të gjithë palët e interesuara, qoftë organizata apo individë, të cilët kanë dhënë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komente/kontribut në konsultimet publike përmes metodave të ndryshme të konsultimit, gjatë</w:t>
      </w:r>
    </w:p>
    <w:p w14:paraId="2514450B" w14:textId="77777777" w:rsidR="008735E4" w:rsidRPr="00DE3C8B" w:rsidRDefault="008735E4" w:rsidP="0038772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gjithë procesit të hartimit.</w:t>
      </w:r>
    </w:p>
    <w:p w14:paraId="24B33897" w14:textId="13E7D95A" w:rsidR="008735E4" w:rsidRPr="00DE3C8B" w:rsidRDefault="008735E4" w:rsidP="001F118E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Përmendni gjithashtu numrin dhe strukturën e palëve të interesuara që morën pjesë në takime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publike ose seanca të organeve këshilluese.</w:t>
      </w:r>
    </w:p>
    <w:p w14:paraId="0A8EB746" w14:textId="77777777" w:rsidR="008735E4" w:rsidRPr="00DE3C8B" w:rsidRDefault="008735E4" w:rsidP="0038772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Specifikoni palët e interesuara që morën pjesë në grupin e punës për hartimin e aktit.</w:t>
      </w:r>
    </w:p>
    <w:p w14:paraId="2019B7AC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15A800A7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Palët e interesuara, të cilat morën pjesë në konsultimin e këtij projektakti janë: </w:t>
      </w:r>
    </w:p>
    <w:p w14:paraId="692DBED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-Shoqatat e biznesit (FIAA, etj)</w:t>
      </w:r>
    </w:p>
    <w:p w14:paraId="6B181409" w14:textId="37B9FE23" w:rsidR="008735E4" w:rsidRPr="00DE3C8B" w:rsidRDefault="008735E4" w:rsidP="001F1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-Qytetarë, ekspertë të fushës, dhe përfaqësues të tjerë të publikut të interesuar për të kontribuar përgjatë procesit të konsultimit publik</w:t>
      </w:r>
    </w:p>
    <w:p w14:paraId="0222F97C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C9BBCD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b/>
          <w:bCs/>
          <w:sz w:val="24"/>
          <w:szCs w:val="24"/>
          <w:lang w:val="sq-AL"/>
        </w:rPr>
        <w:t>1. Pasqyra e komenteve të pranuara me arsyetimin e komenteve të pranuara/refuzuara</w:t>
      </w:r>
    </w:p>
    <w:p w14:paraId="60367254" w14:textId="3451B992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Gruponi komentet/ propozim</w:t>
      </w:r>
      <w:r w:rsidR="001F118E">
        <w:rPr>
          <w:rFonts w:ascii="Times New Roman" w:hAnsi="Times New Roman" w:cs="Times New Roman"/>
          <w:i/>
          <w:iCs/>
          <w:sz w:val="24"/>
          <w:szCs w:val="24"/>
          <w:lang w:val="sq-AL"/>
        </w:rPr>
        <w:t>e</w:t>
      </w: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23CCDC9B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537E2DB" w14:textId="77777777" w:rsidR="008735E4" w:rsidRPr="00DE3C8B" w:rsidRDefault="008735E4" w:rsidP="008735E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2F99EE0D" w14:textId="77777777" w:rsidR="008735E4" w:rsidRPr="00DE3C8B" w:rsidRDefault="008735E4" w:rsidP="0024491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4B608959" w14:textId="7E9CB736" w:rsidR="00530314" w:rsidRPr="00DE3C8B" w:rsidRDefault="0024491D" w:rsidP="00244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E3C8B">
        <w:rPr>
          <w:rFonts w:ascii="Times New Roman" w:hAnsi="Times New Roman" w:cs="Times New Roman"/>
          <w:sz w:val="24"/>
          <w:szCs w:val="24"/>
          <w:lang w:val="sq-AL"/>
        </w:rPr>
        <w:t>Në tabelën e mëposhtme paraqiten komentet e pranuara</w:t>
      </w:r>
      <w:r w:rsidR="004D12F0" w:rsidRPr="00DE3C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E3C8B">
        <w:rPr>
          <w:rFonts w:ascii="Times New Roman" w:hAnsi="Times New Roman" w:cs="Times New Roman"/>
          <w:sz w:val="24"/>
          <w:szCs w:val="24"/>
          <w:lang w:val="sq-AL"/>
        </w:rPr>
        <w:t>në lidhje me këtë projektakt:</w:t>
      </w:r>
    </w:p>
    <w:p w14:paraId="4A90DB59" w14:textId="77777777" w:rsidR="0024491D" w:rsidRPr="00DE3C8B" w:rsidRDefault="0024491D" w:rsidP="00244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2603"/>
        <w:gridCol w:w="1608"/>
        <w:gridCol w:w="1320"/>
        <w:gridCol w:w="1864"/>
      </w:tblGrid>
      <w:tr w:rsidR="0014588A" w:rsidRPr="00DE3C8B" w14:paraId="7F61987B" w14:textId="77777777" w:rsidTr="00274ECF">
        <w:tc>
          <w:tcPr>
            <w:tcW w:w="1644" w:type="dxa"/>
          </w:tcPr>
          <w:p w14:paraId="455D0057" w14:textId="20B7BC8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Çështja</w:t>
            </w:r>
            <w:r w:rsidR="002F26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adresuar</w:t>
            </w:r>
          </w:p>
          <w:p w14:paraId="1BE2E6AB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(psh. përkufizimi i</w:t>
            </w:r>
          </w:p>
          <w:p w14:paraId="6AB7F886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 i…, kushtet për</w:t>
            </w:r>
          </w:p>
          <w:p w14:paraId="2EC614AE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regjistrimin e…,</w:t>
            </w:r>
          </w:p>
          <w:p w14:paraId="0014358D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rregullimi i…,</w:t>
            </w:r>
          </w:p>
          <w:p w14:paraId="7409A01B" w14:textId="225709A3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etj.)</w:t>
            </w:r>
          </w:p>
        </w:tc>
        <w:tc>
          <w:tcPr>
            <w:tcW w:w="2496" w:type="dxa"/>
          </w:tcPr>
          <w:p w14:paraId="08F6DCE2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Komenti</w:t>
            </w:r>
          </w:p>
          <w:p w14:paraId="01847C88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(grumbulloni dhe</w:t>
            </w:r>
          </w:p>
          <w:p w14:paraId="52AA2A3F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përmblidhni komente</w:t>
            </w:r>
          </w:p>
          <w:p w14:paraId="65239F9B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identike/të ngjashme</w:t>
            </w:r>
          </w:p>
          <w:p w14:paraId="22AEF81E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palët e ndryshme të</w:t>
            </w:r>
          </w:p>
          <w:p w14:paraId="3050147C" w14:textId="2D716593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interesuara së bashku)</w:t>
            </w:r>
          </w:p>
        </w:tc>
        <w:tc>
          <w:tcPr>
            <w:tcW w:w="1675" w:type="dxa"/>
          </w:tcPr>
          <w:p w14:paraId="5D561542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Palët e interesuara</w:t>
            </w:r>
          </w:p>
          <w:p w14:paraId="4A7A6F73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(renditni të gjithë</w:t>
            </w:r>
          </w:p>
          <w:p w14:paraId="56126CE3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ata që adresuan</w:t>
            </w:r>
          </w:p>
          <w:p w14:paraId="1BE81FB4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çështjen në mënyrë</w:t>
            </w:r>
          </w:p>
          <w:p w14:paraId="0B2EA973" w14:textId="3314EAB3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ngjashme)</w:t>
            </w:r>
          </w:p>
        </w:tc>
        <w:tc>
          <w:tcPr>
            <w:tcW w:w="1330" w:type="dxa"/>
          </w:tcPr>
          <w:p w14:paraId="3AADDC50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Vendimi</w:t>
            </w:r>
          </w:p>
          <w:p w14:paraId="3AE9CB5E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(i pranuar/i</w:t>
            </w:r>
          </w:p>
          <w:p w14:paraId="362BBAFA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pranuar</w:t>
            </w:r>
          </w:p>
          <w:p w14:paraId="46B0DCE4" w14:textId="7777777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pjesërisht/i</w:t>
            </w:r>
          </w:p>
          <w:p w14:paraId="1827506F" w14:textId="0A16E90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refuzuar)</w:t>
            </w:r>
          </w:p>
        </w:tc>
        <w:tc>
          <w:tcPr>
            <w:tcW w:w="1871" w:type="dxa"/>
          </w:tcPr>
          <w:p w14:paraId="374579E2" w14:textId="4CF7D897" w:rsidR="0024491D" w:rsidRPr="00DE3C8B" w:rsidRDefault="0024491D" w:rsidP="00244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406A60" w:rsidRPr="001F118E" w14:paraId="54CB7FB6" w14:textId="77777777" w:rsidTr="00274ECF">
        <w:tc>
          <w:tcPr>
            <w:tcW w:w="1644" w:type="dxa"/>
            <w:vAlign w:val="center"/>
          </w:tcPr>
          <w:p w14:paraId="1D895F35" w14:textId="37D4F110" w:rsidR="00406A60" w:rsidRPr="00DE3C8B" w:rsidRDefault="00BE0263" w:rsidP="00406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406A6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Lidhur me Përgjegjësinë e Personit Fizik Tregtar (PFT) (Neni 2 </w:t>
            </w:r>
            <w:r w:rsidR="00406A6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i ligjit ekzistues)</w:t>
            </w:r>
          </w:p>
        </w:tc>
        <w:tc>
          <w:tcPr>
            <w:tcW w:w="2496" w:type="dxa"/>
          </w:tcPr>
          <w:p w14:paraId="6B1BF2DB" w14:textId="0192AC50" w:rsidR="00BE0263" w:rsidRPr="00DE3C8B" w:rsidRDefault="00BE0263" w:rsidP="003230B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-Duhet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C28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qartësoh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personat fizik tregtar dhe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individët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lidhur me ta nuk kan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personalitet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ndar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Individët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përgjigjen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personalisht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detyrimet e personit fizik tregtar. Kjo vlen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gjith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PF tregtare, dhe jo vet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nj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caktuar veprimtarie.</w:t>
            </w:r>
          </w:p>
          <w:p w14:paraId="3A164387" w14:textId="63CDD973" w:rsidR="00406A60" w:rsidRPr="00DE3C8B" w:rsidRDefault="00406A60" w:rsidP="00406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2972A1" w14:textId="5E72D285" w:rsidR="00406A60" w:rsidRPr="00DE3C8B" w:rsidRDefault="00406A60" w:rsidP="00406A6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675" w:type="dxa"/>
          </w:tcPr>
          <w:p w14:paraId="681F4322" w14:textId="32B59C7B" w:rsidR="00406A60" w:rsidRPr="00DE3C8B" w:rsidRDefault="00BA198E" w:rsidP="00406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FI</w:t>
            </w:r>
            <w:r w:rsidR="00F34D5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</w:p>
        </w:tc>
        <w:tc>
          <w:tcPr>
            <w:tcW w:w="1330" w:type="dxa"/>
          </w:tcPr>
          <w:p w14:paraId="125F557C" w14:textId="5A4BA72B" w:rsidR="00406A60" w:rsidRPr="00DE3C8B" w:rsidRDefault="00BA198E" w:rsidP="00406A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871" w:type="dxa"/>
          </w:tcPr>
          <w:p w14:paraId="6E5F3043" w14:textId="45B59213" w:rsidR="00406A60" w:rsidRPr="00DE3C8B" w:rsidRDefault="005C2890" w:rsidP="00406A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Shqetësimi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drejt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 kjo nuk 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procesit te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rafrimit k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shtu 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nuk kemi mandat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91782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ta adresuar</w:t>
            </w:r>
            <w:r w:rsidR="002F26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3365DD" w:rsidRPr="001F118E" w14:paraId="283BBA75" w14:textId="77777777" w:rsidTr="00274ECF">
        <w:tc>
          <w:tcPr>
            <w:tcW w:w="1644" w:type="dxa"/>
          </w:tcPr>
          <w:p w14:paraId="0DC3C0AD" w14:textId="2D2A9FE6" w:rsidR="00D21C46" w:rsidRPr="00DE3C8B" w:rsidRDefault="003365DD" w:rsidP="00D21C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-Lidhur me </w:t>
            </w:r>
            <w:r w:rsidR="00D21C46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Nenin 5/1 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Regjistrimi n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distanc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E3C8B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mundësohet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pe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21C46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llojet e tjera te subjekteve tregtare. </w:t>
            </w:r>
          </w:p>
          <w:p w14:paraId="1C0552D9" w14:textId="29C35F6D" w:rsidR="003365DD" w:rsidRPr="00DE3C8B" w:rsidRDefault="003365D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96" w:type="dxa"/>
          </w:tcPr>
          <w:p w14:paraId="5FA23CD3" w14:textId="42ED157A" w:rsidR="007B46B0" w:rsidRPr="00DE3C8B" w:rsidRDefault="003365DD" w:rsidP="003230B6">
            <w:pPr>
              <w:pStyle w:val="CommentText"/>
              <w:rPr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DE3C8B">
              <w:rPr>
                <w:sz w:val="24"/>
                <w:szCs w:val="24"/>
                <w:lang w:val="sq-AL"/>
              </w:rPr>
              <w:t>-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</w:t>
            </w:r>
            <w:r w:rsidR="00DE3C8B" w:rsidRPr="00DE3C8B">
              <w:rPr>
                <w:sz w:val="24"/>
                <w:szCs w:val="24"/>
                <w:lang w:val="sq-AL"/>
              </w:rPr>
              <w:t>Për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t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mos pasur p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rs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ritje t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p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rcaktimeve t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k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tij ligji me ligje te tjera (psh me ligin p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r regjistrimin e biznesit), mendojm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q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vet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>m t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 b</w:t>
            </w:r>
            <w:r w:rsidR="00E63887">
              <w:rPr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sz w:val="24"/>
                <w:szCs w:val="24"/>
                <w:lang w:val="sq-AL"/>
              </w:rPr>
              <w:t xml:space="preserve">het </w:t>
            </w:r>
            <w:r w:rsidR="007B46B0" w:rsidRPr="00DE3C8B">
              <w:rPr>
                <w:b/>
                <w:bCs/>
                <w:i/>
                <w:iCs/>
                <w:sz w:val="24"/>
                <w:szCs w:val="24"/>
                <w:lang w:val="sq-AL"/>
              </w:rPr>
              <w:t>riformulim i pik</w:t>
            </w:r>
            <w:r w:rsidR="00E63887">
              <w:rPr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b/>
                <w:bCs/>
                <w:i/>
                <w:iCs/>
                <w:sz w:val="24"/>
                <w:szCs w:val="24"/>
                <w:lang w:val="sq-AL"/>
              </w:rPr>
              <w:t>s 5 si m</w:t>
            </w:r>
            <w:r w:rsidR="00E63887">
              <w:rPr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b/>
                <w:bCs/>
                <w:i/>
                <w:iCs/>
                <w:sz w:val="24"/>
                <w:szCs w:val="24"/>
                <w:lang w:val="sq-AL"/>
              </w:rPr>
              <w:t xml:space="preserve"> posht</w:t>
            </w:r>
            <w:r w:rsidR="00E63887">
              <w:rPr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7B46B0" w:rsidRPr="00DE3C8B">
              <w:rPr>
                <w:b/>
                <w:bCs/>
                <w:i/>
                <w:iCs/>
                <w:sz w:val="24"/>
                <w:szCs w:val="24"/>
                <w:lang w:val="sq-AL"/>
              </w:rPr>
              <w:t xml:space="preserve">: </w:t>
            </w:r>
          </w:p>
          <w:p w14:paraId="6E044F5A" w14:textId="77777777" w:rsidR="007B46B0" w:rsidRPr="00DE3C8B" w:rsidRDefault="007B46B0" w:rsidP="003230B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5. Degët dhe zyrat e përfaqësimit të shoqërive të huaja regjistrohen sipas kërkesave të legjislacionit të zbatueshëm për regjistrimin e biznesit</w:t>
            </w:r>
          </w:p>
          <w:p w14:paraId="1348066F" w14:textId="366534B2" w:rsidR="003365DD" w:rsidRPr="00DE3C8B" w:rsidRDefault="003365DD" w:rsidP="00611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2B7B42" w14:textId="77777777" w:rsidR="003365DD" w:rsidRPr="00DE3C8B" w:rsidRDefault="003365D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246FE4" w14:textId="77777777" w:rsidR="003365DD" w:rsidRPr="00DE3C8B" w:rsidRDefault="003365DD" w:rsidP="006117A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675" w:type="dxa"/>
          </w:tcPr>
          <w:p w14:paraId="48E53A4C" w14:textId="77777777" w:rsidR="003365DD" w:rsidRPr="00DE3C8B" w:rsidRDefault="003365D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FIAA</w:t>
            </w:r>
          </w:p>
        </w:tc>
        <w:tc>
          <w:tcPr>
            <w:tcW w:w="1330" w:type="dxa"/>
          </w:tcPr>
          <w:p w14:paraId="1CFA3F7E" w14:textId="77777777" w:rsidR="003365DD" w:rsidRPr="00DE3C8B" w:rsidRDefault="003365D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871" w:type="dxa"/>
          </w:tcPr>
          <w:p w14:paraId="47627BFF" w14:textId="1DC9C8B5" w:rsidR="003365DD" w:rsidRPr="00DE3C8B" w:rsidRDefault="00DE3C8B" w:rsidP="00611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</w:t>
            </w:r>
            <w:r w:rsidR="00635821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ndjekur gjuha e</w:t>
            </w:r>
            <w:r w:rsidR="002F26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direktivës</w:t>
            </w:r>
            <w:r w:rsidR="002F26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051A3D" w:rsidRPr="001F118E" w14:paraId="66C68DD6" w14:textId="77777777" w:rsidTr="00274ECF">
        <w:tc>
          <w:tcPr>
            <w:tcW w:w="1644" w:type="dxa"/>
          </w:tcPr>
          <w:p w14:paraId="08390E12" w14:textId="59720E12" w:rsidR="00F42CA4" w:rsidRPr="00DE3C8B" w:rsidRDefault="00051A3D" w:rsidP="00F4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F42CA4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Neni 3 pika 1/1 (i) ...jane denuar</w:t>
            </w:r>
            <w:r w:rsidR="00427273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73097D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62CEE632" w14:textId="0FDD7FB1" w:rsidR="00051A3D" w:rsidRPr="00DE3C8B" w:rsidRDefault="00051A3D" w:rsidP="00611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14:paraId="36620699" w14:textId="77777777" w:rsidR="00051A3D" w:rsidRPr="00DE3C8B" w:rsidRDefault="00051A3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96" w:type="dxa"/>
          </w:tcPr>
          <w:p w14:paraId="27668654" w14:textId="740469D4" w:rsidR="00474673" w:rsidRPr="00DE3C8B" w:rsidRDefault="00051A3D" w:rsidP="00474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Sugjerojm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sqarohet se b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 fjal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personat q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 dënuar me vendim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prer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D31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Rrjedhimisht edhe pika ½ duhet te modifikohet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qart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 fjal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vendime penale t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prer</w:t>
            </w:r>
            <w:r w:rsidR="00E638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74673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B46C9D3" w14:textId="233BFD9D" w:rsidR="00051A3D" w:rsidRPr="00DE3C8B" w:rsidRDefault="00051A3D" w:rsidP="00611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B97208" w14:textId="77777777" w:rsidR="00051A3D" w:rsidRPr="00DE3C8B" w:rsidRDefault="00051A3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58503C" w14:textId="77777777" w:rsidR="00051A3D" w:rsidRPr="00DE3C8B" w:rsidRDefault="00051A3D" w:rsidP="006117A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675" w:type="dxa"/>
          </w:tcPr>
          <w:p w14:paraId="750AD187" w14:textId="77777777" w:rsidR="00051A3D" w:rsidRPr="00DE3C8B" w:rsidRDefault="00051A3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FIAA</w:t>
            </w:r>
          </w:p>
        </w:tc>
        <w:tc>
          <w:tcPr>
            <w:tcW w:w="1330" w:type="dxa"/>
          </w:tcPr>
          <w:p w14:paraId="3B15300A" w14:textId="252F4B58" w:rsidR="00051A3D" w:rsidRPr="00DE3C8B" w:rsidRDefault="00CA7818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871" w:type="dxa"/>
          </w:tcPr>
          <w:p w14:paraId="7E5EE611" w14:textId="77777777" w:rsidR="00514FBD" w:rsidRPr="00DE3C8B" w:rsidRDefault="00514FBD" w:rsidP="00514F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a)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Neni 13/3 ka pikerisht kete togfjalesh:  Neni 13/3</w:t>
            </w:r>
          </w:p>
          <w:p w14:paraId="19AD14D6" w14:textId="77777777" w:rsidR="00514FBD" w:rsidRPr="00DE3C8B" w:rsidRDefault="00514FBD" w:rsidP="00514F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Kushtet për skualifikimin e anëtarëve të këshillit dhe administratorëve</w:t>
            </w:r>
          </w:p>
          <w:p w14:paraId="36E0BD2F" w14:textId="763B8D15" w:rsidR="00051A3D" w:rsidRPr="00DE3C8B" w:rsidRDefault="00514FBD" w:rsidP="00514F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Personat, që janë dënuar me vendim të formës së prerë për kryerjen e veprave penale, kundër pasurisë dhe në sferën ekonomike të parashikuara.</w:t>
            </w:r>
          </w:p>
        </w:tc>
      </w:tr>
      <w:tr w:rsidR="00D44C3D" w:rsidRPr="00DE3C8B" w14:paraId="7626EA20" w14:textId="77777777" w:rsidTr="00274ECF">
        <w:tc>
          <w:tcPr>
            <w:tcW w:w="1644" w:type="dxa"/>
          </w:tcPr>
          <w:p w14:paraId="0013B338" w14:textId="7896B378" w:rsidR="00D44C3D" w:rsidRPr="00DE3C8B" w:rsidRDefault="00D44C3D" w:rsidP="00D44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-(Neni 3, pika 1/1 (b)) </w:t>
            </w:r>
            <w:r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pa vonese</w:t>
            </w:r>
          </w:p>
        </w:tc>
        <w:tc>
          <w:tcPr>
            <w:tcW w:w="2496" w:type="dxa"/>
          </w:tcPr>
          <w:p w14:paraId="486FEB58" w14:textId="77777777" w:rsidR="00D44C3D" w:rsidRPr="00DE3C8B" w:rsidRDefault="00D44C3D" w:rsidP="00D44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Mund te caktohet nje afat ne dite, muaj,etj dhe te mos lihet percaktim I pergjithshem</w:t>
            </w:r>
          </w:p>
          <w:p w14:paraId="08A4666A" w14:textId="77777777" w:rsidR="00D44C3D" w:rsidRPr="00DE3C8B" w:rsidRDefault="00D44C3D" w:rsidP="00D44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F9A303" w14:textId="77777777" w:rsidR="00D44C3D" w:rsidRPr="00DE3C8B" w:rsidRDefault="00D44C3D" w:rsidP="00D44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F42003" w14:textId="77777777" w:rsidR="00D44C3D" w:rsidRPr="00DE3C8B" w:rsidRDefault="00D44C3D" w:rsidP="00D44C3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675" w:type="dxa"/>
          </w:tcPr>
          <w:p w14:paraId="5C7CCE95" w14:textId="2057F928" w:rsidR="00D44C3D" w:rsidRPr="00DE3C8B" w:rsidRDefault="00D44C3D" w:rsidP="00D44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FIAA</w:t>
            </w:r>
          </w:p>
        </w:tc>
        <w:tc>
          <w:tcPr>
            <w:tcW w:w="1330" w:type="dxa"/>
          </w:tcPr>
          <w:p w14:paraId="3B0E0C83" w14:textId="5972A3A2" w:rsidR="00D44C3D" w:rsidRPr="00DE3C8B" w:rsidRDefault="00D44C3D" w:rsidP="00D44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871" w:type="dxa"/>
          </w:tcPr>
          <w:p w14:paraId="2502C406" w14:textId="32ABC9F4" w:rsidR="00D44C3D" w:rsidRPr="00DE3C8B" w:rsidRDefault="00D44C3D" w:rsidP="00D44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Vendosur </w:t>
            </w:r>
            <w:r w:rsidR="00274ECF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menjehere</w:t>
            </w:r>
          </w:p>
        </w:tc>
      </w:tr>
      <w:tr w:rsidR="00BD5A9D" w:rsidRPr="001F118E" w14:paraId="5A15F202" w14:textId="77777777" w:rsidTr="00274ECF">
        <w:tc>
          <w:tcPr>
            <w:tcW w:w="1644" w:type="dxa"/>
          </w:tcPr>
          <w:p w14:paraId="445DA84B" w14:textId="26756A23" w:rsidR="00BD5A9D" w:rsidRPr="00DE3C8B" w:rsidRDefault="00274ECF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0F769C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mërimin e një personi si administrator apo anëtar të organit drejtues ose mbikëqyrës</w:t>
            </w:r>
          </w:p>
        </w:tc>
        <w:tc>
          <w:tcPr>
            <w:tcW w:w="2496" w:type="dxa"/>
          </w:tcPr>
          <w:p w14:paraId="5797E3F7" w14:textId="1B13552E" w:rsidR="00BD5A9D" w:rsidRPr="00DE3C8B" w:rsidRDefault="00684B33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4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Duhet të specifikohet edhe për rastet e ri-emërimit të një personi në këto organe drejtuese dhe/ose mbikëqyrëse të një shoqërie tregtare.</w:t>
            </w:r>
          </w:p>
        </w:tc>
        <w:tc>
          <w:tcPr>
            <w:tcW w:w="1675" w:type="dxa"/>
          </w:tcPr>
          <w:p w14:paraId="79117203" w14:textId="77777777" w:rsidR="00BD5A9D" w:rsidRPr="00DE3C8B" w:rsidRDefault="00BD5A9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FIAA</w:t>
            </w:r>
          </w:p>
        </w:tc>
        <w:tc>
          <w:tcPr>
            <w:tcW w:w="1330" w:type="dxa"/>
          </w:tcPr>
          <w:p w14:paraId="2D4FE3E3" w14:textId="77777777" w:rsidR="00BD5A9D" w:rsidRPr="00DE3C8B" w:rsidRDefault="00BD5A9D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871" w:type="dxa"/>
          </w:tcPr>
          <w:p w14:paraId="6CD3F366" w14:textId="019FFBF8" w:rsidR="00502D49" w:rsidRPr="00DE3C8B" w:rsidRDefault="00502D49" w:rsidP="0050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Ligji nuk kufizohet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vetëm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emërimi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 formulimi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qartësisht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perfshin edhe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riemërimet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sepse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togfjalëshi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74ECF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caktuar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 Nuk mund të jenë përfaqësues ligjorë të një shoqërie tregtare</w:t>
            </w:r>
          </w:p>
          <w:p w14:paraId="6CE64C9C" w14:textId="1594141A" w:rsidR="00BD5A9D" w:rsidRPr="00DE3C8B" w:rsidRDefault="00BD5A9D" w:rsidP="00611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51420" w:rsidRPr="00DE3C8B" w14:paraId="3A6BA357" w14:textId="77777777" w:rsidTr="00274ECF">
        <w:tc>
          <w:tcPr>
            <w:tcW w:w="1644" w:type="dxa"/>
          </w:tcPr>
          <w:p w14:paraId="6EA8406F" w14:textId="6F0ADEE0" w:rsidR="00751420" w:rsidRPr="00DE3C8B" w:rsidRDefault="00751420" w:rsidP="00FA1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7A5600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Neni 11</w:t>
            </w:r>
            <w:r w:rsidR="00FA1474" w:rsidRPr="00DE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,( Dispozitat kalimtare)</w:t>
            </w:r>
          </w:p>
        </w:tc>
        <w:tc>
          <w:tcPr>
            <w:tcW w:w="2496" w:type="dxa"/>
          </w:tcPr>
          <w:p w14:paraId="3985ACA8" w14:textId="77777777" w:rsidR="00E63887" w:rsidRPr="00E63887" w:rsidRDefault="00E63887" w:rsidP="00E63887">
            <w:pPr>
              <w:pStyle w:val="CommentText"/>
              <w:rPr>
                <w:sz w:val="24"/>
                <w:szCs w:val="24"/>
                <w:lang w:val="sq-AL"/>
              </w:rPr>
            </w:pPr>
            <w:r w:rsidRPr="00E63887">
              <w:rPr>
                <w:sz w:val="24"/>
                <w:szCs w:val="24"/>
                <w:lang w:val="sq-AL"/>
              </w:rPr>
              <w:t>Tek dispozitat kalimtare të ligjit duhet të shtohet një përcaktim që lidhet me bankat. Duhet të përcaktohet që Bankat zbatojnë Ligjin “Për Bankat në Republikën e Shqipërisë” për rregullat për përbërjen, emërimin dhe kompetencat e Këshillit Mbikëqyrës dhe jo KREU III, “ADMINISTRATORËT DHE KËSHILLI MBIKËQYRËS,</w:t>
            </w:r>
          </w:p>
          <w:p w14:paraId="0ED8F55A" w14:textId="583D8B69" w:rsidR="00751420" w:rsidRPr="00DE3C8B" w:rsidRDefault="00E63887" w:rsidP="00E638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E63887">
              <w:rPr>
                <w:sz w:val="24"/>
                <w:szCs w:val="24"/>
                <w:lang w:val="sq-AL"/>
              </w:rPr>
              <w:t>SISTEMI ME DY NIVELE”.</w:t>
            </w:r>
          </w:p>
        </w:tc>
        <w:tc>
          <w:tcPr>
            <w:tcW w:w="1675" w:type="dxa"/>
          </w:tcPr>
          <w:p w14:paraId="34492BED" w14:textId="77777777" w:rsidR="00751420" w:rsidRPr="00DE3C8B" w:rsidRDefault="00751420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FIAA</w:t>
            </w:r>
          </w:p>
        </w:tc>
        <w:tc>
          <w:tcPr>
            <w:tcW w:w="1330" w:type="dxa"/>
          </w:tcPr>
          <w:p w14:paraId="7626FFB5" w14:textId="77777777" w:rsidR="00751420" w:rsidRPr="00DE3C8B" w:rsidRDefault="00751420" w:rsidP="006117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871" w:type="dxa"/>
          </w:tcPr>
          <w:p w14:paraId="512CB013" w14:textId="73D019A9" w:rsidR="00751420" w:rsidRPr="00DE3C8B" w:rsidRDefault="00DC1E67" w:rsidP="00611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Bankat </w:t>
            </w:r>
            <w:r w:rsidR="001E7AA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zbatojnë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 dy ligjet.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Njëra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nuk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përjashton</w:t>
            </w:r>
            <w:r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C289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tjetrën</w:t>
            </w:r>
            <w:r w:rsidR="001E7AA0" w:rsidRPr="00DE3C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72D346EC" w14:textId="77777777" w:rsidR="0024491D" w:rsidRPr="00DE3C8B" w:rsidRDefault="0024491D" w:rsidP="00244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24491D" w:rsidRPr="00DE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CBF"/>
    <w:multiLevelType w:val="multilevel"/>
    <w:tmpl w:val="A20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A494B"/>
    <w:multiLevelType w:val="hybridMultilevel"/>
    <w:tmpl w:val="7A9C352A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1A64A5E"/>
    <w:multiLevelType w:val="multilevel"/>
    <w:tmpl w:val="9CE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859E5"/>
    <w:multiLevelType w:val="multilevel"/>
    <w:tmpl w:val="D93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C7096"/>
    <w:multiLevelType w:val="multilevel"/>
    <w:tmpl w:val="D8A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53BA2"/>
    <w:multiLevelType w:val="multilevel"/>
    <w:tmpl w:val="EBC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E416D"/>
    <w:multiLevelType w:val="multilevel"/>
    <w:tmpl w:val="8A2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817366">
    <w:abstractNumId w:val="0"/>
  </w:num>
  <w:num w:numId="2" w16cid:durableId="1200050424">
    <w:abstractNumId w:val="2"/>
  </w:num>
  <w:num w:numId="3" w16cid:durableId="987250538">
    <w:abstractNumId w:val="1"/>
  </w:num>
  <w:num w:numId="4" w16cid:durableId="573129607">
    <w:abstractNumId w:val="4"/>
  </w:num>
  <w:num w:numId="5" w16cid:durableId="491914664">
    <w:abstractNumId w:val="5"/>
  </w:num>
  <w:num w:numId="6" w16cid:durableId="494227173">
    <w:abstractNumId w:val="3"/>
  </w:num>
  <w:num w:numId="7" w16cid:durableId="1558782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1D"/>
    <w:rsid w:val="00051A3D"/>
    <w:rsid w:val="00066E2B"/>
    <w:rsid w:val="000B33F7"/>
    <w:rsid w:val="000D0EB7"/>
    <w:rsid w:val="000E3801"/>
    <w:rsid w:val="000F769C"/>
    <w:rsid w:val="0014588A"/>
    <w:rsid w:val="00177568"/>
    <w:rsid w:val="001775B8"/>
    <w:rsid w:val="001E3CFB"/>
    <w:rsid w:val="001E7AA0"/>
    <w:rsid w:val="001F118E"/>
    <w:rsid w:val="0024491D"/>
    <w:rsid w:val="00274ECF"/>
    <w:rsid w:val="002C5C2D"/>
    <w:rsid w:val="002E2F53"/>
    <w:rsid w:val="002E5FE1"/>
    <w:rsid w:val="002F2677"/>
    <w:rsid w:val="003230B6"/>
    <w:rsid w:val="003365DD"/>
    <w:rsid w:val="003463A8"/>
    <w:rsid w:val="00387725"/>
    <w:rsid w:val="003939BC"/>
    <w:rsid w:val="003C3969"/>
    <w:rsid w:val="003C5FF2"/>
    <w:rsid w:val="003E11B5"/>
    <w:rsid w:val="0040001D"/>
    <w:rsid w:val="00406A60"/>
    <w:rsid w:val="00427273"/>
    <w:rsid w:val="00474673"/>
    <w:rsid w:val="004D12F0"/>
    <w:rsid w:val="00502D49"/>
    <w:rsid w:val="00514FBD"/>
    <w:rsid w:val="00517453"/>
    <w:rsid w:val="00530314"/>
    <w:rsid w:val="0054119E"/>
    <w:rsid w:val="005550EA"/>
    <w:rsid w:val="005B690A"/>
    <w:rsid w:val="005C2890"/>
    <w:rsid w:val="005D312F"/>
    <w:rsid w:val="00622935"/>
    <w:rsid w:val="00635821"/>
    <w:rsid w:val="0065494D"/>
    <w:rsid w:val="00684B33"/>
    <w:rsid w:val="0069118E"/>
    <w:rsid w:val="006A6BB8"/>
    <w:rsid w:val="006D2C35"/>
    <w:rsid w:val="0073097D"/>
    <w:rsid w:val="00751420"/>
    <w:rsid w:val="00791782"/>
    <w:rsid w:val="007A5600"/>
    <w:rsid w:val="007B46B0"/>
    <w:rsid w:val="00863398"/>
    <w:rsid w:val="008735E4"/>
    <w:rsid w:val="008B4EFD"/>
    <w:rsid w:val="008D3115"/>
    <w:rsid w:val="009378A2"/>
    <w:rsid w:val="009A4A24"/>
    <w:rsid w:val="009D6165"/>
    <w:rsid w:val="00A4750B"/>
    <w:rsid w:val="00A6716D"/>
    <w:rsid w:val="00AF456E"/>
    <w:rsid w:val="00B17D15"/>
    <w:rsid w:val="00B313C4"/>
    <w:rsid w:val="00B678F0"/>
    <w:rsid w:val="00BA198E"/>
    <w:rsid w:val="00BD5A9D"/>
    <w:rsid w:val="00BE0263"/>
    <w:rsid w:val="00C44F21"/>
    <w:rsid w:val="00C514D1"/>
    <w:rsid w:val="00C653ED"/>
    <w:rsid w:val="00CA5794"/>
    <w:rsid w:val="00CA7818"/>
    <w:rsid w:val="00D21C46"/>
    <w:rsid w:val="00D44C3D"/>
    <w:rsid w:val="00DC1E67"/>
    <w:rsid w:val="00DE3C8B"/>
    <w:rsid w:val="00E53E2F"/>
    <w:rsid w:val="00E63887"/>
    <w:rsid w:val="00E741E9"/>
    <w:rsid w:val="00EE10F7"/>
    <w:rsid w:val="00F03D89"/>
    <w:rsid w:val="00F34873"/>
    <w:rsid w:val="00F34D50"/>
    <w:rsid w:val="00F42CA4"/>
    <w:rsid w:val="00F84D5F"/>
    <w:rsid w:val="00FA1474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7B46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6B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Revision">
    <w:name w:val="Revision"/>
    <w:hidden/>
    <w:uiPriority w:val="99"/>
    <w:semiHidden/>
    <w:rsid w:val="00FD1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65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4794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Marsida Mucanji</cp:lastModifiedBy>
  <cp:revision>7</cp:revision>
  <dcterms:created xsi:type="dcterms:W3CDTF">2025-12-12T12:07:00Z</dcterms:created>
  <dcterms:modified xsi:type="dcterms:W3CDTF">2025-12-12T12:18:00Z</dcterms:modified>
</cp:coreProperties>
</file>