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77F4" w14:textId="77777777" w:rsidR="005B6D2B" w:rsidRPr="008D558C" w:rsidRDefault="005B6D2B" w:rsidP="00581E83">
      <w:pPr>
        <w:spacing w:line="276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r w:rsidRPr="008D558C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Raport për rezultatet e konsultimeve publike</w:t>
      </w:r>
    </w:p>
    <w:p w14:paraId="4EFCB6F0" w14:textId="77777777" w:rsidR="005B6D2B" w:rsidRPr="008D558C" w:rsidRDefault="005B6D2B" w:rsidP="00581E83">
      <w:pPr>
        <w:spacing w:line="276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5002F339" w14:textId="2CB3E885" w:rsidR="005B6D2B" w:rsidRPr="008C4B00" w:rsidRDefault="005B6D2B" w:rsidP="00581E8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de-DE"/>
        </w:rPr>
      </w:pPr>
      <w:r w:rsidRPr="008D558C">
        <w:rPr>
          <w:rFonts w:ascii="Times New Roman" w:hAnsi="Times New Roman"/>
          <w:b/>
          <w:bCs/>
          <w:sz w:val="24"/>
          <w:szCs w:val="24"/>
          <w:lang w:val="de-DE"/>
        </w:rPr>
        <w:t>Titulli i draft aktit</w:t>
      </w:r>
      <w:r w:rsidR="00BF7433" w:rsidRPr="008D558C">
        <w:rPr>
          <w:rFonts w:ascii="Times New Roman" w:hAnsi="Times New Roman"/>
          <w:b/>
          <w:bCs/>
          <w:sz w:val="24"/>
          <w:szCs w:val="24"/>
          <w:lang w:val="de-DE"/>
        </w:rPr>
        <w:t xml:space="preserve">: </w:t>
      </w:r>
      <w:r w:rsidR="00BF7433" w:rsidRPr="008D558C">
        <w:rPr>
          <w:rFonts w:ascii="Times New Roman" w:hAnsi="Times New Roman"/>
          <w:sz w:val="24"/>
          <w:szCs w:val="24"/>
          <w:lang w:val="de-DE"/>
        </w:rPr>
        <w:t xml:space="preserve">Projektligji </w:t>
      </w:r>
      <w:r w:rsidR="00BF7433" w:rsidRPr="008C4B00">
        <w:rPr>
          <w:rFonts w:ascii="Times New Roman" w:hAnsi="Times New Roman"/>
          <w:i/>
          <w:iCs/>
          <w:sz w:val="24"/>
          <w:szCs w:val="24"/>
          <w:lang w:val="de-DE"/>
        </w:rPr>
        <w:t xml:space="preserve">“Për rivlerësimin e pasurisë së </w:t>
      </w:r>
      <w:r w:rsidR="00EA6132" w:rsidRPr="004A6BA7">
        <w:rPr>
          <w:rFonts w:ascii="Times New Roman" w:hAnsi="Times New Roman"/>
          <w:i/>
          <w:iCs/>
          <w:sz w:val="24"/>
          <w:szCs w:val="24"/>
          <w:lang w:val="de-DE"/>
        </w:rPr>
        <w:t>paluajtshme”</w:t>
      </w:r>
      <w:r w:rsidR="00CB464D" w:rsidRPr="004A6BA7">
        <w:rPr>
          <w:rFonts w:ascii="Times New Roman" w:hAnsi="Times New Roman"/>
          <w:i/>
          <w:iCs/>
          <w:sz w:val="24"/>
          <w:szCs w:val="24"/>
          <w:lang w:val="de-DE"/>
        </w:rPr>
        <w:t>.</w:t>
      </w:r>
    </w:p>
    <w:p w14:paraId="1C39A9FA" w14:textId="77777777" w:rsidR="00A121AB" w:rsidRPr="008D558C" w:rsidRDefault="00A121AB" w:rsidP="00581E83">
      <w:pPr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14:paraId="2B5A639A" w14:textId="39D0A28E" w:rsidR="00AF75AA" w:rsidRPr="00CB464D" w:rsidRDefault="005B6D2B" w:rsidP="00CB464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8D558C">
        <w:rPr>
          <w:rFonts w:ascii="Times New Roman" w:hAnsi="Times New Roman"/>
          <w:b/>
          <w:bCs/>
          <w:sz w:val="24"/>
          <w:szCs w:val="24"/>
        </w:rPr>
        <w:t>Kohëzgjatja e konsultimeve</w:t>
      </w:r>
    </w:p>
    <w:p w14:paraId="2044D50C" w14:textId="2D40F006" w:rsidR="00AF75AA" w:rsidRDefault="002B3810" w:rsidP="00581E83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it-CH"/>
        </w:rPr>
      </w:pPr>
      <w:r w:rsidRPr="008D558C">
        <w:rPr>
          <w:rFonts w:ascii="Times New Roman" w:hAnsi="Times New Roman"/>
          <w:sz w:val="24"/>
          <w:szCs w:val="24"/>
        </w:rPr>
        <w:t xml:space="preserve">Projektligji </w:t>
      </w:r>
      <w:r w:rsidRPr="008C4B00">
        <w:rPr>
          <w:rFonts w:ascii="Times New Roman" w:hAnsi="Times New Roman"/>
          <w:i/>
          <w:iCs/>
          <w:sz w:val="24"/>
          <w:szCs w:val="24"/>
        </w:rPr>
        <w:t>“Për rivlerësimin e pasurisë së paluajtshme</w:t>
      </w:r>
      <w:r w:rsidR="006E01E0" w:rsidRPr="008C4B00">
        <w:rPr>
          <w:rFonts w:ascii="Times New Roman" w:hAnsi="Times New Roman"/>
          <w:i/>
          <w:iCs/>
          <w:sz w:val="24"/>
          <w:szCs w:val="24"/>
        </w:rPr>
        <w:t>”</w:t>
      </w:r>
      <w:r w:rsidR="006E01E0" w:rsidRPr="008D558C">
        <w:rPr>
          <w:rFonts w:ascii="Times New Roman" w:hAnsi="Times New Roman"/>
          <w:sz w:val="24"/>
          <w:szCs w:val="24"/>
        </w:rPr>
        <w:t xml:space="preserve"> </w:t>
      </w:r>
      <w:r w:rsidR="00AF75AA" w:rsidRPr="008D558C">
        <w:rPr>
          <w:rFonts w:ascii="Times New Roman" w:hAnsi="Times New Roman"/>
          <w:sz w:val="24"/>
          <w:szCs w:val="24"/>
        </w:rPr>
        <w:t xml:space="preserve">u hodh në </w:t>
      </w:r>
      <w:r w:rsidR="00BA7869">
        <w:rPr>
          <w:rFonts w:ascii="Times New Roman" w:hAnsi="Times New Roman"/>
          <w:sz w:val="24"/>
          <w:szCs w:val="24"/>
        </w:rPr>
        <w:t>R</w:t>
      </w:r>
      <w:r w:rsidR="00AF75AA" w:rsidRPr="008D558C">
        <w:rPr>
          <w:rFonts w:ascii="Times New Roman" w:hAnsi="Times New Roman"/>
          <w:sz w:val="24"/>
          <w:szCs w:val="24"/>
        </w:rPr>
        <w:t xml:space="preserve">egjistrin e </w:t>
      </w:r>
      <w:r w:rsidR="00BA7869">
        <w:rPr>
          <w:rFonts w:ascii="Times New Roman" w:hAnsi="Times New Roman"/>
          <w:sz w:val="24"/>
          <w:szCs w:val="24"/>
        </w:rPr>
        <w:t>Njoftimit dhe K</w:t>
      </w:r>
      <w:r w:rsidR="00AF75AA" w:rsidRPr="008D558C">
        <w:rPr>
          <w:rFonts w:ascii="Times New Roman" w:hAnsi="Times New Roman"/>
          <w:sz w:val="24"/>
          <w:szCs w:val="24"/>
        </w:rPr>
        <w:t xml:space="preserve">onsultimit </w:t>
      </w:r>
      <w:r w:rsidR="00BA7869">
        <w:rPr>
          <w:rFonts w:ascii="Times New Roman" w:hAnsi="Times New Roman"/>
          <w:sz w:val="24"/>
          <w:szCs w:val="24"/>
        </w:rPr>
        <w:t>P</w:t>
      </w:r>
      <w:r w:rsidR="00AF75AA" w:rsidRPr="008D558C">
        <w:rPr>
          <w:rFonts w:ascii="Times New Roman" w:hAnsi="Times New Roman"/>
          <w:sz w:val="24"/>
          <w:szCs w:val="24"/>
        </w:rPr>
        <w:t xml:space="preserve">ublik në datë </w:t>
      </w:r>
      <w:r w:rsidRPr="008D558C">
        <w:rPr>
          <w:rFonts w:ascii="Times New Roman" w:hAnsi="Times New Roman"/>
          <w:sz w:val="24"/>
          <w:szCs w:val="24"/>
        </w:rPr>
        <w:t>23 korrik 2025</w:t>
      </w:r>
      <w:r w:rsidR="00AF75AA" w:rsidRPr="008D558C">
        <w:rPr>
          <w:rFonts w:ascii="Times New Roman" w:hAnsi="Times New Roman"/>
          <w:sz w:val="24"/>
          <w:szCs w:val="24"/>
        </w:rPr>
        <w:t xml:space="preserve">. </w:t>
      </w:r>
      <w:r w:rsidR="00AF75AA" w:rsidRPr="008D558C">
        <w:rPr>
          <w:rFonts w:ascii="Times New Roman" w:hAnsi="Times New Roman"/>
          <w:sz w:val="24"/>
          <w:szCs w:val="24"/>
          <w:lang w:val="it-CH"/>
        </w:rPr>
        <w:t>Dra</w:t>
      </w:r>
      <w:r w:rsidR="007F72BA" w:rsidRPr="008D558C">
        <w:rPr>
          <w:rFonts w:ascii="Times New Roman" w:hAnsi="Times New Roman"/>
          <w:sz w:val="24"/>
          <w:szCs w:val="24"/>
          <w:lang w:val="it-CH"/>
        </w:rPr>
        <w:t>f</w:t>
      </w:r>
      <w:r w:rsidR="00AF75AA" w:rsidRPr="008D558C">
        <w:rPr>
          <w:rFonts w:ascii="Times New Roman" w:hAnsi="Times New Roman"/>
          <w:sz w:val="24"/>
          <w:szCs w:val="24"/>
          <w:lang w:val="it-CH"/>
        </w:rPr>
        <w:t xml:space="preserve">ti ishte </w:t>
      </w:r>
      <w:r w:rsidR="007F72BA" w:rsidRPr="008D558C">
        <w:rPr>
          <w:rFonts w:ascii="Times New Roman" w:hAnsi="Times New Roman"/>
          <w:sz w:val="24"/>
          <w:szCs w:val="24"/>
          <w:lang w:val="it-CH"/>
        </w:rPr>
        <w:t>i</w:t>
      </w:r>
      <w:r w:rsidR="00AF75AA" w:rsidRPr="008D558C">
        <w:rPr>
          <w:rFonts w:ascii="Times New Roman" w:hAnsi="Times New Roman"/>
          <w:sz w:val="24"/>
          <w:szCs w:val="24"/>
          <w:lang w:val="it-CH"/>
        </w:rPr>
        <w:t xml:space="preserve"> hapur p</w:t>
      </w:r>
      <w:r w:rsidR="007F72BA" w:rsidRPr="008D558C">
        <w:rPr>
          <w:rFonts w:ascii="Times New Roman" w:hAnsi="Times New Roman"/>
          <w:sz w:val="24"/>
          <w:szCs w:val="24"/>
          <w:lang w:val="it-CH"/>
        </w:rPr>
        <w:t>ë</w:t>
      </w:r>
      <w:r w:rsidR="00AF75AA" w:rsidRPr="008D558C">
        <w:rPr>
          <w:rFonts w:ascii="Times New Roman" w:hAnsi="Times New Roman"/>
          <w:sz w:val="24"/>
          <w:szCs w:val="24"/>
          <w:lang w:val="it-CH"/>
        </w:rPr>
        <w:t>r kom</w:t>
      </w:r>
      <w:r w:rsidR="007F72BA" w:rsidRPr="008D558C">
        <w:rPr>
          <w:rFonts w:ascii="Times New Roman" w:hAnsi="Times New Roman"/>
          <w:sz w:val="24"/>
          <w:szCs w:val="24"/>
          <w:lang w:val="it-CH"/>
        </w:rPr>
        <w:t>ente</w:t>
      </w:r>
      <w:r w:rsidR="00AF75AA" w:rsidRPr="008D558C">
        <w:rPr>
          <w:rFonts w:ascii="Times New Roman" w:hAnsi="Times New Roman"/>
          <w:sz w:val="24"/>
          <w:szCs w:val="24"/>
          <w:lang w:val="it-CH"/>
        </w:rPr>
        <w:t xml:space="preserve"> nga grupet e interesit deri n</w:t>
      </w:r>
      <w:r w:rsidR="007F72BA" w:rsidRPr="008D558C">
        <w:rPr>
          <w:rFonts w:ascii="Times New Roman" w:hAnsi="Times New Roman"/>
          <w:sz w:val="24"/>
          <w:szCs w:val="24"/>
          <w:lang w:val="it-CH"/>
        </w:rPr>
        <w:t>ë</w:t>
      </w:r>
      <w:r w:rsidR="00AF75AA" w:rsidRPr="008D558C">
        <w:rPr>
          <w:rFonts w:ascii="Times New Roman" w:hAnsi="Times New Roman"/>
          <w:sz w:val="24"/>
          <w:szCs w:val="24"/>
          <w:lang w:val="it-CH"/>
        </w:rPr>
        <w:t xml:space="preserve"> dat</w:t>
      </w:r>
      <w:r w:rsidR="007F72BA" w:rsidRPr="008D558C">
        <w:rPr>
          <w:rFonts w:ascii="Times New Roman" w:hAnsi="Times New Roman"/>
          <w:sz w:val="24"/>
          <w:szCs w:val="24"/>
          <w:lang w:val="it-CH"/>
        </w:rPr>
        <w:t xml:space="preserve">ë </w:t>
      </w:r>
      <w:r w:rsidR="00AF75AA" w:rsidRPr="008D558C">
        <w:rPr>
          <w:rFonts w:ascii="Times New Roman" w:hAnsi="Times New Roman"/>
          <w:sz w:val="24"/>
          <w:szCs w:val="24"/>
          <w:lang w:val="it-CH"/>
        </w:rPr>
        <w:t>2</w:t>
      </w:r>
      <w:r w:rsidR="003E714F" w:rsidRPr="008D558C">
        <w:rPr>
          <w:rFonts w:ascii="Times New Roman" w:hAnsi="Times New Roman"/>
          <w:sz w:val="24"/>
          <w:szCs w:val="24"/>
          <w:lang w:val="it-CH"/>
        </w:rPr>
        <w:t>0</w:t>
      </w:r>
      <w:r w:rsidR="00AF75AA" w:rsidRPr="008D558C">
        <w:rPr>
          <w:rFonts w:ascii="Times New Roman" w:hAnsi="Times New Roman"/>
          <w:sz w:val="24"/>
          <w:szCs w:val="24"/>
          <w:lang w:val="it-CH"/>
        </w:rPr>
        <w:t xml:space="preserve"> </w:t>
      </w:r>
      <w:r w:rsidRPr="008D558C">
        <w:rPr>
          <w:rFonts w:ascii="Times New Roman" w:hAnsi="Times New Roman"/>
          <w:sz w:val="24"/>
          <w:szCs w:val="24"/>
          <w:lang w:val="it-CH"/>
        </w:rPr>
        <w:t>gusht</w:t>
      </w:r>
      <w:r w:rsidR="00AF75AA" w:rsidRPr="008D558C">
        <w:rPr>
          <w:rFonts w:ascii="Times New Roman" w:hAnsi="Times New Roman"/>
          <w:sz w:val="24"/>
          <w:szCs w:val="24"/>
          <w:lang w:val="it-CH"/>
        </w:rPr>
        <w:t xml:space="preserve"> 202</w:t>
      </w:r>
      <w:r w:rsidRPr="008D558C">
        <w:rPr>
          <w:rFonts w:ascii="Times New Roman" w:hAnsi="Times New Roman"/>
          <w:sz w:val="24"/>
          <w:szCs w:val="24"/>
          <w:lang w:val="it-CH"/>
        </w:rPr>
        <w:t>5</w:t>
      </w:r>
      <w:r w:rsidR="00AF75AA" w:rsidRPr="008D558C">
        <w:rPr>
          <w:rFonts w:ascii="Times New Roman" w:hAnsi="Times New Roman"/>
          <w:sz w:val="24"/>
          <w:szCs w:val="24"/>
          <w:lang w:val="it-CH"/>
        </w:rPr>
        <w:t>.</w:t>
      </w:r>
    </w:p>
    <w:p w14:paraId="7780A638" w14:textId="77777777" w:rsidR="00111D6B" w:rsidRDefault="00111D6B" w:rsidP="00581E83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it-CH"/>
        </w:rPr>
      </w:pPr>
    </w:p>
    <w:p w14:paraId="2B9D7399" w14:textId="3C55C5E8" w:rsidR="006208A0" w:rsidRDefault="006208A0" w:rsidP="006208A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A6BA7">
        <w:rPr>
          <w:rFonts w:ascii="Times New Roman" w:hAnsi="Times New Roman"/>
          <w:sz w:val="24"/>
          <w:szCs w:val="24"/>
          <w:lang w:val="it-CH"/>
        </w:rPr>
        <w:t xml:space="preserve">Në vijim, pas marrjes dhe shqyrtimit të propozimeve më datë 3 tetor 2025, pranë Ministrisë së Financave u zhvilluan konsultime me grupet e </w:t>
      </w:r>
      <w:r w:rsidR="004A6BA7" w:rsidRPr="004A6BA7">
        <w:rPr>
          <w:rFonts w:ascii="Times New Roman" w:hAnsi="Times New Roman"/>
          <w:sz w:val="24"/>
          <w:szCs w:val="24"/>
          <w:lang w:val="it-CH"/>
        </w:rPr>
        <w:t>interest</w:t>
      </w:r>
      <w:r w:rsidRPr="004A6BA7">
        <w:rPr>
          <w:rFonts w:ascii="Times New Roman" w:hAnsi="Times New Roman"/>
          <w:sz w:val="24"/>
          <w:szCs w:val="24"/>
          <w:lang w:val="it-CH"/>
        </w:rPr>
        <w:t xml:space="preserve">, me përfaqësues të Ministrisë së Financave. </w:t>
      </w:r>
    </w:p>
    <w:p w14:paraId="573416FB" w14:textId="77777777" w:rsidR="006208A0" w:rsidRPr="008D558C" w:rsidRDefault="006208A0" w:rsidP="006208A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it-CH"/>
        </w:rPr>
      </w:pPr>
    </w:p>
    <w:p w14:paraId="63334E39" w14:textId="1D4469BB" w:rsidR="00D138C7" w:rsidRPr="00CB464D" w:rsidRDefault="005B6D2B" w:rsidP="00CB464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D558C">
        <w:rPr>
          <w:rFonts w:ascii="Times New Roman" w:hAnsi="Times New Roman"/>
          <w:b/>
          <w:bCs/>
          <w:sz w:val="24"/>
          <w:szCs w:val="24"/>
        </w:rPr>
        <w:t>Metoda e konsultimit</w:t>
      </w:r>
    </w:p>
    <w:p w14:paraId="32C6E9FB" w14:textId="140B0BEB" w:rsidR="00D138C7" w:rsidRPr="008D558C" w:rsidRDefault="007F72BA" w:rsidP="00581E83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it-CH"/>
        </w:rPr>
      </w:pPr>
      <w:r w:rsidRPr="008D558C">
        <w:rPr>
          <w:rFonts w:ascii="Times New Roman" w:hAnsi="Times New Roman"/>
          <w:iCs/>
          <w:sz w:val="24"/>
          <w:szCs w:val="24"/>
          <w:lang w:val="it-CH"/>
        </w:rPr>
        <w:t xml:space="preserve">Metodat e konsultimit të </w:t>
      </w:r>
      <w:r w:rsidR="002B3810" w:rsidRPr="008D558C">
        <w:rPr>
          <w:rFonts w:ascii="Times New Roman" w:hAnsi="Times New Roman"/>
          <w:sz w:val="24"/>
          <w:szCs w:val="24"/>
          <w:lang w:val="it-CH"/>
        </w:rPr>
        <w:t xml:space="preserve">Projektligjit “Për rivlerësimin e pasurisë së paluajtshme” </w:t>
      </w:r>
      <w:r w:rsidRPr="008D558C">
        <w:rPr>
          <w:rFonts w:ascii="Times New Roman" w:hAnsi="Times New Roman"/>
          <w:iCs/>
          <w:sz w:val="24"/>
          <w:szCs w:val="24"/>
          <w:lang w:val="it-CH"/>
        </w:rPr>
        <w:t>ishin:</w:t>
      </w:r>
    </w:p>
    <w:p w14:paraId="2BCFA0CA" w14:textId="41962574" w:rsidR="007B6C2B" w:rsidRPr="008D558C" w:rsidRDefault="00AF75AA" w:rsidP="008C4B00">
      <w:pPr>
        <w:pStyle w:val="BodyText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it-CH"/>
        </w:rPr>
      </w:pPr>
      <w:r w:rsidRPr="008D558C">
        <w:rPr>
          <w:rFonts w:ascii="Times New Roman" w:hAnsi="Times New Roman"/>
          <w:iCs/>
          <w:sz w:val="24"/>
          <w:szCs w:val="24"/>
          <w:lang w:val="it-CH"/>
        </w:rPr>
        <w:t xml:space="preserve">Duke plotësuar formularin në internet në RENJKP </w:t>
      </w:r>
      <w:r w:rsidR="007F72BA" w:rsidRPr="008D558C">
        <w:rPr>
          <w:rFonts w:ascii="Times New Roman" w:hAnsi="Times New Roman"/>
          <w:iCs/>
          <w:sz w:val="24"/>
          <w:szCs w:val="24"/>
          <w:lang w:val="it-CH"/>
        </w:rPr>
        <w:t xml:space="preserve">nëpërmjet </w:t>
      </w:r>
      <w:r w:rsidRPr="008D558C">
        <w:rPr>
          <w:rFonts w:ascii="Times New Roman" w:hAnsi="Times New Roman"/>
          <w:iCs/>
          <w:sz w:val="24"/>
          <w:szCs w:val="24"/>
          <w:lang w:val="it-CH"/>
        </w:rPr>
        <w:t>e-konsultimi</w:t>
      </w:r>
      <w:r w:rsidR="004A6BA7">
        <w:rPr>
          <w:rFonts w:ascii="Times New Roman" w:hAnsi="Times New Roman"/>
          <w:iCs/>
          <w:sz w:val="24"/>
          <w:szCs w:val="24"/>
          <w:lang w:val="it-CH"/>
        </w:rPr>
        <w:t>;</w:t>
      </w:r>
    </w:p>
    <w:p w14:paraId="10D498F8" w14:textId="3827BA9E" w:rsidR="007F72BA" w:rsidRDefault="007F72BA" w:rsidP="00EA6132">
      <w:pPr>
        <w:pStyle w:val="BodyText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it-CH"/>
        </w:rPr>
      </w:pPr>
      <w:r w:rsidRPr="008D558C">
        <w:rPr>
          <w:rFonts w:ascii="Times New Roman" w:hAnsi="Times New Roman"/>
          <w:iCs/>
          <w:sz w:val="24"/>
          <w:szCs w:val="24"/>
          <w:lang w:val="it-CH"/>
        </w:rPr>
        <w:t>Faqja zyrtare e Ministrisë së Financave</w:t>
      </w:r>
      <w:r w:rsidR="004A6BA7">
        <w:rPr>
          <w:rFonts w:ascii="Times New Roman" w:hAnsi="Times New Roman"/>
          <w:iCs/>
          <w:sz w:val="24"/>
          <w:szCs w:val="24"/>
          <w:lang w:val="it-CH"/>
        </w:rPr>
        <w:t>;</w:t>
      </w:r>
    </w:p>
    <w:p w14:paraId="284F4809" w14:textId="672F1351" w:rsidR="009B163F" w:rsidRDefault="009B163F" w:rsidP="00EA6132">
      <w:pPr>
        <w:pStyle w:val="BodyText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it-CH"/>
        </w:rPr>
      </w:pPr>
      <w:r>
        <w:rPr>
          <w:rFonts w:ascii="Times New Roman" w:hAnsi="Times New Roman"/>
          <w:iCs/>
          <w:sz w:val="24"/>
          <w:szCs w:val="24"/>
          <w:lang w:val="it-CH"/>
        </w:rPr>
        <w:t>Takime t</w:t>
      </w:r>
      <w:r w:rsidR="00053002">
        <w:rPr>
          <w:rFonts w:ascii="Times New Roman" w:hAnsi="Times New Roman"/>
          <w:iCs/>
          <w:sz w:val="24"/>
          <w:szCs w:val="24"/>
          <w:lang w:val="it-CH"/>
        </w:rPr>
        <w:t>ë</w:t>
      </w:r>
      <w:r>
        <w:rPr>
          <w:rFonts w:ascii="Times New Roman" w:hAnsi="Times New Roman"/>
          <w:iCs/>
          <w:sz w:val="24"/>
          <w:szCs w:val="24"/>
          <w:lang w:val="it-CH"/>
        </w:rPr>
        <w:t xml:space="preserve"> grupeve t</w:t>
      </w:r>
      <w:r w:rsidR="00053002">
        <w:rPr>
          <w:rFonts w:ascii="Times New Roman" w:hAnsi="Times New Roman"/>
          <w:iCs/>
          <w:sz w:val="24"/>
          <w:szCs w:val="24"/>
          <w:lang w:val="it-CH"/>
        </w:rPr>
        <w:t>ë</w:t>
      </w:r>
      <w:r>
        <w:rPr>
          <w:rFonts w:ascii="Times New Roman" w:hAnsi="Times New Roman"/>
          <w:iCs/>
          <w:sz w:val="24"/>
          <w:szCs w:val="24"/>
          <w:lang w:val="it-CH"/>
        </w:rPr>
        <w:t xml:space="preserve"> interesit me p</w:t>
      </w:r>
      <w:r w:rsidR="00053002">
        <w:rPr>
          <w:rFonts w:ascii="Times New Roman" w:hAnsi="Times New Roman"/>
          <w:iCs/>
          <w:sz w:val="24"/>
          <w:szCs w:val="24"/>
          <w:lang w:val="it-CH"/>
        </w:rPr>
        <w:t>ë</w:t>
      </w:r>
      <w:r>
        <w:rPr>
          <w:rFonts w:ascii="Times New Roman" w:hAnsi="Times New Roman"/>
          <w:iCs/>
          <w:sz w:val="24"/>
          <w:szCs w:val="24"/>
          <w:lang w:val="it-CH"/>
        </w:rPr>
        <w:t>rfaq</w:t>
      </w:r>
      <w:r w:rsidR="00053002">
        <w:rPr>
          <w:rFonts w:ascii="Times New Roman" w:hAnsi="Times New Roman"/>
          <w:iCs/>
          <w:sz w:val="24"/>
          <w:szCs w:val="24"/>
          <w:lang w:val="it-CH"/>
        </w:rPr>
        <w:t>ë</w:t>
      </w:r>
      <w:r>
        <w:rPr>
          <w:rFonts w:ascii="Times New Roman" w:hAnsi="Times New Roman"/>
          <w:iCs/>
          <w:sz w:val="24"/>
          <w:szCs w:val="24"/>
          <w:lang w:val="it-CH"/>
        </w:rPr>
        <w:t>sues t</w:t>
      </w:r>
      <w:r w:rsidR="00053002">
        <w:rPr>
          <w:rFonts w:ascii="Times New Roman" w:hAnsi="Times New Roman"/>
          <w:iCs/>
          <w:sz w:val="24"/>
          <w:szCs w:val="24"/>
          <w:lang w:val="it-CH"/>
        </w:rPr>
        <w:t>ë</w:t>
      </w:r>
      <w:r>
        <w:rPr>
          <w:rFonts w:ascii="Times New Roman" w:hAnsi="Times New Roman"/>
          <w:iCs/>
          <w:sz w:val="24"/>
          <w:szCs w:val="24"/>
          <w:lang w:val="it-CH"/>
        </w:rPr>
        <w:t xml:space="preserve"> Minist</w:t>
      </w:r>
      <w:r w:rsidR="00053002">
        <w:rPr>
          <w:rFonts w:ascii="Times New Roman" w:hAnsi="Times New Roman"/>
          <w:iCs/>
          <w:sz w:val="24"/>
          <w:szCs w:val="24"/>
          <w:lang w:val="it-CH"/>
        </w:rPr>
        <w:t>r</w:t>
      </w:r>
      <w:r>
        <w:rPr>
          <w:rFonts w:ascii="Times New Roman" w:hAnsi="Times New Roman"/>
          <w:iCs/>
          <w:sz w:val="24"/>
          <w:szCs w:val="24"/>
          <w:lang w:val="it-CH"/>
        </w:rPr>
        <w:t>is</w:t>
      </w:r>
      <w:r w:rsidR="00053002">
        <w:rPr>
          <w:rFonts w:ascii="Times New Roman" w:hAnsi="Times New Roman"/>
          <w:iCs/>
          <w:sz w:val="24"/>
          <w:szCs w:val="24"/>
          <w:lang w:val="it-CH"/>
        </w:rPr>
        <w:t>ë</w:t>
      </w:r>
      <w:r>
        <w:rPr>
          <w:rFonts w:ascii="Times New Roman" w:hAnsi="Times New Roman"/>
          <w:iCs/>
          <w:sz w:val="24"/>
          <w:szCs w:val="24"/>
          <w:lang w:val="it-CH"/>
        </w:rPr>
        <w:t xml:space="preserve"> s</w:t>
      </w:r>
      <w:r w:rsidR="00053002">
        <w:rPr>
          <w:rFonts w:ascii="Times New Roman" w:hAnsi="Times New Roman"/>
          <w:iCs/>
          <w:sz w:val="24"/>
          <w:szCs w:val="24"/>
          <w:lang w:val="it-CH"/>
        </w:rPr>
        <w:t>ë</w:t>
      </w:r>
      <w:r>
        <w:rPr>
          <w:rFonts w:ascii="Times New Roman" w:hAnsi="Times New Roman"/>
          <w:iCs/>
          <w:sz w:val="24"/>
          <w:szCs w:val="24"/>
          <w:lang w:val="it-CH"/>
        </w:rPr>
        <w:t xml:space="preserve"> Financave</w:t>
      </w:r>
      <w:r w:rsidR="004A6BA7">
        <w:rPr>
          <w:rFonts w:ascii="Times New Roman" w:hAnsi="Times New Roman"/>
          <w:iCs/>
          <w:sz w:val="24"/>
          <w:szCs w:val="24"/>
          <w:lang w:val="it-CH"/>
        </w:rPr>
        <w:t>.</w:t>
      </w:r>
    </w:p>
    <w:p w14:paraId="6EC25439" w14:textId="77777777" w:rsidR="009B163F" w:rsidRPr="009B163F" w:rsidRDefault="009B163F" w:rsidP="009B163F">
      <w:pPr>
        <w:pStyle w:val="BodyText"/>
        <w:spacing w:line="276" w:lineRule="auto"/>
        <w:ind w:left="540"/>
        <w:jc w:val="both"/>
        <w:rPr>
          <w:rFonts w:ascii="Times New Roman" w:hAnsi="Times New Roman"/>
          <w:iCs/>
          <w:sz w:val="24"/>
          <w:szCs w:val="24"/>
          <w:lang w:val="it-CH"/>
        </w:rPr>
      </w:pPr>
    </w:p>
    <w:p w14:paraId="771E720D" w14:textId="77777777" w:rsidR="005B6D2B" w:rsidRPr="008D558C" w:rsidRDefault="005B6D2B" w:rsidP="00581E83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D558C">
        <w:rPr>
          <w:rFonts w:ascii="Times New Roman" w:hAnsi="Times New Roman"/>
          <w:b/>
          <w:bCs/>
          <w:sz w:val="24"/>
          <w:szCs w:val="24"/>
        </w:rPr>
        <w:t>Palët e interesit të përfshira</w:t>
      </w:r>
    </w:p>
    <w:p w14:paraId="7DA28453" w14:textId="06D4DFA9" w:rsidR="007F72BA" w:rsidRPr="008D558C" w:rsidRDefault="007F72BA" w:rsidP="00581E83">
      <w:pPr>
        <w:pStyle w:val="ListParagraph"/>
        <w:spacing w:line="276" w:lineRule="auto"/>
        <w:ind w:left="540" w:firstLine="0"/>
        <w:jc w:val="both"/>
        <w:rPr>
          <w:rFonts w:ascii="Times New Roman" w:hAnsi="Times New Roman"/>
          <w:iCs/>
          <w:sz w:val="24"/>
          <w:szCs w:val="24"/>
          <w:lang w:val="it-CH"/>
        </w:rPr>
      </w:pPr>
      <w:r w:rsidRPr="008D558C">
        <w:rPr>
          <w:rFonts w:ascii="Times New Roman" w:hAnsi="Times New Roman"/>
          <w:iCs/>
          <w:sz w:val="24"/>
          <w:szCs w:val="24"/>
          <w:lang w:val="it-CH"/>
        </w:rPr>
        <w:t xml:space="preserve">Ministria e Financave ka marrë komente për </w:t>
      </w:r>
      <w:r w:rsidR="004652AD" w:rsidRPr="008D558C">
        <w:rPr>
          <w:rFonts w:ascii="Times New Roman" w:hAnsi="Times New Roman"/>
          <w:iCs/>
          <w:sz w:val="24"/>
          <w:szCs w:val="24"/>
          <w:lang w:val="it-CH"/>
        </w:rPr>
        <w:t>proj</w:t>
      </w:r>
      <w:r w:rsidR="00D138C7" w:rsidRPr="008D558C">
        <w:rPr>
          <w:rFonts w:ascii="Times New Roman" w:hAnsi="Times New Roman"/>
          <w:iCs/>
          <w:sz w:val="24"/>
          <w:szCs w:val="24"/>
          <w:lang w:val="it-CH"/>
        </w:rPr>
        <w:t>e</w:t>
      </w:r>
      <w:r w:rsidR="004652AD" w:rsidRPr="008D558C">
        <w:rPr>
          <w:rFonts w:ascii="Times New Roman" w:hAnsi="Times New Roman"/>
          <w:iCs/>
          <w:sz w:val="24"/>
          <w:szCs w:val="24"/>
          <w:lang w:val="it-CH"/>
        </w:rPr>
        <w:t>k</w:t>
      </w:r>
      <w:r w:rsidR="003E714F" w:rsidRPr="008D558C">
        <w:rPr>
          <w:rFonts w:ascii="Times New Roman" w:hAnsi="Times New Roman"/>
          <w:iCs/>
          <w:sz w:val="24"/>
          <w:szCs w:val="24"/>
          <w:lang w:val="it-CH"/>
        </w:rPr>
        <w:t>t</w:t>
      </w:r>
      <w:r w:rsidR="004652AD" w:rsidRPr="008D558C">
        <w:rPr>
          <w:rFonts w:ascii="Times New Roman" w:hAnsi="Times New Roman"/>
          <w:iCs/>
          <w:sz w:val="24"/>
          <w:szCs w:val="24"/>
          <w:lang w:val="it-CH"/>
        </w:rPr>
        <w:t xml:space="preserve">ligjin, </w:t>
      </w:r>
      <w:r w:rsidRPr="008D558C">
        <w:rPr>
          <w:rFonts w:ascii="Times New Roman" w:hAnsi="Times New Roman"/>
          <w:iCs/>
          <w:sz w:val="24"/>
          <w:szCs w:val="24"/>
          <w:lang w:val="it-CH"/>
        </w:rPr>
        <w:t>si më poshtë vijon :</w:t>
      </w:r>
    </w:p>
    <w:p w14:paraId="6475AE1A" w14:textId="77777777" w:rsidR="004652AD" w:rsidRPr="008D558C" w:rsidRDefault="007F72BA" w:rsidP="00581E83">
      <w:pPr>
        <w:pStyle w:val="ListParagraph"/>
        <w:numPr>
          <w:ilvl w:val="1"/>
          <w:numId w:val="23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it-CH"/>
        </w:rPr>
      </w:pPr>
      <w:r w:rsidRPr="008D558C">
        <w:rPr>
          <w:rFonts w:ascii="Times New Roman" w:hAnsi="Times New Roman"/>
          <w:iCs/>
          <w:sz w:val="24"/>
          <w:szCs w:val="24"/>
          <w:lang w:val="it-CH"/>
        </w:rPr>
        <w:t xml:space="preserve">Nëpërmjet plotësimit të formulari në internet në RENJKP nëpërmjet e-konsultimi nga:  </w:t>
      </w:r>
    </w:p>
    <w:p w14:paraId="1425A861" w14:textId="12B451B9" w:rsidR="00D138C7" w:rsidRPr="008D558C" w:rsidRDefault="007B6C2B" w:rsidP="00581E83">
      <w:pPr>
        <w:pStyle w:val="ListParagraph"/>
        <w:numPr>
          <w:ilvl w:val="2"/>
          <w:numId w:val="23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it-CH"/>
        </w:rPr>
      </w:pPr>
      <w:r w:rsidRPr="008D558C">
        <w:rPr>
          <w:rFonts w:ascii="Times New Roman" w:hAnsi="Times New Roman"/>
          <w:iCs/>
          <w:sz w:val="24"/>
          <w:szCs w:val="24"/>
          <w:lang w:val="it-CH"/>
        </w:rPr>
        <w:t>Shoqata Komb</w:t>
      </w:r>
      <w:r w:rsidR="00581E83" w:rsidRPr="008D558C">
        <w:rPr>
          <w:rFonts w:ascii="Times New Roman" w:hAnsi="Times New Roman"/>
          <w:iCs/>
          <w:sz w:val="24"/>
          <w:szCs w:val="24"/>
          <w:lang w:val="it-CH"/>
        </w:rPr>
        <w:t>ë</w:t>
      </w:r>
      <w:r w:rsidRPr="008D558C">
        <w:rPr>
          <w:rFonts w:ascii="Times New Roman" w:hAnsi="Times New Roman"/>
          <w:iCs/>
          <w:sz w:val="24"/>
          <w:szCs w:val="24"/>
          <w:lang w:val="it-CH"/>
        </w:rPr>
        <w:t>tare e Nd</w:t>
      </w:r>
      <w:r w:rsidR="00581E83" w:rsidRPr="008D558C">
        <w:rPr>
          <w:rFonts w:ascii="Times New Roman" w:hAnsi="Times New Roman"/>
          <w:iCs/>
          <w:sz w:val="24"/>
          <w:szCs w:val="24"/>
          <w:lang w:val="it-CH"/>
        </w:rPr>
        <w:t>ë</w:t>
      </w:r>
      <w:r w:rsidRPr="008D558C">
        <w:rPr>
          <w:rFonts w:ascii="Times New Roman" w:hAnsi="Times New Roman"/>
          <w:iCs/>
          <w:sz w:val="24"/>
          <w:szCs w:val="24"/>
          <w:lang w:val="it-CH"/>
        </w:rPr>
        <w:t>rmjet</w:t>
      </w:r>
      <w:r w:rsidR="00581E83" w:rsidRPr="008D558C">
        <w:rPr>
          <w:rFonts w:ascii="Times New Roman" w:hAnsi="Times New Roman"/>
          <w:iCs/>
          <w:sz w:val="24"/>
          <w:szCs w:val="24"/>
          <w:lang w:val="it-CH"/>
        </w:rPr>
        <w:t>ë</w:t>
      </w:r>
      <w:r w:rsidRPr="008D558C">
        <w:rPr>
          <w:rFonts w:ascii="Times New Roman" w:hAnsi="Times New Roman"/>
          <w:iCs/>
          <w:sz w:val="24"/>
          <w:szCs w:val="24"/>
          <w:lang w:val="it-CH"/>
        </w:rPr>
        <w:t>sve t</w:t>
      </w:r>
      <w:r w:rsidR="00581E83" w:rsidRPr="008D558C">
        <w:rPr>
          <w:rFonts w:ascii="Times New Roman" w:hAnsi="Times New Roman"/>
          <w:iCs/>
          <w:sz w:val="24"/>
          <w:szCs w:val="24"/>
          <w:lang w:val="it-CH"/>
        </w:rPr>
        <w:t>ë</w:t>
      </w:r>
      <w:r w:rsidRPr="008D558C">
        <w:rPr>
          <w:rFonts w:ascii="Times New Roman" w:hAnsi="Times New Roman"/>
          <w:iCs/>
          <w:sz w:val="24"/>
          <w:szCs w:val="24"/>
          <w:lang w:val="it-CH"/>
        </w:rPr>
        <w:t xml:space="preserve"> Pasurive t</w:t>
      </w:r>
      <w:r w:rsidR="00581E83" w:rsidRPr="008D558C">
        <w:rPr>
          <w:rFonts w:ascii="Times New Roman" w:hAnsi="Times New Roman"/>
          <w:iCs/>
          <w:sz w:val="24"/>
          <w:szCs w:val="24"/>
          <w:lang w:val="it-CH"/>
        </w:rPr>
        <w:t>ë</w:t>
      </w:r>
      <w:r w:rsidRPr="008D558C">
        <w:rPr>
          <w:rFonts w:ascii="Times New Roman" w:hAnsi="Times New Roman"/>
          <w:iCs/>
          <w:sz w:val="24"/>
          <w:szCs w:val="24"/>
          <w:lang w:val="it-CH"/>
        </w:rPr>
        <w:t xml:space="preserve"> Paluajtshme t</w:t>
      </w:r>
      <w:r w:rsidR="00581E83" w:rsidRPr="008D558C">
        <w:rPr>
          <w:rFonts w:ascii="Times New Roman" w:hAnsi="Times New Roman"/>
          <w:iCs/>
          <w:sz w:val="24"/>
          <w:szCs w:val="24"/>
          <w:lang w:val="it-CH"/>
        </w:rPr>
        <w:t>ë</w:t>
      </w:r>
      <w:r w:rsidRPr="008D558C">
        <w:rPr>
          <w:rFonts w:ascii="Times New Roman" w:hAnsi="Times New Roman"/>
          <w:iCs/>
          <w:sz w:val="24"/>
          <w:szCs w:val="24"/>
          <w:lang w:val="it-CH"/>
        </w:rPr>
        <w:t xml:space="preserve"> Shqip</w:t>
      </w:r>
      <w:r w:rsidR="00581E83" w:rsidRPr="008D558C">
        <w:rPr>
          <w:rFonts w:ascii="Times New Roman" w:hAnsi="Times New Roman"/>
          <w:iCs/>
          <w:sz w:val="24"/>
          <w:szCs w:val="24"/>
          <w:lang w:val="it-CH"/>
        </w:rPr>
        <w:t>ë</w:t>
      </w:r>
      <w:r w:rsidRPr="008D558C">
        <w:rPr>
          <w:rFonts w:ascii="Times New Roman" w:hAnsi="Times New Roman"/>
          <w:iCs/>
          <w:sz w:val="24"/>
          <w:szCs w:val="24"/>
          <w:lang w:val="it-CH"/>
        </w:rPr>
        <w:t>ris</w:t>
      </w:r>
      <w:r w:rsidR="00581E83" w:rsidRPr="008D558C">
        <w:rPr>
          <w:rFonts w:ascii="Times New Roman" w:hAnsi="Times New Roman"/>
          <w:iCs/>
          <w:sz w:val="24"/>
          <w:szCs w:val="24"/>
          <w:lang w:val="it-CH"/>
        </w:rPr>
        <w:t>ë</w:t>
      </w:r>
      <w:r w:rsidRPr="008D558C">
        <w:rPr>
          <w:rFonts w:ascii="Times New Roman" w:hAnsi="Times New Roman"/>
          <w:iCs/>
          <w:sz w:val="24"/>
          <w:szCs w:val="24"/>
          <w:lang w:val="it-CH"/>
        </w:rPr>
        <w:t xml:space="preserve"> (NAREA)</w:t>
      </w:r>
    </w:p>
    <w:p w14:paraId="7FEAD0C5" w14:textId="6E58243A" w:rsidR="00D138C7" w:rsidRPr="008D558C" w:rsidRDefault="00D138C7" w:rsidP="00581E83">
      <w:pPr>
        <w:pStyle w:val="ListParagraph"/>
        <w:numPr>
          <w:ilvl w:val="2"/>
          <w:numId w:val="23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it-CH"/>
        </w:rPr>
      </w:pPr>
      <w:r w:rsidRPr="008D558C">
        <w:rPr>
          <w:rFonts w:ascii="Times New Roman" w:hAnsi="Times New Roman"/>
          <w:iCs/>
          <w:sz w:val="24"/>
          <w:szCs w:val="24"/>
          <w:lang w:val="it-CH"/>
        </w:rPr>
        <w:t>Dhoma Amerikane e Tregtisë;</w:t>
      </w:r>
    </w:p>
    <w:p w14:paraId="3D5B2054" w14:textId="2C32BA29" w:rsidR="00D138C7" w:rsidRPr="008D558C" w:rsidRDefault="007B6C2B" w:rsidP="00581E83">
      <w:pPr>
        <w:pStyle w:val="ListParagraph"/>
        <w:numPr>
          <w:ilvl w:val="2"/>
          <w:numId w:val="23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it-CH"/>
        </w:rPr>
      </w:pPr>
      <w:r w:rsidRPr="008D558C">
        <w:rPr>
          <w:rFonts w:ascii="Times New Roman" w:hAnsi="Times New Roman"/>
          <w:iCs/>
          <w:sz w:val="24"/>
          <w:szCs w:val="24"/>
          <w:lang w:val="it-CH"/>
        </w:rPr>
        <w:t xml:space="preserve">Z. </w:t>
      </w:r>
      <w:r w:rsidR="00D138C7" w:rsidRPr="008D558C">
        <w:rPr>
          <w:rFonts w:ascii="Times New Roman" w:hAnsi="Times New Roman"/>
          <w:iCs/>
          <w:sz w:val="24"/>
          <w:szCs w:val="24"/>
          <w:lang w:val="it-CH"/>
        </w:rPr>
        <w:t>Eduart Gjokutaj;</w:t>
      </w:r>
    </w:p>
    <w:p w14:paraId="7FE72EEE" w14:textId="62D03344" w:rsidR="007F72BA" w:rsidRPr="008D558C" w:rsidRDefault="007B6C2B" w:rsidP="00581E83">
      <w:pPr>
        <w:pStyle w:val="ListParagraph"/>
        <w:numPr>
          <w:ilvl w:val="2"/>
          <w:numId w:val="23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it-CH"/>
        </w:rPr>
      </w:pPr>
      <w:r w:rsidRPr="008D558C">
        <w:rPr>
          <w:rFonts w:ascii="Times New Roman" w:hAnsi="Times New Roman"/>
          <w:iCs/>
          <w:sz w:val="24"/>
          <w:szCs w:val="24"/>
          <w:lang w:val="it-CH"/>
        </w:rPr>
        <w:t xml:space="preserve">Z. </w:t>
      </w:r>
      <w:r w:rsidR="003E714F" w:rsidRPr="008D558C">
        <w:rPr>
          <w:rFonts w:ascii="Times New Roman" w:hAnsi="Times New Roman"/>
          <w:iCs/>
          <w:sz w:val="24"/>
          <w:szCs w:val="24"/>
          <w:lang w:val="it-CH"/>
        </w:rPr>
        <w:t>Ardian Stamo</w:t>
      </w:r>
      <w:r w:rsidR="00EA6132">
        <w:rPr>
          <w:rFonts w:ascii="Times New Roman" w:hAnsi="Times New Roman"/>
          <w:iCs/>
          <w:sz w:val="24"/>
          <w:szCs w:val="24"/>
          <w:lang w:val="it-CH"/>
        </w:rPr>
        <w:t>;</w:t>
      </w:r>
    </w:p>
    <w:p w14:paraId="7FF1B5C7" w14:textId="684BA7DE" w:rsidR="003E714F" w:rsidRPr="008D558C" w:rsidRDefault="007B6C2B" w:rsidP="00581E83">
      <w:pPr>
        <w:pStyle w:val="ListParagraph"/>
        <w:numPr>
          <w:ilvl w:val="2"/>
          <w:numId w:val="23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it-CH"/>
        </w:rPr>
      </w:pPr>
      <w:r w:rsidRPr="008D558C">
        <w:rPr>
          <w:rFonts w:ascii="Times New Roman" w:hAnsi="Times New Roman"/>
          <w:iCs/>
          <w:sz w:val="24"/>
          <w:szCs w:val="24"/>
          <w:lang w:val="it-CH"/>
        </w:rPr>
        <w:t xml:space="preserve">Z. </w:t>
      </w:r>
      <w:r w:rsidR="003E714F" w:rsidRPr="008D558C">
        <w:rPr>
          <w:rFonts w:ascii="Times New Roman" w:hAnsi="Times New Roman"/>
          <w:iCs/>
          <w:sz w:val="24"/>
          <w:szCs w:val="24"/>
          <w:lang w:val="it-CH"/>
        </w:rPr>
        <w:t>Ervin D</w:t>
      </w:r>
      <w:r w:rsidR="00D138C7" w:rsidRPr="008D558C">
        <w:rPr>
          <w:rFonts w:ascii="Times New Roman" w:hAnsi="Times New Roman"/>
          <w:iCs/>
          <w:sz w:val="24"/>
          <w:szCs w:val="24"/>
          <w:lang w:val="it-CH"/>
        </w:rPr>
        <w:t>oçi</w:t>
      </w:r>
      <w:r w:rsidR="00EA6132">
        <w:rPr>
          <w:rFonts w:ascii="Times New Roman" w:hAnsi="Times New Roman"/>
          <w:iCs/>
          <w:sz w:val="24"/>
          <w:szCs w:val="24"/>
          <w:lang w:val="it-CH"/>
        </w:rPr>
        <w:t>;</w:t>
      </w:r>
    </w:p>
    <w:p w14:paraId="16E6D1FA" w14:textId="3973ECA1" w:rsidR="00D138C7" w:rsidRPr="008D558C" w:rsidRDefault="007B6C2B" w:rsidP="00581E83">
      <w:pPr>
        <w:pStyle w:val="ListParagraph"/>
        <w:numPr>
          <w:ilvl w:val="2"/>
          <w:numId w:val="23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it-CH"/>
        </w:rPr>
      </w:pPr>
      <w:r w:rsidRPr="008D558C">
        <w:rPr>
          <w:rFonts w:ascii="Times New Roman" w:hAnsi="Times New Roman"/>
          <w:iCs/>
          <w:sz w:val="24"/>
          <w:szCs w:val="24"/>
          <w:lang w:val="it-CH"/>
        </w:rPr>
        <w:t xml:space="preserve">Z. </w:t>
      </w:r>
      <w:r w:rsidR="00D138C7" w:rsidRPr="008D558C">
        <w:rPr>
          <w:rFonts w:ascii="Times New Roman" w:hAnsi="Times New Roman"/>
          <w:iCs/>
          <w:sz w:val="24"/>
          <w:szCs w:val="24"/>
          <w:lang w:val="it-CH"/>
        </w:rPr>
        <w:t>Briken Tuçi</w:t>
      </w:r>
      <w:r w:rsidR="00EA6132">
        <w:rPr>
          <w:rFonts w:ascii="Times New Roman" w:hAnsi="Times New Roman"/>
          <w:iCs/>
          <w:sz w:val="24"/>
          <w:szCs w:val="24"/>
          <w:lang w:val="it-CH"/>
        </w:rPr>
        <w:t>;</w:t>
      </w:r>
    </w:p>
    <w:p w14:paraId="04241C20" w14:textId="77777777" w:rsidR="00D138C7" w:rsidRPr="008D558C" w:rsidRDefault="00D138C7" w:rsidP="00581E83">
      <w:pPr>
        <w:pStyle w:val="ListParagraph"/>
        <w:spacing w:line="276" w:lineRule="auto"/>
        <w:ind w:left="1980" w:firstLine="0"/>
        <w:jc w:val="both"/>
        <w:rPr>
          <w:rFonts w:ascii="Times New Roman" w:hAnsi="Times New Roman"/>
          <w:iCs/>
          <w:sz w:val="24"/>
          <w:szCs w:val="24"/>
          <w:lang w:val="it-CH"/>
        </w:rPr>
      </w:pPr>
    </w:p>
    <w:p w14:paraId="5D9F005F" w14:textId="77777777" w:rsidR="004652AD" w:rsidRPr="008D558C" w:rsidRDefault="007F72BA" w:rsidP="00581E83">
      <w:pPr>
        <w:pStyle w:val="ListParagraph"/>
        <w:numPr>
          <w:ilvl w:val="1"/>
          <w:numId w:val="23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it-CH"/>
        </w:rPr>
      </w:pPr>
      <w:r w:rsidRPr="008D558C">
        <w:rPr>
          <w:rFonts w:ascii="Times New Roman" w:hAnsi="Times New Roman"/>
          <w:iCs/>
          <w:sz w:val="24"/>
          <w:szCs w:val="24"/>
          <w:lang w:val="it-CH"/>
        </w:rPr>
        <w:t xml:space="preserve">Me shkresë zyrtare, nga </w:t>
      </w:r>
      <w:r w:rsidR="004652AD" w:rsidRPr="008D558C">
        <w:rPr>
          <w:rFonts w:ascii="Times New Roman" w:hAnsi="Times New Roman"/>
          <w:iCs/>
          <w:sz w:val="24"/>
          <w:szCs w:val="24"/>
          <w:lang w:val="it-CH"/>
        </w:rPr>
        <w:t>:</w:t>
      </w:r>
    </w:p>
    <w:p w14:paraId="59DF948A" w14:textId="327C47F4" w:rsidR="00011509" w:rsidRPr="008D558C" w:rsidRDefault="007B6C2B" w:rsidP="00581E83">
      <w:pPr>
        <w:pStyle w:val="ListParagraph"/>
        <w:numPr>
          <w:ilvl w:val="2"/>
          <w:numId w:val="23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it-CH"/>
        </w:rPr>
      </w:pPr>
      <w:r w:rsidRPr="008D558C">
        <w:rPr>
          <w:rFonts w:ascii="Times New Roman" w:hAnsi="Times New Roman"/>
          <w:iCs/>
          <w:sz w:val="24"/>
          <w:szCs w:val="24"/>
          <w:lang w:val="it-CH"/>
        </w:rPr>
        <w:t>Dhoma Amerikane e Tregtis</w:t>
      </w:r>
      <w:r w:rsidR="00581E83" w:rsidRPr="008D558C">
        <w:rPr>
          <w:rFonts w:ascii="Times New Roman" w:hAnsi="Times New Roman"/>
          <w:iCs/>
          <w:sz w:val="24"/>
          <w:szCs w:val="24"/>
          <w:lang w:val="it-CH"/>
        </w:rPr>
        <w:t>ë</w:t>
      </w:r>
      <w:r w:rsidRPr="008D558C">
        <w:rPr>
          <w:rFonts w:ascii="Times New Roman" w:hAnsi="Times New Roman"/>
          <w:iCs/>
          <w:sz w:val="24"/>
          <w:szCs w:val="24"/>
          <w:lang w:val="it-CH"/>
        </w:rPr>
        <w:t xml:space="preserve"> (d</w:t>
      </w:r>
      <w:r w:rsidR="00581E83" w:rsidRPr="008D558C">
        <w:rPr>
          <w:rFonts w:ascii="Times New Roman" w:hAnsi="Times New Roman"/>
          <w:iCs/>
          <w:sz w:val="24"/>
          <w:szCs w:val="24"/>
          <w:lang w:val="it-CH"/>
        </w:rPr>
        <w:t>ë</w:t>
      </w:r>
      <w:r w:rsidRPr="008D558C">
        <w:rPr>
          <w:rFonts w:ascii="Times New Roman" w:hAnsi="Times New Roman"/>
          <w:iCs/>
          <w:sz w:val="24"/>
          <w:szCs w:val="24"/>
          <w:lang w:val="it-CH"/>
        </w:rPr>
        <w:t>rguar komentet edhe n</w:t>
      </w:r>
      <w:r w:rsidR="00581E83" w:rsidRPr="008D558C">
        <w:rPr>
          <w:rFonts w:ascii="Times New Roman" w:hAnsi="Times New Roman"/>
          <w:iCs/>
          <w:sz w:val="24"/>
          <w:szCs w:val="24"/>
          <w:lang w:val="it-CH"/>
        </w:rPr>
        <w:t>ë</w:t>
      </w:r>
      <w:r w:rsidRPr="008D558C">
        <w:rPr>
          <w:rFonts w:ascii="Times New Roman" w:hAnsi="Times New Roman"/>
          <w:iCs/>
          <w:sz w:val="24"/>
          <w:szCs w:val="24"/>
          <w:lang w:val="it-CH"/>
        </w:rPr>
        <w:t xml:space="preserve"> platform</w:t>
      </w:r>
      <w:r w:rsidR="00581E83" w:rsidRPr="008D558C">
        <w:rPr>
          <w:rFonts w:ascii="Times New Roman" w:hAnsi="Times New Roman"/>
          <w:iCs/>
          <w:sz w:val="24"/>
          <w:szCs w:val="24"/>
          <w:lang w:val="it-CH"/>
        </w:rPr>
        <w:t>ë</w:t>
      </w:r>
      <w:r w:rsidRPr="008D558C">
        <w:rPr>
          <w:rFonts w:ascii="Times New Roman" w:hAnsi="Times New Roman"/>
          <w:iCs/>
          <w:sz w:val="24"/>
          <w:szCs w:val="24"/>
          <w:lang w:val="it-CH"/>
        </w:rPr>
        <w:t>n e-konsultimi)</w:t>
      </w:r>
      <w:r w:rsidR="00EA6132">
        <w:rPr>
          <w:rFonts w:ascii="Times New Roman" w:hAnsi="Times New Roman"/>
          <w:iCs/>
          <w:sz w:val="24"/>
          <w:szCs w:val="24"/>
          <w:lang w:val="it-CH"/>
        </w:rPr>
        <w:t>;</w:t>
      </w:r>
    </w:p>
    <w:p w14:paraId="2B75AD58" w14:textId="5194647A" w:rsidR="00D138C7" w:rsidRDefault="007B6C2B" w:rsidP="00CB464D">
      <w:pPr>
        <w:pStyle w:val="ListParagraph"/>
        <w:numPr>
          <w:ilvl w:val="2"/>
          <w:numId w:val="23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it-CH"/>
        </w:rPr>
      </w:pPr>
      <w:r w:rsidRPr="008D558C">
        <w:rPr>
          <w:rFonts w:ascii="Times New Roman" w:hAnsi="Times New Roman"/>
          <w:iCs/>
          <w:sz w:val="24"/>
          <w:szCs w:val="24"/>
          <w:lang w:val="it-CH"/>
        </w:rPr>
        <w:t>Shoqata Komb</w:t>
      </w:r>
      <w:r w:rsidR="00581E83" w:rsidRPr="008D558C">
        <w:rPr>
          <w:rFonts w:ascii="Times New Roman" w:hAnsi="Times New Roman"/>
          <w:iCs/>
          <w:sz w:val="24"/>
          <w:szCs w:val="24"/>
          <w:lang w:val="it-CH"/>
        </w:rPr>
        <w:t>ë</w:t>
      </w:r>
      <w:r w:rsidRPr="008D558C">
        <w:rPr>
          <w:rFonts w:ascii="Times New Roman" w:hAnsi="Times New Roman"/>
          <w:iCs/>
          <w:sz w:val="24"/>
          <w:szCs w:val="24"/>
          <w:lang w:val="it-CH"/>
        </w:rPr>
        <w:t>tare e Nd</w:t>
      </w:r>
      <w:r w:rsidR="00581E83" w:rsidRPr="008D558C">
        <w:rPr>
          <w:rFonts w:ascii="Times New Roman" w:hAnsi="Times New Roman"/>
          <w:iCs/>
          <w:sz w:val="24"/>
          <w:szCs w:val="24"/>
          <w:lang w:val="it-CH"/>
        </w:rPr>
        <w:t>ë</w:t>
      </w:r>
      <w:r w:rsidRPr="008D558C">
        <w:rPr>
          <w:rFonts w:ascii="Times New Roman" w:hAnsi="Times New Roman"/>
          <w:iCs/>
          <w:sz w:val="24"/>
          <w:szCs w:val="24"/>
          <w:lang w:val="it-CH"/>
        </w:rPr>
        <w:t>rmjet</w:t>
      </w:r>
      <w:r w:rsidR="00581E83" w:rsidRPr="008D558C">
        <w:rPr>
          <w:rFonts w:ascii="Times New Roman" w:hAnsi="Times New Roman"/>
          <w:iCs/>
          <w:sz w:val="24"/>
          <w:szCs w:val="24"/>
          <w:lang w:val="it-CH"/>
        </w:rPr>
        <w:t>ë</w:t>
      </w:r>
      <w:r w:rsidRPr="008D558C">
        <w:rPr>
          <w:rFonts w:ascii="Times New Roman" w:hAnsi="Times New Roman"/>
          <w:iCs/>
          <w:sz w:val="24"/>
          <w:szCs w:val="24"/>
          <w:lang w:val="it-CH"/>
        </w:rPr>
        <w:t>sve t</w:t>
      </w:r>
      <w:r w:rsidR="00581E83" w:rsidRPr="008D558C">
        <w:rPr>
          <w:rFonts w:ascii="Times New Roman" w:hAnsi="Times New Roman"/>
          <w:iCs/>
          <w:sz w:val="24"/>
          <w:szCs w:val="24"/>
          <w:lang w:val="it-CH"/>
        </w:rPr>
        <w:t>ë</w:t>
      </w:r>
      <w:r w:rsidRPr="008D558C">
        <w:rPr>
          <w:rFonts w:ascii="Times New Roman" w:hAnsi="Times New Roman"/>
          <w:iCs/>
          <w:sz w:val="24"/>
          <w:szCs w:val="24"/>
          <w:lang w:val="it-CH"/>
        </w:rPr>
        <w:t xml:space="preserve"> Pasurive t</w:t>
      </w:r>
      <w:r w:rsidR="00581E83" w:rsidRPr="008D558C">
        <w:rPr>
          <w:rFonts w:ascii="Times New Roman" w:hAnsi="Times New Roman"/>
          <w:iCs/>
          <w:sz w:val="24"/>
          <w:szCs w:val="24"/>
          <w:lang w:val="it-CH"/>
        </w:rPr>
        <w:t>ë</w:t>
      </w:r>
      <w:r w:rsidRPr="008D558C">
        <w:rPr>
          <w:rFonts w:ascii="Times New Roman" w:hAnsi="Times New Roman"/>
          <w:iCs/>
          <w:sz w:val="24"/>
          <w:szCs w:val="24"/>
          <w:lang w:val="it-CH"/>
        </w:rPr>
        <w:t xml:space="preserve"> Paluajtshme t</w:t>
      </w:r>
      <w:r w:rsidR="00581E83" w:rsidRPr="008D558C">
        <w:rPr>
          <w:rFonts w:ascii="Times New Roman" w:hAnsi="Times New Roman"/>
          <w:iCs/>
          <w:sz w:val="24"/>
          <w:szCs w:val="24"/>
          <w:lang w:val="it-CH"/>
        </w:rPr>
        <w:t>ë</w:t>
      </w:r>
      <w:r w:rsidRPr="008D558C">
        <w:rPr>
          <w:rFonts w:ascii="Times New Roman" w:hAnsi="Times New Roman"/>
          <w:iCs/>
          <w:sz w:val="24"/>
          <w:szCs w:val="24"/>
          <w:lang w:val="it-CH"/>
        </w:rPr>
        <w:t xml:space="preserve"> Shqip</w:t>
      </w:r>
      <w:r w:rsidR="00581E83" w:rsidRPr="008D558C">
        <w:rPr>
          <w:rFonts w:ascii="Times New Roman" w:hAnsi="Times New Roman"/>
          <w:iCs/>
          <w:sz w:val="24"/>
          <w:szCs w:val="24"/>
          <w:lang w:val="it-CH"/>
        </w:rPr>
        <w:t>ë</w:t>
      </w:r>
      <w:r w:rsidRPr="008D558C">
        <w:rPr>
          <w:rFonts w:ascii="Times New Roman" w:hAnsi="Times New Roman"/>
          <w:iCs/>
          <w:sz w:val="24"/>
          <w:szCs w:val="24"/>
          <w:lang w:val="it-CH"/>
        </w:rPr>
        <w:t>ris</w:t>
      </w:r>
      <w:r w:rsidR="00581E83" w:rsidRPr="008D558C">
        <w:rPr>
          <w:rFonts w:ascii="Times New Roman" w:hAnsi="Times New Roman"/>
          <w:iCs/>
          <w:sz w:val="24"/>
          <w:szCs w:val="24"/>
          <w:lang w:val="it-CH"/>
        </w:rPr>
        <w:t>ë</w:t>
      </w:r>
      <w:r w:rsidRPr="008D558C">
        <w:rPr>
          <w:rFonts w:ascii="Times New Roman" w:hAnsi="Times New Roman"/>
          <w:iCs/>
          <w:sz w:val="24"/>
          <w:szCs w:val="24"/>
          <w:lang w:val="it-CH"/>
        </w:rPr>
        <w:t xml:space="preserve"> (NAREA) (d</w:t>
      </w:r>
      <w:r w:rsidR="00581E83" w:rsidRPr="008D558C">
        <w:rPr>
          <w:rFonts w:ascii="Times New Roman" w:hAnsi="Times New Roman"/>
          <w:iCs/>
          <w:sz w:val="24"/>
          <w:szCs w:val="24"/>
          <w:lang w:val="it-CH"/>
        </w:rPr>
        <w:t>ë</w:t>
      </w:r>
      <w:r w:rsidRPr="008D558C">
        <w:rPr>
          <w:rFonts w:ascii="Times New Roman" w:hAnsi="Times New Roman"/>
          <w:iCs/>
          <w:sz w:val="24"/>
          <w:szCs w:val="24"/>
          <w:lang w:val="it-CH"/>
        </w:rPr>
        <w:t>rguar komentet edhe n</w:t>
      </w:r>
      <w:r w:rsidR="00581E83" w:rsidRPr="008D558C">
        <w:rPr>
          <w:rFonts w:ascii="Times New Roman" w:hAnsi="Times New Roman"/>
          <w:iCs/>
          <w:sz w:val="24"/>
          <w:szCs w:val="24"/>
          <w:lang w:val="it-CH"/>
        </w:rPr>
        <w:t>ë</w:t>
      </w:r>
      <w:r w:rsidRPr="008D558C">
        <w:rPr>
          <w:rFonts w:ascii="Times New Roman" w:hAnsi="Times New Roman"/>
          <w:iCs/>
          <w:sz w:val="24"/>
          <w:szCs w:val="24"/>
          <w:lang w:val="it-CH"/>
        </w:rPr>
        <w:t xml:space="preserve"> platform</w:t>
      </w:r>
      <w:r w:rsidR="00581E83" w:rsidRPr="008D558C">
        <w:rPr>
          <w:rFonts w:ascii="Times New Roman" w:hAnsi="Times New Roman"/>
          <w:iCs/>
          <w:sz w:val="24"/>
          <w:szCs w:val="24"/>
          <w:lang w:val="it-CH"/>
        </w:rPr>
        <w:t>ë</w:t>
      </w:r>
      <w:r w:rsidRPr="008D558C">
        <w:rPr>
          <w:rFonts w:ascii="Times New Roman" w:hAnsi="Times New Roman"/>
          <w:iCs/>
          <w:sz w:val="24"/>
          <w:szCs w:val="24"/>
          <w:lang w:val="it-CH"/>
        </w:rPr>
        <w:t>n e-konsultimi)</w:t>
      </w:r>
      <w:r w:rsidR="00EA6132">
        <w:rPr>
          <w:rFonts w:ascii="Times New Roman" w:hAnsi="Times New Roman"/>
          <w:iCs/>
          <w:sz w:val="24"/>
          <w:szCs w:val="24"/>
          <w:lang w:val="it-CH"/>
        </w:rPr>
        <w:t>.</w:t>
      </w:r>
    </w:p>
    <w:p w14:paraId="7E5FE29E" w14:textId="77777777" w:rsidR="006B69D9" w:rsidRDefault="006B69D9" w:rsidP="006B69D9">
      <w:pPr>
        <w:pStyle w:val="ListParagraph"/>
        <w:spacing w:line="276" w:lineRule="auto"/>
        <w:ind w:left="1980" w:firstLine="0"/>
        <w:jc w:val="both"/>
        <w:rPr>
          <w:rFonts w:ascii="Times New Roman" w:hAnsi="Times New Roman"/>
          <w:iCs/>
          <w:sz w:val="24"/>
          <w:szCs w:val="24"/>
          <w:lang w:val="it-CH"/>
        </w:rPr>
      </w:pPr>
    </w:p>
    <w:p w14:paraId="4A88A2CB" w14:textId="5A6D8693" w:rsidR="00C53325" w:rsidRPr="006B69D9" w:rsidRDefault="00C53325" w:rsidP="00C53325">
      <w:pPr>
        <w:pStyle w:val="ListParagraph"/>
        <w:numPr>
          <w:ilvl w:val="1"/>
          <w:numId w:val="23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it-CH"/>
        </w:rPr>
      </w:pPr>
      <w:r w:rsidRPr="004A6BA7">
        <w:rPr>
          <w:rFonts w:ascii="Times New Roman" w:hAnsi="Times New Roman"/>
          <w:iCs/>
          <w:sz w:val="24"/>
          <w:szCs w:val="24"/>
          <w:lang w:val="it-CH"/>
        </w:rPr>
        <w:t xml:space="preserve">Gjithashtu, në kuadër të procesit të konsultimit publik me grupet e interesit, më datë 3 tetor 2025 u zhvilluan takime dhe diskutuar </w:t>
      </w:r>
      <w:r w:rsidR="006B69D9" w:rsidRPr="004A6BA7">
        <w:rPr>
          <w:rFonts w:ascii="Times New Roman" w:hAnsi="Times New Roman"/>
          <w:iCs/>
          <w:sz w:val="24"/>
          <w:szCs w:val="24"/>
          <w:lang w:val="it-CH"/>
        </w:rPr>
        <w:t>propozimet</w:t>
      </w:r>
      <w:r w:rsidRPr="004A6BA7">
        <w:rPr>
          <w:rFonts w:ascii="Times New Roman" w:hAnsi="Times New Roman"/>
          <w:iCs/>
          <w:sz w:val="24"/>
          <w:szCs w:val="24"/>
          <w:lang w:val="it-CH"/>
        </w:rPr>
        <w:t xml:space="preserve"> </w:t>
      </w:r>
      <w:r w:rsidR="006B69D9" w:rsidRPr="004A6BA7">
        <w:rPr>
          <w:rFonts w:ascii="Times New Roman" w:hAnsi="Times New Roman"/>
          <w:iCs/>
          <w:sz w:val="24"/>
          <w:szCs w:val="24"/>
          <w:lang w:val="it-CH"/>
        </w:rPr>
        <w:t>midis</w:t>
      </w:r>
      <w:r w:rsidRPr="004A6BA7">
        <w:rPr>
          <w:rFonts w:ascii="Times New Roman" w:hAnsi="Times New Roman"/>
          <w:iCs/>
          <w:sz w:val="24"/>
          <w:szCs w:val="24"/>
          <w:lang w:val="it-CH"/>
        </w:rPr>
        <w:t xml:space="preserve"> përfaqësuesve të Ministrisë së Financave, </w:t>
      </w:r>
      <w:r w:rsidR="006B69D9" w:rsidRPr="004A6BA7">
        <w:rPr>
          <w:rFonts w:ascii="Times New Roman" w:hAnsi="Times New Roman"/>
          <w:iCs/>
          <w:sz w:val="24"/>
          <w:szCs w:val="24"/>
          <w:lang w:val="it-CH"/>
        </w:rPr>
        <w:t xml:space="preserve">dhe </w:t>
      </w:r>
      <w:r w:rsidRPr="004A6BA7">
        <w:rPr>
          <w:rFonts w:ascii="Times New Roman" w:hAnsi="Times New Roman"/>
          <w:iCs/>
          <w:sz w:val="24"/>
          <w:szCs w:val="24"/>
          <w:lang w:val="it-CH"/>
        </w:rPr>
        <w:t>Shoqatës së Ndërtuesve të Shqipërisë, dhomave të tregtisë</w:t>
      </w:r>
      <w:r w:rsidR="006B69D9" w:rsidRPr="004A6BA7">
        <w:rPr>
          <w:rFonts w:ascii="Times New Roman" w:hAnsi="Times New Roman"/>
          <w:iCs/>
          <w:sz w:val="24"/>
          <w:szCs w:val="24"/>
          <w:lang w:val="it-CH"/>
        </w:rPr>
        <w:t>, si</w:t>
      </w:r>
      <w:r w:rsidRPr="004A6BA7">
        <w:rPr>
          <w:rFonts w:ascii="Times New Roman" w:hAnsi="Times New Roman"/>
          <w:iCs/>
          <w:sz w:val="24"/>
          <w:szCs w:val="24"/>
          <w:lang w:val="it-CH"/>
        </w:rPr>
        <w:t xml:space="preserve"> dhe përfaqësuesve të kompanive </w:t>
      </w:r>
      <w:r w:rsidR="006B69D9" w:rsidRPr="004A6BA7">
        <w:rPr>
          <w:rFonts w:ascii="Times New Roman" w:hAnsi="Times New Roman"/>
          <w:iCs/>
          <w:sz w:val="24"/>
          <w:szCs w:val="24"/>
          <w:lang w:val="it-CH"/>
        </w:rPr>
        <w:t>që operojnë</w:t>
      </w:r>
      <w:r w:rsidRPr="004A6BA7">
        <w:rPr>
          <w:rFonts w:ascii="Times New Roman" w:hAnsi="Times New Roman"/>
          <w:iCs/>
          <w:sz w:val="24"/>
          <w:szCs w:val="24"/>
          <w:lang w:val="it-CH"/>
        </w:rPr>
        <w:t xml:space="preserve"> në tregun e pasurive të paluajtshme.</w:t>
      </w:r>
    </w:p>
    <w:p w14:paraId="7E3E7F36" w14:textId="77777777" w:rsidR="006B69D9" w:rsidRPr="006B69D9" w:rsidRDefault="006B69D9" w:rsidP="006B69D9">
      <w:pPr>
        <w:spacing w:line="276" w:lineRule="auto"/>
        <w:jc w:val="both"/>
        <w:rPr>
          <w:rFonts w:ascii="Times New Roman" w:hAnsi="Times New Roman"/>
          <w:iCs/>
          <w:sz w:val="24"/>
          <w:szCs w:val="24"/>
          <w:lang w:val="it-CH"/>
        </w:rPr>
      </w:pPr>
    </w:p>
    <w:p w14:paraId="64B5FB95" w14:textId="642F6DA3" w:rsidR="00D138C7" w:rsidRPr="008D558C" w:rsidRDefault="00D138C7" w:rsidP="00581E83">
      <w:pPr>
        <w:tabs>
          <w:tab w:val="left" w:pos="7552"/>
        </w:tabs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8D558C">
        <w:rPr>
          <w:rFonts w:ascii="Times New Roman" w:hAnsi="Times New Roman"/>
          <w:iCs/>
          <w:sz w:val="24"/>
          <w:szCs w:val="24"/>
          <w:lang w:val="sq-AL"/>
        </w:rPr>
        <w:t xml:space="preserve">Në përfundim të afatit të konsultimit publik të këtij projektligji në platformë janë gjeneruar komente nga 6 individë dhe organizata, konkretisht </w:t>
      </w:r>
      <w:r w:rsidR="00FF61AB" w:rsidRPr="008D558C">
        <w:rPr>
          <w:rFonts w:ascii="Times New Roman" w:hAnsi="Times New Roman"/>
          <w:iCs/>
          <w:sz w:val="24"/>
          <w:szCs w:val="24"/>
          <w:lang w:val="sq-AL"/>
        </w:rPr>
        <w:t>4 individ</w:t>
      </w:r>
      <w:r w:rsidR="00581E83" w:rsidRPr="008D558C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FF61AB" w:rsidRPr="008D558C">
        <w:rPr>
          <w:rFonts w:ascii="Times New Roman" w:hAnsi="Times New Roman"/>
          <w:iCs/>
          <w:sz w:val="24"/>
          <w:szCs w:val="24"/>
          <w:lang w:val="sq-AL"/>
        </w:rPr>
        <w:t xml:space="preserve"> dhe 2 organizata</w:t>
      </w:r>
      <w:r w:rsidRPr="008D558C">
        <w:rPr>
          <w:rFonts w:ascii="Times New Roman" w:hAnsi="Times New Roman"/>
          <w:iCs/>
          <w:sz w:val="24"/>
          <w:szCs w:val="24"/>
          <w:lang w:val="sq-AL"/>
        </w:rPr>
        <w:t>.</w:t>
      </w:r>
      <w:r w:rsidR="00FF61AB" w:rsidRPr="008D558C">
        <w:rPr>
          <w:rFonts w:ascii="Times New Roman" w:hAnsi="Times New Roman"/>
          <w:iCs/>
          <w:sz w:val="24"/>
          <w:szCs w:val="24"/>
          <w:lang w:val="sq-AL"/>
        </w:rPr>
        <w:t xml:space="preserve"> P</w:t>
      </w:r>
      <w:r w:rsidRPr="008D558C">
        <w:rPr>
          <w:rFonts w:ascii="Times New Roman" w:hAnsi="Times New Roman"/>
          <w:iCs/>
          <w:sz w:val="24"/>
          <w:szCs w:val="24"/>
          <w:lang w:val="sq-AL"/>
        </w:rPr>
        <w:t>alët e interesuara, të cilët kanë dhënë komente/kontribut në konsultimet publike përmes platformës së konsultimit publik</w:t>
      </w:r>
      <w:r w:rsidR="00581E83" w:rsidRPr="008D558C">
        <w:rPr>
          <w:rFonts w:ascii="Times New Roman" w:hAnsi="Times New Roman"/>
          <w:iCs/>
          <w:sz w:val="24"/>
          <w:szCs w:val="24"/>
          <w:lang w:val="sq-AL"/>
        </w:rPr>
        <w:t xml:space="preserve"> dhe me shkresë zyrtare </w:t>
      </w:r>
      <w:r w:rsidRPr="008D558C">
        <w:rPr>
          <w:rFonts w:ascii="Times New Roman" w:hAnsi="Times New Roman"/>
          <w:iCs/>
          <w:sz w:val="24"/>
          <w:szCs w:val="24"/>
          <w:lang w:val="sq-AL"/>
        </w:rPr>
        <w:t>janë:</w:t>
      </w:r>
    </w:p>
    <w:p w14:paraId="3F071666" w14:textId="77777777" w:rsidR="00D138C7" w:rsidRPr="008D558C" w:rsidRDefault="00D138C7" w:rsidP="00581E83">
      <w:pPr>
        <w:tabs>
          <w:tab w:val="left" w:pos="7552"/>
        </w:tabs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3481814F" w14:textId="7A7F07F3" w:rsidR="00D138C7" w:rsidRPr="004A6BA7" w:rsidRDefault="00581E83" w:rsidP="00581E83">
      <w:pPr>
        <w:numPr>
          <w:ilvl w:val="0"/>
          <w:numId w:val="19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4A6BA7">
        <w:rPr>
          <w:rFonts w:ascii="Times New Roman" w:hAnsi="Times New Roman"/>
          <w:iCs/>
          <w:sz w:val="24"/>
          <w:szCs w:val="24"/>
          <w:lang w:val="sq-AL"/>
        </w:rPr>
        <w:t xml:space="preserve">   Shoqata Kombëtare e Ndërmjetësve të Pasurive të Paluajtshme të Shqipërisë (NAREA)                                                                   - Shoqatë</w:t>
      </w:r>
    </w:p>
    <w:p w14:paraId="674A890A" w14:textId="7D6EE731" w:rsidR="00D138C7" w:rsidRPr="004A6BA7" w:rsidRDefault="00D138C7" w:rsidP="00581E83">
      <w:pPr>
        <w:numPr>
          <w:ilvl w:val="0"/>
          <w:numId w:val="19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4A6BA7">
        <w:rPr>
          <w:rFonts w:ascii="Times New Roman" w:hAnsi="Times New Roman"/>
          <w:iCs/>
          <w:sz w:val="24"/>
          <w:szCs w:val="24"/>
          <w:lang w:val="sq-AL"/>
        </w:rPr>
        <w:t>Dhoma Amerikane e Tregtisë në Shqipëri;</w:t>
      </w:r>
      <w:r w:rsidR="00581E83" w:rsidRPr="004A6BA7">
        <w:rPr>
          <w:rFonts w:ascii="Times New Roman" w:hAnsi="Times New Roman"/>
          <w:iCs/>
          <w:sz w:val="24"/>
          <w:szCs w:val="24"/>
          <w:lang w:val="sq-AL"/>
        </w:rPr>
        <w:t xml:space="preserve">                - Shoqatë</w:t>
      </w:r>
    </w:p>
    <w:p w14:paraId="31784091" w14:textId="7DE2B0B6" w:rsidR="00D138C7" w:rsidRPr="008D558C" w:rsidRDefault="00D138C7" w:rsidP="00581E83">
      <w:pPr>
        <w:numPr>
          <w:ilvl w:val="0"/>
          <w:numId w:val="19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8D558C">
        <w:rPr>
          <w:rFonts w:ascii="Times New Roman" w:hAnsi="Times New Roman"/>
          <w:iCs/>
          <w:sz w:val="24"/>
          <w:szCs w:val="24"/>
          <w:lang w:val="en-US"/>
        </w:rPr>
        <w:t>Z. Eduart Gjokutaj;</w:t>
      </w:r>
      <w:r w:rsidR="00581E83" w:rsidRPr="008D558C">
        <w:rPr>
          <w:rFonts w:ascii="Times New Roman" w:hAnsi="Times New Roman"/>
          <w:iCs/>
          <w:sz w:val="24"/>
          <w:szCs w:val="24"/>
          <w:lang w:val="en-US"/>
        </w:rPr>
        <w:t xml:space="preserve">                                                     - Individ</w:t>
      </w:r>
    </w:p>
    <w:p w14:paraId="6D51BEC8" w14:textId="074AB70D" w:rsidR="00D138C7" w:rsidRPr="008D558C" w:rsidRDefault="00D138C7" w:rsidP="00581E83">
      <w:pPr>
        <w:numPr>
          <w:ilvl w:val="0"/>
          <w:numId w:val="19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8D558C">
        <w:rPr>
          <w:rFonts w:ascii="Times New Roman" w:hAnsi="Times New Roman"/>
          <w:iCs/>
          <w:sz w:val="24"/>
          <w:szCs w:val="24"/>
          <w:lang w:val="en-US"/>
        </w:rPr>
        <w:t>Z. Ardian Stamo;</w:t>
      </w:r>
      <w:r w:rsidR="00581E83" w:rsidRPr="008D558C">
        <w:rPr>
          <w:rFonts w:ascii="Times New Roman" w:hAnsi="Times New Roman"/>
          <w:iCs/>
          <w:sz w:val="24"/>
          <w:szCs w:val="24"/>
          <w:lang w:val="en-US"/>
        </w:rPr>
        <w:t xml:space="preserve">                                                        - Individ</w:t>
      </w:r>
    </w:p>
    <w:p w14:paraId="74110320" w14:textId="05A5B432" w:rsidR="00D138C7" w:rsidRPr="008D558C" w:rsidRDefault="00D138C7" w:rsidP="00581E83">
      <w:pPr>
        <w:numPr>
          <w:ilvl w:val="0"/>
          <w:numId w:val="19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8D558C">
        <w:rPr>
          <w:rFonts w:ascii="Times New Roman" w:hAnsi="Times New Roman"/>
          <w:iCs/>
          <w:sz w:val="24"/>
          <w:szCs w:val="24"/>
          <w:lang w:val="en-US"/>
        </w:rPr>
        <w:t>Z. Ervin Doçi;</w:t>
      </w:r>
      <w:r w:rsidR="00581E83" w:rsidRPr="008D558C">
        <w:rPr>
          <w:rFonts w:ascii="Times New Roman" w:hAnsi="Times New Roman"/>
          <w:iCs/>
          <w:sz w:val="24"/>
          <w:szCs w:val="24"/>
          <w:lang w:val="en-US"/>
        </w:rPr>
        <w:t xml:space="preserve">                                                             - Individ</w:t>
      </w:r>
    </w:p>
    <w:p w14:paraId="4BB1E839" w14:textId="676B5AF8" w:rsidR="00D138C7" w:rsidRDefault="00D138C7" w:rsidP="00581E83">
      <w:pPr>
        <w:numPr>
          <w:ilvl w:val="0"/>
          <w:numId w:val="19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8D558C">
        <w:rPr>
          <w:rFonts w:ascii="Times New Roman" w:hAnsi="Times New Roman"/>
          <w:iCs/>
          <w:sz w:val="24"/>
          <w:szCs w:val="24"/>
          <w:lang w:val="en-US"/>
        </w:rPr>
        <w:t>Z. Briken Tuçi.</w:t>
      </w:r>
      <w:r w:rsidR="00581E83" w:rsidRPr="008D558C">
        <w:rPr>
          <w:rFonts w:ascii="Times New Roman" w:hAnsi="Times New Roman"/>
          <w:iCs/>
          <w:sz w:val="24"/>
          <w:szCs w:val="24"/>
          <w:lang w:val="en-US"/>
        </w:rPr>
        <w:t xml:space="preserve">                                                            - Individ </w:t>
      </w:r>
    </w:p>
    <w:p w14:paraId="094715CB" w14:textId="77777777" w:rsidR="00C53325" w:rsidRDefault="00C53325" w:rsidP="00C53325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  <w:lang w:val="en-US"/>
        </w:rPr>
      </w:pPr>
    </w:p>
    <w:p w14:paraId="44A270F3" w14:textId="77777777" w:rsidR="00332DB4" w:rsidRPr="008D558C" w:rsidRDefault="00332DB4" w:rsidP="00C53325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i/>
          <w:sz w:val="24"/>
          <w:szCs w:val="24"/>
          <w:lang w:val="it-CH"/>
        </w:rPr>
      </w:pPr>
    </w:p>
    <w:p w14:paraId="2A324CA0" w14:textId="7AF4EEDC" w:rsidR="005B6D2B" w:rsidRPr="008D558C" w:rsidRDefault="005B6D2B" w:rsidP="00581E83">
      <w:pPr>
        <w:pStyle w:val="BodyText"/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it-CH"/>
        </w:rPr>
      </w:pPr>
      <w:r w:rsidRPr="008D558C">
        <w:rPr>
          <w:rFonts w:ascii="Times New Roman" w:hAnsi="Times New Roman"/>
          <w:b/>
          <w:bCs/>
          <w:sz w:val="24"/>
          <w:szCs w:val="24"/>
          <w:lang w:val="it-CH"/>
        </w:rPr>
        <w:t>Pasqyra e komenteve të pranuara me arsyetimin e komenteve të pranuara/ refuzuara</w:t>
      </w:r>
    </w:p>
    <w:p w14:paraId="66B26EC3" w14:textId="77777777" w:rsidR="005B6D2B" w:rsidRPr="008D558C" w:rsidRDefault="005B6D2B" w:rsidP="00581E83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it-CH"/>
        </w:rPr>
      </w:pPr>
      <w:r w:rsidRPr="008D558C">
        <w:rPr>
          <w:rFonts w:ascii="Times New Roman" w:hAnsi="Times New Roman"/>
          <w:i/>
          <w:iCs/>
          <w:sz w:val="24"/>
          <w:szCs w:val="24"/>
          <w:lang w:val="it-CH"/>
        </w:rPr>
        <w:t>Gruponi komentet/ propozim</w:t>
      </w:r>
      <w:r w:rsidR="00332DB4" w:rsidRPr="008D558C">
        <w:rPr>
          <w:rFonts w:ascii="Times New Roman" w:hAnsi="Times New Roman"/>
          <w:i/>
          <w:iCs/>
          <w:sz w:val="24"/>
          <w:szCs w:val="24"/>
          <w:lang w:val="it-CH"/>
        </w:rPr>
        <w:t>e</w:t>
      </w:r>
      <w:r w:rsidRPr="008D558C">
        <w:rPr>
          <w:rFonts w:ascii="Times New Roman" w:hAnsi="Times New Roman"/>
          <w:i/>
          <w:iCs/>
          <w:sz w:val="24"/>
          <w:szCs w:val="24"/>
          <w:lang w:val="it-CH"/>
        </w:rPr>
        <w:t>t e pranuara sipas çështjes që ato ngritën;</w:t>
      </w:r>
    </w:p>
    <w:p w14:paraId="66502A78" w14:textId="77777777" w:rsidR="005B6D2B" w:rsidRPr="008D558C" w:rsidRDefault="005B6D2B" w:rsidP="00581E83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it-CH"/>
        </w:rPr>
      </w:pPr>
      <w:r w:rsidRPr="008D558C">
        <w:rPr>
          <w:rFonts w:ascii="Times New Roman" w:hAnsi="Times New Roman"/>
          <w:i/>
          <w:iCs/>
          <w:sz w:val="24"/>
          <w:szCs w:val="24"/>
          <w:lang w:val="it-CH"/>
        </w:rPr>
        <w:t>Gruponi komente të ngjashme së bashku dhe renditni palët e interesuara që i ngritën ato;</w:t>
      </w:r>
    </w:p>
    <w:p w14:paraId="2C7A328F" w14:textId="77777777" w:rsidR="005B6D2B" w:rsidRPr="008D558C" w:rsidRDefault="005B6D2B" w:rsidP="00581E83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it-CH"/>
        </w:rPr>
      </w:pPr>
      <w:r w:rsidRPr="008D558C">
        <w:rPr>
          <w:rFonts w:ascii="Times New Roman" w:hAnsi="Times New Roman"/>
          <w:i/>
          <w:iCs/>
          <w:sz w:val="24"/>
          <w:szCs w:val="24"/>
          <w:lang w:val="it-CH"/>
        </w:rPr>
        <w:t>Shpjegoni cili ishte vendimi i marrë dhe sqaroni shkurtimisht arsyet për të.</w:t>
      </w:r>
    </w:p>
    <w:p w14:paraId="66F2602E" w14:textId="77777777" w:rsidR="007755F2" w:rsidRPr="008D558C" w:rsidRDefault="007755F2" w:rsidP="00581E83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it-CH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2250"/>
        <w:gridCol w:w="1530"/>
        <w:gridCol w:w="1710"/>
        <w:gridCol w:w="2700"/>
      </w:tblGrid>
      <w:tr w:rsidR="008D558C" w:rsidRPr="008D558C" w14:paraId="7515741A" w14:textId="0D41B535" w:rsidTr="004A6BA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2409" w14:textId="77777777" w:rsidR="00116F63" w:rsidRPr="008D558C" w:rsidRDefault="00116F63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it-CH"/>
              </w:rPr>
            </w:pPr>
            <w:r w:rsidRPr="008D558C">
              <w:rPr>
                <w:rFonts w:ascii="Times New Roman" w:hAnsi="Times New Roman"/>
                <w:b/>
                <w:bCs/>
                <w:sz w:val="24"/>
                <w:szCs w:val="24"/>
                <w:lang w:val="it-CH"/>
              </w:rPr>
              <w:t>Çështja e  adresuar</w:t>
            </w:r>
          </w:p>
          <w:p w14:paraId="35EC8598" w14:textId="2D41C75C" w:rsidR="00116F63" w:rsidRPr="008D558C" w:rsidRDefault="00116F63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1713" w14:textId="77777777" w:rsidR="00116F63" w:rsidRPr="008D558C" w:rsidRDefault="00116F63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it-CH"/>
              </w:rPr>
            </w:pPr>
            <w:r w:rsidRPr="008D558C">
              <w:rPr>
                <w:rFonts w:ascii="Times New Roman" w:hAnsi="Times New Roman"/>
                <w:b/>
                <w:bCs/>
                <w:sz w:val="24"/>
                <w:szCs w:val="24"/>
                <w:lang w:val="it-CH"/>
              </w:rPr>
              <w:t>Komenti</w:t>
            </w:r>
          </w:p>
          <w:p w14:paraId="4DCDEE76" w14:textId="77777777" w:rsidR="00116F63" w:rsidRPr="008D558C" w:rsidRDefault="00116F63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0153" w14:textId="21F9A0EA" w:rsidR="00116F63" w:rsidRPr="008D558C" w:rsidRDefault="00116F63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it-CH"/>
              </w:rPr>
            </w:pPr>
            <w:r w:rsidRPr="008D558C">
              <w:rPr>
                <w:rFonts w:ascii="Times New Roman" w:hAnsi="Times New Roman"/>
                <w:b/>
                <w:bCs/>
                <w:sz w:val="24"/>
                <w:szCs w:val="24"/>
                <w:lang w:val="it-CH"/>
              </w:rPr>
              <w:t>Palët e interesuara (renditni të gjithë ata që adresuan çështjen në mënyrë të ngjashme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D2E7" w14:textId="2E35E6AB" w:rsidR="00116F63" w:rsidRPr="008D558C" w:rsidRDefault="00116F63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it-CH"/>
              </w:rPr>
            </w:pPr>
            <w:r w:rsidRPr="008D558C">
              <w:rPr>
                <w:rFonts w:ascii="Times New Roman" w:hAnsi="Times New Roman"/>
                <w:b/>
                <w:bCs/>
                <w:sz w:val="24"/>
                <w:szCs w:val="24"/>
                <w:lang w:val="it-CH"/>
              </w:rPr>
              <w:t>Vendimi (I pranuar/I pranuar pjesërisht/I refuzuar)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A43C" w14:textId="5D551B74" w:rsidR="00116F63" w:rsidRPr="008D558C" w:rsidRDefault="00116F63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it-CH"/>
              </w:rPr>
            </w:pPr>
            <w:r w:rsidRPr="008D558C">
              <w:rPr>
                <w:rFonts w:ascii="Times New Roman" w:hAnsi="Times New Roman"/>
                <w:b/>
                <w:bCs/>
                <w:sz w:val="24"/>
                <w:szCs w:val="24"/>
              </w:rPr>
              <w:t>Justifikimi</w:t>
            </w:r>
          </w:p>
        </w:tc>
      </w:tr>
      <w:tr w:rsidR="008D558C" w:rsidRPr="004A6BA7" w14:paraId="7BDEF830" w14:textId="77777777" w:rsidTr="004A6BA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D22B" w14:textId="2978EDA2" w:rsidR="00116F63" w:rsidRPr="008D558C" w:rsidRDefault="008A4F7D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it-CH"/>
              </w:rPr>
              <w:t>Afatet e rivler</w:t>
            </w:r>
            <w:r w:rsidR="00581E83" w:rsidRPr="008D558C">
              <w:rPr>
                <w:rFonts w:ascii="Times New Roman" w:hAnsi="Times New Roman"/>
                <w:sz w:val="24"/>
                <w:szCs w:val="24"/>
                <w:lang w:val="it-CH"/>
              </w:rPr>
              <w:t>ë</w:t>
            </w:r>
            <w:r w:rsidRPr="008D558C">
              <w:rPr>
                <w:rFonts w:ascii="Times New Roman" w:hAnsi="Times New Roman"/>
                <w:sz w:val="24"/>
                <w:szCs w:val="24"/>
                <w:lang w:val="it-CH"/>
              </w:rPr>
              <w:t>simit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0FC0" w14:textId="77777777" w:rsidR="00E95694" w:rsidRDefault="008A4F7D" w:rsidP="00E95694">
            <w:pPr>
              <w:pStyle w:val="BodyText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Afati i procesit të rivlerësimit të jetë 1 vjeçar dhe propozohet periudha 1 Tetor 2025 – 30 Shtator 2026 ose 1 Janar </w:t>
            </w: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2026 - 31 Dhjetor 2026;</w:t>
            </w:r>
          </w:p>
          <w:p w14:paraId="30AB86A4" w14:textId="782B9D28" w:rsidR="008A4F7D" w:rsidRPr="00E95694" w:rsidRDefault="008A4F7D" w:rsidP="00E95694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95694">
              <w:rPr>
                <w:rFonts w:ascii="Times New Roman" w:hAnsi="Times New Roman"/>
                <w:sz w:val="24"/>
                <w:szCs w:val="24"/>
                <w:lang w:val="sq-AL"/>
              </w:rPr>
              <w:t>Gjithashtu, periudha 9-mujore e rivlerësimit shihet si e pamjaftueshme duke rrezikuar që shumë individë e subjekte të mbeten jashtë përfitimit.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5FDC" w14:textId="4782909A" w:rsidR="00116F63" w:rsidRPr="004A6BA7" w:rsidRDefault="005664A7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A6BA7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1.</w:t>
            </w:r>
            <w:r w:rsidR="008A4F7D" w:rsidRPr="004A6BA7">
              <w:rPr>
                <w:rFonts w:ascii="Times New Roman" w:hAnsi="Times New Roman"/>
                <w:sz w:val="24"/>
                <w:szCs w:val="24"/>
                <w:lang w:val="sq-AL"/>
              </w:rPr>
              <w:t>Shoqata Narea</w:t>
            </w:r>
          </w:p>
          <w:p w14:paraId="1D39B969" w14:textId="77777777" w:rsidR="008A4F7D" w:rsidRDefault="005664A7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A6BA7"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  <w:r w:rsidR="008A4F7D" w:rsidRPr="004A6BA7">
              <w:rPr>
                <w:rFonts w:ascii="Times New Roman" w:hAnsi="Times New Roman"/>
                <w:sz w:val="24"/>
                <w:szCs w:val="24"/>
                <w:lang w:val="sq-AL"/>
              </w:rPr>
              <w:t>Z.Eduart Gjokutaj</w:t>
            </w:r>
          </w:p>
          <w:p w14:paraId="3F590DEE" w14:textId="63AB24CD" w:rsidR="004A6BA7" w:rsidRPr="004A6BA7" w:rsidRDefault="004A6BA7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40D2" w14:textId="1C14C161" w:rsidR="009834B7" w:rsidRPr="008D558C" w:rsidRDefault="00B42B9A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  <w:r>
              <w:rPr>
                <w:rFonts w:ascii="Times New Roman" w:hAnsi="Times New Roman"/>
                <w:sz w:val="24"/>
                <w:szCs w:val="24"/>
                <w:lang w:val="it-CH"/>
              </w:rPr>
              <w:t xml:space="preserve">Pranuar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9E91" w14:textId="069344A9" w:rsidR="00387880" w:rsidRPr="008D558C" w:rsidRDefault="00C65971" w:rsidP="00350CC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Lidhur me </w:t>
            </w:r>
            <w:r w:rsidR="00350CCB">
              <w:rPr>
                <w:rFonts w:ascii="Times New Roman" w:hAnsi="Times New Roman"/>
                <w:sz w:val="24"/>
                <w:szCs w:val="24"/>
                <w:lang w:val="sq-AL"/>
              </w:rPr>
              <w:t>zgjatjen e afatit të rivlerësimit nga 9 muaj në 1 vit, duke zgjatur periudhën nga</w:t>
            </w: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1 Tetor 2025 – 30 Shtator 2026</w:t>
            </w:r>
            <w:r w:rsidR="00350CC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ose </w:t>
            </w:r>
            <w:r w:rsidR="00350CCB" w:rsidRPr="008D558C">
              <w:rPr>
                <w:rFonts w:ascii="Times New Roman" w:hAnsi="Times New Roman"/>
                <w:sz w:val="24"/>
                <w:szCs w:val="24"/>
                <w:lang w:val="sq-AL"/>
              </w:rPr>
              <w:t>1 Janar 2026 - 31 Dhjetor 2026</w:t>
            </w:r>
            <w:r w:rsidR="00350CC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është pranuar zgjatja e afatit </w:t>
            </w:r>
            <w:r w:rsidR="00350CCB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nga 9 muaj në 1 vit për periudhën </w:t>
            </w: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>nga data 1 Janar 2026 – 31 Dhjetor 2026.</w:t>
            </w:r>
          </w:p>
        </w:tc>
      </w:tr>
      <w:tr w:rsidR="008D558C" w:rsidRPr="004A6BA7" w14:paraId="33685472" w14:textId="77777777" w:rsidTr="004A6BA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326D" w14:textId="0420114C" w:rsidR="00C633C4" w:rsidRPr="008D558C" w:rsidRDefault="008A4F7D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A6BA7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Afat shtesë për përpunimin e kërkesave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7010" w14:textId="3BD5C3B7" w:rsidR="00C633C4" w:rsidRPr="008D558C" w:rsidRDefault="008A4F7D" w:rsidP="00581E83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sq-AL"/>
              </w:rPr>
            </w:pPr>
            <w:r w:rsidRPr="008D558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sq-AL"/>
              </w:rPr>
              <w:t xml:space="preserve">Të parashikohet një afat 90 ditor nga afati i përfundimit të periudhës së rivlerësimit, për çdo kërkesë për rivlerësim, depozituar pranë ASHK, e cila nuk arrin të procesohet brenda afatit.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084D" w14:textId="3BBD8C57" w:rsidR="00C633C4" w:rsidRPr="008D558C" w:rsidRDefault="005664A7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sq-AL"/>
              </w:rPr>
            </w:pPr>
            <w:r w:rsidRPr="008D558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sq-AL"/>
              </w:rPr>
              <w:t>Shoqata NAREA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4F4E" w14:textId="4024C782" w:rsidR="00C633C4" w:rsidRPr="008D558C" w:rsidRDefault="008D558C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Pranuar</w:t>
            </w:r>
          </w:p>
          <w:p w14:paraId="3079354C" w14:textId="445025B5" w:rsidR="009834B7" w:rsidRPr="008D558C" w:rsidRDefault="009834B7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76160CC" w14:textId="2E697BA6" w:rsidR="009834B7" w:rsidRPr="008D558C" w:rsidRDefault="009834B7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9452" w14:textId="15086231" w:rsidR="00C65971" w:rsidRPr="008D558C" w:rsidRDefault="00C65971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>1. Ky propozim është i parashikuar në draftin e projektligjit, në fjalinë e dytë të paragrafit 1, neni 1, ku parashikohet se:</w:t>
            </w:r>
          </w:p>
          <w:p w14:paraId="3DCB1819" w14:textId="08CC1469" w:rsidR="00C633C4" w:rsidRPr="008F2EDE" w:rsidRDefault="00C65971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8F2ED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“Kërkesat për rivlerësim të dorëzuara pranë Agjencisë Shtetërore të Kadastrës, të cilat nuk janë procesuar brenda datës 3</w:t>
            </w:r>
            <w:r w:rsidR="008F2ED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1</w:t>
            </w:r>
            <w:r w:rsidRPr="008F2ED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="008F2ED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dhjetor</w:t>
            </w:r>
            <w:r w:rsidRPr="008F2ED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2026, konsiderohen si objekt rivlerësimi sipas këtij ligji, në rast se pagesa e tatimit për to bëhet deri në datë 31 </w:t>
            </w:r>
            <w:r w:rsidR="008F2ED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mars 2027</w:t>
            </w:r>
            <w:r w:rsidRPr="008F2ED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”.</w:t>
            </w:r>
          </w:p>
        </w:tc>
      </w:tr>
      <w:tr w:rsidR="008D558C" w:rsidRPr="004A6BA7" w14:paraId="04DB38AE" w14:textId="77777777" w:rsidTr="004A6BA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A58F" w14:textId="665C206A" w:rsidR="00116F63" w:rsidRPr="008D558C" w:rsidRDefault="008A4F7D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</w:rPr>
              <w:t>Normat e tatimit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8C56" w14:textId="77777777" w:rsidR="00116F63" w:rsidRPr="008D558C" w:rsidRDefault="008A4F7D" w:rsidP="00581E83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A6BA7">
              <w:rPr>
                <w:rFonts w:ascii="Times New Roman" w:hAnsi="Times New Roman"/>
                <w:sz w:val="24"/>
                <w:szCs w:val="24"/>
                <w:lang w:val="sq-AL"/>
              </w:rPr>
              <w:t>Tatimi për regjistrimin e rivlerësimit propozohet të bëhet nga 5% në 3% vetëm për kategorinë banesa, dhe për tipologjitë e tjera të jetë 5%;</w:t>
            </w:r>
          </w:p>
          <w:p w14:paraId="267E1101" w14:textId="5EC8CDA1" w:rsidR="008A4F7D" w:rsidRPr="008D558C" w:rsidRDefault="008A4F7D" w:rsidP="00581E83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A6BA7">
              <w:rPr>
                <w:rFonts w:ascii="Times New Roman" w:hAnsi="Times New Roman"/>
                <w:sz w:val="24"/>
                <w:szCs w:val="24"/>
                <w:lang w:val="sq-AL"/>
              </w:rPr>
              <w:t>Duke marr</w:t>
            </w:r>
            <w:r w:rsidR="00053002" w:rsidRPr="004A6BA7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A6B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parasysh q</w:t>
            </w:r>
            <w:r w:rsidR="00053002" w:rsidRPr="004A6BA7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A6B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fushatat e rivler</w:t>
            </w:r>
            <w:r w:rsidR="00053002" w:rsidRPr="004A6BA7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A6BA7">
              <w:rPr>
                <w:rFonts w:ascii="Times New Roman" w:hAnsi="Times New Roman"/>
                <w:sz w:val="24"/>
                <w:szCs w:val="24"/>
                <w:lang w:val="sq-AL"/>
              </w:rPr>
              <w:t>simit jan</w:t>
            </w:r>
            <w:r w:rsidR="00053002" w:rsidRPr="004A6BA7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A6B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</w:t>
            </w:r>
            <w:r w:rsidR="00053002" w:rsidRPr="004A6BA7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A6BA7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053002" w:rsidRPr="004A6BA7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F0A05" w:rsidRPr="004A6B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4A6BA7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053002" w:rsidRPr="004A6BA7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A6B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shpeshta sugjero</w:t>
            </w:r>
            <w:r w:rsidR="00BD58A3">
              <w:rPr>
                <w:rFonts w:ascii="Times New Roman" w:hAnsi="Times New Roman"/>
                <w:sz w:val="24"/>
                <w:szCs w:val="24"/>
                <w:lang w:val="sq-AL"/>
              </w:rPr>
              <w:t>het</w:t>
            </w:r>
            <w:r w:rsidRPr="004A6B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4A6BA7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ndryshimi</w:t>
            </w:r>
            <w:r w:rsidR="00BD58A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</w:t>
            </w:r>
            <w:r w:rsidRPr="004A6B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ligjit “Për tatimin mbi të ardhurat” për rastet e kalimit të së drejtës së pronësisë mbi pasuritë e paluajtshme, nga 15 % n</w:t>
            </w:r>
            <w:r w:rsidR="00053002" w:rsidRPr="004A6BA7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A6B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5 %.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5786" w14:textId="3BC5F582" w:rsidR="00116F63" w:rsidRPr="008D558C" w:rsidRDefault="005664A7" w:rsidP="00BD58A3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Shoqata NAREA</w:t>
            </w:r>
          </w:p>
          <w:p w14:paraId="4D5F13BA" w14:textId="230AA724" w:rsidR="00BD58A3" w:rsidRPr="008D558C" w:rsidRDefault="00BD58A3" w:rsidP="004A2DD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5795" w14:textId="4AE17BB9" w:rsidR="00116F63" w:rsidRPr="008D558C" w:rsidRDefault="009834B7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  <w:p w14:paraId="5384A188" w14:textId="0723EA3F" w:rsidR="009834B7" w:rsidRPr="008D558C" w:rsidRDefault="009834B7" w:rsidP="004A2DD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0A3D" w14:textId="35D8B97B" w:rsidR="00985ECF" w:rsidRPr="008D558C" w:rsidRDefault="00C65971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>1.Vlerësojmë se norma 5% është më e pranueshme në procesin e rivlerësimit pasi në bazë të ligjit të ri për tatimin mbi të ardhurat dhe aktet nënligjore në zbatim të tij, përcaktohet</w:t>
            </w:r>
            <w:r w:rsidR="00581E83" w:rsidRPr="008D558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reduktim nga çmimi i referencës me 1% </w:t>
            </w:r>
            <w:r w:rsidR="00BD58A3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D58A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 çdo vit përdorimi të </w:t>
            </w: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>ndërtesa</w:t>
            </w:r>
            <w:r w:rsidR="00BD58A3">
              <w:rPr>
                <w:rFonts w:ascii="Times New Roman" w:hAnsi="Times New Roman"/>
                <w:sz w:val="24"/>
                <w:szCs w:val="24"/>
                <w:lang w:val="sq-AL"/>
              </w:rPr>
              <w:t>ve</w:t>
            </w: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duke reduktuar bazën mbi të cilën aplikohet tatimi dhe në këtë mënyrë duke ulur edhe masën e tatimit që </w:t>
            </w: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detyrohet të paguajë individi.</w:t>
            </w:r>
          </w:p>
          <w:p w14:paraId="21EC2383" w14:textId="2B378D82" w:rsidR="00C65971" w:rsidRPr="008D558C" w:rsidRDefault="00C65971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  <w:r w:rsidR="00BD58A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>Lidhur me uljen e tatimit mbi fitimin kapital nga 15% në 3% për banesa dhe 5% për pasuri të tjera</w:t>
            </w:r>
            <w:r w:rsidR="00BD58A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apo uljen në 5% për të gjitha pasuritë e paluajtshme, </w:t>
            </w: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ky propozim nuk mund të merret në shqyrtim pasi nuk është objekt i këtij projektligji, por i ligjit nr. 29/2023, “Për tatimin mbi të ardhurat”, i ndryshuar.</w:t>
            </w:r>
          </w:p>
          <w:p w14:paraId="2235CBE1" w14:textId="1B1F48F5" w:rsidR="00C65971" w:rsidRPr="008D558C" w:rsidRDefault="00C65971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E95694" w:rsidRPr="004A6BA7" w14:paraId="0F35FA85" w14:textId="77777777" w:rsidTr="004A6BA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0DCE" w14:textId="77777777" w:rsidR="00E95694" w:rsidRPr="008D558C" w:rsidRDefault="00E95694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244F" w14:textId="77777777" w:rsidR="004A2DD2" w:rsidRPr="008D558C" w:rsidRDefault="004A2DD2" w:rsidP="004A2DD2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A6BA7">
              <w:rPr>
                <w:rFonts w:ascii="Times New Roman" w:hAnsi="Times New Roman"/>
                <w:sz w:val="24"/>
                <w:szCs w:val="24"/>
                <w:lang w:val="sq-AL"/>
              </w:rPr>
              <w:t>Propozohet lidhur me tatimin mbi fitimin kapital, ku konkretisht që tatimi mbi fitimin kapital të ulet nga 15% në 3% për banesat dhe 5% për pasuritë e tjera. Kjo pasi tatimi në masën 15% është tepër i lartë, pasi ngadalëson transaksionet, nxit informalitetin dhe ul të ardhurat buxhetore.</w:t>
            </w:r>
          </w:p>
          <w:p w14:paraId="1AB141E0" w14:textId="77777777" w:rsidR="00E95694" w:rsidRPr="004A6BA7" w:rsidRDefault="00E95694" w:rsidP="00E95694">
            <w:pPr>
              <w:pStyle w:val="ListParagraph"/>
              <w:spacing w:line="276" w:lineRule="auto"/>
              <w:ind w:left="360" w:firstLine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51B7" w14:textId="65566D02" w:rsidR="004A2DD2" w:rsidRDefault="004A2DD2" w:rsidP="004A2DD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>Ervin Doçi</w:t>
            </w:r>
          </w:p>
          <w:p w14:paraId="1D38DE08" w14:textId="77777777" w:rsidR="00E95694" w:rsidRPr="008D558C" w:rsidRDefault="00E95694" w:rsidP="00BD58A3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E33C" w14:textId="7359C68B" w:rsidR="004A2DD2" w:rsidRPr="004A2DD2" w:rsidRDefault="004A2DD2" w:rsidP="004A2DD2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A2DD2"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  <w:p w14:paraId="29AAA077" w14:textId="77777777" w:rsidR="00E95694" w:rsidRPr="008D558C" w:rsidRDefault="00E95694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BA9E" w14:textId="6AC9E9FD" w:rsidR="00E95694" w:rsidRPr="008D558C" w:rsidRDefault="004A2DD2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A2DD2">
              <w:rPr>
                <w:rFonts w:ascii="Times New Roman" w:hAnsi="Times New Roman"/>
                <w:sz w:val="24"/>
                <w:szCs w:val="24"/>
                <w:lang w:val="sq-AL"/>
              </w:rPr>
              <w:t>Lidhur me uljen e tatimit mbi fitimin kapital nga 15% në 3% për banesa dhe 5% për pasuri të tjera, apo uljen në 5% për të gjitha pasuritë e paluajtshme,  ky propozim nuk mund të merret në shqyrtim pasi nuk është objekt i këtij projektligji, por i ligjit nr. 29/2023, “Për tatimin mbi të ardhurat”, i ndryshuar.</w:t>
            </w:r>
          </w:p>
        </w:tc>
      </w:tr>
      <w:tr w:rsidR="008D558C" w:rsidRPr="004A6BA7" w14:paraId="4783A88B" w14:textId="77777777" w:rsidTr="004A6BA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F0A9" w14:textId="35BAB2BF" w:rsidR="006F4C16" w:rsidRPr="008D558C" w:rsidRDefault="008A4F7D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>Objekti i ligjit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67BA" w14:textId="6C7B57B7" w:rsidR="008A4F7D" w:rsidRPr="004A2DD2" w:rsidRDefault="008A4F7D" w:rsidP="004A2DD2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58C">
              <w:rPr>
                <w:rFonts w:ascii="Times New Roman" w:hAnsi="Times New Roman"/>
                <w:sz w:val="24"/>
                <w:szCs w:val="24"/>
              </w:rPr>
              <w:t>Të shtohen si objekt i këtij ligji edhe kontratat e porosisë;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BA6F" w14:textId="1D11CC0D" w:rsidR="006F4C16" w:rsidRPr="008D558C" w:rsidRDefault="005664A7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>1.Shoqata NAREA</w:t>
            </w:r>
          </w:p>
          <w:p w14:paraId="391E0670" w14:textId="0E9C67EE" w:rsidR="005664A7" w:rsidRPr="008D558C" w:rsidRDefault="005664A7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CB29" w14:textId="077F0C23" w:rsidR="006F4C16" w:rsidRPr="008D558C" w:rsidRDefault="009834B7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  <w:p w14:paraId="4FE9D58C" w14:textId="33C0004F" w:rsidR="008D558C" w:rsidRPr="008D558C" w:rsidRDefault="008D558C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340C" w14:textId="447D2619" w:rsidR="006F4C16" w:rsidRPr="008D558C" w:rsidRDefault="00EA6132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A6BA7">
              <w:rPr>
                <w:rFonts w:ascii="Times New Roman" w:hAnsi="Times New Roman"/>
                <w:sz w:val="24"/>
                <w:szCs w:val="24"/>
                <w:lang w:val="sq-AL"/>
              </w:rPr>
              <w:t>Në lidhje me kontratat e porosisë</w:t>
            </w:r>
            <w:r w:rsidR="00AE4542" w:rsidRPr="004A6B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sipërmarrjes</w:t>
            </w:r>
            <w:r w:rsidRPr="004A6B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propozimi është refuzuar, pasi për këto pasuri hasen vështirësi procedurale në </w:t>
            </w:r>
            <w:r w:rsidRPr="004A6BA7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zbatimin e </w:t>
            </w:r>
            <w:r w:rsidR="00350CCB">
              <w:rPr>
                <w:rFonts w:ascii="Times New Roman" w:hAnsi="Times New Roman"/>
                <w:sz w:val="24"/>
                <w:szCs w:val="24"/>
                <w:lang w:val="sq-AL"/>
              </w:rPr>
              <w:t>ligjit në kuadër edhe të</w:t>
            </w:r>
            <w:r w:rsidRPr="004A6B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qëllimi</w:t>
            </w:r>
            <w:r w:rsidR="00350CCB">
              <w:rPr>
                <w:rFonts w:ascii="Times New Roman" w:hAnsi="Times New Roman"/>
                <w:sz w:val="24"/>
                <w:szCs w:val="24"/>
                <w:lang w:val="sq-AL"/>
              </w:rPr>
              <w:t>t të</w:t>
            </w:r>
            <w:r w:rsidRPr="004A6B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parashikuar.</w:t>
            </w:r>
          </w:p>
        </w:tc>
      </w:tr>
      <w:tr w:rsidR="004A2DD2" w:rsidRPr="004A6BA7" w14:paraId="0715CEC9" w14:textId="77777777" w:rsidTr="004A6BA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8A7E" w14:textId="77777777" w:rsidR="004A2DD2" w:rsidRPr="008D558C" w:rsidRDefault="004A2DD2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ED50" w14:textId="0596C6F8" w:rsidR="004A2DD2" w:rsidRPr="008D558C" w:rsidRDefault="004A2DD2" w:rsidP="00581E83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58C">
              <w:rPr>
                <w:rFonts w:ascii="Times New Roman" w:hAnsi="Times New Roman"/>
                <w:sz w:val="24"/>
                <w:szCs w:val="24"/>
              </w:rPr>
              <w:t>Rivlerësimi të bëhet dhe nga persona që kanë blerë me kontratë sipërmarrje/prenotim njësi ndërtimore, me kusht që të jenë të regjistruara në ASHK;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D6A6" w14:textId="13A746E5" w:rsidR="004A2DD2" w:rsidRPr="008D558C" w:rsidRDefault="004A2DD2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>Z.Ardian Stamo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E2D" w14:textId="674BBBDC" w:rsidR="004A2DD2" w:rsidRPr="008D558C" w:rsidRDefault="004A2DD2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0F18" w14:textId="498BCF94" w:rsidR="004A2DD2" w:rsidRPr="004A6BA7" w:rsidRDefault="004A2DD2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A2DD2">
              <w:rPr>
                <w:rFonts w:ascii="Times New Roman" w:hAnsi="Times New Roman"/>
                <w:sz w:val="24"/>
                <w:szCs w:val="24"/>
                <w:lang w:val="sq-AL"/>
              </w:rPr>
              <w:t>Në lidhje me kontratat e porosisë dhe sipërmarrjes, propozimi është refuzuar, pasi për këto pasuri hasen vështirësi procedurale në zbatimin e ligjit në kuadër edhe të qëllimit të parashikuar.</w:t>
            </w:r>
          </w:p>
        </w:tc>
      </w:tr>
      <w:tr w:rsidR="008D558C" w:rsidRPr="004A6BA7" w14:paraId="3047F5C8" w14:textId="77777777" w:rsidTr="004A6BA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C3D3" w14:textId="182D9110" w:rsidR="006F4C16" w:rsidRPr="008D558C" w:rsidRDefault="008A4F7D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>Vlera e rivler</w:t>
            </w:r>
            <w:r w:rsidR="00581E83" w:rsidRPr="008D558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>sua</w:t>
            </w:r>
            <w:r w:rsidR="008D558C" w:rsidRPr="008D558C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p</w:t>
            </w:r>
            <w:r w:rsidR="00581E83" w:rsidRPr="008D558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>rdorimi i saj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3BA3" w14:textId="61808148" w:rsidR="008A4F7D" w:rsidRPr="00BE3302" w:rsidRDefault="008A4F7D" w:rsidP="00BE3302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A6BA7">
              <w:rPr>
                <w:rFonts w:ascii="Times New Roman" w:hAnsi="Times New Roman"/>
                <w:sz w:val="24"/>
                <w:szCs w:val="24"/>
                <w:lang w:val="sq-AL"/>
              </w:rPr>
              <w:t>Të parashikohet shprehimisht se vlera e rivlerësuar merret në konsideratë edhe në rastet e kalimit të pronësisë me dhurim ose trashëgimi dhe që rivlerësimi i kryer një herë të mos humbas në rast të transaksioneve të mëvonshme apo ndryshimeve të çmimeve të referencës të vendosura nga ASHK.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E521" w14:textId="02BD501C" w:rsidR="006F4C16" w:rsidRPr="008D558C" w:rsidRDefault="005664A7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>1.Dhoma Amerikane e Tregtis</w:t>
            </w:r>
            <w:r w:rsidR="00581E83" w:rsidRPr="008D558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</w:p>
          <w:p w14:paraId="037AA8B8" w14:textId="3C07F9BE" w:rsidR="005664A7" w:rsidRPr="008D558C" w:rsidRDefault="005664A7" w:rsidP="00AD77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6F1D" w14:textId="225E81C3" w:rsidR="00985ECF" w:rsidRPr="008D558C" w:rsidRDefault="008D558C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  <w:p w14:paraId="13A75FC8" w14:textId="0BFE7472" w:rsidR="008D558C" w:rsidRPr="008D558C" w:rsidRDefault="008D558C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898B" w14:textId="3580A12E" w:rsidR="00C65971" w:rsidRPr="004A6BA7" w:rsidRDefault="00C65971" w:rsidP="00581E8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q-AL"/>
              </w:rPr>
            </w:pPr>
            <w:r w:rsidRPr="004A6BA7">
              <w:rPr>
                <w:rFonts w:ascii="Times New Roman" w:hAnsi="Times New Roman"/>
                <w:sz w:val="24"/>
                <w:szCs w:val="24"/>
                <w:shd w:val="clear" w:color="auto" w:fill="FFFFFF"/>
                <w:lang w:val="sq-AL"/>
              </w:rPr>
              <w:t>1.Sqarojmë se ky propozim aktualisht gjen rregullim dhe është parashikuar në Udhëzimin e Përbashkët të MF dhe ASHK nr. 34, datë 29.12.2023, “Për tatimin mbi të ardhurat nga tjetërsimi i pasurive të paluajtshme”, konkretisht në pikën 3.1 të Kapitullit II të tij, përcaktohet se vlera në blerje e pasurisë së paluajtshme, të përfituar me një transaksion (qoftë kontratë blerje, shkëmbim, trashëgimi, dhuratë, heqje dorë apo rivlerësim i pasurisë së paluajtshme), për të cilin është llogaritur tatimi dhe ky akt është regjistruar pranë organit kompetent për regjistrimin e pasurive të paluajtshme, atëherë</w:t>
            </w:r>
            <w:r w:rsidRPr="004A6BA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 xml:space="preserve"> </w:t>
            </w:r>
            <w:r w:rsidRPr="004A6BA7">
              <w:rPr>
                <w:rFonts w:ascii="Times New Roman" w:hAnsi="Times New Roman"/>
                <w:sz w:val="24"/>
                <w:szCs w:val="24"/>
                <w:shd w:val="clear" w:color="auto" w:fill="FFFFFF"/>
                <w:lang w:val="sq-AL"/>
              </w:rPr>
              <w:t xml:space="preserve">vlera në blerje do të jetë vlera sipas regjistrimit të fundit të kësaj pasurie mbi të cilën është </w:t>
            </w:r>
            <w:r w:rsidRPr="004A6BA7">
              <w:rPr>
                <w:rFonts w:ascii="Times New Roman" w:hAnsi="Times New Roman"/>
                <w:sz w:val="24"/>
                <w:szCs w:val="24"/>
                <w:shd w:val="clear" w:color="auto" w:fill="FFFFFF"/>
                <w:lang w:val="sq-AL"/>
              </w:rPr>
              <w:lastRenderedPageBreak/>
              <w:t>llogaritur</w:t>
            </w:r>
            <w:r w:rsidR="0031735A">
              <w:rPr>
                <w:rFonts w:ascii="Times New Roman" w:hAnsi="Times New Roman"/>
                <w:sz w:val="24"/>
                <w:szCs w:val="24"/>
                <w:shd w:val="clear" w:color="auto" w:fill="FFFFFF"/>
                <w:lang w:val="sq-AL"/>
              </w:rPr>
              <w:t xml:space="preserve"> dhe paguar</w:t>
            </w:r>
            <w:r w:rsidRPr="004A6BA7">
              <w:rPr>
                <w:rFonts w:ascii="Times New Roman" w:hAnsi="Times New Roman"/>
                <w:sz w:val="24"/>
                <w:szCs w:val="24"/>
                <w:shd w:val="clear" w:color="auto" w:fill="FFFFFF"/>
                <w:lang w:val="sq-AL"/>
              </w:rPr>
              <w:t xml:space="preserve"> tatimi.</w:t>
            </w:r>
          </w:p>
          <w:p w14:paraId="4ED96A40" w14:textId="77777777" w:rsidR="00C65971" w:rsidRPr="004A6BA7" w:rsidRDefault="00C65971" w:rsidP="00581E8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q-AL"/>
              </w:rPr>
            </w:pPr>
          </w:p>
          <w:p w14:paraId="17123355" w14:textId="577F605D" w:rsidR="006F4C16" w:rsidRPr="00350CCB" w:rsidRDefault="006F4C16" w:rsidP="00350CC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q-AL"/>
              </w:rPr>
            </w:pPr>
          </w:p>
        </w:tc>
      </w:tr>
      <w:tr w:rsidR="00AD7740" w:rsidRPr="004A6BA7" w14:paraId="0BEE610B" w14:textId="77777777" w:rsidTr="004A6BA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F524" w14:textId="77777777" w:rsidR="00AD7740" w:rsidRPr="008D558C" w:rsidRDefault="00AD7740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55F2" w14:textId="2D6412B4" w:rsidR="00AD7740" w:rsidRPr="00AD7740" w:rsidRDefault="00AD7740" w:rsidP="00AD7740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D7740">
              <w:rPr>
                <w:rFonts w:ascii="Times New Roman" w:hAnsi="Times New Roman"/>
                <w:sz w:val="24"/>
                <w:szCs w:val="24"/>
                <w:lang w:val="sq-AL"/>
              </w:rPr>
              <w:t>Të përcaktohet se rivlerësimi i pronës sipas ligjit duhet të ruhet edhe kur prona kalon tek personat e tretë që përjashtohen nga tatimi, si dhe tek trashëgimtarët ligjorë ose testamentarë, për të garantuar stabilitet dhe</w:t>
            </w:r>
            <w:r>
              <w:t xml:space="preserve"> </w:t>
            </w:r>
            <w:r w:rsidRPr="00AD7740">
              <w:rPr>
                <w:rFonts w:ascii="Times New Roman" w:hAnsi="Times New Roman"/>
                <w:sz w:val="24"/>
                <w:szCs w:val="24"/>
                <w:lang w:val="sq-AL"/>
              </w:rPr>
              <w:t>përfitime të ligjshme;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0041" w14:textId="19EC8D49" w:rsidR="00AD7740" w:rsidRPr="008D558C" w:rsidRDefault="00AD7740" w:rsidP="00AD77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>Ardian Stamo</w:t>
            </w:r>
          </w:p>
          <w:p w14:paraId="48590605" w14:textId="77777777" w:rsidR="00AD7740" w:rsidRPr="008D558C" w:rsidRDefault="00AD7740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A2A8" w14:textId="3DBCB87D" w:rsidR="00AD7740" w:rsidRPr="008D558C" w:rsidRDefault="00AD7740" w:rsidP="00AD77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  <w:p w14:paraId="1A48D73E" w14:textId="77777777" w:rsidR="00AD7740" w:rsidRPr="008D558C" w:rsidRDefault="00AD7740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2ECD" w14:textId="7FC4C76C" w:rsidR="00AD7740" w:rsidRPr="004A6BA7" w:rsidRDefault="005619C6" w:rsidP="00581E8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q-AL"/>
              </w:rPr>
            </w:pPr>
            <w:r w:rsidRPr="005619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sq-AL"/>
              </w:rPr>
              <w:t xml:space="preserve">Ky propozim aktualisht është i adresuar në Udhëzimin e Përbashkët të Ministrisë së Financave dhe Ekonomisë dhe Agjencisë Shtetërore të Kadastrës  nr. 34, datë 29.12.2023, “Për tatimin mbi të ardhurat nga tjetërsimi i pasurive të paluajtshme”, konkretisht në pikën 3.1 të Kapitullit II të tij, ku përcaktohet se vlera në blerje e një pasurie të paluajtshme është vlera sipas regjistrimit të fundit në DVASHK mbi të cilën është llogaritur tatimi, përfshirë edhe rastet kur pasuria kalon me trashëgimi apo dhurim.     </w:t>
            </w:r>
          </w:p>
        </w:tc>
      </w:tr>
      <w:tr w:rsidR="00AD7740" w:rsidRPr="004A6BA7" w14:paraId="32FA8198" w14:textId="77777777" w:rsidTr="004A6BA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614D" w14:textId="77777777" w:rsidR="00AD7740" w:rsidRPr="008D558C" w:rsidRDefault="00AD7740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030F" w14:textId="77777777" w:rsidR="00AD7740" w:rsidRDefault="00AD7740" w:rsidP="00AD7740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D7740">
              <w:rPr>
                <w:rFonts w:ascii="Times New Roman" w:hAnsi="Times New Roman"/>
                <w:sz w:val="24"/>
                <w:szCs w:val="24"/>
                <w:lang w:val="sq-AL"/>
              </w:rPr>
              <w:t>Të përcaktohet në ligj se rivlerësimi mbetet në fuqi në transaksionin e parë, edhe nëse çmimi i referencës rritet;</w:t>
            </w:r>
          </w:p>
          <w:p w14:paraId="0FC6A47D" w14:textId="104F36A9" w:rsidR="005619C6" w:rsidRPr="00AD7740" w:rsidRDefault="005619C6" w:rsidP="005619C6">
            <w:pPr>
              <w:pStyle w:val="ListParagraph"/>
              <w:ind w:left="360" w:firstLine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619C6">
              <w:rPr>
                <w:rFonts w:ascii="Times New Roman" w:hAnsi="Times New Roman"/>
                <w:sz w:val="24"/>
                <w:szCs w:val="24"/>
                <w:lang w:val="sq-AL"/>
              </w:rPr>
              <w:t>Të përcaktohet në ligj që prona është e rivlerësuar edhe kur humbet rivlerësimi.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AC9E" w14:textId="77777777" w:rsidR="005619C6" w:rsidRPr="005619C6" w:rsidRDefault="005619C6" w:rsidP="005619C6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619C6">
              <w:rPr>
                <w:rFonts w:ascii="Times New Roman" w:hAnsi="Times New Roman"/>
                <w:sz w:val="24"/>
                <w:szCs w:val="24"/>
                <w:lang w:val="sq-AL"/>
              </w:rPr>
              <w:t>2.Ardian Stamo</w:t>
            </w:r>
          </w:p>
          <w:p w14:paraId="52A0F6E6" w14:textId="77777777" w:rsidR="00AD7740" w:rsidRPr="008D558C" w:rsidRDefault="00AD7740" w:rsidP="00AD77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A4D5" w14:textId="0ECCCB9B" w:rsidR="00AD7740" w:rsidRPr="008D558C" w:rsidRDefault="005619C6" w:rsidP="00AD77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619C6"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3999" w14:textId="4CC2D928" w:rsidR="00AD7740" w:rsidRDefault="005619C6" w:rsidP="00581E8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sq-AL"/>
              </w:rPr>
              <w:t>Argumenti si më lart</w:t>
            </w:r>
          </w:p>
        </w:tc>
      </w:tr>
      <w:tr w:rsidR="008D558C" w:rsidRPr="004A6BA7" w14:paraId="154D52C2" w14:textId="77777777" w:rsidTr="004A6BA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34B9" w14:textId="3AC5BA9A" w:rsidR="009A2D15" w:rsidRPr="008D558C" w:rsidRDefault="0031735A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Njohja ne kontabilitet</w:t>
            </w:r>
            <w:r w:rsidR="008A4F7D" w:rsidRPr="008D558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rivler</w:t>
            </w:r>
            <w:r w:rsidR="00581E83" w:rsidRPr="008D558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8A4F7D" w:rsidRPr="008D558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simit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personat juridik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662C" w14:textId="77777777" w:rsidR="0053101B" w:rsidRPr="008D558C" w:rsidRDefault="008A4F7D" w:rsidP="00581E83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A6BA7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 xml:space="preserve">Propozojnë riformulimin e nenit 2 të projektligjit. Sqarojnë se në </w:t>
            </w:r>
            <w:r w:rsidRPr="004A6BA7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aspektin teknik, rivlerësimi sugjerohet të bëhet nga vlera fiskale e pasurisë, jo nga vlera kontabël, me qëllim për të shmangur konfliktin me standardet e kontabilitetit dhe vështirësitë praktike që janë ndeshur edhe në ligjet e mëparshme. Për subjektet juridike propozohet që reflektimi në pasqyrat financiare të mbetet në diskrecionin e standardeve kontabël, ndërsa për qëllime tatimore të përdoret vetëm vlera fiskale.</w:t>
            </w:r>
          </w:p>
          <w:p w14:paraId="402168E3" w14:textId="1E812F0E" w:rsidR="008A4F7D" w:rsidRPr="008D558C" w:rsidRDefault="008A4F7D" w:rsidP="00D27919">
            <w:pPr>
              <w:pStyle w:val="ListParagraph"/>
              <w:spacing w:line="276" w:lineRule="auto"/>
              <w:ind w:left="360" w:firstLine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FC6E" w14:textId="55AAD720" w:rsidR="0053101B" w:rsidRPr="008D558C" w:rsidRDefault="005664A7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1.Dhoma Amerikane e Tregtis</w:t>
            </w:r>
            <w:r w:rsidR="00581E83" w:rsidRPr="008D558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</w:p>
          <w:p w14:paraId="5CC19179" w14:textId="7FDAA059" w:rsidR="005664A7" w:rsidRPr="008D558C" w:rsidRDefault="005664A7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F8F1" w14:textId="35ABD8FE" w:rsidR="00FD7192" w:rsidRPr="008D558C" w:rsidRDefault="00D47D2C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  <w:p w14:paraId="08F6B3F7" w14:textId="5250417A" w:rsidR="008D558C" w:rsidRPr="008D558C" w:rsidRDefault="008D558C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97CB" w14:textId="5E7EDE49" w:rsidR="0053101B" w:rsidRPr="008D558C" w:rsidRDefault="00C65971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1.Pika 5, e nenit 2, të projektligjit është hartuar në përputhje dhe me parashikimet e mëparshme të këtij ligji, </w:t>
            </w: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duke synuar që trajtimi tatimor të vijojë të mbetet i njëjtë për këtë dispozitë.  </w:t>
            </w:r>
          </w:p>
          <w:p w14:paraId="7B62B882" w14:textId="4F621E2C" w:rsidR="00C65971" w:rsidRPr="008D558C" w:rsidRDefault="00C65971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D27919" w:rsidRPr="004A6BA7" w14:paraId="6CE663EB" w14:textId="77777777" w:rsidTr="004A6BA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0FCA" w14:textId="77777777" w:rsidR="00D27919" w:rsidRDefault="00D27919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76F4" w14:textId="5D940DD4" w:rsidR="00D27919" w:rsidRPr="004A6BA7" w:rsidRDefault="00D27919" w:rsidP="00581E83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279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Sa i përket personave juridikë, efekti i rivlerësimit zbehet nga ndalimi i amortizimit të diferencës dhe tatimi 5%, duke u shndërruar në një barrë të rëndë për bizneset e vogla </w:t>
            </w:r>
            <w:r w:rsidRPr="00D27919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dhe ato me gjendje të dobët financiare.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1574" w14:textId="014671D1" w:rsidR="00D27919" w:rsidRPr="008D558C" w:rsidRDefault="00BE3302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E3302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2.Eduart Gjokutaj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E06E" w14:textId="32BFA617" w:rsidR="00D27919" w:rsidRPr="008D558C" w:rsidRDefault="00BE3302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94E8" w14:textId="7AE955A1" w:rsidR="00D27919" w:rsidRPr="008D558C" w:rsidRDefault="00BE3302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E33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2. Projektligji i rivlerësimit synon të krijojë një kuadër ligjor për rivlerësimin e pasurive të paluajtshme të individëve dhe personave juridikë, duke ofruar një instrument për të përshtatur vlerën e pronave të tyre me atë të tregut, në kushtet kur çmimet e pasurive të </w:t>
            </w:r>
            <w:r w:rsidRPr="00BE3302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paluajtshme janë në rritje. Ky projektligj synon të lehtësojë barrën fiskale të tatimpaguesve në përcaktimin e fitimit të tatueshëm gjatë tjetërsimit të pasurisë, por nuk ka për qëllim të rrisë kostot e amortizimit të këtyre pasurive për të ulur fiktivisht fitimin e tatueshëm të subjekteve.</w:t>
            </w:r>
          </w:p>
        </w:tc>
      </w:tr>
      <w:tr w:rsidR="008D558C" w:rsidRPr="004A6BA7" w14:paraId="72E0B8D6" w14:textId="77777777" w:rsidTr="004A6BA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5CE3" w14:textId="5BFA65DE" w:rsidR="006F4C16" w:rsidRPr="008D558C" w:rsidRDefault="008A4F7D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Barazia dhe transparenca n</w:t>
            </w:r>
            <w:r w:rsidR="00581E83" w:rsidRPr="008D558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proces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FBD7" w14:textId="77777777" w:rsidR="006F4C16" w:rsidRPr="008D558C" w:rsidRDefault="008A4F7D" w:rsidP="00581E83">
            <w:pPr>
              <w:pStyle w:val="ListParagraph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A6BA7">
              <w:rPr>
                <w:rFonts w:ascii="Times New Roman" w:hAnsi="Times New Roman"/>
                <w:sz w:val="24"/>
                <w:szCs w:val="24"/>
                <w:lang w:val="sq-AL"/>
              </w:rPr>
              <w:t>Parashikimi për kryerjen e procesit të vlerësimit nga nje ekspert i licensuar ose nga zyrat vendore të ASHK-së, krijon hapësira për trajtim të pabarabartë, sidomos tek individët që nuk kanë mundësi të përballojnë një ekspert privat;</w:t>
            </w:r>
          </w:p>
          <w:p w14:paraId="3F5B120F" w14:textId="77777777" w:rsidR="008A4F7D" w:rsidRPr="008D558C" w:rsidRDefault="008A4F7D" w:rsidP="00581E83">
            <w:pPr>
              <w:pStyle w:val="ListParagraph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A6B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Kufizimi që vlera e rivlerësuar nuk mund të jetë më e vogël se çmimi minimal fiskal përbën një kufizim në autonominë e vlerësuesit dhe një ndërhyrje në vlerësimet individuale të cilat mund të deformojnë </w:t>
            </w:r>
            <w:r w:rsidRPr="004A6BA7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rezultatet reale të tregut;</w:t>
            </w:r>
          </w:p>
          <w:p w14:paraId="61BC3ABF" w14:textId="77777777" w:rsidR="008A4F7D" w:rsidRPr="008D558C" w:rsidRDefault="008A4F7D" w:rsidP="00581E83">
            <w:pPr>
              <w:pStyle w:val="ListParagraph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A6BA7">
              <w:rPr>
                <w:rFonts w:ascii="Times New Roman" w:hAnsi="Times New Roman"/>
                <w:sz w:val="24"/>
                <w:szCs w:val="24"/>
                <w:lang w:val="sq-AL"/>
              </w:rPr>
              <w:t>Për pasuritë në proces regjistrimi ose legalizimi, projektligji duke ia lënë përcaktimin e procedurave Këshillit të Ministrave përmes një akti të mëvonshëm, krijon pasiguri, vonesa të mundshme dhe rrezik arbitrariteti në zbatim.</w:t>
            </w:r>
          </w:p>
          <w:p w14:paraId="1D635D7D" w14:textId="5F9DFAB4" w:rsidR="008A4F7D" w:rsidRPr="008D558C" w:rsidRDefault="008A4F7D" w:rsidP="00581E83">
            <w:pPr>
              <w:pStyle w:val="ListParagraph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A6BA7">
              <w:rPr>
                <w:rFonts w:ascii="Times New Roman" w:hAnsi="Times New Roman"/>
                <w:sz w:val="24"/>
                <w:szCs w:val="24"/>
                <w:lang w:val="sq-AL"/>
              </w:rPr>
              <w:t>Për miratimin e udhëzimit dhe akteve nënligjore brenda 30 ditëve, nuk përmendet kërkesa për konsultim publik, përfshirja në hartimin e këtyre akteve nënligjore e profesionistëve dhe shoqërisë civile.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42E7" w14:textId="1AEC5284" w:rsidR="006F4C16" w:rsidRPr="008D558C" w:rsidRDefault="005664A7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Eduart Gjokutaj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F78A" w14:textId="0C12B90C" w:rsidR="006F4C16" w:rsidRPr="008D558C" w:rsidRDefault="008D558C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  <w:p w14:paraId="73415E1F" w14:textId="38646DA5" w:rsidR="008D558C" w:rsidRPr="008D558C" w:rsidRDefault="008D558C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5AD6" w14:textId="1F43C94F" w:rsidR="00C65971" w:rsidRPr="008D558C" w:rsidRDefault="00581E83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>1.</w:t>
            </w:r>
            <w:r w:rsidR="00C65971" w:rsidRPr="008D558C">
              <w:rPr>
                <w:rFonts w:ascii="Times New Roman" w:hAnsi="Times New Roman"/>
                <w:sz w:val="24"/>
                <w:szCs w:val="24"/>
                <w:lang w:val="sq-AL"/>
              </w:rPr>
              <w:t>Duke marrë në konsideratë se numri i aplikimeve të rivlerësimit parashikohet të jetë konsiderueshëm i lartë krahasuar me kapacitetet e ASHK-së, parashikohet që individëve tu jepet e drejta e zgjedhjes për kryerjen e procesit të vlerësimit, qoftë nga ekspertë të liçensuar ose zyrat vendore, me qëllim përmbushjen e kërkesave të çdo tatimpaguesi. Pra në këtë rast nuk vlerësojmë se kemi të bëjmë me një trajtim të pabarabartë, për më tepër tatimpaguesi ka të drejtën për të zgjedhur.</w:t>
            </w:r>
          </w:p>
          <w:p w14:paraId="3BAD1905" w14:textId="068EA9DA" w:rsidR="00C65971" w:rsidRPr="008D558C" w:rsidRDefault="00581E83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  <w:r w:rsidR="00C65971" w:rsidRPr="008D558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Ky projektligj ka për qëllim të përshtasë vlerën që pronat kanë aktualisht në regjistrat e tyre, me vlerën e tregut, në kushtet kur çmimet e pasurive të paluajtshme janë në rritje. Çmimet minimale fiskale ose çmimet referuese janë çmime të përcaktuara </w:t>
            </w:r>
            <w:r w:rsidR="00C65971" w:rsidRPr="008D558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bazuar në kontratat e shitjes së tregut, e për më tepër në rastet e banesave këto çmime referuese zvogëlohen bazuar edhe në vitet e përdorimit të banesës me 1% për çdo vit përdorimi të banesës duke përafruar më tej vlerën e tregut të pasurisë.</w:t>
            </w:r>
          </w:p>
          <w:p w14:paraId="08E5898A" w14:textId="2BA118BA" w:rsidR="00C65971" w:rsidRPr="008D558C" w:rsidRDefault="00581E83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>3.</w:t>
            </w:r>
            <w:r w:rsidR="00271F5F" w:rsidRPr="004A6BA7">
              <w:rPr>
                <w:lang w:val="sq-AL"/>
              </w:rPr>
              <w:t xml:space="preserve"> </w:t>
            </w:r>
            <w:r w:rsidR="00271F5F" w:rsidRPr="00271F5F">
              <w:rPr>
                <w:rFonts w:ascii="Times New Roman" w:hAnsi="Times New Roman"/>
                <w:sz w:val="24"/>
                <w:szCs w:val="24"/>
                <w:lang w:val="sq-AL"/>
              </w:rPr>
              <w:t>Lidhur me propozimin për të parashikuar në tekstin e projektligjit procedurat që lidhen me pasuritë në proces regjistrimi ose legalizimi, në vend që këto të rregullohen me akt nënligjor të mëvonshëm,</w:t>
            </w:r>
            <w:r w:rsidR="008F2ED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nuk </w:t>
            </w:r>
            <w:r w:rsidR="00053002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8F2EDE">
              <w:rPr>
                <w:rFonts w:ascii="Times New Roman" w:hAnsi="Times New Roman"/>
                <w:sz w:val="24"/>
                <w:szCs w:val="24"/>
                <w:lang w:val="sq-AL"/>
              </w:rPr>
              <w:t>sht</w:t>
            </w:r>
            <w:r w:rsidR="00053002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8F2ED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reflektuar n</w:t>
            </w:r>
            <w:r w:rsidR="00053002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8F2ED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tekstin e projektligjit</w:t>
            </w:r>
            <w:r w:rsidR="002C611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pasi kjo dispozitë është hequr nga projektligji. </w:t>
            </w:r>
          </w:p>
          <w:p w14:paraId="2DC4D309" w14:textId="4FC7E116" w:rsidR="00C65971" w:rsidRPr="008D558C" w:rsidRDefault="00581E83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A6BA7">
              <w:rPr>
                <w:rFonts w:ascii="Times New Roman" w:hAnsi="Times New Roman"/>
                <w:sz w:val="24"/>
                <w:szCs w:val="24"/>
                <w:shd w:val="clear" w:color="auto" w:fill="FFFFFF"/>
                <w:lang w:val="sq-AL"/>
              </w:rPr>
              <w:t xml:space="preserve">4. </w:t>
            </w:r>
            <w:r w:rsidR="00C65971" w:rsidRPr="004A6BA7">
              <w:rPr>
                <w:rFonts w:ascii="Times New Roman" w:hAnsi="Times New Roman"/>
                <w:sz w:val="24"/>
                <w:szCs w:val="24"/>
                <w:shd w:val="clear" w:color="auto" w:fill="FFFFFF"/>
                <w:lang w:val="sq-AL"/>
              </w:rPr>
              <w:t>Konsultimi publik, apo përfshirja në hartimin e këtyre akteve nënligjore e profesionistëve dhe shoqërisë civile, nuk mund të parashikohet në dispozitat e këtij ligji. Ligji parashikon miratimin dhe afatin e publikimit të tyre. Proceset e konsultimit publik parashikohen në ligjin nr. 146/2014 “Për njoftimin dhe konsultimin publik”.</w:t>
            </w:r>
          </w:p>
        </w:tc>
      </w:tr>
      <w:tr w:rsidR="008D558C" w:rsidRPr="004A6BA7" w14:paraId="05A8B19F" w14:textId="77777777" w:rsidTr="004A6BA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545D" w14:textId="0B1039B0" w:rsidR="009A2D15" w:rsidRPr="008D558C" w:rsidRDefault="008A4F7D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Mendime kund</w:t>
            </w:r>
            <w:r w:rsidR="00581E83" w:rsidRPr="008D558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8D558C" w:rsidRPr="008D558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përgjithshme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54D1" w14:textId="0E925917" w:rsidR="009A2D15" w:rsidRPr="008D558C" w:rsidRDefault="008D558C" w:rsidP="00581E8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</w:rPr>
              <w:t>S</w:t>
            </w:r>
            <w:r w:rsidR="008A4F7D" w:rsidRPr="008D558C">
              <w:rPr>
                <w:rFonts w:ascii="Times New Roman" w:hAnsi="Times New Roman"/>
                <w:sz w:val="24"/>
                <w:szCs w:val="24"/>
              </w:rPr>
              <w:t>hprehur kundër këtij projektigji.</w:t>
            </w:r>
            <w:r w:rsidR="00972BD1" w:rsidRPr="008D558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B861" w14:textId="200C079F" w:rsidR="009A2D15" w:rsidRPr="008D558C" w:rsidRDefault="005664A7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>Briken Tuçi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5500" w14:textId="0C2AE94D" w:rsidR="009A2D15" w:rsidRPr="008D558C" w:rsidRDefault="008D558C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D244" w14:textId="77777777" w:rsidR="00C65971" w:rsidRPr="008D558C" w:rsidRDefault="00C65971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Ky projektligj synon të krijojë një kuadër ligjor për rivlerësimin e pasurive të paluajtshme të </w:t>
            </w: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individëve dhe personave juridikë, duke ofruar një instrument për të përshtatur vlerën e pronave të tyre me atë të tregut, në kushtet kur çmimet e pasurive të paluajtshme janë në rritje. </w:t>
            </w:r>
          </w:p>
          <w:p w14:paraId="018FD345" w14:textId="34BD32C0" w:rsidR="009A2D15" w:rsidRPr="008D558C" w:rsidRDefault="00C65971" w:rsidP="00581E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558C">
              <w:rPr>
                <w:rFonts w:ascii="Times New Roman" w:hAnsi="Times New Roman"/>
                <w:sz w:val="24"/>
                <w:szCs w:val="24"/>
                <w:lang w:val="sq-AL"/>
              </w:rPr>
              <w:t>Qëllimi i projektligjit është të sigurojë një proces efikas, transparent dhe me kosto të ulët për rivlerësimin e pasurive të paluajtshme, dhe është i nevojshëm për shkak dhe të rishikimit të çmimeve mesatare referuese të banesave, të cilat janë rishikuar dhe po përafrohen me çmimet reale të tregut.</w:t>
            </w:r>
          </w:p>
        </w:tc>
      </w:tr>
    </w:tbl>
    <w:p w14:paraId="33E44FA3" w14:textId="77777777" w:rsidR="005B6D2B" w:rsidRPr="008D558C" w:rsidRDefault="005B6D2B" w:rsidP="00581E83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sectPr w:rsidR="005B6D2B" w:rsidRPr="008D558C" w:rsidSect="008C4B0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F47E" w14:textId="77777777" w:rsidR="00BB1F56" w:rsidRDefault="00BB1F56" w:rsidP="006F4C16">
      <w:r>
        <w:separator/>
      </w:r>
    </w:p>
  </w:endnote>
  <w:endnote w:type="continuationSeparator" w:id="0">
    <w:p w14:paraId="6F59223A" w14:textId="77777777" w:rsidR="00BB1F56" w:rsidRDefault="00BB1F56" w:rsidP="006F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7F7F" w14:textId="77777777" w:rsidR="00BB1F56" w:rsidRDefault="00BB1F56" w:rsidP="006F4C16">
      <w:r>
        <w:separator/>
      </w:r>
    </w:p>
  </w:footnote>
  <w:footnote w:type="continuationSeparator" w:id="0">
    <w:p w14:paraId="59A32441" w14:textId="77777777" w:rsidR="00BB1F56" w:rsidRDefault="00BB1F56" w:rsidP="006F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502"/>
    <w:multiLevelType w:val="hybridMultilevel"/>
    <w:tmpl w:val="F3909FB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ADD7E74"/>
    <w:multiLevelType w:val="hybridMultilevel"/>
    <w:tmpl w:val="0D56D8F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D08301F"/>
    <w:multiLevelType w:val="hybridMultilevel"/>
    <w:tmpl w:val="B6684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440E"/>
    <w:multiLevelType w:val="hybridMultilevel"/>
    <w:tmpl w:val="51E672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FC4BE7"/>
    <w:multiLevelType w:val="hybridMultilevel"/>
    <w:tmpl w:val="584E18A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A32DB2"/>
    <w:multiLevelType w:val="hybridMultilevel"/>
    <w:tmpl w:val="6E540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104C4"/>
    <w:multiLevelType w:val="hybridMultilevel"/>
    <w:tmpl w:val="E8C46A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A658D2"/>
    <w:multiLevelType w:val="hybridMultilevel"/>
    <w:tmpl w:val="9EBC44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C557E"/>
    <w:multiLevelType w:val="hybridMultilevel"/>
    <w:tmpl w:val="F3909FBA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3F62143"/>
    <w:multiLevelType w:val="hybridMultilevel"/>
    <w:tmpl w:val="2D707D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B12507"/>
    <w:multiLevelType w:val="hybridMultilevel"/>
    <w:tmpl w:val="7DE2B0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BD0013"/>
    <w:multiLevelType w:val="hybridMultilevel"/>
    <w:tmpl w:val="043E42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B41C49"/>
    <w:multiLevelType w:val="hybridMultilevel"/>
    <w:tmpl w:val="8F36B5C2"/>
    <w:lvl w:ilvl="0" w:tplc="9B2EA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15523"/>
    <w:multiLevelType w:val="hybridMultilevel"/>
    <w:tmpl w:val="5DAC0D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3012EC"/>
    <w:multiLevelType w:val="hybridMultilevel"/>
    <w:tmpl w:val="36B89674"/>
    <w:lvl w:ilvl="0" w:tplc="60B68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5C17B1"/>
    <w:multiLevelType w:val="hybridMultilevel"/>
    <w:tmpl w:val="88BE6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F492C"/>
    <w:multiLevelType w:val="hybridMultilevel"/>
    <w:tmpl w:val="DCF6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531DD"/>
    <w:multiLevelType w:val="hybridMultilevel"/>
    <w:tmpl w:val="B7DE45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A83E82"/>
    <w:multiLevelType w:val="multilevel"/>
    <w:tmpl w:val="78CC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8D20EC"/>
    <w:multiLevelType w:val="hybridMultilevel"/>
    <w:tmpl w:val="52DEA3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84840"/>
    <w:multiLevelType w:val="hybridMultilevel"/>
    <w:tmpl w:val="4A724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22206"/>
    <w:multiLevelType w:val="multilevel"/>
    <w:tmpl w:val="D6F2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AE0315"/>
    <w:multiLevelType w:val="hybridMultilevel"/>
    <w:tmpl w:val="2434682C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553C2E08"/>
    <w:multiLevelType w:val="hybridMultilevel"/>
    <w:tmpl w:val="08E6E178"/>
    <w:lvl w:ilvl="0" w:tplc="0EC4F6C2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07290"/>
    <w:multiLevelType w:val="hybridMultilevel"/>
    <w:tmpl w:val="B5D41B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41E2A"/>
    <w:multiLevelType w:val="hybridMultilevel"/>
    <w:tmpl w:val="E6EEC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D6116"/>
    <w:multiLevelType w:val="hybridMultilevel"/>
    <w:tmpl w:val="3FBCA0EE"/>
    <w:lvl w:ilvl="0" w:tplc="B9CEBCBE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A41E3"/>
    <w:multiLevelType w:val="hybridMultilevel"/>
    <w:tmpl w:val="D4903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43D87"/>
    <w:multiLevelType w:val="multilevel"/>
    <w:tmpl w:val="C2F016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Calibri" w:hAnsi="Calibri" w:hint="default"/>
        <w:i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Calibri" w:hAnsi="Calibri" w:hint="default"/>
        <w:i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Calibri" w:hAnsi="Calibri" w:hint="default"/>
        <w:i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Calibri" w:hAnsi="Calibri" w:hint="default"/>
        <w:i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Calibri" w:hAnsi="Calibri"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ascii="Calibri" w:hAnsi="Calibri"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Calibri" w:hAnsi="Calibri"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ascii="Calibri" w:hAnsi="Calibri" w:hint="default"/>
        <w:i/>
      </w:rPr>
    </w:lvl>
  </w:abstractNum>
  <w:abstractNum w:abstractNumId="31" w15:restartNumberingAfterBreak="0">
    <w:nsid w:val="693307B0"/>
    <w:multiLevelType w:val="hybridMultilevel"/>
    <w:tmpl w:val="C0589018"/>
    <w:lvl w:ilvl="0" w:tplc="7F1A7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76A48"/>
    <w:multiLevelType w:val="hybridMultilevel"/>
    <w:tmpl w:val="DB10821A"/>
    <w:lvl w:ilvl="0" w:tplc="C03655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B73A08"/>
    <w:multiLevelType w:val="hybridMultilevel"/>
    <w:tmpl w:val="9C42F6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9BE3582"/>
    <w:multiLevelType w:val="hybridMultilevel"/>
    <w:tmpl w:val="E182B7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3829D2"/>
    <w:multiLevelType w:val="hybridMultilevel"/>
    <w:tmpl w:val="6406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075369">
    <w:abstractNumId w:val="0"/>
  </w:num>
  <w:num w:numId="2" w16cid:durableId="432211908">
    <w:abstractNumId w:val="18"/>
  </w:num>
  <w:num w:numId="3" w16cid:durableId="802387141">
    <w:abstractNumId w:val="34"/>
  </w:num>
  <w:num w:numId="4" w16cid:durableId="1427537429">
    <w:abstractNumId w:val="14"/>
  </w:num>
  <w:num w:numId="5" w16cid:durableId="95910522">
    <w:abstractNumId w:val="11"/>
  </w:num>
  <w:num w:numId="6" w16cid:durableId="2048749152">
    <w:abstractNumId w:val="32"/>
  </w:num>
  <w:num w:numId="7" w16cid:durableId="1332559188">
    <w:abstractNumId w:val="12"/>
  </w:num>
  <w:num w:numId="8" w16cid:durableId="491412604">
    <w:abstractNumId w:val="28"/>
  </w:num>
  <w:num w:numId="9" w16cid:durableId="1237320627">
    <w:abstractNumId w:val="27"/>
  </w:num>
  <w:num w:numId="10" w16cid:durableId="394743607">
    <w:abstractNumId w:val="23"/>
  </w:num>
  <w:num w:numId="11" w16cid:durableId="1020664231">
    <w:abstractNumId w:val="17"/>
  </w:num>
  <w:num w:numId="12" w16cid:durableId="2061241654">
    <w:abstractNumId w:val="30"/>
  </w:num>
  <w:num w:numId="13" w16cid:durableId="21053320">
    <w:abstractNumId w:val="2"/>
  </w:num>
  <w:num w:numId="14" w16cid:durableId="297077973">
    <w:abstractNumId w:val="36"/>
  </w:num>
  <w:num w:numId="15" w16cid:durableId="2025008125">
    <w:abstractNumId w:val="10"/>
  </w:num>
  <w:num w:numId="16" w16cid:durableId="1345474377">
    <w:abstractNumId w:val="20"/>
  </w:num>
  <w:num w:numId="17" w16cid:durableId="1899243826">
    <w:abstractNumId w:val="24"/>
  </w:num>
  <w:num w:numId="18" w16cid:durableId="1609388788">
    <w:abstractNumId w:val="4"/>
  </w:num>
  <w:num w:numId="19" w16cid:durableId="6554550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5410774">
    <w:abstractNumId w:val="26"/>
  </w:num>
  <w:num w:numId="21" w16cid:durableId="2104061854">
    <w:abstractNumId w:val="31"/>
  </w:num>
  <w:num w:numId="22" w16cid:durableId="821510326">
    <w:abstractNumId w:val="7"/>
  </w:num>
  <w:num w:numId="23" w16cid:durableId="1924947326">
    <w:abstractNumId w:val="1"/>
  </w:num>
  <w:num w:numId="24" w16cid:durableId="1153792392">
    <w:abstractNumId w:val="5"/>
  </w:num>
  <w:num w:numId="25" w16cid:durableId="219096924">
    <w:abstractNumId w:val="21"/>
  </w:num>
  <w:num w:numId="26" w16cid:durableId="308286820">
    <w:abstractNumId w:val="33"/>
  </w:num>
  <w:num w:numId="27" w16cid:durableId="825635717">
    <w:abstractNumId w:val="3"/>
  </w:num>
  <w:num w:numId="28" w16cid:durableId="1025836459">
    <w:abstractNumId w:val="13"/>
  </w:num>
  <w:num w:numId="29" w16cid:durableId="248660902">
    <w:abstractNumId w:val="29"/>
  </w:num>
  <w:num w:numId="30" w16cid:durableId="1648707800">
    <w:abstractNumId w:val="19"/>
  </w:num>
  <w:num w:numId="31" w16cid:durableId="2082097419">
    <w:abstractNumId w:val="35"/>
  </w:num>
  <w:num w:numId="32" w16cid:durableId="1053233702">
    <w:abstractNumId w:val="6"/>
  </w:num>
  <w:num w:numId="33" w16cid:durableId="1949004961">
    <w:abstractNumId w:val="9"/>
  </w:num>
  <w:num w:numId="34" w16cid:durableId="1666587654">
    <w:abstractNumId w:val="16"/>
  </w:num>
  <w:num w:numId="35" w16cid:durableId="1488477883">
    <w:abstractNumId w:val="25"/>
  </w:num>
  <w:num w:numId="36" w16cid:durableId="1457483270">
    <w:abstractNumId w:val="15"/>
  </w:num>
  <w:num w:numId="37" w16cid:durableId="2516210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10F37"/>
    <w:rsid w:val="00011509"/>
    <w:rsid w:val="0001358F"/>
    <w:rsid w:val="0004166D"/>
    <w:rsid w:val="00053002"/>
    <w:rsid w:val="000566B2"/>
    <w:rsid w:val="00074258"/>
    <w:rsid w:val="000802AD"/>
    <w:rsid w:val="00082BDB"/>
    <w:rsid w:val="000A2168"/>
    <w:rsid w:val="000A5653"/>
    <w:rsid w:val="000B1D57"/>
    <w:rsid w:val="000C3B1C"/>
    <w:rsid w:val="000D061B"/>
    <w:rsid w:val="000E12DC"/>
    <w:rsid w:val="000F2764"/>
    <w:rsid w:val="00111D6B"/>
    <w:rsid w:val="00116F63"/>
    <w:rsid w:val="00141101"/>
    <w:rsid w:val="00145CA5"/>
    <w:rsid w:val="00186349"/>
    <w:rsid w:val="00194F82"/>
    <w:rsid w:val="00196392"/>
    <w:rsid w:val="001A3FA5"/>
    <w:rsid w:val="001B74D2"/>
    <w:rsid w:val="001C6A80"/>
    <w:rsid w:val="001D5812"/>
    <w:rsid w:val="001E5E07"/>
    <w:rsid w:val="001F312C"/>
    <w:rsid w:val="002045C1"/>
    <w:rsid w:val="00216266"/>
    <w:rsid w:val="00231256"/>
    <w:rsid w:val="00242FA6"/>
    <w:rsid w:val="00260E60"/>
    <w:rsid w:val="00271F5F"/>
    <w:rsid w:val="002B161B"/>
    <w:rsid w:val="002B3810"/>
    <w:rsid w:val="002C4CA3"/>
    <w:rsid w:val="002C6111"/>
    <w:rsid w:val="002D1FCD"/>
    <w:rsid w:val="002D2635"/>
    <w:rsid w:val="002E74F8"/>
    <w:rsid w:val="002F0A05"/>
    <w:rsid w:val="002F71AD"/>
    <w:rsid w:val="0031735A"/>
    <w:rsid w:val="00327E14"/>
    <w:rsid w:val="0033261A"/>
    <w:rsid w:val="00332DB4"/>
    <w:rsid w:val="00350CCB"/>
    <w:rsid w:val="0035567F"/>
    <w:rsid w:val="003557C4"/>
    <w:rsid w:val="00356B2A"/>
    <w:rsid w:val="0036265D"/>
    <w:rsid w:val="0036714E"/>
    <w:rsid w:val="00370F13"/>
    <w:rsid w:val="00387880"/>
    <w:rsid w:val="00390E7D"/>
    <w:rsid w:val="003A523D"/>
    <w:rsid w:val="003E0514"/>
    <w:rsid w:val="003E714F"/>
    <w:rsid w:val="003F3E8E"/>
    <w:rsid w:val="00402E83"/>
    <w:rsid w:val="00412246"/>
    <w:rsid w:val="00435429"/>
    <w:rsid w:val="00445CC3"/>
    <w:rsid w:val="004652AD"/>
    <w:rsid w:val="00471E02"/>
    <w:rsid w:val="004A2DD2"/>
    <w:rsid w:val="004A48A6"/>
    <w:rsid w:val="004A6BA7"/>
    <w:rsid w:val="004C711D"/>
    <w:rsid w:val="004D6A37"/>
    <w:rsid w:val="00513289"/>
    <w:rsid w:val="0053101B"/>
    <w:rsid w:val="00541E56"/>
    <w:rsid w:val="005619C6"/>
    <w:rsid w:val="0056578C"/>
    <w:rsid w:val="005664A7"/>
    <w:rsid w:val="00581E83"/>
    <w:rsid w:val="005B1920"/>
    <w:rsid w:val="005B6D2B"/>
    <w:rsid w:val="005B6E37"/>
    <w:rsid w:val="005C143B"/>
    <w:rsid w:val="005C6069"/>
    <w:rsid w:val="005E7AD1"/>
    <w:rsid w:val="006208A0"/>
    <w:rsid w:val="00625E56"/>
    <w:rsid w:val="00627FDB"/>
    <w:rsid w:val="00630879"/>
    <w:rsid w:val="0064150B"/>
    <w:rsid w:val="006454C3"/>
    <w:rsid w:val="00656BB0"/>
    <w:rsid w:val="006867DF"/>
    <w:rsid w:val="00690550"/>
    <w:rsid w:val="006908F4"/>
    <w:rsid w:val="006B69D9"/>
    <w:rsid w:val="006C612A"/>
    <w:rsid w:val="006D1AB4"/>
    <w:rsid w:val="006E01E0"/>
    <w:rsid w:val="006F4C16"/>
    <w:rsid w:val="006F6D0B"/>
    <w:rsid w:val="00721166"/>
    <w:rsid w:val="00740B9F"/>
    <w:rsid w:val="00741C60"/>
    <w:rsid w:val="00744860"/>
    <w:rsid w:val="007470EC"/>
    <w:rsid w:val="00765F3C"/>
    <w:rsid w:val="007712BC"/>
    <w:rsid w:val="00772A50"/>
    <w:rsid w:val="007755F2"/>
    <w:rsid w:val="007A7403"/>
    <w:rsid w:val="007B6804"/>
    <w:rsid w:val="007B6C2B"/>
    <w:rsid w:val="007E66EC"/>
    <w:rsid w:val="007F2492"/>
    <w:rsid w:val="007F72BA"/>
    <w:rsid w:val="008107B6"/>
    <w:rsid w:val="00816680"/>
    <w:rsid w:val="00840703"/>
    <w:rsid w:val="00840B8B"/>
    <w:rsid w:val="00865880"/>
    <w:rsid w:val="00871B57"/>
    <w:rsid w:val="008739B7"/>
    <w:rsid w:val="008A4F7D"/>
    <w:rsid w:val="008B0269"/>
    <w:rsid w:val="008C060D"/>
    <w:rsid w:val="008C4B00"/>
    <w:rsid w:val="008D558C"/>
    <w:rsid w:val="008D61C9"/>
    <w:rsid w:val="008D755B"/>
    <w:rsid w:val="008F2EDE"/>
    <w:rsid w:val="008F44B1"/>
    <w:rsid w:val="0091093C"/>
    <w:rsid w:val="00911A20"/>
    <w:rsid w:val="00913B54"/>
    <w:rsid w:val="00914521"/>
    <w:rsid w:val="0092012E"/>
    <w:rsid w:val="00922006"/>
    <w:rsid w:val="009231D1"/>
    <w:rsid w:val="00924907"/>
    <w:rsid w:val="00957C71"/>
    <w:rsid w:val="00963283"/>
    <w:rsid w:val="00965584"/>
    <w:rsid w:val="00971A5E"/>
    <w:rsid w:val="00972BD1"/>
    <w:rsid w:val="009834B7"/>
    <w:rsid w:val="00985ECF"/>
    <w:rsid w:val="009A2D15"/>
    <w:rsid w:val="009B163F"/>
    <w:rsid w:val="009B696C"/>
    <w:rsid w:val="00A0390F"/>
    <w:rsid w:val="00A06DA1"/>
    <w:rsid w:val="00A121AB"/>
    <w:rsid w:val="00A23436"/>
    <w:rsid w:val="00A23E73"/>
    <w:rsid w:val="00A3438A"/>
    <w:rsid w:val="00A50790"/>
    <w:rsid w:val="00A75E4A"/>
    <w:rsid w:val="00A827D2"/>
    <w:rsid w:val="00AA43A1"/>
    <w:rsid w:val="00AD7740"/>
    <w:rsid w:val="00AE4542"/>
    <w:rsid w:val="00AF75AA"/>
    <w:rsid w:val="00B1018C"/>
    <w:rsid w:val="00B101C8"/>
    <w:rsid w:val="00B1039B"/>
    <w:rsid w:val="00B15B6C"/>
    <w:rsid w:val="00B22006"/>
    <w:rsid w:val="00B23E58"/>
    <w:rsid w:val="00B33196"/>
    <w:rsid w:val="00B42B9A"/>
    <w:rsid w:val="00B50814"/>
    <w:rsid w:val="00B61911"/>
    <w:rsid w:val="00B61A97"/>
    <w:rsid w:val="00BA7869"/>
    <w:rsid w:val="00BB1F56"/>
    <w:rsid w:val="00BB3F7A"/>
    <w:rsid w:val="00BB6C30"/>
    <w:rsid w:val="00BD0BFD"/>
    <w:rsid w:val="00BD58A3"/>
    <w:rsid w:val="00BE3302"/>
    <w:rsid w:val="00BF7433"/>
    <w:rsid w:val="00C1022A"/>
    <w:rsid w:val="00C1232E"/>
    <w:rsid w:val="00C20DD3"/>
    <w:rsid w:val="00C408DD"/>
    <w:rsid w:val="00C45FCA"/>
    <w:rsid w:val="00C52056"/>
    <w:rsid w:val="00C53325"/>
    <w:rsid w:val="00C56499"/>
    <w:rsid w:val="00C57ED5"/>
    <w:rsid w:val="00C633C4"/>
    <w:rsid w:val="00C65971"/>
    <w:rsid w:val="00C92BC1"/>
    <w:rsid w:val="00CB464D"/>
    <w:rsid w:val="00CD7468"/>
    <w:rsid w:val="00D138C7"/>
    <w:rsid w:val="00D27919"/>
    <w:rsid w:val="00D300FE"/>
    <w:rsid w:val="00D47D2C"/>
    <w:rsid w:val="00D747F2"/>
    <w:rsid w:val="00D851F6"/>
    <w:rsid w:val="00DA744E"/>
    <w:rsid w:val="00DB0AAB"/>
    <w:rsid w:val="00DD1993"/>
    <w:rsid w:val="00DD5D4E"/>
    <w:rsid w:val="00DD5FDB"/>
    <w:rsid w:val="00E35694"/>
    <w:rsid w:val="00E5624E"/>
    <w:rsid w:val="00E60450"/>
    <w:rsid w:val="00E95694"/>
    <w:rsid w:val="00EA6132"/>
    <w:rsid w:val="00EF0386"/>
    <w:rsid w:val="00EF5A8E"/>
    <w:rsid w:val="00F03EFF"/>
    <w:rsid w:val="00F44237"/>
    <w:rsid w:val="00F45100"/>
    <w:rsid w:val="00F52CCE"/>
    <w:rsid w:val="00F74C10"/>
    <w:rsid w:val="00F8530A"/>
    <w:rsid w:val="00FA14BA"/>
    <w:rsid w:val="00FD2B15"/>
    <w:rsid w:val="00FD7192"/>
    <w:rsid w:val="00FE48BD"/>
    <w:rsid w:val="00FE6966"/>
    <w:rsid w:val="00FE7583"/>
    <w:rsid w:val="00FF0F59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645EB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6266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F4C1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Default">
    <w:name w:val="Default"/>
    <w:rsid w:val="006F4C1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rsid w:val="006F4C16"/>
    <w:pPr>
      <w:spacing w:after="160" w:line="259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4C16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aliases w:val="BVI fnr,16 Point,Superscript 6 Point,ftref,fr,Fußnotenzeichen DISS,Footnote,Footnote symbol,Char1 Char Char Char Char, Char1 Char Char Char Char,Odwołanie przypisu,nota pié di pagina,Footnote reference number,Times 10 Point,note TESI"/>
    <w:link w:val="BVIfnrCarCarCarCarChar"/>
    <w:uiPriority w:val="99"/>
    <w:qFormat/>
    <w:rsid w:val="006F4C16"/>
    <w:rPr>
      <w:rFonts w:cs="Times New Roman"/>
      <w:vertAlign w:val="superscript"/>
    </w:rPr>
  </w:style>
  <w:style w:type="paragraph" w:customStyle="1" w:styleId="BVIfnrCarCarCarCarChar">
    <w:name w:val="BVI fnr Car Car Car Car Char"/>
    <w:basedOn w:val="Normal"/>
    <w:link w:val="FootnoteReference"/>
    <w:uiPriority w:val="99"/>
    <w:qFormat/>
    <w:rsid w:val="00216266"/>
    <w:pPr>
      <w:spacing w:after="160" w:line="240" w:lineRule="exact"/>
    </w:pPr>
    <w:rPr>
      <w:rFonts w:asciiTheme="minorHAnsi" w:eastAsiaTheme="minorHAnsi" w:hAnsiTheme="minorHAnsi"/>
      <w:sz w:val="24"/>
      <w:szCs w:val="24"/>
      <w:vertAlign w:val="superscript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16266"/>
    <w:rPr>
      <w:rFonts w:asciiTheme="majorHAnsi" w:eastAsiaTheme="majorEastAsia" w:hAnsiTheme="majorHAnsi" w:cstheme="majorBidi"/>
      <w:color w:val="1F3763" w:themeColor="accent1" w:themeShade="7F"/>
      <w:lang w:val="sq-AL"/>
    </w:rPr>
  </w:style>
  <w:style w:type="paragraph" w:customStyle="1" w:styleId="elementtoproof">
    <w:name w:val="elementtoproof"/>
    <w:basedOn w:val="Normal"/>
    <w:uiPriority w:val="99"/>
    <w:rsid w:val="00AF75AA"/>
    <w:rPr>
      <w:rFonts w:ascii="Aptos" w:eastAsiaTheme="minorHAnsi" w:hAnsi="Aptos" w:cs="Aptos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F7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AE3AB-903B-495D-B0EB-13F6F1EF81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Sidorela Drici</dc:creator>
  <cp:keywords/>
  <dc:description/>
  <cp:lastModifiedBy>Sofia Kaloshi</cp:lastModifiedBy>
  <cp:revision>5</cp:revision>
  <cp:lastPrinted>2025-12-11T11:05:00Z</cp:lastPrinted>
  <dcterms:created xsi:type="dcterms:W3CDTF">2026-01-16T10:19:00Z</dcterms:created>
  <dcterms:modified xsi:type="dcterms:W3CDTF">2026-01-16T11:36:00Z</dcterms:modified>
</cp:coreProperties>
</file>