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B7BF" w14:textId="77777777" w:rsidR="00902467" w:rsidRPr="00154067" w:rsidRDefault="00902467" w:rsidP="002C19D9">
      <w:pPr>
        <w:pStyle w:val="Heading2"/>
        <w:jc w:val="center"/>
        <w:rPr>
          <w:rFonts w:ascii="Times New Roman" w:hAnsi="Times New Roman"/>
          <w:i w:val="0"/>
          <w:iCs/>
          <w:szCs w:val="24"/>
          <w:lang w:val="sq-AL"/>
        </w:rPr>
      </w:pPr>
    </w:p>
    <w:p w14:paraId="6A1FDD1F" w14:textId="77F51403" w:rsidR="008675CA" w:rsidRPr="00154067" w:rsidRDefault="00D61801" w:rsidP="002C19D9">
      <w:pPr>
        <w:pStyle w:val="Heading2"/>
        <w:jc w:val="center"/>
        <w:rPr>
          <w:rFonts w:ascii="Times New Roman" w:hAnsi="Times New Roman"/>
          <w:i w:val="0"/>
          <w:iCs/>
          <w:szCs w:val="24"/>
          <w:lang w:val="sq-AL"/>
        </w:rPr>
      </w:pPr>
      <w:r w:rsidRPr="00154067">
        <w:rPr>
          <w:rFonts w:ascii="Times New Roman" w:hAnsi="Times New Roman"/>
          <w:i w:val="0"/>
          <w:iCs/>
          <w:szCs w:val="24"/>
          <w:lang w:val="sq-AL"/>
        </w:rPr>
        <w:t xml:space="preserve">DOKUMENTI </w:t>
      </w:r>
      <w:r w:rsidR="00E54C97" w:rsidRPr="00154067">
        <w:rPr>
          <w:rFonts w:ascii="Times New Roman" w:hAnsi="Times New Roman"/>
          <w:i w:val="0"/>
          <w:iCs/>
          <w:szCs w:val="24"/>
          <w:lang w:val="sq-AL"/>
        </w:rPr>
        <w:t>KONSULTATIV</w:t>
      </w:r>
    </w:p>
    <w:p w14:paraId="747EF8DB" w14:textId="77777777" w:rsidR="007817F3" w:rsidRPr="00154067" w:rsidRDefault="007817F3" w:rsidP="002C19D9">
      <w:pPr>
        <w:rPr>
          <w:sz w:val="24"/>
          <w:szCs w:val="24"/>
          <w:lang w:val="sq-AL"/>
        </w:rPr>
      </w:pPr>
    </w:p>
    <w:p w14:paraId="4DC25C52" w14:textId="025CBFE5" w:rsidR="007B25CB" w:rsidRPr="00154067" w:rsidRDefault="00457BA0" w:rsidP="002C19D9">
      <w:pPr>
        <w:pStyle w:val="NoSpacing"/>
        <w:jc w:val="both"/>
        <w:rPr>
          <w:rFonts w:ascii="Times New Roman" w:hAnsi="Times New Roman"/>
          <w:b/>
          <w:bCs/>
          <w:i/>
          <w:iCs/>
          <w:sz w:val="24"/>
          <w:szCs w:val="24"/>
        </w:rPr>
      </w:pPr>
      <w:r w:rsidRPr="00154067">
        <w:rPr>
          <w:rFonts w:ascii="Times New Roman" w:hAnsi="Times New Roman"/>
          <w:b/>
          <w:sz w:val="24"/>
          <w:szCs w:val="24"/>
        </w:rPr>
        <w:t>Për projektligjin</w:t>
      </w:r>
      <w:r w:rsidR="00E468D5" w:rsidRPr="00154067">
        <w:rPr>
          <w:rFonts w:ascii="Times New Roman" w:hAnsi="Times New Roman"/>
          <w:b/>
          <w:sz w:val="24"/>
          <w:szCs w:val="24"/>
        </w:rPr>
        <w:t xml:space="preserve"> </w:t>
      </w:r>
      <w:r w:rsidR="007B25CB" w:rsidRPr="00154067">
        <w:rPr>
          <w:rFonts w:ascii="Times New Roman" w:hAnsi="Times New Roman"/>
          <w:b/>
          <w:bCs/>
          <w:sz w:val="24"/>
          <w:szCs w:val="24"/>
          <w:lang w:val="de-DE"/>
        </w:rPr>
        <w:t xml:space="preserve">“Për disa shtesa dhe ndryshime në ligjin nr. </w:t>
      </w:r>
      <w:r w:rsidR="005942E3" w:rsidRPr="00154067">
        <w:rPr>
          <w:rFonts w:ascii="Times New Roman" w:hAnsi="Times New Roman"/>
          <w:b/>
          <w:bCs/>
          <w:sz w:val="24"/>
          <w:szCs w:val="24"/>
          <w:lang w:val="de-DE"/>
        </w:rPr>
        <w:t>43/2015 “Për sektorin e energjisë elektrike</w:t>
      </w:r>
      <w:r w:rsidR="00C87D70" w:rsidRPr="00154067">
        <w:rPr>
          <w:rFonts w:ascii="Times New Roman" w:hAnsi="Times New Roman"/>
          <w:b/>
          <w:bCs/>
          <w:sz w:val="24"/>
          <w:szCs w:val="24"/>
        </w:rPr>
        <w:t>”</w:t>
      </w:r>
    </w:p>
    <w:p w14:paraId="679FD58F" w14:textId="345C8597" w:rsidR="00163AAF" w:rsidRPr="00154067" w:rsidRDefault="00163AAF" w:rsidP="002C19D9">
      <w:pPr>
        <w:pStyle w:val="NoSpacing"/>
        <w:jc w:val="both"/>
        <w:rPr>
          <w:rFonts w:ascii="Times New Roman" w:hAnsi="Times New Roman"/>
          <w:b/>
          <w:bCs/>
          <w:sz w:val="24"/>
          <w:szCs w:val="24"/>
        </w:rPr>
      </w:pPr>
    </w:p>
    <w:p w14:paraId="364F00E7" w14:textId="77777777" w:rsidR="009C2E02" w:rsidRPr="00154067" w:rsidRDefault="009C2E02" w:rsidP="002C19D9">
      <w:pPr>
        <w:pStyle w:val="BodyText"/>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E53FF" w14:paraId="3BF55563" w14:textId="77777777" w:rsidTr="00957E1F">
        <w:tc>
          <w:tcPr>
            <w:tcW w:w="9212" w:type="dxa"/>
          </w:tcPr>
          <w:p w14:paraId="310C5FA8" w14:textId="39796250" w:rsidR="001E4573" w:rsidRPr="00154067" w:rsidRDefault="00B87EE9" w:rsidP="002C19D9">
            <w:pPr>
              <w:pStyle w:val="NoSpacing"/>
              <w:jc w:val="both"/>
              <w:rPr>
                <w:rFonts w:ascii="Times New Roman" w:hAnsi="Times New Roman"/>
                <w:bCs/>
                <w:iCs/>
                <w:sz w:val="24"/>
                <w:szCs w:val="24"/>
                <w:lang w:bidi="en-US"/>
              </w:rPr>
            </w:pPr>
            <w:r w:rsidRPr="00154067">
              <w:rPr>
                <w:rFonts w:ascii="Times New Roman" w:hAnsi="Times New Roman"/>
                <w:sz w:val="24"/>
                <w:szCs w:val="24"/>
              </w:rPr>
              <w:t xml:space="preserve">Ministria e </w:t>
            </w:r>
            <w:r w:rsidR="008F0DBA" w:rsidRPr="00154067">
              <w:rPr>
                <w:rFonts w:ascii="Times New Roman" w:hAnsi="Times New Roman"/>
                <w:sz w:val="24"/>
                <w:szCs w:val="24"/>
              </w:rPr>
              <w:t>Infrastrukturës</w:t>
            </w:r>
            <w:r w:rsidR="00647695" w:rsidRPr="00154067">
              <w:rPr>
                <w:rFonts w:ascii="Times New Roman" w:hAnsi="Times New Roman"/>
                <w:sz w:val="24"/>
                <w:szCs w:val="24"/>
              </w:rPr>
              <w:t xml:space="preserve"> dhe Energjisë</w:t>
            </w:r>
            <w:r w:rsidRPr="00154067">
              <w:rPr>
                <w:rFonts w:ascii="Times New Roman" w:hAnsi="Times New Roman"/>
                <w:sz w:val="24"/>
                <w:szCs w:val="24"/>
              </w:rPr>
              <w:t xml:space="preserve">, në kuadër të procesit të konsultimit </w:t>
            </w:r>
            <w:r w:rsidR="00A05359" w:rsidRPr="00154067">
              <w:rPr>
                <w:rFonts w:ascii="Times New Roman" w:hAnsi="Times New Roman"/>
                <w:sz w:val="24"/>
                <w:szCs w:val="24"/>
              </w:rPr>
              <w:t>të projekt</w:t>
            </w:r>
            <w:r w:rsidR="006632E2" w:rsidRPr="00154067">
              <w:rPr>
                <w:rFonts w:ascii="Times New Roman" w:hAnsi="Times New Roman"/>
                <w:sz w:val="24"/>
                <w:szCs w:val="24"/>
              </w:rPr>
              <w:t>ligji</w:t>
            </w:r>
            <w:r w:rsidR="000B4ADF" w:rsidRPr="00154067">
              <w:rPr>
                <w:rFonts w:ascii="Times New Roman" w:hAnsi="Times New Roman"/>
                <w:sz w:val="24"/>
                <w:szCs w:val="24"/>
              </w:rPr>
              <w:t>t</w:t>
            </w:r>
            <w:r w:rsidR="006632E2" w:rsidRPr="00154067">
              <w:rPr>
                <w:rFonts w:ascii="Times New Roman" w:hAnsi="Times New Roman"/>
                <w:sz w:val="24"/>
                <w:szCs w:val="24"/>
              </w:rPr>
              <w:t xml:space="preserve"> </w:t>
            </w:r>
            <w:r w:rsidR="00163AAF" w:rsidRPr="00154067">
              <w:rPr>
                <w:rFonts w:ascii="Times New Roman" w:hAnsi="Times New Roman"/>
                <w:b/>
                <w:sz w:val="24"/>
                <w:szCs w:val="24"/>
              </w:rPr>
              <w:t>“</w:t>
            </w:r>
            <w:r w:rsidR="00C87D70" w:rsidRPr="00154067">
              <w:rPr>
                <w:rFonts w:ascii="Times New Roman" w:hAnsi="Times New Roman"/>
                <w:b/>
                <w:bCs/>
                <w:sz w:val="24"/>
                <w:szCs w:val="24"/>
                <w:lang w:val="de-DE"/>
              </w:rPr>
              <w:t>Për disa shtesa dhe ndryshime në ligjin nr. 43/2015 “Për sektorin e energjisë elektrike</w:t>
            </w:r>
            <w:r w:rsidR="007B25CB" w:rsidRPr="00154067">
              <w:rPr>
                <w:rFonts w:ascii="Times New Roman" w:hAnsi="Times New Roman"/>
                <w:b/>
                <w:bCs/>
                <w:sz w:val="24"/>
                <w:szCs w:val="24"/>
              </w:rPr>
              <w:t>”</w:t>
            </w:r>
            <w:r w:rsidR="007B25CB" w:rsidRPr="00154067">
              <w:rPr>
                <w:rFonts w:ascii="Times New Roman" w:hAnsi="Times New Roman"/>
                <w:sz w:val="24"/>
                <w:szCs w:val="24"/>
              </w:rPr>
              <w:t>,</w:t>
            </w:r>
            <w:r w:rsidR="007B25CB" w:rsidRPr="00154067">
              <w:rPr>
                <w:rFonts w:ascii="Times New Roman" w:hAnsi="Times New Roman"/>
                <w:b/>
                <w:bCs/>
                <w:sz w:val="24"/>
                <w:szCs w:val="24"/>
                <w:lang w:val="de-DE"/>
              </w:rPr>
              <w:t xml:space="preserve"> </w:t>
            </w:r>
            <w:r w:rsidRPr="00154067">
              <w:rPr>
                <w:rFonts w:ascii="Times New Roman" w:hAnsi="Times New Roman"/>
                <w:sz w:val="24"/>
                <w:szCs w:val="24"/>
              </w:rPr>
              <w:t xml:space="preserve">mirëpret sugjerimet nga qytetarët, </w:t>
            </w:r>
            <w:r w:rsidR="00A73EFE" w:rsidRPr="00154067">
              <w:rPr>
                <w:rFonts w:ascii="Times New Roman" w:hAnsi="Times New Roman"/>
                <w:sz w:val="24"/>
                <w:szCs w:val="24"/>
              </w:rPr>
              <w:t xml:space="preserve">ekspertë të fushës, </w:t>
            </w:r>
            <w:r w:rsidR="00B0093C" w:rsidRPr="00154067">
              <w:rPr>
                <w:rFonts w:ascii="Times New Roman" w:hAnsi="Times New Roman"/>
                <w:sz w:val="24"/>
                <w:szCs w:val="24"/>
              </w:rPr>
              <w:t xml:space="preserve">nga </w:t>
            </w:r>
            <w:r w:rsidR="00A73EFE" w:rsidRPr="00154067">
              <w:rPr>
                <w:rFonts w:ascii="Times New Roman" w:hAnsi="Times New Roman"/>
                <w:sz w:val="24"/>
                <w:szCs w:val="24"/>
              </w:rPr>
              <w:t xml:space="preserve">të gjitha </w:t>
            </w:r>
            <w:r w:rsidR="00B0093C" w:rsidRPr="00154067">
              <w:rPr>
                <w:rFonts w:ascii="Times New Roman" w:hAnsi="Times New Roman"/>
                <w:sz w:val="24"/>
                <w:szCs w:val="24"/>
              </w:rPr>
              <w:t>instituc</w:t>
            </w:r>
            <w:r w:rsidR="00A05359" w:rsidRPr="00154067">
              <w:rPr>
                <w:rFonts w:ascii="Times New Roman" w:hAnsi="Times New Roman"/>
                <w:sz w:val="24"/>
                <w:szCs w:val="24"/>
              </w:rPr>
              <w:t>ionet dhe subjektet e</w:t>
            </w:r>
            <w:r w:rsidR="00092682" w:rsidRPr="00154067">
              <w:rPr>
                <w:rFonts w:ascii="Times New Roman" w:hAnsi="Times New Roman"/>
                <w:sz w:val="24"/>
                <w:szCs w:val="24"/>
              </w:rPr>
              <w:t xml:space="preserve"> interesuara</w:t>
            </w:r>
            <w:r w:rsidRPr="00154067">
              <w:rPr>
                <w:rFonts w:ascii="Times New Roman" w:hAnsi="Times New Roman"/>
                <w:sz w:val="24"/>
                <w:szCs w:val="24"/>
              </w:rPr>
              <w:t xml:space="preserve">, </w:t>
            </w:r>
            <w:r w:rsidR="002310D5" w:rsidRPr="00154067">
              <w:rPr>
                <w:rFonts w:ascii="Times New Roman" w:hAnsi="Times New Roman"/>
                <w:bCs/>
                <w:iCs/>
                <w:sz w:val="24"/>
                <w:szCs w:val="24"/>
                <w:lang w:bidi="en-US"/>
              </w:rPr>
              <w:t xml:space="preserve">organizata </w:t>
            </w:r>
            <w:r w:rsidR="00A05359" w:rsidRPr="00154067">
              <w:rPr>
                <w:rFonts w:ascii="Times New Roman" w:hAnsi="Times New Roman"/>
                <w:bCs/>
                <w:iCs/>
                <w:sz w:val="24"/>
                <w:szCs w:val="24"/>
                <w:lang w:bidi="en-US"/>
              </w:rPr>
              <w:t xml:space="preserve">jofitimprurëse, shoqëria civile, </w:t>
            </w:r>
            <w:r w:rsidR="00FC3DD2" w:rsidRPr="00154067">
              <w:rPr>
                <w:rFonts w:ascii="Times New Roman" w:hAnsi="Times New Roman"/>
                <w:bCs/>
                <w:iCs/>
                <w:sz w:val="24"/>
                <w:szCs w:val="24"/>
                <w:lang w:bidi="en-US"/>
              </w:rPr>
              <w:t xml:space="preserve">të drejtat ose </w:t>
            </w:r>
            <w:r w:rsidR="00A05359" w:rsidRPr="00154067">
              <w:rPr>
                <w:rFonts w:ascii="Times New Roman" w:hAnsi="Times New Roman"/>
                <w:bCs/>
                <w:iCs/>
                <w:sz w:val="24"/>
                <w:szCs w:val="24"/>
                <w:lang w:bidi="en-US"/>
              </w:rPr>
              <w:t>objekti i veprimtarisë të</w:t>
            </w:r>
            <w:r w:rsidR="00FC3DD2" w:rsidRPr="00154067">
              <w:rPr>
                <w:rFonts w:ascii="Times New Roman" w:hAnsi="Times New Roman"/>
                <w:bCs/>
                <w:iCs/>
                <w:sz w:val="24"/>
                <w:szCs w:val="24"/>
                <w:lang w:bidi="en-US"/>
              </w:rPr>
              <w:t xml:space="preserve"> t</w:t>
            </w:r>
            <w:r w:rsidR="00A05359" w:rsidRPr="00154067">
              <w:rPr>
                <w:rFonts w:ascii="Times New Roman" w:hAnsi="Times New Roman"/>
                <w:bCs/>
                <w:iCs/>
                <w:sz w:val="24"/>
                <w:szCs w:val="24"/>
                <w:lang w:bidi="en-US"/>
              </w:rPr>
              <w:t>ë cil</w:t>
            </w:r>
            <w:r w:rsidR="00FC3DD2" w:rsidRPr="00154067">
              <w:rPr>
                <w:rFonts w:ascii="Times New Roman" w:hAnsi="Times New Roman"/>
                <w:bCs/>
                <w:iCs/>
                <w:sz w:val="24"/>
                <w:szCs w:val="24"/>
                <w:lang w:bidi="en-US"/>
              </w:rPr>
              <w:t>a</w:t>
            </w:r>
            <w:r w:rsidR="00A05359" w:rsidRPr="00154067">
              <w:rPr>
                <w:rFonts w:ascii="Times New Roman" w:hAnsi="Times New Roman"/>
                <w:bCs/>
                <w:iCs/>
                <w:sz w:val="24"/>
                <w:szCs w:val="24"/>
                <w:lang w:bidi="en-US"/>
              </w:rPr>
              <w:t xml:space="preserve">ve </w:t>
            </w:r>
            <w:r w:rsidR="00FC3DD2" w:rsidRPr="00154067">
              <w:rPr>
                <w:rFonts w:ascii="Times New Roman" w:hAnsi="Times New Roman"/>
                <w:bCs/>
                <w:iCs/>
                <w:sz w:val="24"/>
                <w:szCs w:val="24"/>
                <w:lang w:bidi="en-US"/>
              </w:rPr>
              <w:t xml:space="preserve">ka të bëjë apo ndikohet në mënyrë të drejtpërdrejtë </w:t>
            </w:r>
            <w:r w:rsidR="002726E3" w:rsidRPr="00154067">
              <w:rPr>
                <w:rFonts w:ascii="Times New Roman" w:hAnsi="Times New Roman"/>
                <w:bCs/>
                <w:iCs/>
                <w:sz w:val="24"/>
                <w:szCs w:val="24"/>
                <w:lang w:bidi="en-US"/>
              </w:rPr>
              <w:t xml:space="preserve">ose jo </w:t>
            </w:r>
            <w:r w:rsidR="00FC3DD2" w:rsidRPr="00154067">
              <w:rPr>
                <w:rFonts w:ascii="Times New Roman" w:hAnsi="Times New Roman"/>
                <w:bCs/>
                <w:iCs/>
                <w:sz w:val="24"/>
                <w:szCs w:val="24"/>
                <w:lang w:bidi="en-US"/>
              </w:rPr>
              <w:t xml:space="preserve">nga </w:t>
            </w:r>
            <w:r w:rsidR="001077A7" w:rsidRPr="00154067">
              <w:rPr>
                <w:rFonts w:ascii="Times New Roman" w:hAnsi="Times New Roman"/>
                <w:bCs/>
                <w:iCs/>
                <w:sz w:val="24"/>
                <w:szCs w:val="24"/>
                <w:lang w:bidi="en-US"/>
              </w:rPr>
              <w:t xml:space="preserve">përcaktimet e kësaj nisme ligjore. </w:t>
            </w:r>
          </w:p>
          <w:p w14:paraId="107036DC" w14:textId="7604C18D" w:rsidR="00163AAF" w:rsidRPr="00154067" w:rsidRDefault="00163AAF" w:rsidP="002C19D9">
            <w:pPr>
              <w:pStyle w:val="NoSpacing"/>
              <w:jc w:val="both"/>
              <w:rPr>
                <w:rFonts w:ascii="Times New Roman" w:hAnsi="Times New Roman"/>
                <w:b/>
                <w:sz w:val="24"/>
                <w:szCs w:val="24"/>
              </w:rPr>
            </w:pPr>
          </w:p>
        </w:tc>
      </w:tr>
    </w:tbl>
    <w:p w14:paraId="4DD98B09" w14:textId="77777777" w:rsidR="008675CA" w:rsidRPr="00154067" w:rsidRDefault="008675CA" w:rsidP="002C19D9">
      <w:pPr>
        <w:pStyle w:val="BodyText"/>
        <w:jc w:val="both"/>
        <w:rPr>
          <w:rFonts w:ascii="Times New Roman" w:hAnsi="Times New Roman"/>
          <w:sz w:val="24"/>
          <w:szCs w:val="24"/>
          <w:highlight w:val="yellow"/>
          <w:lang w:val="sq-AL"/>
        </w:rPr>
      </w:pPr>
    </w:p>
    <w:p w14:paraId="2DB7AA78" w14:textId="77777777" w:rsidR="008675CA" w:rsidRPr="00154067" w:rsidRDefault="00E54C97" w:rsidP="002C19D9">
      <w:pPr>
        <w:pStyle w:val="BodyText"/>
        <w:jc w:val="both"/>
        <w:rPr>
          <w:rFonts w:ascii="Times New Roman" w:hAnsi="Times New Roman"/>
          <w:b/>
          <w:sz w:val="24"/>
          <w:szCs w:val="24"/>
          <w:lang w:val="sq-AL"/>
        </w:rPr>
      </w:pPr>
      <w:r w:rsidRPr="00154067">
        <w:rPr>
          <w:rFonts w:ascii="Times New Roman" w:hAnsi="Times New Roman"/>
          <w:b/>
          <w:sz w:val="24"/>
          <w:szCs w:val="24"/>
          <w:lang w:val="sq-AL"/>
        </w:rPr>
        <w:t>Kohëzgjatja e konsultimeve</w:t>
      </w:r>
      <w:r w:rsidR="008675CA" w:rsidRPr="00154067">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E53FF" w14:paraId="0A95A18B" w14:textId="77777777" w:rsidTr="00957E1F">
        <w:tc>
          <w:tcPr>
            <w:tcW w:w="9212" w:type="dxa"/>
          </w:tcPr>
          <w:p w14:paraId="5863E002" w14:textId="689920A7" w:rsidR="001E4573" w:rsidRPr="00154067" w:rsidRDefault="00B0093C" w:rsidP="002C19D9">
            <w:pPr>
              <w:pStyle w:val="BodyText"/>
              <w:jc w:val="both"/>
              <w:rPr>
                <w:rFonts w:ascii="Times New Roman" w:hAnsi="Times New Roman"/>
                <w:sz w:val="24"/>
                <w:szCs w:val="24"/>
                <w:lang w:val="sq-AL"/>
              </w:rPr>
            </w:pPr>
            <w:r w:rsidRPr="00154067">
              <w:rPr>
                <w:rFonts w:ascii="Times New Roman" w:hAnsi="Times New Roman"/>
                <w:sz w:val="24"/>
                <w:szCs w:val="24"/>
                <w:lang w:val="sq-AL"/>
              </w:rPr>
              <w:t>Konsultimet në portalin e Regjistrit Elektronik: 20 ditë pune</w:t>
            </w:r>
            <w:r w:rsidR="007765B7" w:rsidRPr="00154067">
              <w:rPr>
                <w:rFonts w:ascii="Times New Roman" w:hAnsi="Times New Roman"/>
                <w:sz w:val="24"/>
                <w:szCs w:val="24"/>
                <w:lang w:val="sq-AL"/>
              </w:rPr>
              <w:t xml:space="preserve">, duke filluar nga </w:t>
            </w:r>
            <w:r w:rsidR="001077A7" w:rsidRPr="00154067">
              <w:rPr>
                <w:rFonts w:ascii="Times New Roman" w:hAnsi="Times New Roman"/>
                <w:sz w:val="24"/>
                <w:szCs w:val="24"/>
                <w:lang w:val="sq-AL"/>
              </w:rPr>
              <w:t xml:space="preserve">data </w:t>
            </w:r>
            <w:r w:rsidR="004978EE" w:rsidRPr="00154067">
              <w:rPr>
                <w:rFonts w:ascii="Times New Roman" w:hAnsi="Times New Roman"/>
                <w:bCs/>
                <w:sz w:val="24"/>
                <w:szCs w:val="24"/>
                <w:lang w:val="sq-AL"/>
              </w:rPr>
              <w:t>1 Korrik 2025.</w:t>
            </w:r>
          </w:p>
        </w:tc>
      </w:tr>
    </w:tbl>
    <w:p w14:paraId="29630BCB" w14:textId="77777777" w:rsidR="008675CA" w:rsidRPr="00154067" w:rsidRDefault="008675CA" w:rsidP="002C19D9">
      <w:pPr>
        <w:pStyle w:val="BodyText"/>
        <w:jc w:val="both"/>
        <w:rPr>
          <w:rFonts w:ascii="Times New Roman" w:hAnsi="Times New Roman"/>
          <w:sz w:val="24"/>
          <w:szCs w:val="24"/>
          <w:lang w:val="sq-AL"/>
        </w:rPr>
      </w:pPr>
    </w:p>
    <w:p w14:paraId="57C82A5C" w14:textId="77777777" w:rsidR="008675CA" w:rsidRPr="00154067" w:rsidRDefault="00E54C97" w:rsidP="002C19D9">
      <w:pPr>
        <w:pStyle w:val="BodyText"/>
        <w:jc w:val="both"/>
        <w:rPr>
          <w:rFonts w:ascii="Times New Roman" w:hAnsi="Times New Roman"/>
          <w:b/>
          <w:sz w:val="24"/>
          <w:szCs w:val="24"/>
          <w:lang w:val="sq-AL"/>
        </w:rPr>
      </w:pPr>
      <w:r w:rsidRPr="00154067">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E53FF" w14:paraId="0FF81B91" w14:textId="77777777" w:rsidTr="00957E1F">
        <w:tc>
          <w:tcPr>
            <w:tcW w:w="9212" w:type="dxa"/>
          </w:tcPr>
          <w:p w14:paraId="3A57C8B9" w14:textId="77777777" w:rsidR="00433F2F" w:rsidRPr="00154067" w:rsidRDefault="00B0093C" w:rsidP="002C19D9">
            <w:pPr>
              <w:pStyle w:val="BodyText"/>
              <w:jc w:val="both"/>
              <w:rPr>
                <w:rFonts w:ascii="Times New Roman" w:hAnsi="Times New Roman"/>
                <w:sz w:val="24"/>
                <w:szCs w:val="24"/>
                <w:lang w:val="sq-AL"/>
              </w:rPr>
            </w:pPr>
            <w:r w:rsidRPr="00154067">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154067">
              <w:rPr>
                <w:rFonts w:ascii="Times New Roman" w:hAnsi="Times New Roman"/>
                <w:sz w:val="24"/>
                <w:szCs w:val="24"/>
                <w:lang w:val="sq-AL"/>
              </w:rPr>
              <w:t>e</w:t>
            </w:r>
            <w:r w:rsidRPr="00154067">
              <w:rPr>
                <w:rFonts w:ascii="Times New Roman" w:hAnsi="Times New Roman"/>
                <w:sz w:val="24"/>
                <w:szCs w:val="24"/>
                <w:lang w:val="sq-AL"/>
              </w:rPr>
              <w:t xml:space="preserve"> drejtuar Ministrisë së </w:t>
            </w:r>
            <w:r w:rsidR="00647695" w:rsidRPr="00154067">
              <w:rPr>
                <w:rFonts w:ascii="Times New Roman" w:hAnsi="Times New Roman"/>
                <w:sz w:val="24"/>
                <w:szCs w:val="24"/>
                <w:lang w:val="sq-AL"/>
              </w:rPr>
              <w:t>Infrastrukturës dhe Energjisë</w:t>
            </w:r>
            <w:r w:rsidRPr="00154067">
              <w:rPr>
                <w:rFonts w:ascii="Times New Roman" w:hAnsi="Times New Roman"/>
                <w:sz w:val="24"/>
                <w:szCs w:val="24"/>
                <w:lang w:val="sq-AL"/>
              </w:rPr>
              <w:t>, me anë të</w:t>
            </w:r>
            <w:r w:rsidR="00433F2F" w:rsidRPr="00154067">
              <w:rPr>
                <w:rFonts w:ascii="Times New Roman" w:hAnsi="Times New Roman"/>
                <w:sz w:val="24"/>
                <w:szCs w:val="24"/>
                <w:lang w:val="sq-AL"/>
              </w:rPr>
              <w:t>:</w:t>
            </w:r>
          </w:p>
          <w:p w14:paraId="488B5A78" w14:textId="1438D0E0" w:rsidR="00433F2F" w:rsidRPr="00154067" w:rsidRDefault="00383D55" w:rsidP="002C19D9">
            <w:pPr>
              <w:pStyle w:val="BodyText"/>
              <w:numPr>
                <w:ilvl w:val="0"/>
                <w:numId w:val="89"/>
              </w:numPr>
              <w:tabs>
                <w:tab w:val="clear" w:pos="567"/>
                <w:tab w:val="left" w:pos="510"/>
              </w:tabs>
              <w:spacing w:after="0"/>
              <w:ind w:hanging="390"/>
              <w:jc w:val="both"/>
              <w:rPr>
                <w:rFonts w:ascii="Times New Roman" w:hAnsi="Times New Roman"/>
                <w:iCs/>
                <w:sz w:val="24"/>
                <w:szCs w:val="24"/>
                <w:lang w:val="sq-AL"/>
              </w:rPr>
            </w:pPr>
            <w:r w:rsidRPr="00154067">
              <w:rPr>
                <w:rFonts w:ascii="Times New Roman" w:hAnsi="Times New Roman"/>
                <w:sz w:val="24"/>
                <w:szCs w:val="24"/>
                <w:lang w:val="sq-AL"/>
              </w:rPr>
              <w:t xml:space="preserve"> </w:t>
            </w:r>
            <w:r w:rsidR="00433F2F" w:rsidRPr="00154067">
              <w:rPr>
                <w:rFonts w:ascii="Times New Roman" w:hAnsi="Times New Roman"/>
                <w:sz w:val="24"/>
                <w:szCs w:val="24"/>
                <w:lang w:val="sq-AL"/>
              </w:rPr>
              <w:t>R</w:t>
            </w:r>
            <w:r w:rsidR="00B0093C" w:rsidRPr="00154067">
              <w:rPr>
                <w:rFonts w:ascii="Times New Roman" w:hAnsi="Times New Roman"/>
                <w:sz w:val="24"/>
                <w:szCs w:val="24"/>
                <w:lang w:val="sq-AL"/>
              </w:rPr>
              <w:t xml:space="preserve">egjistrit elektronik në adresën </w:t>
            </w:r>
            <w:hyperlink r:id="rId5" w:history="1">
              <w:r w:rsidR="002E53FF" w:rsidRPr="006F71CD">
                <w:rPr>
                  <w:rStyle w:val="Hyperlink"/>
                  <w:rFonts w:ascii="Times New Roman" w:hAnsi="Times New Roman"/>
                  <w:iCs/>
                  <w:sz w:val="24"/>
                  <w:szCs w:val="24"/>
                  <w:lang w:val="sq-AL"/>
                </w:rPr>
                <w:t>http://w</w:t>
              </w:r>
              <w:r w:rsidR="002E53FF" w:rsidRPr="006F71CD">
                <w:rPr>
                  <w:rStyle w:val="Hyperlink"/>
                  <w:rFonts w:ascii="Times New Roman" w:hAnsi="Times New Roman"/>
                  <w:iCs/>
                  <w:lang w:val="sq-AL"/>
                </w:rPr>
                <w:t>ww</w:t>
              </w:r>
              <w:r w:rsidR="002E53FF" w:rsidRPr="006F71CD">
                <w:rPr>
                  <w:rStyle w:val="Hyperlink"/>
                  <w:rFonts w:ascii="Times New Roman" w:hAnsi="Times New Roman"/>
                  <w:iCs/>
                  <w:sz w:val="24"/>
                  <w:szCs w:val="24"/>
                  <w:lang w:val="sq-AL"/>
                </w:rPr>
                <w:t>.konsultimipublik.gov.al</w:t>
              </w:r>
            </w:hyperlink>
            <w:r w:rsidR="00B0093C" w:rsidRPr="00154067">
              <w:rPr>
                <w:rFonts w:ascii="Times New Roman" w:hAnsi="Times New Roman"/>
                <w:iCs/>
                <w:sz w:val="24"/>
                <w:szCs w:val="24"/>
                <w:lang w:val="sq-AL"/>
              </w:rPr>
              <w:t xml:space="preserve">, </w:t>
            </w:r>
          </w:p>
          <w:p w14:paraId="6F8C0843" w14:textId="251A90A7" w:rsidR="00433F2F" w:rsidRPr="00154067" w:rsidRDefault="00433F2F" w:rsidP="002C19D9">
            <w:pPr>
              <w:pStyle w:val="BodyText"/>
              <w:numPr>
                <w:ilvl w:val="0"/>
                <w:numId w:val="89"/>
              </w:numPr>
              <w:tabs>
                <w:tab w:val="clear" w:pos="567"/>
                <w:tab w:val="left" w:pos="510"/>
              </w:tabs>
              <w:spacing w:after="0"/>
              <w:ind w:left="600" w:hanging="270"/>
              <w:jc w:val="both"/>
              <w:rPr>
                <w:rFonts w:ascii="Times New Roman" w:hAnsi="Times New Roman"/>
                <w:iCs/>
                <w:sz w:val="24"/>
                <w:szCs w:val="24"/>
                <w:lang w:val="sq-AL"/>
              </w:rPr>
            </w:pPr>
            <w:r w:rsidRPr="00154067">
              <w:rPr>
                <w:rFonts w:ascii="Times New Roman" w:hAnsi="Times New Roman"/>
                <w:iCs/>
                <w:sz w:val="24"/>
                <w:szCs w:val="24"/>
                <w:lang w:val="sq-AL"/>
              </w:rPr>
              <w:t xml:space="preserve"> N</w:t>
            </w:r>
            <w:r w:rsidR="00B0093C" w:rsidRPr="00154067">
              <w:rPr>
                <w:rFonts w:ascii="Times New Roman" w:hAnsi="Times New Roman"/>
                <w:iCs/>
                <w:sz w:val="24"/>
                <w:szCs w:val="24"/>
                <w:lang w:val="sq-AL"/>
              </w:rPr>
              <w:t xml:space="preserve">ë adresën postare të </w:t>
            </w:r>
            <w:r w:rsidR="00647695" w:rsidRPr="00154067">
              <w:rPr>
                <w:rFonts w:ascii="Times New Roman" w:hAnsi="Times New Roman"/>
                <w:sz w:val="24"/>
                <w:szCs w:val="24"/>
                <w:lang w:val="sq-AL"/>
              </w:rPr>
              <w:t>Ministri</w:t>
            </w:r>
            <w:r w:rsidRPr="00154067">
              <w:rPr>
                <w:rFonts w:ascii="Times New Roman" w:hAnsi="Times New Roman"/>
                <w:sz w:val="24"/>
                <w:szCs w:val="24"/>
                <w:lang w:val="sq-AL"/>
              </w:rPr>
              <w:t>së së</w:t>
            </w:r>
            <w:r w:rsidR="00647695" w:rsidRPr="00154067">
              <w:rPr>
                <w:rFonts w:ascii="Times New Roman" w:hAnsi="Times New Roman"/>
                <w:sz w:val="24"/>
                <w:szCs w:val="24"/>
                <w:lang w:val="sq-AL"/>
              </w:rPr>
              <w:t xml:space="preserve"> Infrastrukturës dhe Energjisë</w:t>
            </w:r>
            <w:r w:rsidR="00087972" w:rsidRPr="00154067">
              <w:rPr>
                <w:rFonts w:ascii="Times New Roman" w:hAnsi="Times New Roman"/>
                <w:iCs/>
                <w:sz w:val="24"/>
                <w:szCs w:val="24"/>
                <w:lang w:val="sq-AL"/>
              </w:rPr>
              <w:t xml:space="preserve">: </w:t>
            </w:r>
            <w:r w:rsidR="00647695" w:rsidRPr="00154067">
              <w:rPr>
                <w:rFonts w:ascii="Times New Roman" w:hAnsi="Times New Roman"/>
                <w:iCs/>
                <w:sz w:val="24"/>
                <w:szCs w:val="24"/>
                <w:lang w:val="sq-AL"/>
              </w:rPr>
              <w:t>Rr.Abdi Toptani, 4,</w:t>
            </w:r>
            <w:r w:rsidR="00B0093C" w:rsidRPr="00154067">
              <w:rPr>
                <w:rFonts w:ascii="Times New Roman" w:hAnsi="Times New Roman"/>
                <w:iCs/>
                <w:sz w:val="24"/>
                <w:szCs w:val="24"/>
                <w:lang w:val="sq-AL"/>
              </w:rPr>
              <w:t>Tiranë,</w:t>
            </w:r>
          </w:p>
          <w:p w14:paraId="13B36126" w14:textId="0463832E" w:rsidR="00433F2F" w:rsidRPr="00154067" w:rsidRDefault="00433F2F" w:rsidP="002C19D9">
            <w:pPr>
              <w:pStyle w:val="BodyText"/>
              <w:numPr>
                <w:ilvl w:val="0"/>
                <w:numId w:val="89"/>
              </w:numPr>
              <w:tabs>
                <w:tab w:val="clear" w:pos="567"/>
                <w:tab w:val="left" w:pos="510"/>
              </w:tabs>
              <w:spacing w:after="0"/>
              <w:ind w:left="600" w:hanging="270"/>
              <w:jc w:val="both"/>
              <w:rPr>
                <w:rFonts w:ascii="Times New Roman" w:hAnsi="Times New Roman"/>
                <w:iCs/>
                <w:sz w:val="24"/>
                <w:szCs w:val="24"/>
                <w:lang w:val="sq-AL"/>
              </w:rPr>
            </w:pPr>
            <w:r w:rsidRPr="00154067">
              <w:rPr>
                <w:rFonts w:ascii="Times New Roman" w:hAnsi="Times New Roman"/>
                <w:iCs/>
                <w:sz w:val="24"/>
                <w:szCs w:val="24"/>
                <w:lang w:val="sq-AL"/>
              </w:rPr>
              <w:t xml:space="preserve"> N</w:t>
            </w:r>
            <w:r w:rsidR="00343EA7" w:rsidRPr="00154067">
              <w:rPr>
                <w:rFonts w:ascii="Times New Roman" w:hAnsi="Times New Roman"/>
                <w:iCs/>
                <w:sz w:val="24"/>
                <w:szCs w:val="24"/>
                <w:lang w:val="sq-AL"/>
              </w:rPr>
              <w:t>ë</w:t>
            </w:r>
            <w:r w:rsidR="00B82C4C" w:rsidRPr="00154067">
              <w:rPr>
                <w:rFonts w:ascii="Times New Roman" w:hAnsi="Times New Roman"/>
                <w:iCs/>
                <w:sz w:val="24"/>
                <w:szCs w:val="24"/>
                <w:lang w:val="sq-AL"/>
              </w:rPr>
              <w:t xml:space="preserve"> </w:t>
            </w:r>
            <w:r w:rsidR="00343EA7" w:rsidRPr="00154067">
              <w:rPr>
                <w:rFonts w:ascii="Times New Roman" w:hAnsi="Times New Roman"/>
                <w:iCs/>
                <w:sz w:val="24"/>
                <w:szCs w:val="24"/>
                <w:lang w:val="sq-AL"/>
              </w:rPr>
              <w:t xml:space="preserve">adresën e </w:t>
            </w:r>
            <w:r w:rsidR="007B4AD9" w:rsidRPr="00154067">
              <w:rPr>
                <w:rFonts w:ascii="Times New Roman" w:hAnsi="Times New Roman"/>
                <w:iCs/>
                <w:sz w:val="24"/>
                <w:szCs w:val="24"/>
                <w:lang w:val="sq-AL"/>
              </w:rPr>
              <w:t>e</w:t>
            </w:r>
            <w:r w:rsidR="00343EA7" w:rsidRPr="00154067">
              <w:rPr>
                <w:rFonts w:ascii="Times New Roman" w:hAnsi="Times New Roman"/>
                <w:iCs/>
                <w:sz w:val="24"/>
                <w:szCs w:val="24"/>
                <w:lang w:val="sq-AL"/>
              </w:rPr>
              <w:t>-</w:t>
            </w:r>
            <w:r w:rsidR="007B4AD9" w:rsidRPr="00154067">
              <w:rPr>
                <w:rFonts w:ascii="Times New Roman" w:hAnsi="Times New Roman"/>
                <w:iCs/>
                <w:sz w:val="24"/>
                <w:szCs w:val="24"/>
                <w:lang w:val="sq-AL"/>
              </w:rPr>
              <w:t>mailit të koordinatorit për konsultimin publik</w:t>
            </w:r>
            <w:r w:rsidR="00383D55" w:rsidRPr="00154067">
              <w:rPr>
                <w:rFonts w:ascii="Times New Roman" w:hAnsi="Times New Roman"/>
                <w:iCs/>
                <w:sz w:val="24"/>
                <w:szCs w:val="24"/>
                <w:lang w:val="sq-AL"/>
              </w:rPr>
              <w:t xml:space="preserve"> </w:t>
            </w:r>
            <w:hyperlink r:id="rId6" w:history="1">
              <w:r w:rsidR="00383D55" w:rsidRPr="00154067">
                <w:rPr>
                  <w:rStyle w:val="Hyperlink"/>
                  <w:rFonts w:ascii="Times New Roman" w:hAnsi="Times New Roman"/>
                  <w:iCs/>
                  <w:sz w:val="24"/>
                  <w:szCs w:val="24"/>
                  <w:lang w:val="sq-AL"/>
                </w:rPr>
                <w:t>vilma.davidhi@infrastruktura.gov.al</w:t>
              </w:r>
            </w:hyperlink>
            <w:r w:rsidR="001E40DB" w:rsidRPr="00154067">
              <w:rPr>
                <w:sz w:val="24"/>
                <w:szCs w:val="24"/>
                <w:lang w:val="it-IT"/>
              </w:rPr>
              <w:t>,</w:t>
            </w:r>
          </w:p>
          <w:p w14:paraId="29D266A9" w14:textId="77777777" w:rsidR="00383D55" w:rsidRPr="00154067" w:rsidRDefault="00383D55" w:rsidP="002C19D9">
            <w:pPr>
              <w:pStyle w:val="BodyText"/>
              <w:tabs>
                <w:tab w:val="clear" w:pos="567"/>
                <w:tab w:val="left" w:pos="510"/>
              </w:tabs>
              <w:spacing w:after="0"/>
              <w:ind w:left="600"/>
              <w:jc w:val="both"/>
              <w:rPr>
                <w:rFonts w:ascii="Times New Roman" w:hAnsi="Times New Roman"/>
                <w:iCs/>
                <w:sz w:val="24"/>
                <w:szCs w:val="24"/>
                <w:lang w:val="sq-AL"/>
              </w:rPr>
            </w:pPr>
          </w:p>
          <w:p w14:paraId="725A5EEA" w14:textId="3D881D22" w:rsidR="008675CA" w:rsidRPr="00154067" w:rsidRDefault="00B0093C" w:rsidP="002C19D9">
            <w:pPr>
              <w:pStyle w:val="BodyText"/>
              <w:jc w:val="both"/>
              <w:rPr>
                <w:rFonts w:ascii="Times New Roman" w:hAnsi="Times New Roman"/>
                <w:iCs/>
                <w:sz w:val="24"/>
                <w:szCs w:val="24"/>
                <w:lang w:val="sq-AL"/>
              </w:rPr>
            </w:pPr>
            <w:r w:rsidRPr="00154067">
              <w:rPr>
                <w:rFonts w:ascii="Times New Roman" w:hAnsi="Times New Roman"/>
                <w:iCs/>
                <w:sz w:val="24"/>
                <w:szCs w:val="24"/>
                <w:lang w:val="sq-AL"/>
              </w:rPr>
              <w:t xml:space="preserve">si </w:t>
            </w:r>
            <w:r w:rsidRPr="00154067">
              <w:rPr>
                <w:rFonts w:ascii="Times New Roman" w:hAnsi="Times New Roman"/>
                <w:sz w:val="24"/>
                <w:szCs w:val="24"/>
                <w:lang w:val="sq-AL"/>
              </w:rPr>
              <w:t xml:space="preserve">dhe nëpërmjet komenteve të drejtpërdrejta në tryezat e konsultimit </w:t>
            </w:r>
            <w:r w:rsidR="00087972" w:rsidRPr="00154067">
              <w:rPr>
                <w:rFonts w:ascii="Times New Roman" w:hAnsi="Times New Roman"/>
                <w:sz w:val="24"/>
                <w:szCs w:val="24"/>
                <w:lang w:val="sq-AL"/>
              </w:rPr>
              <w:t xml:space="preserve">që eventualisht mund të zhvillohen </w:t>
            </w:r>
            <w:r w:rsidRPr="00154067">
              <w:rPr>
                <w:rFonts w:ascii="Times New Roman" w:hAnsi="Times New Roman"/>
                <w:sz w:val="24"/>
                <w:szCs w:val="24"/>
                <w:lang w:val="sq-AL"/>
              </w:rPr>
              <w:t xml:space="preserve">në </w:t>
            </w:r>
            <w:r w:rsidR="00647695" w:rsidRPr="00154067">
              <w:rPr>
                <w:rFonts w:ascii="Times New Roman" w:hAnsi="Times New Roman"/>
                <w:sz w:val="24"/>
                <w:szCs w:val="24"/>
                <w:lang w:val="sq-AL"/>
              </w:rPr>
              <w:t>Ministr</w:t>
            </w:r>
            <w:r w:rsidR="004E24EE" w:rsidRPr="00154067">
              <w:rPr>
                <w:rFonts w:ascii="Times New Roman" w:hAnsi="Times New Roman"/>
                <w:sz w:val="24"/>
                <w:szCs w:val="24"/>
                <w:lang w:val="sq-AL"/>
              </w:rPr>
              <w:t>i</w:t>
            </w:r>
            <w:r w:rsidR="00647695" w:rsidRPr="00154067">
              <w:rPr>
                <w:rFonts w:ascii="Times New Roman" w:hAnsi="Times New Roman"/>
                <w:sz w:val="24"/>
                <w:szCs w:val="24"/>
                <w:lang w:val="sq-AL"/>
              </w:rPr>
              <w:t>në e Infrastrukturës dhe Energjisë</w:t>
            </w:r>
            <w:r w:rsidRPr="00154067">
              <w:rPr>
                <w:rFonts w:ascii="Times New Roman" w:hAnsi="Times New Roman"/>
                <w:sz w:val="24"/>
                <w:szCs w:val="24"/>
                <w:lang w:val="sq-AL"/>
              </w:rPr>
              <w:t>.</w:t>
            </w:r>
          </w:p>
        </w:tc>
      </w:tr>
    </w:tbl>
    <w:p w14:paraId="3C463429" w14:textId="77777777" w:rsidR="008675CA" w:rsidRPr="00154067" w:rsidRDefault="008675CA" w:rsidP="002C19D9">
      <w:pPr>
        <w:pStyle w:val="BodyText"/>
        <w:jc w:val="both"/>
        <w:rPr>
          <w:rFonts w:ascii="Times New Roman" w:hAnsi="Times New Roman"/>
          <w:sz w:val="24"/>
          <w:szCs w:val="24"/>
          <w:lang w:val="sq-AL"/>
        </w:rPr>
      </w:pPr>
    </w:p>
    <w:p w14:paraId="6C4BE25B" w14:textId="77777777" w:rsidR="008675CA" w:rsidRPr="00154067" w:rsidRDefault="00E54C97" w:rsidP="002C19D9">
      <w:pPr>
        <w:pStyle w:val="BodyText"/>
        <w:jc w:val="both"/>
        <w:rPr>
          <w:rFonts w:ascii="Times New Roman" w:hAnsi="Times New Roman"/>
          <w:b/>
          <w:sz w:val="24"/>
          <w:szCs w:val="24"/>
          <w:lang w:val="sq-AL"/>
        </w:rPr>
      </w:pPr>
      <w:r w:rsidRPr="00154067">
        <w:rPr>
          <w:rFonts w:ascii="Times New Roman" w:hAnsi="Times New Roman"/>
          <w:b/>
          <w:sz w:val="24"/>
          <w:szCs w:val="24"/>
          <w:lang w:val="sq-AL"/>
        </w:rPr>
        <w:t>Kontakti</w:t>
      </w:r>
      <w:r w:rsidR="008675CA" w:rsidRPr="00154067">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E53FF" w14:paraId="12B24D1C" w14:textId="77777777" w:rsidTr="00957E1F">
        <w:tc>
          <w:tcPr>
            <w:tcW w:w="9212" w:type="dxa"/>
          </w:tcPr>
          <w:p w14:paraId="3637B89E" w14:textId="4E53F89C" w:rsidR="00203C7D" w:rsidRPr="00154067" w:rsidRDefault="00203C7D" w:rsidP="002C19D9">
            <w:pPr>
              <w:pStyle w:val="BodyText"/>
              <w:jc w:val="both"/>
              <w:rPr>
                <w:rFonts w:ascii="Times New Roman" w:hAnsi="Times New Roman"/>
                <w:iCs/>
                <w:sz w:val="24"/>
                <w:szCs w:val="24"/>
                <w:lang w:val="sq-AL"/>
              </w:rPr>
            </w:pPr>
            <w:r w:rsidRPr="00154067">
              <w:rPr>
                <w:rFonts w:ascii="Times New Roman" w:hAnsi="Times New Roman"/>
                <w:sz w:val="24"/>
                <w:szCs w:val="24"/>
                <w:lang w:val="sq-AL"/>
              </w:rPr>
              <w:t>Vilma Davidhi</w:t>
            </w:r>
            <w:r w:rsidR="00B0093C" w:rsidRPr="00154067">
              <w:rPr>
                <w:rFonts w:ascii="Times New Roman" w:hAnsi="Times New Roman"/>
                <w:sz w:val="24"/>
                <w:szCs w:val="24"/>
                <w:lang w:val="sq-AL"/>
              </w:rPr>
              <w:t xml:space="preserve">, Koordinatore për konsultimin publik në Ministri: </w:t>
            </w:r>
            <w:hyperlink r:id="rId7" w:history="1">
              <w:r w:rsidRPr="00154067">
                <w:rPr>
                  <w:rStyle w:val="Hyperlink"/>
                  <w:rFonts w:ascii="Times New Roman" w:hAnsi="Times New Roman"/>
                  <w:iCs/>
                  <w:sz w:val="24"/>
                  <w:szCs w:val="24"/>
                  <w:lang w:val="sq-AL"/>
                </w:rPr>
                <w:t>vilma.davidhi@infrastruktura.gov.al</w:t>
              </w:r>
            </w:hyperlink>
          </w:p>
        </w:tc>
      </w:tr>
    </w:tbl>
    <w:p w14:paraId="5D44D821" w14:textId="77777777" w:rsidR="008675CA" w:rsidRPr="00154067" w:rsidRDefault="008675CA" w:rsidP="002C19D9">
      <w:pPr>
        <w:pStyle w:val="BodyText"/>
        <w:jc w:val="both"/>
        <w:rPr>
          <w:rFonts w:ascii="Times New Roman" w:hAnsi="Times New Roman"/>
          <w:sz w:val="24"/>
          <w:szCs w:val="24"/>
          <w:lang w:val="sq-AL"/>
        </w:rPr>
      </w:pPr>
    </w:p>
    <w:p w14:paraId="3524433B" w14:textId="77777777" w:rsidR="008675CA" w:rsidRPr="00154067" w:rsidRDefault="00E54C97" w:rsidP="002C19D9">
      <w:pPr>
        <w:pStyle w:val="BodyText"/>
        <w:jc w:val="both"/>
        <w:rPr>
          <w:rFonts w:ascii="Times New Roman" w:hAnsi="Times New Roman"/>
          <w:b/>
          <w:sz w:val="24"/>
          <w:szCs w:val="24"/>
          <w:lang w:val="sq-AL"/>
        </w:rPr>
      </w:pPr>
      <w:r w:rsidRPr="00154067">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E53FF" w14:paraId="7239AD1E" w14:textId="77777777" w:rsidTr="00957E1F">
        <w:tc>
          <w:tcPr>
            <w:tcW w:w="9212" w:type="dxa"/>
          </w:tcPr>
          <w:p w14:paraId="225A0334" w14:textId="32CFFF66" w:rsidR="00AD4479" w:rsidRPr="00154067" w:rsidRDefault="00AD4479" w:rsidP="002C19D9">
            <w:pPr>
              <w:pStyle w:val="BodyText"/>
              <w:jc w:val="both"/>
              <w:rPr>
                <w:rFonts w:ascii="Times New Roman" w:hAnsi="Times New Roman"/>
                <w:i/>
                <w:sz w:val="24"/>
                <w:szCs w:val="24"/>
                <w:lang w:val="sq-AL"/>
              </w:rPr>
            </w:pPr>
            <w:r w:rsidRPr="00154067">
              <w:rPr>
                <w:rFonts w:ascii="Times New Roman" w:hAnsi="Times New Roman"/>
                <w:sz w:val="24"/>
                <w:szCs w:val="24"/>
                <w:lang w:val="sq-AL"/>
              </w:rPr>
              <w:t>E-Konsultimi: në portalin “</w:t>
            </w:r>
            <w:r w:rsidR="00343EA7" w:rsidRPr="00154067">
              <w:rPr>
                <w:rFonts w:ascii="Times New Roman" w:hAnsi="Times New Roman"/>
                <w:sz w:val="24"/>
                <w:szCs w:val="24"/>
                <w:lang w:val="sq-AL"/>
              </w:rPr>
              <w:t>Regjistri</w:t>
            </w:r>
            <w:r w:rsidRPr="00154067">
              <w:rPr>
                <w:rFonts w:ascii="Times New Roman" w:hAnsi="Times New Roman"/>
                <w:sz w:val="24"/>
                <w:szCs w:val="24"/>
                <w:lang w:val="sq-AL"/>
              </w:rPr>
              <w:t xml:space="preserve"> Elektronik për Njoftimet dhe Konsultimet Publike” </w:t>
            </w:r>
            <w:r w:rsidR="007765B7" w:rsidRPr="00154067">
              <w:rPr>
                <w:rFonts w:ascii="Times New Roman" w:hAnsi="Times New Roman"/>
                <w:sz w:val="24"/>
                <w:szCs w:val="24"/>
                <w:lang w:val="sq-AL"/>
              </w:rPr>
              <w:t>20 ditë pune</w:t>
            </w:r>
            <w:r w:rsidR="00F04DE4" w:rsidRPr="00154067">
              <w:rPr>
                <w:rFonts w:ascii="Times New Roman" w:hAnsi="Times New Roman"/>
                <w:sz w:val="24"/>
                <w:szCs w:val="24"/>
                <w:lang w:val="sq-AL"/>
              </w:rPr>
              <w:t xml:space="preserve">, </w:t>
            </w:r>
            <w:r w:rsidR="001077A7" w:rsidRPr="00154067">
              <w:rPr>
                <w:rFonts w:ascii="Times New Roman" w:hAnsi="Times New Roman"/>
                <w:sz w:val="24"/>
                <w:szCs w:val="24"/>
                <w:lang w:val="sq-AL"/>
              </w:rPr>
              <w:t xml:space="preserve">duke filluar nga data </w:t>
            </w:r>
            <w:r w:rsidR="00C57907" w:rsidRPr="00154067">
              <w:rPr>
                <w:rFonts w:ascii="Times New Roman" w:hAnsi="Times New Roman"/>
                <w:sz w:val="24"/>
                <w:szCs w:val="24"/>
                <w:lang w:val="sq-AL"/>
              </w:rPr>
              <w:t>1 Korrik</w:t>
            </w:r>
            <w:r w:rsidR="000A0329" w:rsidRPr="00154067">
              <w:rPr>
                <w:rFonts w:ascii="Times New Roman" w:hAnsi="Times New Roman"/>
                <w:bCs/>
                <w:sz w:val="24"/>
                <w:szCs w:val="24"/>
                <w:lang w:val="sq-AL"/>
              </w:rPr>
              <w:t xml:space="preserve"> 202</w:t>
            </w:r>
            <w:r w:rsidR="00C57907" w:rsidRPr="00154067">
              <w:rPr>
                <w:rFonts w:ascii="Times New Roman" w:hAnsi="Times New Roman"/>
                <w:bCs/>
                <w:sz w:val="24"/>
                <w:szCs w:val="24"/>
                <w:lang w:val="sq-AL"/>
              </w:rPr>
              <w:t>5</w:t>
            </w:r>
            <w:r w:rsidR="000A0329" w:rsidRPr="00154067">
              <w:rPr>
                <w:rFonts w:ascii="Times New Roman" w:hAnsi="Times New Roman"/>
                <w:bCs/>
                <w:sz w:val="24"/>
                <w:szCs w:val="24"/>
                <w:lang w:val="sq-AL"/>
              </w:rPr>
              <w:t>.</w:t>
            </w:r>
          </w:p>
        </w:tc>
      </w:tr>
    </w:tbl>
    <w:p w14:paraId="29B33FD3" w14:textId="77777777" w:rsidR="008675CA" w:rsidRPr="00154067" w:rsidRDefault="008675CA" w:rsidP="002C19D9">
      <w:pPr>
        <w:pStyle w:val="BodyText"/>
        <w:jc w:val="both"/>
        <w:rPr>
          <w:rFonts w:ascii="Times New Roman" w:hAnsi="Times New Roman"/>
          <w:sz w:val="24"/>
          <w:szCs w:val="24"/>
          <w:lang w:val="sq-AL"/>
        </w:rPr>
      </w:pPr>
    </w:p>
    <w:p w14:paraId="5CA45918" w14:textId="77777777" w:rsidR="008675CA" w:rsidRPr="00154067" w:rsidRDefault="00E54C97" w:rsidP="002C19D9">
      <w:pPr>
        <w:pStyle w:val="BodyText"/>
        <w:jc w:val="both"/>
        <w:rPr>
          <w:rFonts w:ascii="Times New Roman" w:hAnsi="Times New Roman"/>
          <w:b/>
          <w:sz w:val="24"/>
          <w:szCs w:val="24"/>
          <w:lang w:val="sq-AL"/>
        </w:rPr>
      </w:pPr>
      <w:r w:rsidRPr="00154067">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2E53FF" w14:paraId="5017327A" w14:textId="77777777" w:rsidTr="00957E1F">
        <w:tc>
          <w:tcPr>
            <w:tcW w:w="9212" w:type="dxa"/>
          </w:tcPr>
          <w:p w14:paraId="2F52FF42" w14:textId="77777777" w:rsidR="006B5C5F" w:rsidRPr="00154067" w:rsidRDefault="006B5C5F" w:rsidP="002C19D9">
            <w:pPr>
              <w:widowControl w:val="0"/>
              <w:tabs>
                <w:tab w:val="left" w:pos="384"/>
              </w:tabs>
              <w:autoSpaceDE w:val="0"/>
              <w:autoSpaceDN w:val="0"/>
              <w:ind w:right="117"/>
              <w:jc w:val="both"/>
              <w:rPr>
                <w:rFonts w:ascii="Times New Roman" w:hAnsi="Times New Roman"/>
                <w:bCs/>
                <w:color w:val="000000"/>
                <w:sz w:val="24"/>
                <w:szCs w:val="24"/>
                <w:bdr w:val="none" w:sz="0" w:space="0" w:color="auto" w:frame="1"/>
                <w:shd w:val="clear" w:color="auto" w:fill="FFFFFF"/>
                <w:lang w:val="sq-AL"/>
              </w:rPr>
            </w:pPr>
          </w:p>
          <w:p w14:paraId="07A8E0B6" w14:textId="3464E057" w:rsidR="00154067" w:rsidRPr="00154067" w:rsidRDefault="00F46442" w:rsidP="002C19D9">
            <w:pPr>
              <w:jc w:val="both"/>
              <w:rPr>
                <w:rFonts w:ascii="Times New Roman" w:hAnsi="Times New Roman"/>
                <w:sz w:val="24"/>
                <w:szCs w:val="24"/>
                <w:lang w:val="de-DE"/>
              </w:rPr>
            </w:pPr>
            <w:r w:rsidRPr="00154067">
              <w:rPr>
                <w:rFonts w:ascii="Times New Roman" w:hAnsi="Times New Roman"/>
                <w:b/>
                <w:bCs/>
                <w:sz w:val="24"/>
                <w:szCs w:val="24"/>
                <w:lang w:val="sq-AL"/>
              </w:rPr>
              <w:t>Projekligji</w:t>
            </w:r>
            <w:r w:rsidRPr="00154067">
              <w:rPr>
                <w:rFonts w:ascii="Times New Roman" w:hAnsi="Times New Roman"/>
                <w:b/>
                <w:bCs/>
                <w:color w:val="000000"/>
                <w:sz w:val="24"/>
                <w:szCs w:val="24"/>
                <w:bdr w:val="none" w:sz="0" w:space="0" w:color="auto" w:frame="1"/>
                <w:shd w:val="clear" w:color="auto" w:fill="FFFFFF"/>
                <w:lang w:val="sq-AL"/>
              </w:rPr>
              <w:t xml:space="preserve"> </w:t>
            </w:r>
            <w:r w:rsidR="004318B1" w:rsidRPr="00154067">
              <w:rPr>
                <w:rFonts w:ascii="Times New Roman" w:hAnsi="Times New Roman"/>
                <w:b/>
                <w:color w:val="000000"/>
                <w:sz w:val="24"/>
                <w:szCs w:val="24"/>
                <w:bdr w:val="none" w:sz="0" w:space="0" w:color="auto" w:frame="1"/>
                <w:shd w:val="clear" w:color="auto" w:fill="FFFFFF"/>
                <w:lang w:val="sq-AL"/>
              </w:rPr>
              <w:t>“</w:t>
            </w:r>
            <w:r w:rsidR="00C87D70" w:rsidRPr="00154067">
              <w:rPr>
                <w:rFonts w:ascii="Times New Roman" w:hAnsi="Times New Roman"/>
                <w:b/>
                <w:bCs/>
                <w:sz w:val="24"/>
                <w:szCs w:val="24"/>
                <w:lang w:val="de-DE"/>
              </w:rPr>
              <w:t>Për disa shtesa dhe ndryshime në ligjin nr. 43/2015 “Për sektorin e energjisë elektrike”</w:t>
            </w:r>
            <w:r w:rsidR="00243ED7" w:rsidRPr="00154067">
              <w:rPr>
                <w:rFonts w:ascii="Times New Roman" w:hAnsi="Times New Roman"/>
                <w:b/>
                <w:bCs/>
                <w:sz w:val="24"/>
                <w:szCs w:val="24"/>
                <w:lang w:val="de-DE"/>
              </w:rPr>
              <w:t>,</w:t>
            </w:r>
            <w:r w:rsidRPr="00154067">
              <w:rPr>
                <w:rFonts w:ascii="Times New Roman" w:hAnsi="Times New Roman"/>
                <w:b/>
                <w:bCs/>
                <w:sz w:val="24"/>
                <w:szCs w:val="24"/>
                <w:lang w:val="de-DE"/>
              </w:rPr>
              <w:t xml:space="preserve"> </w:t>
            </w:r>
            <w:r w:rsidR="00154067" w:rsidRPr="00154067">
              <w:rPr>
                <w:rFonts w:ascii="Times New Roman" w:hAnsi="Times New Roman"/>
                <w:sz w:val="24"/>
                <w:szCs w:val="24"/>
                <w:lang w:val="de-DE"/>
              </w:rPr>
              <w:t>ka si qëllim</w:t>
            </w:r>
            <w:r w:rsidR="00154067" w:rsidRPr="00154067">
              <w:rPr>
                <w:rFonts w:ascii="Times New Roman" w:hAnsi="Times New Roman"/>
                <w:bCs/>
                <w:sz w:val="24"/>
                <w:szCs w:val="24"/>
                <w:lang w:val="de-DE"/>
              </w:rPr>
              <w:t xml:space="preserve"> rishikimi i ligjit nr. 43/2015 "Për sektorin e energjisë </w:t>
            </w:r>
            <w:r w:rsidR="00154067" w:rsidRPr="00154067">
              <w:rPr>
                <w:rFonts w:ascii="Times New Roman" w:hAnsi="Times New Roman"/>
                <w:bCs/>
                <w:sz w:val="24"/>
                <w:szCs w:val="24"/>
                <w:lang w:val="de-DE"/>
              </w:rPr>
              <w:lastRenderedPageBreak/>
              <w:t xml:space="preserve">elektrike" ("LSE") me qëllim përfshirjen e dispozitave nga Paketa e Energjisë së Pastër të Bashkimit Europian ("EU CEP") në lidhje me tregun e energjisë elektrike </w:t>
            </w:r>
            <w:r w:rsidR="00154067" w:rsidRPr="00154067">
              <w:rPr>
                <w:rFonts w:ascii="Times New Roman" w:hAnsi="Times New Roman"/>
                <w:bCs/>
                <w:i/>
                <w:iCs/>
                <w:sz w:val="24"/>
                <w:szCs w:val="24"/>
                <w:lang w:val="de-DE"/>
              </w:rPr>
              <w:t>acquis</w:t>
            </w:r>
            <w:r w:rsidR="00154067" w:rsidRPr="00154067">
              <w:rPr>
                <w:rFonts w:ascii="Times New Roman" w:hAnsi="Times New Roman"/>
                <w:bCs/>
                <w:sz w:val="24"/>
                <w:szCs w:val="24"/>
                <w:lang w:val="de-DE"/>
              </w:rPr>
              <w:t>.</w:t>
            </w:r>
          </w:p>
          <w:p w14:paraId="6BB0F4EC" w14:textId="77777777" w:rsidR="0052547A" w:rsidRPr="00154067" w:rsidRDefault="0052547A" w:rsidP="002C19D9">
            <w:pPr>
              <w:widowControl w:val="0"/>
              <w:tabs>
                <w:tab w:val="left" w:pos="384"/>
              </w:tabs>
              <w:autoSpaceDE w:val="0"/>
              <w:autoSpaceDN w:val="0"/>
              <w:ind w:right="117"/>
              <w:jc w:val="both"/>
              <w:rPr>
                <w:rFonts w:ascii="Times New Roman" w:hAnsi="Times New Roman"/>
                <w:sz w:val="24"/>
                <w:szCs w:val="24"/>
                <w:lang w:val="sq-AL"/>
              </w:rPr>
            </w:pPr>
          </w:p>
          <w:p w14:paraId="7EB0E11D" w14:textId="77777777" w:rsidR="00154067" w:rsidRPr="00154067" w:rsidRDefault="00154067" w:rsidP="002C19D9">
            <w:pPr>
              <w:jc w:val="both"/>
              <w:rPr>
                <w:rFonts w:ascii="Times New Roman" w:hAnsi="Times New Roman"/>
                <w:bCs/>
                <w:sz w:val="24"/>
                <w:szCs w:val="24"/>
                <w:lang w:val="de-DE"/>
              </w:rPr>
            </w:pPr>
            <w:r w:rsidRPr="00154067">
              <w:rPr>
                <w:rFonts w:ascii="Times New Roman" w:hAnsi="Times New Roman"/>
                <w:bCs/>
                <w:sz w:val="24"/>
                <w:szCs w:val="24"/>
                <w:lang w:val="de-DE"/>
              </w:rPr>
              <w:t>Objektivat konkrete që synon të arrijë projektligji janë si më poshtë:</w:t>
            </w:r>
          </w:p>
          <w:p w14:paraId="62B91E94" w14:textId="77777777" w:rsidR="00154067" w:rsidRPr="00154067" w:rsidRDefault="00154067" w:rsidP="002C19D9">
            <w:pPr>
              <w:pStyle w:val="ListParagraph"/>
              <w:numPr>
                <w:ilvl w:val="0"/>
                <w:numId w:val="98"/>
              </w:numPr>
              <w:tabs>
                <w:tab w:val="clear" w:pos="567"/>
              </w:tabs>
              <w:spacing w:after="0"/>
              <w:contextualSpacing/>
              <w:jc w:val="both"/>
              <w:rPr>
                <w:rFonts w:ascii="Times New Roman" w:hAnsi="Times New Roman"/>
                <w:bCs/>
                <w:sz w:val="24"/>
                <w:szCs w:val="24"/>
                <w:lang w:val="de-DE"/>
              </w:rPr>
            </w:pPr>
            <w:r w:rsidRPr="00154067">
              <w:rPr>
                <w:rFonts w:ascii="Times New Roman" w:hAnsi="Times New Roman"/>
                <w:b/>
                <w:sz w:val="24"/>
                <w:szCs w:val="24"/>
                <w:lang w:val="de-DE"/>
              </w:rPr>
              <w:t xml:space="preserve">Përafrimi i legjislacionit vendor me </w:t>
            </w:r>
            <w:r w:rsidRPr="00154067">
              <w:rPr>
                <w:rFonts w:ascii="Times New Roman" w:hAnsi="Times New Roman"/>
                <w:b/>
                <w:i/>
                <w:iCs/>
                <w:sz w:val="24"/>
                <w:szCs w:val="24"/>
                <w:lang w:val="de-DE"/>
              </w:rPr>
              <w:t>acquis communautaire</w:t>
            </w:r>
            <w:r w:rsidRPr="00154067">
              <w:rPr>
                <w:rFonts w:ascii="Times New Roman" w:hAnsi="Times New Roman"/>
                <w:bCs/>
                <w:sz w:val="24"/>
                <w:szCs w:val="24"/>
                <w:lang w:val="de-DE"/>
              </w:rPr>
              <w:t xml:space="preserve">: Përafrimi i legjislacionit vendor me </w:t>
            </w:r>
            <w:r w:rsidRPr="00154067">
              <w:rPr>
                <w:rFonts w:ascii="Times New Roman" w:hAnsi="Times New Roman"/>
                <w:bCs/>
                <w:i/>
                <w:iCs/>
                <w:sz w:val="24"/>
                <w:szCs w:val="24"/>
                <w:lang w:val="de-DE"/>
              </w:rPr>
              <w:t>acquis</w:t>
            </w:r>
            <w:r w:rsidRPr="00154067">
              <w:rPr>
                <w:rFonts w:ascii="Times New Roman" w:hAnsi="Times New Roman"/>
                <w:bCs/>
                <w:sz w:val="24"/>
                <w:szCs w:val="24"/>
                <w:lang w:val="de-DE"/>
              </w:rPr>
              <w:t>-n të BE-së për të siguruar përputhjen dhe integrimin me standardet evropiane.</w:t>
            </w:r>
          </w:p>
          <w:p w14:paraId="72D6F625" w14:textId="77777777" w:rsidR="00154067" w:rsidRPr="00154067" w:rsidRDefault="00154067" w:rsidP="002C19D9">
            <w:pPr>
              <w:pStyle w:val="ListParagraph"/>
              <w:numPr>
                <w:ilvl w:val="0"/>
                <w:numId w:val="98"/>
              </w:numPr>
              <w:tabs>
                <w:tab w:val="clear" w:pos="567"/>
              </w:tabs>
              <w:spacing w:after="0"/>
              <w:contextualSpacing/>
              <w:jc w:val="both"/>
              <w:rPr>
                <w:rFonts w:ascii="Times New Roman" w:hAnsi="Times New Roman"/>
                <w:bCs/>
                <w:sz w:val="24"/>
                <w:szCs w:val="24"/>
                <w:lang w:val="de-DE"/>
              </w:rPr>
            </w:pPr>
            <w:r w:rsidRPr="00154067">
              <w:rPr>
                <w:rFonts w:ascii="Times New Roman" w:hAnsi="Times New Roman"/>
                <w:b/>
                <w:sz w:val="24"/>
                <w:szCs w:val="24"/>
                <w:lang w:val="de-DE"/>
              </w:rPr>
              <w:t>Krijimi i një kuadri ligjor mbështetës</w:t>
            </w:r>
            <w:r w:rsidRPr="00154067">
              <w:rPr>
                <w:rFonts w:ascii="Times New Roman" w:hAnsi="Times New Roman"/>
                <w:bCs/>
                <w:sz w:val="24"/>
                <w:szCs w:val="24"/>
                <w:lang w:val="de-DE"/>
              </w:rPr>
              <w:t>: Krijimi i një kuadri ligjor që promovon masa dhe mekanizma që synojnë inkurajimin e prodhimit të decentralizuar të energjisë elektrike nga burimet e rinovueshme, ngritjen e depozitimit të energjisë dhe instalimin e objekteve rikarikuese.</w:t>
            </w:r>
          </w:p>
          <w:p w14:paraId="3BADD63D" w14:textId="77777777" w:rsidR="00154067" w:rsidRPr="00154067" w:rsidRDefault="00154067" w:rsidP="002C19D9">
            <w:pPr>
              <w:pStyle w:val="ListParagraph"/>
              <w:numPr>
                <w:ilvl w:val="0"/>
                <w:numId w:val="98"/>
              </w:numPr>
              <w:tabs>
                <w:tab w:val="clear" w:pos="567"/>
              </w:tabs>
              <w:spacing w:after="0"/>
              <w:contextualSpacing/>
              <w:jc w:val="both"/>
              <w:rPr>
                <w:rFonts w:ascii="Times New Roman" w:hAnsi="Times New Roman"/>
                <w:bCs/>
                <w:sz w:val="24"/>
                <w:szCs w:val="24"/>
                <w:lang w:val="de-DE"/>
              </w:rPr>
            </w:pPr>
            <w:r w:rsidRPr="00154067">
              <w:rPr>
                <w:rFonts w:ascii="Times New Roman" w:hAnsi="Times New Roman"/>
                <w:b/>
                <w:sz w:val="24"/>
                <w:szCs w:val="24"/>
                <w:lang w:val="de-DE"/>
              </w:rPr>
              <w:t>Mbështetja e modeleve inovative të biznesit</w:t>
            </w:r>
            <w:r w:rsidRPr="00154067">
              <w:rPr>
                <w:rFonts w:ascii="Times New Roman" w:hAnsi="Times New Roman"/>
                <w:bCs/>
                <w:sz w:val="24"/>
                <w:szCs w:val="24"/>
                <w:lang w:val="de-DE"/>
              </w:rPr>
              <w:t xml:space="preserve">: Lehtësimi i përhapjes së modeleve inovuese të biznesit që lidhen me prodhimin e decentralizuar të energjisë elektrike, furnizimin me energji elektrike </w:t>
            </w:r>
            <w:r w:rsidRPr="00154067">
              <w:rPr>
                <w:rFonts w:ascii="Times New Roman" w:hAnsi="Times New Roman"/>
                <w:bCs/>
                <w:i/>
                <w:iCs/>
                <w:sz w:val="24"/>
                <w:szCs w:val="24"/>
                <w:lang w:val="de-DE"/>
              </w:rPr>
              <w:t>peer-to-peer</w:t>
            </w:r>
            <w:r w:rsidRPr="00154067">
              <w:rPr>
                <w:rFonts w:ascii="Times New Roman" w:hAnsi="Times New Roman"/>
                <w:bCs/>
                <w:sz w:val="24"/>
                <w:szCs w:val="24"/>
                <w:lang w:val="de-DE"/>
              </w:rPr>
              <w:t xml:space="preserve"> ose drejtpërdrejt (ndarja e energjisë elektrike) dhe përgjigjen ndaj kërkesës së tregut.</w:t>
            </w:r>
          </w:p>
          <w:p w14:paraId="1700B21D" w14:textId="77777777" w:rsidR="00154067" w:rsidRPr="00154067" w:rsidRDefault="00154067" w:rsidP="002C19D9">
            <w:pPr>
              <w:pStyle w:val="ListParagraph"/>
              <w:numPr>
                <w:ilvl w:val="0"/>
                <w:numId w:val="98"/>
              </w:numPr>
              <w:tabs>
                <w:tab w:val="clear" w:pos="567"/>
              </w:tabs>
              <w:spacing w:after="0"/>
              <w:contextualSpacing/>
              <w:jc w:val="both"/>
              <w:rPr>
                <w:rFonts w:ascii="Times New Roman" w:hAnsi="Times New Roman"/>
                <w:bCs/>
                <w:sz w:val="24"/>
                <w:szCs w:val="24"/>
                <w:lang w:val="de-DE"/>
              </w:rPr>
            </w:pPr>
            <w:r w:rsidRPr="00154067">
              <w:rPr>
                <w:rFonts w:ascii="Times New Roman" w:hAnsi="Times New Roman"/>
                <w:b/>
                <w:sz w:val="24"/>
                <w:szCs w:val="24"/>
                <w:lang w:val="de-DE"/>
              </w:rPr>
              <w:t>Mundësimi i sinjaleve të tregut</w:t>
            </w:r>
            <w:r w:rsidRPr="00154067">
              <w:rPr>
                <w:rFonts w:ascii="Times New Roman" w:hAnsi="Times New Roman"/>
                <w:bCs/>
                <w:sz w:val="24"/>
                <w:szCs w:val="24"/>
                <w:lang w:val="de-DE"/>
              </w:rPr>
              <w:t>: Të sigurohet që sinjalet e tregut të jepen për të promovuar rritjen e efikasitetit, një pjesë më të madhe të burimeve të rinovueshme të energjisë, sigurinë e furnizimit, fleksibilitetin, qëndrueshmërinë, dekarbonizimin dhe inovacionin.</w:t>
            </w:r>
          </w:p>
          <w:p w14:paraId="10BDAEBF" w14:textId="77777777" w:rsidR="00154067" w:rsidRPr="00154067" w:rsidRDefault="00154067" w:rsidP="002C19D9">
            <w:pPr>
              <w:pStyle w:val="ListParagraph"/>
              <w:numPr>
                <w:ilvl w:val="0"/>
                <w:numId w:val="98"/>
              </w:numPr>
              <w:tabs>
                <w:tab w:val="clear" w:pos="567"/>
              </w:tabs>
              <w:spacing w:after="0"/>
              <w:contextualSpacing/>
              <w:jc w:val="both"/>
              <w:rPr>
                <w:rFonts w:ascii="Times New Roman" w:hAnsi="Times New Roman"/>
                <w:bCs/>
                <w:sz w:val="24"/>
                <w:szCs w:val="24"/>
                <w:lang w:val="de-DE"/>
              </w:rPr>
            </w:pPr>
            <w:r w:rsidRPr="00154067">
              <w:rPr>
                <w:rFonts w:ascii="Times New Roman" w:hAnsi="Times New Roman"/>
                <w:b/>
                <w:sz w:val="24"/>
                <w:szCs w:val="24"/>
                <w:lang w:val="de-DE"/>
              </w:rPr>
              <w:t>Ruajtja e çmimeve të rregulluara të energjisë elektrike</w:t>
            </w:r>
            <w:r w:rsidRPr="00154067">
              <w:rPr>
                <w:rFonts w:ascii="Times New Roman" w:hAnsi="Times New Roman"/>
                <w:bCs/>
                <w:sz w:val="24"/>
                <w:szCs w:val="24"/>
                <w:lang w:val="de-DE"/>
              </w:rPr>
              <w:t xml:space="preserve">: Krijimi i një kuadri ligjor që ruan çmimet e rregulluara të energjisë elektrike për klientët në nevojë, klientët familjarë dhe ndërmarrjet e vogla në përputhje me </w:t>
            </w:r>
            <w:r w:rsidRPr="00154067">
              <w:rPr>
                <w:rFonts w:ascii="Times New Roman" w:hAnsi="Times New Roman"/>
                <w:bCs/>
                <w:i/>
                <w:iCs/>
                <w:sz w:val="24"/>
                <w:szCs w:val="24"/>
                <w:lang w:val="de-DE"/>
              </w:rPr>
              <w:t>acquis</w:t>
            </w:r>
            <w:r w:rsidRPr="00154067">
              <w:rPr>
                <w:rFonts w:ascii="Times New Roman" w:hAnsi="Times New Roman"/>
                <w:bCs/>
                <w:sz w:val="24"/>
                <w:szCs w:val="24"/>
                <w:lang w:val="de-DE"/>
              </w:rPr>
              <w:t>-n e BE-së.</w:t>
            </w:r>
          </w:p>
          <w:p w14:paraId="57E58F4E" w14:textId="77777777" w:rsidR="00154067" w:rsidRPr="00154067" w:rsidRDefault="00154067" w:rsidP="002C19D9">
            <w:pPr>
              <w:pStyle w:val="ListParagraph"/>
              <w:numPr>
                <w:ilvl w:val="0"/>
                <w:numId w:val="98"/>
              </w:numPr>
              <w:tabs>
                <w:tab w:val="clear" w:pos="567"/>
              </w:tabs>
              <w:spacing w:after="0"/>
              <w:contextualSpacing/>
              <w:jc w:val="both"/>
              <w:rPr>
                <w:rFonts w:ascii="Times New Roman" w:hAnsi="Times New Roman"/>
                <w:bCs/>
                <w:sz w:val="24"/>
                <w:szCs w:val="24"/>
                <w:lang w:val="de-DE"/>
              </w:rPr>
            </w:pPr>
            <w:r w:rsidRPr="00154067">
              <w:rPr>
                <w:rFonts w:ascii="Times New Roman" w:hAnsi="Times New Roman"/>
                <w:b/>
                <w:sz w:val="24"/>
                <w:szCs w:val="24"/>
                <w:lang w:val="de-DE"/>
              </w:rPr>
              <w:t>Vendosja e rregullave të drejta për shkëmbimet ndërkufitare</w:t>
            </w:r>
            <w:r w:rsidRPr="00154067">
              <w:rPr>
                <w:rFonts w:ascii="Times New Roman" w:hAnsi="Times New Roman"/>
                <w:bCs/>
                <w:sz w:val="24"/>
                <w:szCs w:val="24"/>
                <w:lang w:val="de-DE"/>
              </w:rPr>
              <w:t>: Vendosja e rregullave të drejta për shkëmbimet ndërkufitare të energjisë elektrike për të rritur konkurrencën brenda tregut të brendshëm për energjinë elektrike, duke mbajtur parasysh karakteristikat specifike të tregut shqiptar të energjisë elektrike.</w:t>
            </w:r>
          </w:p>
          <w:p w14:paraId="1CB78CD6" w14:textId="77777777" w:rsidR="00154067" w:rsidRPr="00154067" w:rsidRDefault="00154067" w:rsidP="002C19D9">
            <w:pPr>
              <w:pStyle w:val="ListParagraph"/>
              <w:numPr>
                <w:ilvl w:val="0"/>
                <w:numId w:val="98"/>
              </w:numPr>
              <w:tabs>
                <w:tab w:val="clear" w:pos="567"/>
              </w:tabs>
              <w:spacing w:after="0"/>
              <w:contextualSpacing/>
              <w:jc w:val="both"/>
              <w:rPr>
                <w:rFonts w:ascii="Times New Roman" w:hAnsi="Times New Roman"/>
                <w:bCs/>
                <w:sz w:val="24"/>
                <w:szCs w:val="24"/>
                <w:lang w:val="de-DE"/>
              </w:rPr>
            </w:pPr>
            <w:r w:rsidRPr="00154067">
              <w:rPr>
                <w:rFonts w:ascii="Times New Roman" w:hAnsi="Times New Roman"/>
                <w:b/>
                <w:sz w:val="24"/>
                <w:szCs w:val="24"/>
                <w:lang w:val="de-DE"/>
              </w:rPr>
              <w:t>Krijimi i tregjeve të integruara dhe konkurruese</w:t>
            </w:r>
            <w:r w:rsidRPr="00154067">
              <w:rPr>
                <w:rFonts w:ascii="Times New Roman" w:hAnsi="Times New Roman"/>
                <w:bCs/>
                <w:sz w:val="24"/>
                <w:szCs w:val="24"/>
                <w:lang w:val="de-DE"/>
              </w:rPr>
              <w:t>: Zhvillimi i tregjeve reale të integruara, konkurruese, të orientuara drejt konsumatorit, fleksibël, të drejtë dhe transparent të energjisë elektrike në Shqipëri për të rritur konkurrencën dhe për të mbështetur integrimin në tregjet rajonale dhe evropiane.</w:t>
            </w:r>
          </w:p>
          <w:p w14:paraId="48A2BDFD" w14:textId="77777777" w:rsidR="00154067" w:rsidRPr="00154067" w:rsidRDefault="00154067" w:rsidP="002C19D9">
            <w:pPr>
              <w:pStyle w:val="ListParagraph"/>
              <w:numPr>
                <w:ilvl w:val="0"/>
                <w:numId w:val="98"/>
              </w:numPr>
              <w:tabs>
                <w:tab w:val="clear" w:pos="567"/>
              </w:tabs>
              <w:spacing w:after="0"/>
              <w:contextualSpacing/>
              <w:jc w:val="both"/>
              <w:rPr>
                <w:rFonts w:ascii="Times New Roman" w:hAnsi="Times New Roman"/>
                <w:bCs/>
                <w:sz w:val="24"/>
                <w:szCs w:val="24"/>
                <w:lang w:val="de-DE"/>
              </w:rPr>
            </w:pPr>
            <w:r w:rsidRPr="00154067">
              <w:rPr>
                <w:rFonts w:ascii="Times New Roman" w:hAnsi="Times New Roman"/>
                <w:b/>
                <w:sz w:val="24"/>
                <w:szCs w:val="24"/>
                <w:lang w:val="de-DE"/>
              </w:rPr>
              <w:t>Sigurimi i çmimeve të përballueshme dhe transparente të energjisë</w:t>
            </w:r>
            <w:r w:rsidRPr="00154067">
              <w:rPr>
                <w:rFonts w:ascii="Times New Roman" w:hAnsi="Times New Roman"/>
                <w:bCs/>
                <w:sz w:val="24"/>
                <w:szCs w:val="24"/>
                <w:lang w:val="de-DE"/>
              </w:rPr>
              <w:t>: Garantimi i çmimeve dhe kostove të përballueshme, transparente të energjisë për konsumatorët, i një shkalle të lartë sigurie furnizimi dhe të një tranzicioni të qetë drejt një sistemi të qëndrueshëm energjie me karbon të ulët.</w:t>
            </w:r>
          </w:p>
          <w:p w14:paraId="265F815B" w14:textId="77777777" w:rsidR="00154067" w:rsidRPr="00154067" w:rsidRDefault="00154067" w:rsidP="002C19D9">
            <w:pPr>
              <w:pStyle w:val="ListParagraph"/>
              <w:numPr>
                <w:ilvl w:val="0"/>
                <w:numId w:val="98"/>
              </w:numPr>
              <w:tabs>
                <w:tab w:val="clear" w:pos="567"/>
              </w:tabs>
              <w:spacing w:after="0"/>
              <w:contextualSpacing/>
              <w:jc w:val="both"/>
              <w:rPr>
                <w:rFonts w:ascii="Times New Roman" w:hAnsi="Times New Roman"/>
                <w:bCs/>
                <w:sz w:val="24"/>
                <w:szCs w:val="24"/>
                <w:lang w:val="de-DE"/>
              </w:rPr>
            </w:pPr>
            <w:r w:rsidRPr="00154067">
              <w:rPr>
                <w:rFonts w:ascii="Times New Roman" w:hAnsi="Times New Roman"/>
                <w:b/>
                <w:sz w:val="24"/>
                <w:szCs w:val="24"/>
                <w:lang w:val="de-DE"/>
              </w:rPr>
              <w:t>Menaxhimi i krizave të energjisë elektrike</w:t>
            </w:r>
            <w:r w:rsidRPr="00154067">
              <w:rPr>
                <w:rFonts w:ascii="Times New Roman" w:hAnsi="Times New Roman"/>
                <w:bCs/>
                <w:sz w:val="24"/>
                <w:szCs w:val="24"/>
                <w:lang w:val="de-DE"/>
              </w:rPr>
              <w:t>: Parandalimi, përgatitja dhe administrimi i krizave të energjisë elektrike në frymën e solidaritetit dhe transparencës, duke respektuar plotësisht kërkesat e një tregu të brendshëm konkurrues për energjinë elektrike.</w:t>
            </w:r>
          </w:p>
          <w:p w14:paraId="38F24FDC" w14:textId="77777777" w:rsidR="00154067" w:rsidRPr="00154067" w:rsidRDefault="00154067" w:rsidP="002C19D9">
            <w:pPr>
              <w:pStyle w:val="ListParagraph"/>
              <w:numPr>
                <w:ilvl w:val="0"/>
                <w:numId w:val="98"/>
              </w:numPr>
              <w:tabs>
                <w:tab w:val="clear" w:pos="567"/>
              </w:tabs>
              <w:spacing w:after="0"/>
              <w:contextualSpacing/>
              <w:jc w:val="both"/>
              <w:rPr>
                <w:rFonts w:ascii="Times New Roman" w:hAnsi="Times New Roman"/>
                <w:bCs/>
                <w:sz w:val="24"/>
                <w:szCs w:val="24"/>
                <w:lang w:val="de-DE"/>
              </w:rPr>
            </w:pPr>
            <w:r w:rsidRPr="00154067">
              <w:rPr>
                <w:rFonts w:ascii="Times New Roman" w:hAnsi="Times New Roman"/>
                <w:b/>
                <w:sz w:val="24"/>
                <w:szCs w:val="24"/>
                <w:lang w:val="de-DE"/>
              </w:rPr>
              <w:t>Mbështetja e synimeve afatgjata të energjisë dhe klimës</w:t>
            </w:r>
            <w:r w:rsidRPr="00154067">
              <w:rPr>
                <w:rFonts w:ascii="Times New Roman" w:hAnsi="Times New Roman"/>
                <w:bCs/>
                <w:sz w:val="24"/>
                <w:szCs w:val="24"/>
                <w:lang w:val="de-DE"/>
              </w:rPr>
              <w:t>: Krijimi i një kuadri ligjor që mbështet Shqipërinë në arritjen e objektivave të saj afatgjatë të energjisë dhe klimës, duke kontribuar në rritjen ekonomike dhe përmirësimin e standardeve të jetesës.</w:t>
            </w:r>
          </w:p>
          <w:p w14:paraId="7590D3B8" w14:textId="3B5DC870" w:rsidR="00154067" w:rsidRPr="00154067" w:rsidRDefault="00154067" w:rsidP="002C19D9">
            <w:pPr>
              <w:widowControl w:val="0"/>
              <w:tabs>
                <w:tab w:val="left" w:pos="384"/>
              </w:tabs>
              <w:autoSpaceDE w:val="0"/>
              <w:autoSpaceDN w:val="0"/>
              <w:ind w:right="117"/>
              <w:jc w:val="both"/>
              <w:rPr>
                <w:rFonts w:ascii="Times New Roman" w:hAnsi="Times New Roman"/>
                <w:sz w:val="24"/>
                <w:szCs w:val="24"/>
                <w:lang w:val="de-DE"/>
              </w:rPr>
            </w:pPr>
          </w:p>
        </w:tc>
      </w:tr>
    </w:tbl>
    <w:p w14:paraId="671DF514" w14:textId="2DED9CB9" w:rsidR="00E54C97" w:rsidRPr="00154067" w:rsidRDefault="00E54C97" w:rsidP="002C19D9">
      <w:pPr>
        <w:pStyle w:val="BodyText"/>
        <w:jc w:val="both"/>
        <w:rPr>
          <w:rFonts w:ascii="Times New Roman" w:hAnsi="Times New Roman"/>
          <w:sz w:val="24"/>
          <w:szCs w:val="24"/>
          <w:lang w:val="sq-AL"/>
        </w:rPr>
      </w:pPr>
    </w:p>
    <w:p w14:paraId="034FED24" w14:textId="77777777" w:rsidR="008675CA" w:rsidRPr="00154067" w:rsidRDefault="00E54C97" w:rsidP="002C19D9">
      <w:pPr>
        <w:pStyle w:val="BodyText"/>
        <w:jc w:val="both"/>
        <w:rPr>
          <w:rFonts w:ascii="Times New Roman" w:hAnsi="Times New Roman"/>
          <w:b/>
          <w:sz w:val="24"/>
          <w:szCs w:val="24"/>
          <w:lang w:val="sq-AL"/>
        </w:rPr>
      </w:pPr>
      <w:r w:rsidRPr="00154067">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154067" w14:paraId="59FC2C08" w14:textId="77777777" w:rsidTr="00957E1F">
        <w:tc>
          <w:tcPr>
            <w:tcW w:w="9212" w:type="dxa"/>
          </w:tcPr>
          <w:p w14:paraId="0620F618" w14:textId="77777777" w:rsidR="00BF6669" w:rsidRPr="00154067" w:rsidRDefault="00BF6669" w:rsidP="002C19D9">
            <w:pPr>
              <w:pStyle w:val="ListParagraph"/>
              <w:widowControl w:val="0"/>
              <w:autoSpaceDE w:val="0"/>
              <w:autoSpaceDN w:val="0"/>
              <w:spacing w:after="0"/>
              <w:ind w:left="0" w:right="72"/>
              <w:jc w:val="both"/>
              <w:rPr>
                <w:rFonts w:ascii="Times New Roman" w:hAnsi="Times New Roman"/>
                <w:sz w:val="24"/>
                <w:szCs w:val="24"/>
                <w:lang w:val="sq-AL"/>
              </w:rPr>
            </w:pPr>
            <w:bookmarkStart w:id="0" w:name="_Hlk147409453"/>
            <w:r w:rsidRPr="00154067">
              <w:rPr>
                <w:rFonts w:ascii="Times New Roman" w:hAnsi="Times New Roman"/>
                <w:sz w:val="24"/>
                <w:szCs w:val="24"/>
                <w:lang w:val="sq-AL"/>
              </w:rPr>
              <w:t>Pro</w:t>
            </w:r>
          </w:p>
          <w:bookmarkEnd w:id="0"/>
          <w:p w14:paraId="69C1B376" w14:textId="77777777" w:rsidR="00F46442" w:rsidRPr="00154067" w:rsidRDefault="00F46442" w:rsidP="002C19D9">
            <w:pPr>
              <w:jc w:val="both"/>
              <w:rPr>
                <w:rFonts w:ascii="Times New Roman" w:hAnsi="Times New Roman"/>
                <w:sz w:val="24"/>
                <w:szCs w:val="24"/>
                <w:lang w:val="de-DE"/>
              </w:rPr>
            </w:pPr>
            <w:r w:rsidRPr="00154067">
              <w:rPr>
                <w:rFonts w:ascii="Times New Roman" w:hAnsi="Times New Roman"/>
                <w:sz w:val="24"/>
                <w:szCs w:val="24"/>
                <w:lang w:val="de-DE"/>
              </w:rPr>
              <w:t>Projektligji përmban 6 nene ku:</w:t>
            </w:r>
          </w:p>
          <w:p w14:paraId="470E9494" w14:textId="77777777" w:rsidR="00F46442" w:rsidRPr="00154067" w:rsidRDefault="00F46442" w:rsidP="002C19D9">
            <w:pPr>
              <w:jc w:val="both"/>
              <w:rPr>
                <w:rFonts w:ascii="Times New Roman" w:hAnsi="Times New Roman"/>
                <w:sz w:val="24"/>
                <w:szCs w:val="24"/>
                <w:lang w:val="de-DE"/>
              </w:rPr>
            </w:pPr>
          </w:p>
          <w:p w14:paraId="1D18871D" w14:textId="77777777" w:rsidR="002C19D9" w:rsidRPr="002C19D9" w:rsidRDefault="002C19D9" w:rsidP="002C19D9">
            <w:pPr>
              <w:jc w:val="both"/>
              <w:rPr>
                <w:rFonts w:ascii="Times New Roman" w:hAnsi="Times New Roman"/>
                <w:bCs/>
                <w:sz w:val="24"/>
                <w:szCs w:val="24"/>
                <w:lang w:val="de-DE"/>
              </w:rPr>
            </w:pPr>
            <w:r w:rsidRPr="002C19D9">
              <w:rPr>
                <w:rFonts w:ascii="Times New Roman" w:hAnsi="Times New Roman"/>
                <w:bCs/>
                <w:sz w:val="24"/>
                <w:szCs w:val="24"/>
                <w:lang w:val="de-DE"/>
              </w:rPr>
              <w:t>LSE ndahet në dhjetë pjesë. Një përmbledhje e shtesave dhe ndryshimeve të paraqitura nga projektligji paraqitet më poshtë, e organizuar sipas pjesëve dhe neneve të LSE-së.</w:t>
            </w:r>
          </w:p>
          <w:p w14:paraId="510413DD"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Pjesa e parë “Dispozitat e Përgjithshme”</w:t>
            </w:r>
          </w:p>
          <w:p w14:paraId="247AE532"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xml:space="preserve">Nenet 1-2 janë ndryshuar për të zgjeruar qëllimin dhe objektin e LSE-së në përputhje me </w:t>
            </w:r>
            <w:r w:rsidRPr="002C19D9">
              <w:rPr>
                <w:rFonts w:ascii="Times New Roman" w:hAnsi="Times New Roman"/>
                <w:bCs/>
                <w:i/>
                <w:iCs/>
                <w:sz w:val="24"/>
                <w:szCs w:val="24"/>
                <w:lang w:val="it-IT"/>
              </w:rPr>
              <w:t>acquis</w:t>
            </w:r>
            <w:r w:rsidRPr="002C19D9">
              <w:rPr>
                <w:rFonts w:ascii="Times New Roman" w:hAnsi="Times New Roman"/>
                <w:bCs/>
                <w:sz w:val="24"/>
                <w:szCs w:val="24"/>
                <w:lang w:val="it-IT"/>
              </w:rPr>
              <w:t xml:space="preserve">-n e BE-së. Zgjerimi i objektit përfshin rregullimin e aktiviteteve të tilla si </w:t>
            </w:r>
            <w:r w:rsidRPr="002C19D9">
              <w:rPr>
                <w:rFonts w:ascii="Times New Roman" w:hAnsi="Times New Roman"/>
                <w:sz w:val="24"/>
                <w:szCs w:val="24"/>
                <w:lang w:val="it-IT"/>
              </w:rPr>
              <w:t>agregimin</w:t>
            </w:r>
            <w:r w:rsidRPr="002C19D9">
              <w:rPr>
                <w:rFonts w:ascii="Times New Roman" w:hAnsi="Times New Roman"/>
                <w:bCs/>
                <w:sz w:val="24"/>
                <w:szCs w:val="24"/>
                <w:lang w:val="it-IT"/>
              </w:rPr>
              <w:t xml:space="preserve">, përgjigjen ndaj kërkesës së tregut, funksionimin e tregut, depozitimin e energjisë dhe operimi </w:t>
            </w:r>
            <w:r w:rsidRPr="002C19D9">
              <w:rPr>
                <w:rFonts w:ascii="Times New Roman" w:hAnsi="Times New Roman"/>
                <w:bCs/>
                <w:sz w:val="24"/>
                <w:szCs w:val="24"/>
                <w:lang w:val="it-IT"/>
              </w:rPr>
              <w:lastRenderedPageBreak/>
              <w:t xml:space="preserve">i pikave të rikarikimit. Për të lehtësuar këtë qëllim dhe objekt të zgjeruar, projektligji propozon ndryshime shtesa teknike dhe terminologjike në nenet përkatëse të LSE-së. </w:t>
            </w:r>
          </w:p>
          <w:p w14:paraId="19B775D3"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Neni 3 është ndryshuar për të inkorporuar përkufizime shtesë në LSE, si dhe janë rishikuar disa përkufizime ekzistuese. Disa përkufizime ekzistuese, së bashku me termat e futura rishtazi, janë rishikuar për të pasqyruar rekomandimet e subjekteve të interesuara, duke përfshirë, për shembull, ndryshimet në përkufizimet e pjesëmarrësit në tregun e energjisë elektrike, rregullat e tregut dhe të kleringut. LSE-ja përfshin përkufizimet e reja të mëposhtme: përgjigjen ndaj kërkesës së tregut, efiçencën e energjisë, interkonektorin e rrymës së drejtpërdrejtë, interkonektorin e rrymës alternative, klientin aktiv, ndërmarrjet mikro, të vogla dhe të mesme, operatorin e nominuar të tregut të energjisë elektrike (NEMO), energjinë balancuese, kapacitetin balancues, Ligjin për Energjinë e Rinovueshme, shërbimin ndihmës jo frekuent, tregun e derivativëve të energjisë elektrike, shlyerjet, ACER, kontratën për çmimin dinamike të energjisë elektrike, agregatorin, agregimin, depozitimi e energjisë, hapësirën e depozitimit të energjisë, operimin e hapësirës të depozitimit të energjisë, komuniteti i qytetarëve të energjisë, komponentët e rrjetit plotësisht të integruar, rishitja e energjisë elektrike, ndarja e energjisë elektrike, matësi konvencional, kongjestioni, ndërveprueshmëria (interoperabiliteti), pika e rikarimit, operimi i pikës së rikarikimit, operatori i pikës së rikarikimit, fluksi ndërkufitare, kongjetsioni strukturor, procesin e parakualifikimit, kapacitetin rezervë, dispereçimin prioritar, projekti demonstrues, ridispeçerimin, zonën e ofertave, shpërndarjen e kapacitetit, kapacitetin ndërzonal, Rajonin e Sistemit të Operimit (RSO), Qendrën Rajonale të Koordinimit (QRK), Rregulloren (BE) 2019/943, dhe kushtet për çmimet maksimale.</w:t>
            </w:r>
          </w:p>
          <w:p w14:paraId="2E2FDE25" w14:textId="77777777" w:rsidR="002C19D9" w:rsidRPr="002C19D9" w:rsidRDefault="002C19D9" w:rsidP="002C19D9">
            <w:pPr>
              <w:jc w:val="both"/>
              <w:rPr>
                <w:rFonts w:ascii="Times New Roman" w:hAnsi="Times New Roman"/>
                <w:bCs/>
                <w:i/>
                <w:iCs/>
                <w:sz w:val="24"/>
                <w:szCs w:val="24"/>
                <w:lang w:val="it-IT"/>
              </w:rPr>
            </w:pPr>
          </w:p>
          <w:p w14:paraId="7D69F7A5"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Pjesa e dytë “Politikat e sektorit të energjisë elektrike”</w:t>
            </w:r>
          </w:p>
          <w:p w14:paraId="654E7CB6"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Neni 4 është ndryshuar për të reflektuar rregullat evropiane dhe kombëtare të vlerësimit të mjaftueshmërisë së burimeve. Detyrimet në lidhje me vlerësimin e mjaftueshmërisë së burimeve kombëtare i jepen Ministrisë, siç u rekomandua gjatë konsultimeve me subjeketet e interesuara. Me vendim të Këshillit të Ministrave, do të vendosen rregulla të detajuara në lidhje me vlerësimin e mjaftueshmërisë së burimeve kombëtare.</w:t>
            </w:r>
          </w:p>
          <w:p w14:paraId="0F13310E"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Pjesa e tretë “Siguria e Furnizimit”</w:t>
            </w:r>
          </w:p>
          <w:p w14:paraId="6E4D9EE1"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Neni 6/1 është shtuar për të vendosur rregulla dhe përgjegjësi në lidhje me planifikimin e gatishmërisë ndaj riskut dhe të menaxhimit të tij. Ministria është caktuar si autoriteti për menaxhimin e riskut; të cilës i kërkohet gjithashtu të përgatisë planin e gatishmërisë ndaj riskut, siç u kërkua në komentet e subjekteve të interesuara. Afati i fundit për miratimin e planit të parë të gatishmërisë ndaj riskut është data 5 janar 2027. Me vendim të Këshillit të Ministrave, do të vendosen rregullat për identifikimin e skenarëve rajonalë dhe kombëtarë të krizës së energjisë elektrike, si dhe vlerësimet e mjaftueshmërisë afatshkurtra dhe sezonale; si dhe procedura e përgatitjes, paraqitjes dhe miratimit të planeve të vlerësimit të riskut.</w:t>
            </w:r>
          </w:p>
          <w:p w14:paraId="32D511CE" w14:textId="77777777" w:rsidR="002C19D9" w:rsidRPr="002C19D9" w:rsidRDefault="002C19D9" w:rsidP="002C19D9">
            <w:pPr>
              <w:jc w:val="both"/>
              <w:rPr>
                <w:rFonts w:ascii="Times New Roman" w:hAnsi="Times New Roman"/>
                <w:bCs/>
                <w:sz w:val="24"/>
                <w:szCs w:val="24"/>
                <w:lang w:val="it-IT"/>
              </w:rPr>
            </w:pPr>
          </w:p>
          <w:p w14:paraId="3318CD40"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Pjesa e katërt “Enti Rregullator i Energjisë (ERE)”</w:t>
            </w:r>
          </w:p>
          <w:p w14:paraId="5986D9AE"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Neni 11 ndryshohet për të përfshirë një paragraf të ri, i cili trajton mandatin e anëtarëve të bordit të ERE-s, duke synuar ruajtjen e funksionalitetit të këtij bordi në rastet e vonesave në emërimin e një anëtari të ri të bordit, siç u rekomandua nga ERE gjatë konsultimeve me subjektet e interesuara. Me akt nënligjor, do të rishikohet dhe përshtatet në përputhje me ndryshimet ligjore veçanërisht, rregullorja e brendshme e organizimit dhe funksionimit të ERE, e miratuar me vendimin nr. 199, datë 27.11.2020, të ERE-s.</w:t>
            </w:r>
          </w:p>
          <w:p w14:paraId="2559C25A" w14:textId="77777777" w:rsidR="002C19D9" w:rsidRPr="002C19D9" w:rsidRDefault="002C19D9" w:rsidP="002C19D9">
            <w:pPr>
              <w:jc w:val="both"/>
              <w:rPr>
                <w:rFonts w:ascii="Times New Roman" w:hAnsi="Times New Roman"/>
                <w:bCs/>
                <w:sz w:val="24"/>
                <w:szCs w:val="24"/>
                <w:lang w:val="it-IT"/>
              </w:rPr>
            </w:pPr>
          </w:p>
          <w:p w14:paraId="7F81BDE0"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Neni 18 ndryshohet për të zgjeruar objektivat e ERE-s duke pasqyruar zgjerimin e objektit të LSE-së. Akti përkatës nënligjor, rregullorja e brendshme e organizimit dhe funksionimit të ERE, miratuar me vendimin nr. 199, datë 27.11.2020, të ERE-s,.do të rishikohet dhe përshtatet në përputhje me ndryshimet ligjore.</w:t>
            </w:r>
          </w:p>
          <w:p w14:paraId="2F5E29A5"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xml:space="preserve">Neni 19 ndryshohet për të zgjeruar përgjegjësitë e ERE-s. Përgjegjësitë më të rëndësishme përfshijnë: miratimin dhe publikimin e rregullave për kërkesat e ndërveprueshmërisë; ofrimin e pikave të vetme të kontaktit për informacionin për klientin në lidhje me të drejtat, ligjin zbatues dhe mekanizmat e zgjidhjes së mosmarrëveshjeve; sigurimi i aksesit për klientët </w:t>
            </w:r>
            <w:r w:rsidRPr="002C19D9">
              <w:rPr>
                <w:rFonts w:ascii="Times New Roman" w:hAnsi="Times New Roman"/>
                <w:bCs/>
                <w:sz w:val="24"/>
                <w:szCs w:val="24"/>
                <w:lang w:val="it-IT"/>
              </w:rPr>
              <w:lastRenderedPageBreak/>
              <w:t>fundorë në mekanizma të thjeshtë, të drejtë, transparentë, të pavarur, efektivë dhe efikasë për zgjidhjen e mosmarrëveshjeve jashtë gjyqësisht; sigurimin e pajtueshmërisë së të licencuarve me detyrimet e tyre sipas LSE-së, Kodet e Rrjetit, duke përfshirë çështjet ndërkufitare, dhe vendimet e Bordit Rregullator të Komunitetit të Energjisë; miratimin e produkteve dhe procesi i prokurimit për shërbimet ndihmëse; zbatimin e kodeve dhe udhëzimeve të rrjetit të miratuara në nivel të Komunitetit të Energjisë nëpërmjet masave kombëtare ose, kur kërkohet, masave të koordinuara rajonale ose në mbarë Komunitetin e Energjisë; pajtueshmërinë dhe zbatimin e çdo vendimi përkatës të detyrueshëm ligjërisht të Sekretariatit të Komunitetit të Energjisë dhe Bordit Rregullator të Komunitetit të Energjisë; miratimin e rregullores për shpërndarjen e kapaciteteve të interkonjeksionit dhe garantimin që Operatori i Sistemit të Transmetimit (“OST”) të vëjë në dispozicion kapacitetet e interkonjeksionit në masën më të madhe; raportimin vjetor mbi aktivitetet dhe përmbushjen e detyrave tek autoritetet përkatëse kombëtare të Palëve të Komunitetit të Energjisë, Sekretariati i Komunitetit të Energjisë dhe tek Bordi Rregullator i Komunitetit të Energjisë; publikimin e rekomandimeve vjetore në lidhje me përputhshmërinë e çmimeve të ofertës me kërkesat e çmimit të ofertës bazuar në treg, të ofruara pranë Autoritetit të Konkurrencës, sipas rastit; funksionimin e një mjeti krahasues të disponueshëm publik për ofertat e furnitorëve; bashkëpunimin me ACER. Akti përkatës nënligjor, veçanërisht rregullorja e brendshme e organizimit dhe funksionimit të ERE, miratuar me vendimin nr. 199, datë 27.11.2020, të ERE-s,</w:t>
            </w:r>
            <w:r w:rsidRPr="002C19D9" w:rsidDel="003776FB">
              <w:rPr>
                <w:rFonts w:ascii="Times New Roman" w:hAnsi="Times New Roman"/>
                <w:bCs/>
                <w:sz w:val="24"/>
                <w:szCs w:val="24"/>
                <w:lang w:val="it-IT"/>
              </w:rPr>
              <w:t xml:space="preserve"> </w:t>
            </w:r>
            <w:r w:rsidRPr="002C19D9">
              <w:rPr>
                <w:rFonts w:ascii="Times New Roman" w:hAnsi="Times New Roman"/>
                <w:bCs/>
                <w:sz w:val="24"/>
                <w:szCs w:val="24"/>
                <w:lang w:val="it-IT"/>
              </w:rPr>
              <w:t>do të rishikohet dhe përshtatet në përputhje ndryshimet ligjore.</w:t>
            </w:r>
          </w:p>
          <w:p w14:paraId="4A706EBD"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Ndryshohet neni 21 dhe shtohen nenet 21/1-21/2 për të rishikuar kuadrin e përcaktimit të tarifave të rrjetit. Formulimi shtesë zgjeron parimet dhe kufizimet që duhen marrë në konsideratë në lidhje me përcaktimin e tarifave. Në veçanti, ai i referohet shprehimisht trajtimit jodiskriminues të depozitimit dhe agregimit të energjisë. Formulimi i propozuar nënvizon prioritetin që parimet e tarifave të reflektojnë qëndrime të drejta dhe stabilitet. Janë mbajtur parasysh dhe zbatuar sugjerimet e subjekteve të interesuara për të mos bërë referencë të qartë mbi mundësinë e futjes së elementit tarifor të rrjetit gjenerues. Aktet nënligjore, veçanërisht rregullorja mbi Miratimin e “Metodologjinë e Llogaritjes së Tarifave të Transmetimit të Energjisë Elektrike</w:t>
            </w:r>
            <w:r w:rsidRPr="002C19D9">
              <w:rPr>
                <w:rFonts w:ascii="Times New Roman" w:hAnsi="Times New Roman"/>
                <w:sz w:val="24"/>
                <w:szCs w:val="24"/>
                <w:lang w:val="it-IT"/>
              </w:rPr>
              <w:t xml:space="preserve">”, miratuar me vendimin </w:t>
            </w:r>
            <w:r w:rsidRPr="002C19D9">
              <w:rPr>
                <w:rFonts w:ascii="Times New Roman" w:hAnsi="Times New Roman"/>
                <w:bCs/>
                <w:sz w:val="24"/>
                <w:szCs w:val="24"/>
                <w:lang w:val="it-IT"/>
              </w:rPr>
              <w:t>Nr. 180, datë 11.8.2017, të ERE-s, rregullorja  për lidhjet e reja në sistemin e shpërndarjes, e miratuar me vendimin</w:t>
            </w:r>
            <w:r w:rsidRPr="002C19D9">
              <w:rPr>
                <w:rFonts w:ascii="Times New Roman" w:hAnsi="Times New Roman"/>
                <w:sz w:val="24"/>
                <w:szCs w:val="24"/>
                <w:lang w:val="it-IT"/>
              </w:rPr>
              <w:t xml:space="preserve"> </w:t>
            </w:r>
            <w:r w:rsidRPr="002C19D9">
              <w:rPr>
                <w:rFonts w:ascii="Times New Roman" w:hAnsi="Times New Roman"/>
                <w:bCs/>
                <w:sz w:val="24"/>
                <w:szCs w:val="24"/>
                <w:lang w:val="it-IT"/>
              </w:rPr>
              <w:t>nr. nr.166, datë 10.10.2016, të ERE-s  dhe rregullorja mbi Miratimin e Procedurave për  Lidhjet e Reja dhe Modifikimin të Lidhjeve Ekzistuese me Rrjetin e Transmetimit,Marrëveshjes së Operimit në Rrjetin e Transmetimit ndërjmet OST SHA dhe Përdoruesit, si dhe Marrëveshjes së Lidhjes në Rrjetin e Transmetimit Ndërmjet OST SHA dhe Përdoruesit, e miratuar me vendimin</w:t>
            </w:r>
            <w:r w:rsidRPr="002C19D9">
              <w:rPr>
                <w:rFonts w:ascii="Times New Roman" w:hAnsi="Times New Roman"/>
                <w:sz w:val="24"/>
                <w:szCs w:val="24"/>
                <w:lang w:val="it-IT"/>
              </w:rPr>
              <w:t xml:space="preserve"> </w:t>
            </w:r>
            <w:r w:rsidRPr="002C19D9">
              <w:rPr>
                <w:rFonts w:ascii="Times New Roman" w:hAnsi="Times New Roman"/>
                <w:bCs/>
                <w:sz w:val="24"/>
                <w:szCs w:val="24"/>
                <w:lang w:val="it-IT"/>
              </w:rPr>
              <w:t>Nr. 87 e ERE-s, datë 20.4.2018, të ERE-s do të rishikohen dhe rregullohen në përputhje me ndryshimet ligjore.</w:t>
            </w:r>
          </w:p>
          <w:p w14:paraId="565533A8" w14:textId="77777777" w:rsidR="002C19D9" w:rsidRPr="002C19D9" w:rsidRDefault="002C19D9" w:rsidP="002C19D9">
            <w:pPr>
              <w:jc w:val="both"/>
              <w:rPr>
                <w:rFonts w:ascii="Times New Roman" w:hAnsi="Times New Roman"/>
                <w:bCs/>
                <w:i/>
                <w:iCs/>
                <w:sz w:val="24"/>
                <w:szCs w:val="24"/>
                <w:lang w:val="it-IT"/>
              </w:rPr>
            </w:pPr>
          </w:p>
          <w:p w14:paraId="1DAB9C8F"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Neni 22 ndryshohet për të zgjeruar përgjegjësitë monitoruese të ERE-s, duke pasur parasysh zgjerimin e objektit të LSE-së. Përgjegjësitë e reja më të rëndësishme përfshijnë monitorimin: e zbatimit të rregullave për menaxhimin e të dhënave dhe kërkesave për ndërveprim; e planeve investuese të OST-së dhe Operatorit të Sistemit të Shpërndarjes (“OSSH”); e performancës së OST dhe OSSH-së në lidhje me zhvillimin e një rrjeti inteligjent që promovon efiçencën e energjisë dhe integrimin e energjisë nga burimet e rinovueshme dhe publikimin e një raporti kombëtar çdo dy vjet; e aplikimit të kontratave dinamike të çmimeve të energjisë elektrike – me zhvillimet përkatëse të tregut; e heqjes së pengesave të pajustifikuara dhe të kufizimeve në zhvillimin e konsumit të energjisë elektrike të vetprodhuar dhe ndaj komuniteteve të qytetarëve të energjisë.</w:t>
            </w:r>
          </w:p>
          <w:p w14:paraId="5BA1DC56"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xml:space="preserve">Neni 23 është ndryshuar për të reflektuar të drejtat dhe detyrimet e zgjeruara të ERE-s në lidhje me qendrën përkatëse të koordinimit rajonal (aktualisht: </w:t>
            </w:r>
            <w:r w:rsidRPr="002C19D9">
              <w:rPr>
                <w:rFonts w:ascii="Times New Roman" w:hAnsi="Times New Roman"/>
                <w:bCs/>
                <w:i/>
                <w:iCs/>
                <w:sz w:val="24"/>
                <w:szCs w:val="24"/>
                <w:lang w:val="it-IT"/>
              </w:rPr>
              <w:t>Shadoë SEE RCC</w:t>
            </w:r>
            <w:r w:rsidRPr="002C19D9">
              <w:rPr>
                <w:rFonts w:ascii="Times New Roman" w:hAnsi="Times New Roman"/>
                <w:bCs/>
                <w:sz w:val="24"/>
                <w:szCs w:val="24"/>
                <w:lang w:val="it-IT"/>
              </w:rPr>
              <w:t>). Duke iu referuar konsultimeve me subjektet e interesuara, formulimi i nenit të ndryshuar merr në konsideratë rikonfigurimin e mundshëm të ardhshëm të SOR-it dhe RCC-së në lidhje me Shqipërinë.</w:t>
            </w:r>
          </w:p>
          <w:p w14:paraId="6B8EA688"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xml:space="preserve">Neni 25/1 është shtuar për të reflektuar rregullat dhe parimet e përgjithshme që rregullojnë menaxhimin dhe shkëmbimin e të dhënave të klientëve fundor të përdorimit nga palët e autorizuara. Përfshirja e menaxhimit të të dhënave në përgjegjësinë e Ministrisë, së bashku </w:t>
            </w:r>
            <w:r w:rsidRPr="002C19D9">
              <w:rPr>
                <w:rFonts w:ascii="Times New Roman" w:hAnsi="Times New Roman"/>
                <w:bCs/>
                <w:sz w:val="24"/>
                <w:szCs w:val="24"/>
                <w:lang w:val="it-IT"/>
              </w:rPr>
              <w:lastRenderedPageBreak/>
              <w:t>me fleksibilitetin për t’i dhënë përgjegjësi ERE-s ose një autoriteti tjetër kompetent të caktuar, pasqyron sugjerimet e subjekteve të interesuara. Rregullat e hollësishme, duke përfshirë objektin e të dhënave përkatëse dhe objektin e palëve të autorizuara, etj, do të jepen në legjislacionin nënligjor përkatës.</w:t>
            </w:r>
          </w:p>
          <w:p w14:paraId="5A97A0B2" w14:textId="77777777" w:rsidR="002C19D9" w:rsidRPr="002C19D9" w:rsidRDefault="002C19D9" w:rsidP="002C19D9">
            <w:pPr>
              <w:jc w:val="both"/>
              <w:rPr>
                <w:rFonts w:ascii="Times New Roman" w:hAnsi="Times New Roman"/>
                <w:bCs/>
                <w:sz w:val="24"/>
                <w:szCs w:val="24"/>
                <w:lang w:val="it-IT"/>
              </w:rPr>
            </w:pPr>
          </w:p>
          <w:p w14:paraId="05FCBF15"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Pjesa e pestë “Sistemi i Energjisë”</w:t>
            </w:r>
          </w:p>
          <w:p w14:paraId="4C3B4A1E"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Neni 29 është ndryshuar për të zgjeruar rregullat për aksesin e palëve të treta në komunitetet e qytetarëve të energjisë që menaxhojnë rrjetet e shpërndarjes.</w:t>
            </w:r>
          </w:p>
          <w:p w14:paraId="1997314D"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Neni 37 është ndryshuar për të pasqyruar objektin e zgjeruar të LSE-së në lidhje me funksionimin e pikës së agregimit, depozitimit të energjisë dhe rikarikimit. Funksionimi i objekteve të depozitimit të energjisë përfshihet si një aktivitet që kërkon licencë, ndërsa ERE mund të zgjedhë të lëshojë licenca për funksionimin e pikave të rikarikimit dhe të agregimit. Janë paraqitur paragrafë të rinj në lidhje me parakushtet për ndjekjen e funksionimit të pikave të rikarikimit dhe aktiviteteve të agregimit. Komentet e subjekteve të interesuara janë reflektuar për të shtuar një kategori të veçantë licencimi për funksionimin e pikave të agregimit dhe rikarikimit. Gjithashtu, është përfshirë një dispozitë që lejon ERE-n të përshkruajë kushtet administrative që duhen përmbushur për ndjekjen e funksionimit të pikave të rikarikimit dhe aktiviteteve të agregimit, edhe nëse ajo zgjedh të mos lëshojë këto licenca. Është shtuar një paragraf i ri për të parashikuar përjashtime nga detyrimi i licencimit të furnizimit në rast të rishitjes së energjisë elektrike dhe ndarjes së energjisë elektrike. Legjislacioni nënligjor i nxjerrë nga ERE do të parashikojë kushte të detajuara, veçanërisht në lidhje me çmimin maksimal të energjisë elektrike të furnizuar, që duhet të plotësohen për të kryer aktivitete të tilla pa licencë furnizimi. Ndryshimi i paragrafit 7 i jep ERE-s kompetencat e nevojshme për të mbikëqyrur subjektet që ndjekin aktivitetet e furnizimit, depozitimit të energjisë, funksionimit të pikave të rikarikimit dhe agregimit, që përjashtohen nga detyrimi i licencimit. Akti nënligjor përkatës, veçanërisht Rregullorja mbi Miratimin e Ndryshimeve në Rregulloren për Procedurat dhe Afatet për Dhënien, Modifikimin, Transferimin, Rinovimin, Njohjen dhe Heqjen e Licencave në Sektorin e Energjisë Elektrike, e</w:t>
            </w:r>
            <w:r w:rsidRPr="002C19D9">
              <w:rPr>
                <w:rFonts w:ascii="Times New Roman" w:hAnsi="Times New Roman"/>
                <w:sz w:val="24"/>
                <w:szCs w:val="24"/>
                <w:lang w:val="it-IT"/>
              </w:rPr>
              <w:t xml:space="preserve"> miratuar me vendimin </w:t>
            </w:r>
            <w:r w:rsidRPr="002C19D9">
              <w:rPr>
                <w:rFonts w:ascii="Times New Roman" w:hAnsi="Times New Roman"/>
                <w:bCs/>
                <w:sz w:val="24"/>
                <w:szCs w:val="24"/>
                <w:lang w:val="it-IT"/>
              </w:rPr>
              <w:t>nr. 220, datë 1.9.2022, të ERE-s, do të përcaktojë kushtet dhe procedurën e licencimit në lidhje me aktivitetet e reja të licencuara, dhe do të rregullohet në përputhje me ndryshimet ligjore.</w:t>
            </w:r>
          </w:p>
          <w:p w14:paraId="584B06A0"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Nenet 38-47 janë ndryshuar për të përfshirë kategoritë e reja të licencave dhe përjashtimet e shtuara në dispozitat përkatëse, ndërkohë që disa rregulla të detajuara i janë lënë akteve nënligjore. Aktet nënligjor, veçanërisht Rregullorja mbi Miratimin e Ndryshimeve në Rregulloren për Procedurat dhe Afatet për Dhënien, Modifikimin, Transferimin, Rinovimin, Njohjen dhe Heqjen e Licencave në Sektorin e Energjisë Elektrike, miratuar me vendimin Nr. 220, datë 01.9.2022, të ERE-s, Rregullorja për Miratimin e Rregulores së Procedurave  të Transferimit të Aseteve nga të Licencuarit, miratuar me vendimin Nr.119, datë 21.7.2016 të ERE-s dhe Vendimi i Këshillit të Ministrave nr. 456, datë 29.06.2022 Për Miratimin e Kushteve përVendosjen e Detyrimit të Shërbimit Publik, që do të Zbatohet ndaj të Licencuarve në Sektorin e Energjisë Elektrike, të cilët  Ushtrojnë Aktivitetin e Prodhimit, Transmetimit, Shpërndarjes dhe Furnizimit me Energji Elektrike, do të rishikohen, për t’u rregulluar në përputhje me ndryshimet ligjore.</w:t>
            </w:r>
          </w:p>
          <w:p w14:paraId="514A160B"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xml:space="preserve">Nenet 48/1 dhe 52/1, si dhe nenet 49 deri 51 shtohen dhe ndryshohen për të vendosur rregulla në lidhje me funksionimin e objektit të depozitimit të energjisë si një kategori e re licencimi, si dhe për të përcaktuar të drejtat dhe detyrimet e mbajtësve të licencës së operimit të objektit të depozitimit të energjisë, si dhe rregullat e përgjithshme në lidhje me mekanizmat e kapacitetit. Komentet e subjekteve të interesuar janë reflektuar për të ruajtur kufijtë ekzistues të kapacitetit gjenerues të përcaktuar në LSE dhe për të zbatuar dispozitat e nenit 49 të LSE në hapësirat e depozitimit të energjisë. Akti nënligjor përkatës, veçanërisht Rregullorja mbi Miratimin e Ndryshimeve në Rregulloren për Procedurat dhe Afatet për Dhënien, Modifikimin, Transferimin, Rinovimin, Njohjen dhe Heqjen e Licencave në Sektorin e Energjisë Elektrike, miratuar me vendimin nr. 220, datë 01.9.2022, të ERE-s dhe Vendimi i Këshillit të Ministrave nr. 822, datë 7.10.2015 për Miratimin e Rregullave dhe Procedurave të Ndërtimit të Kapaciteteve të Reja Prodhuese të Energjisë Elektrike që nuk janë objekt </w:t>
            </w:r>
            <w:r w:rsidRPr="002C19D9">
              <w:rPr>
                <w:rFonts w:ascii="Times New Roman" w:hAnsi="Times New Roman"/>
                <w:bCs/>
                <w:sz w:val="24"/>
                <w:szCs w:val="24"/>
                <w:lang w:val="it-IT"/>
              </w:rPr>
              <w:lastRenderedPageBreak/>
              <w:t>koncesioni, do të rishikohen dhe përshtaten në përputhje me ndryshimet ligjore. Për më tepër, akti nënligjor përkatës do të parashikojë rregulla të hollësishme në lidhje me mekanizmat e kapacitetit (d.m.th. masat e përkohshme për të siguruar arritjen e nivelit të duhur të mjaftueshmërisë së burimit duke kompensuar burimet për disponueshmërinë e tyre, duke përjashtuar masat në lidhje me shërbimet ndihmëse ose menaxhimin e kongjestioneve) bazuar në nenet 11, 21-22, 25-26 të Rregullores së Energjisë Elektrike (BE) 2019/943, duke pasur parasysh edhe paragrafët 3-7 të nenit 4 të LSE.</w:t>
            </w:r>
          </w:p>
          <w:p w14:paraId="223C8FBF"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Në veçanti, rregullat e detajuara do të përfshijnë ose pasqyrojnë kërkesat që</w:t>
            </w:r>
          </w:p>
          <w:p w14:paraId="08634D82"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nga 15 nëntori 2022, mekanizmat e kapacitetit do të përjashtojnë prodhimin me më shumë se 550 g CO2/kËh me origjinë karburanti fosil, dhe</w:t>
            </w:r>
          </w:p>
          <w:p w14:paraId="64A133C4"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nga 1 korriku 2025, mekanizmat e kapacitetit do të përjashtojnë prodhimin me më shumë se 550 g CO2/kËh me origjinë karburanti fosil dhe 350 kg CO2/vit/kËe (me origjinë karburanti fosil mesatarisht në vit për kËe të instaluar)</w:t>
            </w:r>
          </w:p>
          <w:p w14:paraId="174BC13E"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duke iu referuar paragrafit 4 të nenit 22 të Rregullores së Energjisë Elektrike (BE) 2019/943.</w:t>
            </w:r>
          </w:p>
          <w:p w14:paraId="50413599"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Më tej, rregullat e detajuara do të përfshijnë ose pasqyrojnë kërkesat që</w:t>
            </w:r>
          </w:p>
          <w:p w14:paraId="70B212C2"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Deri më 31 dhjetor 2025 kur kërkohet për qëllimin e vendosjes së një standardi qendrueshmërie gjatë aplikimit të një mekanizmi kapaciteti, Ministria do të bëjë një vlerësim të vetëm të vlerës së ngarkesës së humbur (një vlerësim në euro/MËh, të çmimit maksimal të energjisë elektrike që klientët janë të gatshëm të paguajnë për të shmangur një ndërprerje). Ky vlerësim do të vihet në dispozicion të publikut;</w:t>
            </w:r>
          </w:p>
          <w:p w14:paraId="686301C4" w14:textId="5158A65B"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Ministria do të përditësojë vlerësimin e vlerës së humbur të ngarkesës të paktën çdo pesë vjet, ose më herët kur vëren një ndryshim të rëndësishëm</w:t>
            </w:r>
            <w:r w:rsidR="002E181A">
              <w:rPr>
                <w:rFonts w:ascii="Times New Roman" w:hAnsi="Times New Roman"/>
                <w:bCs/>
                <w:sz w:val="24"/>
                <w:szCs w:val="24"/>
                <w:lang w:val="it-IT"/>
              </w:rPr>
              <w:t xml:space="preserve"> </w:t>
            </w:r>
            <w:r w:rsidRPr="002C19D9">
              <w:rPr>
                <w:rFonts w:ascii="Times New Roman" w:hAnsi="Times New Roman"/>
                <w:bCs/>
                <w:sz w:val="24"/>
                <w:szCs w:val="24"/>
                <w:lang w:val="it-IT"/>
              </w:rPr>
              <w:t xml:space="preserve">duke iu referuar nenit 11 të Rregullores së Energjisë Elektrike (BE) 2019/943. </w:t>
            </w:r>
            <w:r w:rsidRPr="002E53FF">
              <w:rPr>
                <w:rFonts w:ascii="Times New Roman" w:hAnsi="Times New Roman"/>
                <w:bCs/>
                <w:sz w:val="24"/>
                <w:szCs w:val="24"/>
                <w:lang w:val="it-IT"/>
              </w:rPr>
              <w:t>Kjo kërkon, ndër të tjera, që Ministria duhet të jetë përgjegjëse për të bërë një vlerësim të vetëm të vlerës së humbur të ngarkesës dhe të caktojë afatin përkatës për këtë.</w:t>
            </w:r>
          </w:p>
          <w:p w14:paraId="39479BAA" w14:textId="77777777" w:rsidR="002C19D9" w:rsidRPr="002E53FF" w:rsidRDefault="002C19D9" w:rsidP="002C19D9">
            <w:pPr>
              <w:jc w:val="both"/>
              <w:rPr>
                <w:rFonts w:ascii="Times New Roman" w:hAnsi="Times New Roman"/>
                <w:bCs/>
                <w:sz w:val="24"/>
                <w:szCs w:val="24"/>
                <w:lang w:val="it-IT"/>
              </w:rPr>
            </w:pPr>
            <w:r w:rsidRPr="002E53FF">
              <w:rPr>
                <w:rFonts w:ascii="Times New Roman" w:hAnsi="Times New Roman"/>
                <w:bCs/>
                <w:sz w:val="24"/>
                <w:szCs w:val="24"/>
                <w:lang w:val="it-IT"/>
              </w:rPr>
              <w:t>Neni 54 është ndryshuar për të harmonizuar rregullat e ndarjes me objektin e zgjeruar të LSE, dhe në veçanti me rregullat e detajuara të përfshira në nenin 67/2 të LSE-së në lidhje me funksionimet e hapësirave të depozitimit të energjisë nga OST. Janë shtuar paragrafë të rinj për të vendosur rregullat dhe parimet bazë që rregullojnë programin e pajtueshmërisë së OST-së dhe zyrtarin e pajtueshmërisë bazuar në sugjerimin e OST-së. Është krijuar një bazë e re ligjore për transferimin e pronësisë së tokës nën shtyllat e transmetimit të OST-së, duke përjashtuar ndërkohë transferimin e pronësisë për tokat që formojnë korridore nën linjat e transmetimit; por duke mos parashikuar dispozita të tilla të ngjashme për OSSH-në, në linjë kjo me sugjerimet e subjekteve të interesuara. Akti nënligjor përkatës, veçanërisht Rregullorja mbi Miratimin e Rregullave për Certifikimin e Operatorit të sistemit të Transmetimit të energjisë Elektrike, miratuar me vendimin nr. 154, datë 11.12.2015, të ERE-s ose një rregullore e veçantë e ERE-s, do të parashikojë rregulla të detajuara të parashikuara nga neni 50 i Direktivës së Energjisë Elektrike (BE) 2019/944 (riformuluar).</w:t>
            </w:r>
          </w:p>
          <w:p w14:paraId="0B2B8BF9" w14:textId="77777777" w:rsidR="002C19D9" w:rsidRPr="002E53FF" w:rsidRDefault="002C19D9" w:rsidP="002C19D9">
            <w:pPr>
              <w:jc w:val="both"/>
              <w:rPr>
                <w:rFonts w:ascii="Times New Roman" w:hAnsi="Times New Roman"/>
                <w:bCs/>
                <w:sz w:val="24"/>
                <w:szCs w:val="24"/>
                <w:lang w:val="it-IT"/>
              </w:rPr>
            </w:pPr>
          </w:p>
          <w:p w14:paraId="20A58050" w14:textId="77777777" w:rsidR="002C19D9" w:rsidRPr="002E53FF" w:rsidRDefault="002C19D9" w:rsidP="002C19D9">
            <w:pPr>
              <w:jc w:val="both"/>
              <w:rPr>
                <w:rFonts w:ascii="Times New Roman" w:hAnsi="Times New Roman"/>
                <w:bCs/>
                <w:sz w:val="24"/>
                <w:szCs w:val="24"/>
                <w:lang w:val="it-IT"/>
              </w:rPr>
            </w:pPr>
            <w:r w:rsidRPr="002E53FF">
              <w:rPr>
                <w:rFonts w:ascii="Times New Roman" w:hAnsi="Times New Roman"/>
                <w:bCs/>
                <w:sz w:val="24"/>
                <w:szCs w:val="24"/>
                <w:lang w:val="it-IT"/>
              </w:rPr>
              <w:t>Nenit 55 i është shtuar një paragraf të ri për të krijuar bazën ligjore për ERE-n, në bazë të së cilës ajo mund të lejojë OST-në të kryejë veprimtari të tjera nga ato të përcaktuara në LSE.</w:t>
            </w:r>
          </w:p>
          <w:p w14:paraId="08384107" w14:textId="77777777" w:rsidR="002C19D9" w:rsidRPr="002E53FF" w:rsidRDefault="002C19D9" w:rsidP="002C19D9">
            <w:pPr>
              <w:jc w:val="both"/>
              <w:rPr>
                <w:rFonts w:ascii="Times New Roman" w:hAnsi="Times New Roman"/>
                <w:bCs/>
                <w:sz w:val="24"/>
                <w:szCs w:val="24"/>
                <w:lang w:val="it-IT"/>
              </w:rPr>
            </w:pPr>
            <w:r w:rsidRPr="002E53FF">
              <w:rPr>
                <w:rFonts w:ascii="Times New Roman" w:hAnsi="Times New Roman"/>
                <w:bCs/>
                <w:sz w:val="24"/>
                <w:szCs w:val="24"/>
                <w:lang w:val="it-IT"/>
              </w:rPr>
              <w:t xml:space="preserve">Neni 56 është ndryshuar për të përfshirë përgjegjësitë shtesë që i caktohen OST-së. Më të rëndësishmet prej tyre përfshijnë: organizimin e menaxhimit të të dhënave; prokurimin e shërbimeve ndihmëse për të garantuar sigurinë operacionale; miratimin dhe zbatimin e kuadrit të bashkëpunimit dhe koordinimit ndërmjet qendrave rajonale të koordinimit; pjesëmarrjen në vlerësimet evropiane dhe kombëtare të mjaftueshmërisë së burimeve; vendosjen e mekanizmave të koordinimit dhe shkëmbimit të informacionit për të garantuar sigurinë e rrjeteve në kontekstin e menaxhimit të kongjestioneve; bashkëpunimin me Ministrinë si autoriteti kompetent i caktuar në lidhje me planifikimin e gatishmërisë ndaj riskut dhe menaxhimin e tij; bashkëpunimin me ACER; bashkëpunimin me OSSH-në dhe të licencuarit e tjerë. </w:t>
            </w:r>
          </w:p>
          <w:p w14:paraId="7123535A" w14:textId="77777777" w:rsidR="002C19D9" w:rsidRPr="002E53FF" w:rsidRDefault="002C19D9" w:rsidP="002C19D9">
            <w:pPr>
              <w:jc w:val="both"/>
              <w:rPr>
                <w:rFonts w:ascii="Times New Roman" w:hAnsi="Times New Roman"/>
                <w:bCs/>
                <w:sz w:val="24"/>
                <w:szCs w:val="24"/>
                <w:lang w:val="it-IT"/>
              </w:rPr>
            </w:pPr>
            <w:r w:rsidRPr="002E53FF">
              <w:rPr>
                <w:rFonts w:ascii="Times New Roman" w:hAnsi="Times New Roman"/>
                <w:bCs/>
                <w:sz w:val="24"/>
                <w:szCs w:val="24"/>
                <w:lang w:val="it-IT"/>
              </w:rPr>
              <w:t xml:space="preserve">Neni 56/1 është shtuar për të vendosur rregullat e përgjithshme në lidhje me bashkëpunimin rajonal të OST-së, dhe në veçanti në lidhje me bashkëpunimin e tij me qendrën përkatëse të koordinimit rajonal (aktualisht: Shadoë SEE RCC). Duke iu referuar konsultimeve me subjektet e interesuara, formulimi i shtesës merr në konsideratë rikonfigurimin e mundshëm </w:t>
            </w:r>
            <w:r w:rsidRPr="002E53FF">
              <w:rPr>
                <w:rFonts w:ascii="Times New Roman" w:hAnsi="Times New Roman"/>
                <w:bCs/>
                <w:sz w:val="24"/>
                <w:szCs w:val="24"/>
                <w:lang w:val="it-IT"/>
              </w:rPr>
              <w:lastRenderedPageBreak/>
              <w:t>të ardhshëm të SOR-it dhe RCC-së në lidhje me Shqipërinë. Legjislacioni nënligjor përkatës, në formën e një Rregulloreje të ERE-s, do të parashikojë rregulla të detajuara që rregullojnë marrëdhëniet ndërmjet OST-së dhe RCC-së, duke përfshirë të drejtat dhe detyrimet e tyre përkatëse.</w:t>
            </w:r>
          </w:p>
          <w:p w14:paraId="73418B2B" w14:textId="77777777" w:rsidR="002C19D9" w:rsidRPr="002E53FF" w:rsidRDefault="002C19D9" w:rsidP="002C19D9">
            <w:pPr>
              <w:jc w:val="both"/>
              <w:rPr>
                <w:rFonts w:ascii="Times New Roman" w:hAnsi="Times New Roman"/>
                <w:bCs/>
                <w:sz w:val="24"/>
                <w:szCs w:val="24"/>
                <w:lang w:val="it-IT"/>
              </w:rPr>
            </w:pPr>
          </w:p>
          <w:p w14:paraId="3484EAFB" w14:textId="77777777" w:rsidR="002C19D9" w:rsidRPr="002E53FF" w:rsidRDefault="002C19D9" w:rsidP="002C19D9">
            <w:pPr>
              <w:jc w:val="both"/>
              <w:rPr>
                <w:rFonts w:ascii="Times New Roman" w:hAnsi="Times New Roman"/>
                <w:bCs/>
                <w:sz w:val="24"/>
                <w:szCs w:val="24"/>
                <w:lang w:val="it-IT"/>
              </w:rPr>
            </w:pPr>
            <w:r w:rsidRPr="002E53FF">
              <w:rPr>
                <w:rFonts w:ascii="Times New Roman" w:hAnsi="Times New Roman"/>
                <w:bCs/>
                <w:sz w:val="24"/>
                <w:szCs w:val="24"/>
                <w:lang w:val="it-IT"/>
              </w:rPr>
              <w:t>Neni 57 është ndryshuar për të rishikuar rregullat për funksionimin e tregut, të cilat tani janë zhvendosur në nenin 97/1 të LSE.</w:t>
            </w:r>
          </w:p>
          <w:p w14:paraId="6A376A7C" w14:textId="77777777" w:rsidR="002C19D9" w:rsidRPr="002E53FF" w:rsidRDefault="002C19D9" w:rsidP="002C19D9">
            <w:pPr>
              <w:jc w:val="both"/>
              <w:rPr>
                <w:rFonts w:ascii="Times New Roman" w:hAnsi="Times New Roman"/>
                <w:bCs/>
                <w:sz w:val="24"/>
                <w:szCs w:val="24"/>
                <w:lang w:val="it-IT"/>
              </w:rPr>
            </w:pPr>
            <w:r w:rsidRPr="002E53FF">
              <w:rPr>
                <w:rFonts w:ascii="Times New Roman" w:hAnsi="Times New Roman"/>
                <w:bCs/>
                <w:sz w:val="24"/>
                <w:szCs w:val="24"/>
                <w:lang w:val="it-IT"/>
              </w:rPr>
              <w:t xml:space="preserve">Neni 60 është ndryshuar dhe shtuar për të harmonizuar rregullat për zhvillimin e rrjetit të transmetimit me </w:t>
            </w:r>
            <w:r w:rsidRPr="002E53FF">
              <w:rPr>
                <w:rFonts w:ascii="Times New Roman" w:hAnsi="Times New Roman"/>
                <w:bCs/>
                <w:i/>
                <w:iCs/>
                <w:sz w:val="24"/>
                <w:szCs w:val="24"/>
                <w:lang w:val="it-IT"/>
              </w:rPr>
              <w:t>acquis</w:t>
            </w:r>
            <w:r w:rsidRPr="002E53FF">
              <w:rPr>
                <w:rFonts w:ascii="Times New Roman" w:hAnsi="Times New Roman"/>
                <w:bCs/>
                <w:sz w:val="24"/>
                <w:szCs w:val="24"/>
                <w:lang w:val="it-IT"/>
              </w:rPr>
              <w:t>-n e BE-së. Akti përkatës nënligjor, veçanërisht Rregullorja mbi Miratimin e Rregullores së Procedurave Paraqitjes dhe Miratimit të Planit të Investimeve nga Operatorët e Transmetimit dhe Shpërndarjes së Energjisë Elektrike,miratuar me vendimin nr.135, datë 6.9.2017, të ERE-s do të rishikohet dhe përshtatet në përputhje me ndryshimet ligjore.</w:t>
            </w:r>
          </w:p>
          <w:p w14:paraId="6AFD05F0" w14:textId="77777777" w:rsidR="002C19D9" w:rsidRPr="002E53FF" w:rsidRDefault="002C19D9" w:rsidP="002C19D9">
            <w:pPr>
              <w:jc w:val="both"/>
              <w:rPr>
                <w:rFonts w:ascii="Times New Roman" w:hAnsi="Times New Roman"/>
                <w:bCs/>
                <w:sz w:val="24"/>
                <w:szCs w:val="24"/>
                <w:lang w:val="it-IT"/>
              </w:rPr>
            </w:pPr>
          </w:p>
          <w:p w14:paraId="07D9C1CD" w14:textId="77777777" w:rsidR="002C19D9" w:rsidRPr="002E53FF" w:rsidRDefault="002C19D9" w:rsidP="002C19D9">
            <w:pPr>
              <w:jc w:val="both"/>
              <w:rPr>
                <w:rFonts w:ascii="Times New Roman" w:hAnsi="Times New Roman"/>
                <w:bCs/>
                <w:sz w:val="24"/>
                <w:szCs w:val="24"/>
                <w:lang w:val="it-IT"/>
              </w:rPr>
            </w:pPr>
            <w:r w:rsidRPr="002E53FF">
              <w:rPr>
                <w:rFonts w:ascii="Times New Roman" w:hAnsi="Times New Roman"/>
                <w:bCs/>
                <w:sz w:val="24"/>
                <w:szCs w:val="24"/>
                <w:lang w:val="it-IT"/>
              </w:rPr>
              <w:t xml:space="preserve">Neni 61 është ndryshuar për të harmonizuar rregullat për dipeçimin e energjisë elektrike me objektin e zgjeruar të LSE-së dhe </w:t>
            </w:r>
            <w:r w:rsidRPr="002E53FF">
              <w:rPr>
                <w:rFonts w:ascii="Times New Roman" w:hAnsi="Times New Roman"/>
                <w:bCs/>
                <w:i/>
                <w:iCs/>
                <w:sz w:val="24"/>
                <w:szCs w:val="24"/>
                <w:lang w:val="it-IT"/>
              </w:rPr>
              <w:t>acquis</w:t>
            </w:r>
            <w:r w:rsidRPr="002E53FF">
              <w:rPr>
                <w:rFonts w:ascii="Times New Roman" w:hAnsi="Times New Roman"/>
                <w:bCs/>
                <w:sz w:val="24"/>
                <w:szCs w:val="24"/>
                <w:lang w:val="it-IT"/>
              </w:rPr>
              <w:t xml:space="preserve"> të BE-së. Ndryshimi përfshin opsionin e përjashtimit për të mos dhënë dispeçim me përparësi për gjeneratorët e përcaktuar në paragrafin 3. Si rregull i përgjithshëm, dispeçemi me përparësi do t’u jepet a) gjeneratorëve të rinovueshëm me fuqi më të vogël se 400 kË, b) projekteve demonstruese, c) njësive gjeneruese me fuqi më të vogël se 400 kË. Megjithatë, Shqipëria mund të vendosë të mos aplikojë dispeçeri me përparësi (ose të aplikojë dispeçeri të tilla me kapacitet minimal më të ulët se sa është përcaktuar më sipër), me kusht që:</w:t>
            </w:r>
          </w:p>
          <w:p w14:paraId="47EC8175" w14:textId="77777777" w:rsidR="002C19D9" w:rsidRPr="002E53FF" w:rsidRDefault="002C19D9" w:rsidP="002C19D9">
            <w:pPr>
              <w:jc w:val="both"/>
              <w:rPr>
                <w:rFonts w:ascii="Times New Roman" w:hAnsi="Times New Roman"/>
                <w:bCs/>
                <w:sz w:val="24"/>
                <w:szCs w:val="24"/>
                <w:lang w:val="it-IT"/>
              </w:rPr>
            </w:pPr>
            <w:r w:rsidRPr="002E53FF">
              <w:rPr>
                <w:rFonts w:ascii="Times New Roman" w:hAnsi="Times New Roman"/>
                <w:bCs/>
                <w:sz w:val="24"/>
                <w:szCs w:val="24"/>
                <w:lang w:val="it-IT"/>
              </w:rPr>
              <w:t>•    të ketë mirëfunksionim të shkëmbimeve të energjisë që tregtohet brenda të njëjtës ditës dhe tregjeve të tjera me shumicë dhe atyre balancuese dhe që këto tregje të jenë plotësisht të aksesueshme nga të gjithë pjesëmarrësit e tregut;</w:t>
            </w:r>
          </w:p>
          <w:p w14:paraId="572F30E1" w14:textId="77777777" w:rsidR="002C19D9" w:rsidRPr="002E53FF" w:rsidRDefault="002C19D9" w:rsidP="002C19D9">
            <w:pPr>
              <w:jc w:val="both"/>
              <w:rPr>
                <w:rFonts w:ascii="Times New Roman" w:hAnsi="Times New Roman"/>
                <w:bCs/>
                <w:sz w:val="24"/>
                <w:szCs w:val="24"/>
                <w:lang w:val="it-IT"/>
              </w:rPr>
            </w:pPr>
            <w:r w:rsidRPr="002E53FF">
              <w:rPr>
                <w:rFonts w:ascii="Times New Roman" w:hAnsi="Times New Roman"/>
                <w:bCs/>
                <w:sz w:val="24"/>
                <w:szCs w:val="24"/>
                <w:lang w:val="it-IT"/>
              </w:rPr>
              <w:t>•   rregullat e ridispeçeremit dhe menaxhimit të kongjestioneve të jenë transparente për të gjithë pjesëmarrësit e tregut;</w:t>
            </w:r>
          </w:p>
          <w:p w14:paraId="48731D9A" w14:textId="77777777" w:rsidR="002C19D9" w:rsidRPr="002E53FF" w:rsidRDefault="002C19D9" w:rsidP="002C19D9">
            <w:pPr>
              <w:jc w:val="both"/>
              <w:rPr>
                <w:rFonts w:ascii="Times New Roman" w:hAnsi="Times New Roman"/>
                <w:bCs/>
                <w:sz w:val="24"/>
                <w:szCs w:val="24"/>
                <w:lang w:val="it-IT"/>
              </w:rPr>
            </w:pPr>
            <w:r w:rsidRPr="002E53FF">
              <w:rPr>
                <w:rFonts w:ascii="Times New Roman" w:hAnsi="Times New Roman"/>
                <w:bCs/>
                <w:sz w:val="24"/>
                <w:szCs w:val="24"/>
                <w:lang w:val="it-IT"/>
              </w:rPr>
              <w:t>•   pjesa e Shqipërisë e energjisë nga burimet e rinovueshme në konsumin final bruto të energjisë elektrike të jetë të paktën 50 %.</w:t>
            </w:r>
          </w:p>
          <w:p w14:paraId="03436C13" w14:textId="77777777" w:rsidR="002C19D9" w:rsidRPr="002E53FF" w:rsidRDefault="002C19D9" w:rsidP="002C19D9">
            <w:pPr>
              <w:jc w:val="both"/>
              <w:rPr>
                <w:rFonts w:ascii="Times New Roman" w:hAnsi="Times New Roman"/>
                <w:bCs/>
                <w:sz w:val="24"/>
                <w:szCs w:val="24"/>
                <w:lang w:val="it-IT"/>
              </w:rPr>
            </w:pPr>
            <w:r w:rsidRPr="002E53FF">
              <w:rPr>
                <w:rFonts w:ascii="Times New Roman" w:hAnsi="Times New Roman"/>
                <w:bCs/>
                <w:sz w:val="24"/>
                <w:szCs w:val="24"/>
                <w:lang w:val="it-IT"/>
              </w:rPr>
              <w:t>Ndryshimi ligjor ofron fleksibilitet me qëllim që OST, bazuar në analizën përkatëse të ERE-s, të vendosë në të ardhmen të mos aplikojë dispeçim me përparësi. Akti përkatës nënligjor, veçanërisht Kodet e Rrjetit, do të reflektojnë dhe parashikojnë ndryshimet dhe rregullat e detajuara në lidhje me dispeçimet e energjisë elektrike.</w:t>
            </w:r>
          </w:p>
          <w:p w14:paraId="4C95C12F" w14:textId="77777777" w:rsidR="002C19D9" w:rsidRPr="002E53FF" w:rsidRDefault="002C19D9" w:rsidP="002C19D9">
            <w:pPr>
              <w:jc w:val="both"/>
              <w:rPr>
                <w:rFonts w:ascii="Times New Roman" w:hAnsi="Times New Roman"/>
                <w:bCs/>
                <w:sz w:val="24"/>
                <w:szCs w:val="24"/>
                <w:lang w:val="it-IT"/>
              </w:rPr>
            </w:pPr>
          </w:p>
          <w:p w14:paraId="28210F54" w14:textId="77777777" w:rsidR="002C19D9" w:rsidRPr="002E53FF" w:rsidRDefault="002C19D9" w:rsidP="002C19D9">
            <w:pPr>
              <w:jc w:val="both"/>
              <w:rPr>
                <w:rFonts w:ascii="Times New Roman" w:hAnsi="Times New Roman"/>
                <w:bCs/>
                <w:sz w:val="24"/>
                <w:szCs w:val="24"/>
                <w:lang w:val="it-IT"/>
              </w:rPr>
            </w:pPr>
            <w:r w:rsidRPr="002E53FF">
              <w:rPr>
                <w:rFonts w:ascii="Times New Roman" w:hAnsi="Times New Roman"/>
                <w:bCs/>
                <w:sz w:val="24"/>
                <w:szCs w:val="24"/>
                <w:lang w:val="it-IT"/>
              </w:rPr>
              <w:t>Neni 61/1 është shtuar për të reflektuar rregullat dhe parimet e përgjithshme për ridispeçmet e energjisë elektrike në LSE, ndërkohë që dispozita të detajuara do të parashiohen në aktet nënligjore përkatëse, veçanërisht në Kodet e Rrjetit. Sipas rregullave të ndryshuara, ridispeçimi i prodhimit të energjisë elektrike dhe përgjigja ndaj kërkesës së tregut do të bazohet në kritere objektive, transparente dhe jodiskriminuese dhe do të jetë e hapur për të gjitha teknologjitë prodhuese të energjisë elektrike, depozitimin e energjisë dhe përgjigjen ndaj kërkesës së tregut, duke përfshirë ato të vendosura tek Palët e tjera të Komunitetit të Energjisë. Përveç kur nuk është e mundur teknikisht.</w:t>
            </w:r>
          </w:p>
          <w:p w14:paraId="1755DF89" w14:textId="77777777" w:rsidR="002C19D9" w:rsidRPr="002E53FF" w:rsidRDefault="002C19D9" w:rsidP="002C19D9">
            <w:pPr>
              <w:jc w:val="both"/>
              <w:rPr>
                <w:rFonts w:ascii="Times New Roman" w:hAnsi="Times New Roman"/>
                <w:bCs/>
                <w:sz w:val="24"/>
                <w:szCs w:val="24"/>
                <w:lang w:val="it-IT"/>
              </w:rPr>
            </w:pPr>
            <w:r w:rsidRPr="002E53FF">
              <w:rPr>
                <w:rFonts w:ascii="Times New Roman" w:hAnsi="Times New Roman"/>
                <w:bCs/>
                <w:sz w:val="24"/>
                <w:szCs w:val="24"/>
                <w:lang w:val="it-IT"/>
              </w:rPr>
              <w:t>Aktet nënligjore do të përfshijnë – të paktën – dispozitat e mëposhtme:</w:t>
            </w:r>
          </w:p>
          <w:p w14:paraId="546D5253" w14:textId="77777777" w:rsidR="002C19D9" w:rsidRPr="002E53FF" w:rsidRDefault="002C19D9" w:rsidP="002C19D9">
            <w:pPr>
              <w:jc w:val="both"/>
              <w:rPr>
                <w:rFonts w:ascii="Times New Roman" w:hAnsi="Times New Roman"/>
                <w:bCs/>
                <w:sz w:val="24"/>
                <w:szCs w:val="24"/>
                <w:lang w:val="it-IT"/>
              </w:rPr>
            </w:pPr>
            <w:r w:rsidRPr="002E53FF">
              <w:rPr>
                <w:rFonts w:ascii="Times New Roman" w:hAnsi="Times New Roman"/>
                <w:bCs/>
                <w:sz w:val="24"/>
                <w:szCs w:val="24"/>
                <w:lang w:val="it-IT"/>
              </w:rPr>
              <w:t>1.   OST dhe OSSH do të raportojnë të paktën çdo vit në ERE për:</w:t>
            </w:r>
          </w:p>
          <w:p w14:paraId="00FC25E7"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a) nivelin e zhvillimit dhe efektivitetit të mekanizmave të ridispeçimeve me bazë tregu për objektet e prodhimit të energjisë, depozitimin e energjisë dhe përgjigjen ndaj kërkesës së tregut;</w:t>
            </w:r>
          </w:p>
          <w:p w14:paraId="6446CA09"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b) arsyet, vëllimet në MËh dhe llojin e burimit të gjenerimit që i nënshtrohet ridispeçimit;</w:t>
            </w:r>
          </w:p>
          <w:p w14:paraId="0AC1A12D"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c) masat e marra për të reduktuar nevojën për ulje të ridispeçimit në instalimet gjeneruese që përdorin burime të rinovueshme energjie ose prodhues me efikasitet të lartë në të ardhmen, duke përfshirë investimet në dixhitalizimin e infrastrukturës së rrjetit dhe në shërbimet që rrisin fleksibilitetin.</w:t>
            </w:r>
          </w:p>
          <w:p w14:paraId="4150FB7D"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ERE i paraqet raportin Bordit Rregullator të Komunitetit të Energjisë dhe publikon një përmbledhje të të dhënave të përmendura në pikat “a”, “b” dhe “c” të nënparagrafit të parë, të këtij neni, së bashku me rekomandimet për përmirësim, kur është e nevojshme.</w:t>
            </w:r>
          </w:p>
          <w:p w14:paraId="5ACCB078" w14:textId="77777777" w:rsidR="002C19D9" w:rsidRPr="002C19D9" w:rsidRDefault="002C19D9" w:rsidP="002C19D9">
            <w:pPr>
              <w:jc w:val="both"/>
              <w:rPr>
                <w:rFonts w:ascii="Times New Roman" w:hAnsi="Times New Roman"/>
                <w:bCs/>
                <w:sz w:val="24"/>
                <w:szCs w:val="24"/>
                <w:lang w:val="en-US"/>
              </w:rPr>
            </w:pPr>
          </w:p>
          <w:p w14:paraId="799ABF10"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2. Në varësi të kërkesave në lidhje me ruajtjen e qëndrueshmërisë dhe sigurisë së rrjetit, bazuar në kriteret transparente dhe jodiskriminuese të vendosura nga ERE, OST dhe OSSH do të:</w:t>
            </w:r>
          </w:p>
          <w:p w14:paraId="40A0AFFD"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a)   garantojnë aftësinë e rrjeteve të transmetimit dhe rrjeteve të shpërndarjes për të transmetuar energjinë elektrike të prodhuar nga burime të rinovueshme të energjisë ose nga prodhues me efikasitet të lartë me ridispeçim sa më minimal të mundshme;</w:t>
            </w:r>
          </w:p>
          <w:p w14:paraId="6F8C5B64"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b) marrin masat e duhura operacionale në lidhje me rrjetin dhe tregun për të minimizuar ridispeçimet e ulura të energjisë elektrike të prodhuar nga burimet e rinovueshme të energjisë ose nga prodhuesi me efikasitet të lartë;</w:t>
            </w:r>
          </w:p>
          <w:p w14:paraId="769B0D67"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c) të sigurojnë që rrjetet e tyre të jenë mjaftueshëm fleksibël në mënyrë që të jenë në gjendje t’i menaxhojnë ato.</w:t>
            </w:r>
          </w:p>
          <w:p w14:paraId="355E0ED9"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3. Kur përdoret ridispeçime të ulura të pabazuara në treg, do të zbatohen parimet e mëposhtme:</w:t>
            </w:r>
          </w:p>
          <w:p w14:paraId="746C59FE"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a)  impiantet e prodhimit që përdorin burime të rinovueshme të energjisë do t’i nënshtrohen ridispeçimit me ulje vetëm nëse nuk ekziston alternativë tjetër ose nëse zgjidhje të tjera do të rezultonin me kosto mjaft disproporcionale ose me risqe të rënda për sigurinë e rrjetit;</w:t>
            </w:r>
          </w:p>
          <w:p w14:paraId="7BC56A31"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b) energjia elektrike e prodhuar në një proces gjenerimi me efikasitet të lartë do t’i nënshtrohet ridispeçimit me ulje vetëm nëse, përveç ridispeçimit me ulje të impianteve të prodhimit që përdorin burime të rinovueshme të energjisë, nuk ekziston asnjë alternativë tjetër ose nëse zgjidhjet e tjera do të rezultonin me kosto disproporcionale ose me risqe të rënda për sigurinë e rrjetit;</w:t>
            </w:r>
          </w:p>
          <w:p w14:paraId="5F87E2FE"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c) energjia elektrike e vetë-prodhuar nga instalimet prodhuese që përdorin burime të rinovueshme të energjisë ose prodhim me efikasitet të lartë, i cili nuk futet në rrjetin e transmetimit ose të shpërndarjes, nuk do t’i nënshtrohet ridispeçimit me ulje, përveç rasteve kur asnjë zgjidhje tjetër nuk do të zgjidhte çështjet e sigurisë së rrjetit;</w:t>
            </w:r>
          </w:p>
          <w:p w14:paraId="7B1C1A96"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 xml:space="preserve">ç) ridispeçimet me ulje sipas pikave “a”, “b” dhe “c” duhet të justifikohet në mënyrën e duhur dhe me transparencë. Arsyetimi duhet të përfshihet në raport sipas paragrafit </w:t>
            </w:r>
          </w:p>
          <w:p w14:paraId="0034F76A"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4. Kur përdoret ridispeçimi i pabazuar në treg, ai do t’i nënshtrohet kompensimit financiar nga operatori i sistemit që kërkon ridispeçimin tek operatori i objektit të gjenerimit, të depozitimit të energjisë ose të përgjigjes ndaj kërkesës së tregut që mori ridispeçimin, përveç rastit të prodhuesve që kanë pranuar të lidhin marrëveshje sipas së cilës nuk ka garanci për dispeçim në një masë të caktuar energjie. Një kompensim i tillë financiar do të jetë të paktën i barabartë me vlerën më të lartë të elementëve të mëposhtëm ose një kombinim i të dyjave nëse aplikimi vetëm i atij më të lartë do të çonte në mënyrë të pajustifikueshme në një kompensim të ulët ose në mënyrë të pajustifikueshme në një kompensim të lartë:</w:t>
            </w:r>
          </w:p>
          <w:p w14:paraId="0B0447FF"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a) kosto shtesë operative e shkaktuar nga ridispeçimi, të tilla si kostot shtesë të karburantit në rastin e ridispeçimeve me rritje, ose sigurimi i ngrohjes mbështetëse në rastin e ridispeçimeve me ulje të impianteve të prodhimit duke përdorur prodhim me efikasitet të lartë;</w:t>
            </w:r>
          </w:p>
          <w:p w14:paraId="3E4AB4BD"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b) të ardhurat neto nga shitja e energjisë elektrike sipas tregut të ditës në avancë, të cilat do t’i kishte gjeneruar objekti i gjenerimit të energjisë, të depozitimit të energjisë ose objekti i përgjigjes ndaj kërkesës së tregut, pa kërkesën e ridispaçimit; kur mbështetja financiare u jepet objekteve të prodhimit, depozitimit të energjisë ose të përgjigjes ndaj kërkesës së tregut bazuar në vëllimin e energjisë elektrike të prodhuar ose të konsumuar, mbështetja financiare që do të ishte marrë pa kërkesën e ridispaçmit do të konsiderohet të jetë pjesë e të ardhurave neto.</w:t>
            </w:r>
          </w:p>
          <w:p w14:paraId="53049A3B"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Sugjerimet e subjekteve të interesuara janë marrë parasysh duke përcaktuar se pika “a” e paragrafit 1, që do të përfshihet në aktin nënligjor, nuk do të parashikojë kapacitetin minimal të garantuar të blerjes ose marrjes së energjisë elektrike, pasi energjia e prodhuar nga impiantet e prodhimit që përdorin burime të energjisë së rinovueshme ose prodhim me efikasitet të lartë përfaqëson më shumë se 50% të konsumit vjetor total bruto të energjisë elektrike në rastin e Shqipërisë.</w:t>
            </w:r>
          </w:p>
          <w:p w14:paraId="729DA358" w14:textId="77777777" w:rsidR="002C19D9" w:rsidRPr="002C19D9" w:rsidRDefault="002C19D9" w:rsidP="002C19D9">
            <w:pPr>
              <w:jc w:val="both"/>
              <w:rPr>
                <w:rFonts w:ascii="Times New Roman" w:hAnsi="Times New Roman"/>
                <w:bCs/>
                <w:sz w:val="24"/>
                <w:szCs w:val="24"/>
                <w:lang w:val="en-US"/>
              </w:rPr>
            </w:pPr>
          </w:p>
          <w:p w14:paraId="249065F9"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lastRenderedPageBreak/>
              <w:t>Neni 62 është ndryshuar për të rishikuar rregullat në lidhje me prokurimin e shërbimeve të balancimit nga OST. Sipas ndryshimit ligjor, shërbimet ndihmëse jo të shpeshta dhe specifikimet për shërbimet ndihmëse të prokuruara nga OST do të adresohen vetëm me akt nënligjor. Akti nënligjor përkatës, veçanërisht Rregullorja mbi Miratimin e Rregullores për Procedurat  e Blerjes së Energjisë Elektrike për Mbulimin e Humbjeve në Rrjetet e Shpërndarjes dhe Transmetimit dhe për Blerjen dhe Shitjen e Energjisë Elektrike për Siguruar e Përmbushjes e Detyrimeve të Shërbimit Publik, miratuar me vendimin Nr. 103, datë 23.6.2016, të ERE-s dhe Rregullorja për Rregullat e Tregut Shqiptar të Balancimit të Energjisë Elektrike, miratuar me vendimin nr. 106, datë 2.7.2020, të ERE-s, do të parashikojnë rregulla të diferencuara në lidhje me dispozitat e shërbimeve ndihmëse jo të shpeshta, dhe me përcaktimin e specifikimeve për shërbimet ndihmëse të prokuruara.</w:t>
            </w:r>
          </w:p>
          <w:p w14:paraId="52A4D6CD" w14:textId="77777777" w:rsidR="002C19D9" w:rsidRPr="002C19D9" w:rsidRDefault="002C19D9" w:rsidP="002C19D9">
            <w:pPr>
              <w:jc w:val="both"/>
              <w:rPr>
                <w:rFonts w:ascii="Times New Roman" w:hAnsi="Times New Roman"/>
                <w:bCs/>
                <w:sz w:val="24"/>
                <w:szCs w:val="24"/>
                <w:lang w:val="en-US"/>
              </w:rPr>
            </w:pPr>
          </w:p>
          <w:p w14:paraId="18D14C0B"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 xml:space="preserve">Neni 65 ndryshohet për të zgjeruar fushëveprimin e rregullores për shpërndarjen e kapaciteteve të interkonjeksionit. Ky zgjerim përfshin rillogaritjen e kapacitetit të disponueshëm të interkoneksionit të paktën pas orarit të mbylljes së portës së interkonjeksionit sipas tregut të ditës në avancë dhe pas mbylljes së portës së interkoneksionit sipas tregut brenda të njëjtës ditë, dhe shpërndarjen e kapacitetit të disponueshëm të interkonjeksionit plus çdo kapacitet të mbetur interkonjeksioni që nuk është shpërndarë më parë dhe çdo kapacitet interkonjeksioni të nxjerrë nga mbajtësi i të drejtave të transmetimit fizik nga shpërndarja e mëparshme në procesin vijues të shpërndarjes së kapacitetit të interkonjeksionit. Rregullat të detajuara në lidhje me shpërndarjen e kapaciteteve të interkonjeksionit do të parashikohen dhe rregullohen përmes reflektimit të vazhdueshëm të kodeve përkatëse të rrjetit në nivel BE. Prandaj, parashikimet e nenit 17 të Rregullores së Energjisë Elektrike (BE) 2019/943 do të reflektohen nëpërmjet ndryshimit të Kodit të Transmetimit, Rregullores mbi Miratimin e Rregullave të Menaxhimit të Kapacitetetit  të Kufizuar, miratuar me vendimin Nr. 124, datë 21.07.2016, të ERE-s dhe Rregullores mbi Miratimin e Rregullave të Harmonizuara të Alokimit të Kapaciteteve të Interkoneksionit për Zyrën e Koordinimit të Ankandeve në Evropën Juglindore (SEE CAO), për Kufijtë Shqipëri-Greqi, Shqipëri- Mal i Zi dhe Shqipëri- Kosovë, miratuar me vendimin Nr. 197, datë 26.11.2020, të ERE-s në përputhje me nenin 51 të Rregullores së Komisionit (BE) 2016/1719 të datës 26 shtator 2016 për krijimin e një udhëzuesi mbi alokimin e kapaciteteve në avancë. </w:t>
            </w:r>
          </w:p>
          <w:p w14:paraId="305F061B" w14:textId="77777777" w:rsidR="002C19D9" w:rsidRPr="002C19D9" w:rsidRDefault="002C19D9" w:rsidP="002C19D9">
            <w:pPr>
              <w:jc w:val="both"/>
              <w:rPr>
                <w:rFonts w:ascii="Times New Roman" w:hAnsi="Times New Roman"/>
                <w:bCs/>
                <w:sz w:val="24"/>
                <w:szCs w:val="24"/>
                <w:lang w:val="en-US"/>
              </w:rPr>
            </w:pPr>
          </w:p>
          <w:p w14:paraId="487A17EB"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Neni 65/1 është shtuar për të reflektuar rregullat dhe parimet e përgjithshme të parashikuara në nenet 14-17 të Rregullores së Energjisë Elektrike (BE) 2019/943. Shtesa ligjore synon të mbulojë vetëm</w:t>
            </w:r>
          </w:p>
          <w:p w14:paraId="0EF4719C"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   aspekte që janë materialisht të rëndësishme në kontekstin e Shqipërisë (në këtë mënyrë dispozitat në lidhje me rishikimin e zonës së ofertave nuk reflektohen në detaje në LSE);</w:t>
            </w:r>
          </w:p>
          <w:p w14:paraId="52B71BFA"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   parimet dhe objektivat e përgjithshme të përcaktuara në lidhje me identifikimin e kongjestioneve strukturore, krijimin dhe zbatimin e planit të veprimit; 70% disponueshmëri ndërzonale.</w:t>
            </w:r>
          </w:p>
          <w:p w14:paraId="55B92966"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Aktet nënligjore përkatëse do të parashikojnë rregulla të detajuara, duke përfshirë zbatimin e përjashtimeve të mundshme (p.sh. pjesëmarrjen në rishikimin e zonës së ofertave; zgjatjen e afatit kohor në lidhje me 70% të disponueshmërisë ndërzonale), dhe do të reflektojnë kërkesën për të marrë pjesë në rishikimin e zonës së ofertave që duhet të bëhet jo më vonë se 31 Dhjetor 2025.</w:t>
            </w:r>
          </w:p>
          <w:p w14:paraId="3B761741" w14:textId="77777777" w:rsidR="002C19D9" w:rsidRPr="002C19D9" w:rsidRDefault="002C19D9" w:rsidP="002C19D9">
            <w:pPr>
              <w:jc w:val="both"/>
              <w:rPr>
                <w:rFonts w:ascii="Times New Roman" w:hAnsi="Times New Roman"/>
                <w:bCs/>
                <w:sz w:val="24"/>
                <w:szCs w:val="24"/>
                <w:lang w:val="en-US"/>
              </w:rPr>
            </w:pPr>
          </w:p>
          <w:p w14:paraId="3C66F35A"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 xml:space="preserve">Neni 66 është ndryshuar për të shprehur se procedurat e menaxhimit të kongjestioneve të shoqëruara me një afat kohor të paracaktuar mund të gjenerojnë të ardhura vetëm në rast të kongjestionit që lind për atë periudhë kohore, me përjashtim të rastit të interkonektorëve të rinj që përfitojnë nga një përjashtim i dhënë nga Këshilli i Ministrave. OST do të përcaktojë qartë, paraprakisht, se si do të përdoret çdo e ardhur nga kongjestionet dhe do të raportojë në ERE për përdorimin faktik të këtyre të ardhurave. Akti përkatës nënligjor, veçanërisht Rregullorja mbi Miratimin e Rregullave të Menaxhimit të Kapacitetit  të Kufizuar, miratuar me vendimin Nr. 124, datë 21.07.2016, të ERE-s dhe Rregullorja mbi Miratimin e </w:t>
            </w:r>
            <w:r w:rsidRPr="002C19D9">
              <w:rPr>
                <w:rFonts w:ascii="Times New Roman" w:hAnsi="Times New Roman"/>
                <w:bCs/>
                <w:sz w:val="24"/>
                <w:szCs w:val="24"/>
                <w:lang w:val="en-US"/>
              </w:rPr>
              <w:lastRenderedPageBreak/>
              <w:t>Metodologjisë së Llogaritjes së Tarifave të Transmetimit të Energjisë Elektrike, miratuar me vendimin nr. 180, datë 08.11.2017, të ERE-s do të përafrohen sipas ndryshimeve ligjore.</w:t>
            </w:r>
          </w:p>
          <w:p w14:paraId="54929C42" w14:textId="77777777" w:rsidR="002C19D9" w:rsidRPr="002C19D9" w:rsidRDefault="002C19D9" w:rsidP="002C19D9">
            <w:pPr>
              <w:jc w:val="both"/>
              <w:rPr>
                <w:rFonts w:ascii="Times New Roman" w:hAnsi="Times New Roman"/>
                <w:bCs/>
                <w:sz w:val="24"/>
                <w:szCs w:val="24"/>
                <w:lang w:val="en-US"/>
              </w:rPr>
            </w:pPr>
          </w:p>
          <w:p w14:paraId="178184A5" w14:textId="327E625B"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Neni 67 është ndryshuar për të reflektuar rregullat dhe parimet e përgjithshme në lidhje me shpërndarjen e kapaciteteve dhe menaxhimin e kongjestioneve. Rastet me kapacitet të kufizuar të rrjetit do të trajtohen me zgjidhje jodiskriminuese të bazuara në treg, të cilat u japin sinjale ekonomike efikase pjesëmarrësve të tregut të energjisë elektrike dhe operatorëve të sistemit të transmetimit që përfshihen. Problemet e kongjestionit së rrjetit do të zgjidhen me mënyra që bazohen në metoda jo në bazë transaksioni, që do të thotë metoda që nuk angazhojnë një përzgjedhje ndërmjet kontratave të pjesëmarrësve individualë të tregut të energjisë elektrike. Legjislacioni përkatës nënligjor, veçanërisht Rregullorja mbi Miratimin e Rregullave të Menaxhimit të Kapacitetit të Kufizuar, miratuar me vendimin Nr. 124, datë 21.07.2016, të ERE-s, do të parashikojë rregulla dhe parime të detajuara.</w:t>
            </w:r>
          </w:p>
          <w:p w14:paraId="5ECA5A4C"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Neni 67/1 është shtuar për të vendosur një detyrim të qartë bashkëpunimi dhe shkëmbimi informacioni ndërmjet OST dhe OSSH-së për të koordinuar dhe zgjeruar zhvillimin e rrjetit.</w:t>
            </w:r>
          </w:p>
          <w:p w14:paraId="13F703D5" w14:textId="77777777" w:rsidR="002C19D9" w:rsidRPr="002C19D9" w:rsidRDefault="002C19D9" w:rsidP="002C19D9">
            <w:pPr>
              <w:jc w:val="both"/>
              <w:rPr>
                <w:rFonts w:ascii="Times New Roman" w:hAnsi="Times New Roman"/>
                <w:bCs/>
                <w:sz w:val="24"/>
                <w:szCs w:val="24"/>
                <w:lang w:val="en-US"/>
              </w:rPr>
            </w:pPr>
          </w:p>
          <w:p w14:paraId="065ABD47"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 xml:space="preserve">Neni 67/2 është shtuar për të rregulluar pronësinë e hapësirave të depozitimit të energjisë nga OST. Si rregull i përgjithshëm, OST mund të mos zotërojë dhe operojë hapësiravt të depozitimit të energjisë. Megjithatë, </w:t>
            </w:r>
            <w:r w:rsidRPr="002C19D9">
              <w:rPr>
                <w:rFonts w:ascii="Times New Roman" w:hAnsi="Times New Roman"/>
                <w:bCs/>
                <w:i/>
                <w:iCs/>
                <w:sz w:val="24"/>
                <w:szCs w:val="24"/>
                <w:lang w:val="en-US"/>
              </w:rPr>
              <w:t>acquis</w:t>
            </w:r>
            <w:r w:rsidRPr="002C19D9">
              <w:rPr>
                <w:rFonts w:ascii="Times New Roman" w:hAnsi="Times New Roman"/>
                <w:bCs/>
                <w:sz w:val="24"/>
                <w:szCs w:val="24"/>
                <w:lang w:val="en-US"/>
              </w:rPr>
              <w:t xml:space="preserve"> përkatëse e BE-së parashikon dy opsione përjashtimi (d.m.th. rastet kur OST-ja të lejohet të zotërojë dhe operojë hapësirave të depozitimit të energjisë): (i) hapësirat e depozitimit të energjisë si komponentë të rrjeteve plotësisht të integruara (që miratohen nga ERE); dhe (ii) palë të tjera, që në vijim të procedurave të tenderimit, nuk u është dhënë e drejta për të zotëruar dhe operuar objekte të tilla. Neni i ri zbaton të dyja përjashtimet. Legjislacioni përkatës nënligjor do të prashikojë rregulla të detajuara të paragrafëve 2-5 të nenit 54 të Direktivës për Energjinë Elektrike (BE) 2019/944 (riformuluar).</w:t>
            </w:r>
          </w:p>
          <w:p w14:paraId="621BF76D" w14:textId="77777777" w:rsidR="002C19D9" w:rsidRPr="002C19D9" w:rsidRDefault="002C19D9" w:rsidP="002C19D9">
            <w:pPr>
              <w:jc w:val="both"/>
              <w:rPr>
                <w:rFonts w:ascii="Times New Roman" w:hAnsi="Times New Roman"/>
                <w:bCs/>
                <w:sz w:val="24"/>
                <w:szCs w:val="24"/>
                <w:lang w:val="en-US"/>
              </w:rPr>
            </w:pPr>
          </w:p>
          <w:p w14:paraId="65EFF7FF"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Neni 68 ndryshohet duke shtuar një paragraf të ri në bazë të të cilit OSSH-ja mund të kryejë veprimtari të tjera nga ato të përcaktuara në LSE, në varësi të miratimit specifik të ERE-s, siç u sugjerua nga vetë subjektet e interesuara.</w:t>
            </w:r>
          </w:p>
          <w:p w14:paraId="4209E4F4" w14:textId="77777777" w:rsidR="002C19D9" w:rsidRPr="002C19D9" w:rsidRDefault="002C19D9" w:rsidP="002C19D9">
            <w:pPr>
              <w:jc w:val="both"/>
              <w:rPr>
                <w:rFonts w:ascii="Times New Roman" w:hAnsi="Times New Roman"/>
                <w:bCs/>
                <w:sz w:val="24"/>
                <w:szCs w:val="24"/>
                <w:lang w:val="en-US"/>
              </w:rPr>
            </w:pPr>
          </w:p>
          <w:p w14:paraId="10A12D06"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 xml:space="preserve">Neni 69 është ndryshuar për të përfshirë detyrat e reja që i janë caktuar OSSH-së nga </w:t>
            </w:r>
            <w:r w:rsidRPr="002C19D9">
              <w:rPr>
                <w:rFonts w:ascii="Times New Roman" w:hAnsi="Times New Roman"/>
                <w:bCs/>
                <w:i/>
                <w:iCs/>
                <w:sz w:val="24"/>
                <w:szCs w:val="24"/>
                <w:lang w:val="en-US"/>
              </w:rPr>
              <w:t>acquis</w:t>
            </w:r>
            <w:r w:rsidRPr="002C19D9">
              <w:rPr>
                <w:rFonts w:ascii="Times New Roman" w:hAnsi="Times New Roman"/>
                <w:bCs/>
                <w:sz w:val="24"/>
                <w:szCs w:val="24"/>
                <w:lang w:val="en-US"/>
              </w:rPr>
              <w:t xml:space="preserve"> e BE-së, nën dritën e ndryshimeve të tjera të bëra. Më të rëndësishmet prej tyre përfshijnë: sigurimin që të gjitha palët e lejuara të kenë akses jodiskriminues tek të dhënat  bazuar në kushte të qarta dhe të barabarta; sigurimin që anëtarët e së njëjtës ndërmarrje të integruar vertikalisht të mos kenë akses të privilegjuar në të dhënat për kryerjen e aktiviteteve të tyre të furnizimit; bashkëpunimin me Ministrinë si autoriteti kompetent i caktuar në lidhje me planifikimin e gatishmërisë ndaj riskut dhe menaxhimit të tij; dhe pjesëmarrjen në krijimin dhe funksionimin e Grupit Koordinues të Operatorëve të Sistemit të Shpërndarjes së Komunitetit të Energjisë. Rregullorja mbi Miratimin e Rregullave për Përcaktimin e Formularit të të Dhënave dhe Procedurën e Aksesit të Furnizuesve ndaj  të Dhënave të Operatorit të Shpërndarjes së Energjisë Elektrike,</w:t>
            </w:r>
            <w:r w:rsidRPr="002C19D9">
              <w:rPr>
                <w:rFonts w:ascii="Times New Roman" w:hAnsi="Times New Roman"/>
                <w:sz w:val="24"/>
                <w:szCs w:val="24"/>
                <w:lang w:val="en-US"/>
              </w:rPr>
              <w:t xml:space="preserve"> </w:t>
            </w:r>
            <w:r w:rsidRPr="002C19D9">
              <w:rPr>
                <w:rFonts w:ascii="Times New Roman" w:hAnsi="Times New Roman"/>
                <w:bCs/>
                <w:sz w:val="24"/>
                <w:szCs w:val="24"/>
                <w:lang w:val="en-US"/>
              </w:rPr>
              <w:t>miratar me vendimin nr. 16, datë 10.01.2018  (miratuar në bazë të pikës “gj” të nenit 69 të LSE- së) do të zëvendësohet me akt nënligjor që do të miratojë Ministria në bazë të paragrafit 1 të nenit 25/1 të LSE.</w:t>
            </w:r>
          </w:p>
          <w:p w14:paraId="1249047E" w14:textId="77777777" w:rsidR="002C19D9" w:rsidRPr="002C19D9" w:rsidRDefault="002C19D9" w:rsidP="002C19D9">
            <w:pPr>
              <w:jc w:val="both"/>
              <w:rPr>
                <w:rFonts w:ascii="Times New Roman" w:hAnsi="Times New Roman"/>
                <w:bCs/>
                <w:sz w:val="24"/>
                <w:szCs w:val="24"/>
                <w:lang w:val="en-US"/>
              </w:rPr>
            </w:pPr>
          </w:p>
          <w:p w14:paraId="163E09ED"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 xml:space="preserve">Neni 69/1 është shtuar për të reflektuar rregullat dhe parimet e përgjithshme në lidhje me prokurimin e produkteve dhe shërbimeve nga OSSH-ja. Kur OSSH-ja është përgjegjëse për prokurimin e produkteve dhe shërbimeve të nevojshme për funksionimin efikas, të qendrueshëm dhe të sigurt të sistemit të shpërndarjes, rregullat e miratuara nga OSSH-ja për këtë qëllim do të jenë objektive, transparente dhe jodiskriminuese dhe do të zhvillohen në koordinim me OST dhe pjesëmarrës të tjerë përkatës në tregun e energjisë elektrike. Legjislacioni përkatës nënligjor, veçanërisht Rregullroja mbi Miratimin e Rregullores për Procedurat e Blerjes së Energjisë Elektrike për Mbulimin e Humbjeve në Rrjetet e Shpërndarjes dhe Transmetimit dhe për Blerjen dhe Shitjen e Energjisë Elektrike për </w:t>
            </w:r>
            <w:r w:rsidRPr="002C19D9">
              <w:rPr>
                <w:rFonts w:ascii="Times New Roman" w:hAnsi="Times New Roman"/>
                <w:bCs/>
                <w:sz w:val="24"/>
                <w:szCs w:val="24"/>
                <w:lang w:val="en-US"/>
              </w:rPr>
              <w:lastRenderedPageBreak/>
              <w:t>Siguruar e Përmbushjes e Detyrimeve të Shërbimit Publik, miratuar me vendimin nr. 103, datë 23.6.2016, të ERE-sdo të rishikohet dhe rregullohet në përputhje me ndryshimet ligjore.</w:t>
            </w:r>
          </w:p>
          <w:p w14:paraId="650F8CC2" w14:textId="77777777" w:rsidR="002C19D9" w:rsidRPr="002C19D9" w:rsidRDefault="002C19D9" w:rsidP="002C19D9">
            <w:pPr>
              <w:jc w:val="both"/>
              <w:rPr>
                <w:rFonts w:ascii="Times New Roman" w:hAnsi="Times New Roman"/>
                <w:bCs/>
                <w:sz w:val="24"/>
                <w:szCs w:val="24"/>
                <w:lang w:val="en-US"/>
              </w:rPr>
            </w:pPr>
          </w:p>
          <w:p w14:paraId="2097C924"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Neni 69/2 është shtuar për të vendosur rregulla të përgjithshme në lidhje me prokurimin e shërbimeve të fleksibilitetit nga OSSH-ja. OSSH-ja do të prokurojë shërbime fleksibiliteti, duke përfshirë menaxhimin e kongjestionit në zonën e tij në përputhje me procedura transparente, jodiskriminuese dhe të bazuara në treg, përveç rasteve kur ERE ka vërtetuar se prokurimi i këtyre shërbimeve nuk është ekonomikisht efikas ose se një prokurim i tillë do të çonte në shtrembërime të rënda të tregut, ose në kongjestione më të larta. Specifikimet dhe produktet e standardizuara të tregut (në lidhje me shërbimet e fleksibilitetit të prokuruara) do të përcaktohen në legjislacionin përkatës nënligjor.</w:t>
            </w:r>
          </w:p>
          <w:p w14:paraId="7A0C3BAC"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Neni 69/3 është shtuar për të vendosur një kuadër rregullator të nivelit të lartë për stacionet e rikarikimit. Shtesa ligjore përfshin rregullimin e shërbimeve të lidhura me lëvizshmërinë e qendrave elektrike të parashikuara në LSE vetëm përsa i përket rregullave të përgjithshme në lidhje me operatorët që operojnë pikat publike të rikarikimit, funksionimin e pikave publike të rikarikimit (si përdorimi specifik i sistemit / kategoria e përdoruesve të sistemit); dhe funksionimin e pikave të rikarkimit si përjashtim nga rregullat ndarjes së OSSH-së. Një fushë më e gjerë e rregulloreve të lidhura me lëvizshmërinë e qëndrave elektrike (p.sh. kufizimet në llogaritjen e tarifave, kërkesat e faturimit) mund të zbatohet në legjislacionin që lidhet me transportin. Shtesa ligjore reflekton opsionin e devijimit për pronësinë e OSSH-së të pikave të rikarikimit për të ruajtur fleksibilitetin. Legjislacioni përkatës nënligjor që do të miratohet nga Ministria do të parashikojë rregullat e detajuara që rrjedhin nga paragrafët 3-4 të nenit 33 të Direktivës për Energjinë Elektrike (BE) 2019/944 (riformuar).</w:t>
            </w:r>
          </w:p>
          <w:p w14:paraId="425A2E45" w14:textId="77777777" w:rsidR="002C19D9" w:rsidRPr="002C19D9" w:rsidRDefault="002C19D9" w:rsidP="002C19D9">
            <w:pPr>
              <w:jc w:val="both"/>
              <w:rPr>
                <w:rFonts w:ascii="Times New Roman" w:hAnsi="Times New Roman"/>
                <w:bCs/>
                <w:sz w:val="24"/>
                <w:szCs w:val="24"/>
                <w:lang w:val="en-US"/>
              </w:rPr>
            </w:pPr>
          </w:p>
          <w:p w14:paraId="18ADDF6A"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Neni 71/1 ndryshohet për të transferuar dispozitat e detajuara në aktet nënligjore përkatëse.</w:t>
            </w:r>
          </w:p>
          <w:p w14:paraId="6160B0E2" w14:textId="77777777" w:rsidR="002C19D9" w:rsidRPr="002C19D9" w:rsidRDefault="002C19D9" w:rsidP="002C19D9">
            <w:pPr>
              <w:jc w:val="both"/>
              <w:rPr>
                <w:rFonts w:ascii="Times New Roman" w:hAnsi="Times New Roman"/>
                <w:bCs/>
                <w:sz w:val="24"/>
                <w:szCs w:val="24"/>
                <w:lang w:val="en-US"/>
              </w:rPr>
            </w:pPr>
          </w:p>
          <w:p w14:paraId="556EC3F6"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Neni 72 është ndryshuar për të përafruar rregullat e ndarjes në lidhje me objektin e zgjeruar të PSL, dhe në veçanti me rregullat e detajuara të parashikuara në nenin 75/1 që kanë të bëjnë me funksionimin e hapësirave të depozitimit të energjisë nga OSSH-ja dhe nenin 69/3 në lidhje me funksionimin e pikës së rikarikimit nga OSSH-ja. Një paragraf i ri është shtuar për të krijuar një bazë ligjore për ERE-n për të përgatitur dhe miratuar rregullat e detajuara në lidhje me programin e pajtueshmërisë së OSSH-së. Legjislacioni përkatës nënligjor do të parashikojë rregullat e detajuara të parashikuara nga neni 34 dhe pika “d” e paragrafit 4 të nenit 35 të Direktivës së Energjisë Elektrike (BE) 2019/944 (riformuluar).</w:t>
            </w:r>
          </w:p>
          <w:p w14:paraId="1560A9DC" w14:textId="77777777" w:rsidR="002C19D9" w:rsidRPr="002C19D9" w:rsidRDefault="002C19D9" w:rsidP="002C19D9">
            <w:pPr>
              <w:jc w:val="both"/>
              <w:rPr>
                <w:rFonts w:ascii="Times New Roman" w:hAnsi="Times New Roman"/>
                <w:bCs/>
                <w:sz w:val="24"/>
                <w:szCs w:val="24"/>
                <w:lang w:val="en-US"/>
              </w:rPr>
            </w:pPr>
          </w:p>
          <w:p w14:paraId="38610935"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Neni 75 është ndryshuar për të reflektuar rregullat në lidhje me përgatitjen, miratimin, zbatimin dhe monitorimin e planit të zhvillimit të rrjetit të OSSH-së. Komentet e subjekteve të interesuara janë mbajtur parasysh për të ruajtur kërkesat ekzistuese për OSSH-në dhe për të mos shtuar kërkesën për të lejuar rritje të kapitalit në rastet kur OSSH-ja nuk i realizon planet e saj të zhvillimit të rrjetit. Për më tepër, reagimet e subjekteve të interesuara kanë çuar në futjen e opsionit të përjashtimit, duke i lejuar ERE-s të mos kërkojë një plan zhvillimi të rrjetit nga OSSH-ja kur u shërbehet më pak se 100,000 klientëve ose sistemeve të vogla të izoluara. Legjislacioni përkatës nënligjor, veçanërisht Rregullorja mbi Miratimin e Rregullores së Procedurave Paraqitjes dhe Miratimit të Planit të Investimeve nga Operatorët e Transmetimit dhe Shpërndarjes së Energjisë Elektrike,miratuar me vendimin Nr.135, datë 6.9.2017, të ERE-s, do të rishikohet dhe përshtatet në përputhje me ndryshimet ligjore.</w:t>
            </w:r>
          </w:p>
          <w:p w14:paraId="7DAAF723" w14:textId="77777777" w:rsidR="002C19D9" w:rsidRPr="002C19D9" w:rsidRDefault="002C19D9" w:rsidP="002C19D9">
            <w:pPr>
              <w:jc w:val="both"/>
              <w:rPr>
                <w:rFonts w:ascii="Times New Roman" w:hAnsi="Times New Roman"/>
                <w:bCs/>
                <w:sz w:val="24"/>
                <w:szCs w:val="24"/>
                <w:lang w:val="en-US"/>
              </w:rPr>
            </w:pPr>
          </w:p>
          <w:p w14:paraId="22D80575"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 xml:space="preserve">Neni 75/1 është shtuar për të reflektuar opsionin e përjashtimit për pronësinë e hapësirave të depozitimit të energjisë nga OSSH-ja. Si rregull i përgjithshëm, OSSH-ja nuk do të zotërojë dhe operojë hapësira të depozitimit të energjisë. Megjithatë, </w:t>
            </w:r>
            <w:r w:rsidRPr="002C19D9">
              <w:rPr>
                <w:rFonts w:ascii="Times New Roman" w:hAnsi="Times New Roman"/>
                <w:bCs/>
                <w:i/>
                <w:iCs/>
                <w:sz w:val="24"/>
                <w:szCs w:val="24"/>
                <w:lang w:val="en-US"/>
              </w:rPr>
              <w:t>acquis</w:t>
            </w:r>
            <w:r w:rsidRPr="002C19D9">
              <w:rPr>
                <w:rFonts w:ascii="Times New Roman" w:hAnsi="Times New Roman"/>
                <w:bCs/>
                <w:sz w:val="24"/>
                <w:szCs w:val="24"/>
                <w:lang w:val="en-US"/>
              </w:rPr>
              <w:t xml:space="preserve"> përkatëse e BE-së parashikon dy opsione përjashtimi (d.m.th. kur OSSH-ja lejohet të zotërojë dhe të operojë objektet e ruajtjes së energjisë): (i) hapësirat e depozitimit të energjisë si komponentë të rrjeteve plotësisht të integruara (objekt miratimi nga ERE); dhe (ii) palët e tjera që, në vijim të procedurave të tenderimit, nuk u është dhënë e drejta të zotërojnë dhe operojnë objekte të tilla. Neni i ri zbaton të dy përjashtimet. Legjislacioni përkatës nënligjor do të parashikojë </w:t>
            </w:r>
            <w:r w:rsidRPr="002C19D9">
              <w:rPr>
                <w:rFonts w:ascii="Times New Roman" w:hAnsi="Times New Roman"/>
                <w:bCs/>
                <w:sz w:val="24"/>
                <w:szCs w:val="24"/>
                <w:lang w:val="en-US"/>
              </w:rPr>
              <w:lastRenderedPageBreak/>
              <w:t>rregullat e detajuara të paragrafëve 2-4 të nenit 36 ​​të Direktivës për Energjinë Elektrike (BE) 2019/944 (riformuluar).</w:t>
            </w:r>
          </w:p>
          <w:p w14:paraId="54562A33" w14:textId="77777777" w:rsidR="002C19D9" w:rsidRPr="002C19D9" w:rsidRDefault="002C19D9" w:rsidP="002C19D9">
            <w:pPr>
              <w:jc w:val="both"/>
              <w:rPr>
                <w:rFonts w:ascii="Times New Roman" w:hAnsi="Times New Roman"/>
                <w:bCs/>
                <w:sz w:val="24"/>
                <w:szCs w:val="24"/>
                <w:lang w:val="en-US"/>
              </w:rPr>
            </w:pPr>
          </w:p>
          <w:p w14:paraId="089DD86C"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Nenet 76-77 janë ndryshuar për të reflektuar detyrimin e OSSH-së për t’i pajisur të gjithë klientët fundorë të përdorimit me matësin e duhur konvencional. Për më tepër, përkufizimi dhe referencat për “Kodin e Matjes” janë hequr për shkak të integrimit të tij në kodet e tjera të rrjetit, siç u sugjeruar gjatë konsultimeve me subjektet e interesuara.</w:t>
            </w:r>
          </w:p>
          <w:p w14:paraId="2A845E4F" w14:textId="77777777" w:rsidR="002C19D9" w:rsidRPr="002C19D9" w:rsidRDefault="002C19D9" w:rsidP="002C19D9">
            <w:pPr>
              <w:jc w:val="both"/>
              <w:rPr>
                <w:rFonts w:ascii="Times New Roman" w:hAnsi="Times New Roman"/>
                <w:bCs/>
                <w:sz w:val="24"/>
                <w:szCs w:val="24"/>
                <w:lang w:val="en-US"/>
              </w:rPr>
            </w:pPr>
          </w:p>
          <w:p w14:paraId="3322C395" w14:textId="77777777" w:rsidR="002C19D9" w:rsidRPr="002C19D9" w:rsidRDefault="002C19D9" w:rsidP="002C19D9">
            <w:pPr>
              <w:jc w:val="both"/>
              <w:rPr>
                <w:rFonts w:ascii="Times New Roman" w:hAnsi="Times New Roman"/>
                <w:bCs/>
                <w:sz w:val="24"/>
                <w:szCs w:val="24"/>
                <w:lang w:val="en-US"/>
              </w:rPr>
            </w:pPr>
            <w:r w:rsidRPr="002C19D9">
              <w:rPr>
                <w:rFonts w:ascii="Times New Roman" w:hAnsi="Times New Roman"/>
                <w:bCs/>
                <w:sz w:val="24"/>
                <w:szCs w:val="24"/>
                <w:lang w:val="en-US"/>
              </w:rPr>
              <w:t xml:space="preserve">Neni 78 është ndryshuar për të reflektuar rregullat dhe parimet e përgjithshme në lidhje me vendosjen e matësve inteligjentë. Ndryshimet ligjore reflektojnë të dy opsionet e parashikuara nga </w:t>
            </w:r>
            <w:r w:rsidRPr="002C19D9">
              <w:rPr>
                <w:rFonts w:ascii="Times New Roman" w:hAnsi="Times New Roman"/>
                <w:bCs/>
                <w:i/>
                <w:iCs/>
                <w:sz w:val="24"/>
                <w:szCs w:val="24"/>
                <w:lang w:val="en-US"/>
              </w:rPr>
              <w:t>acquis</w:t>
            </w:r>
            <w:r w:rsidRPr="002C19D9">
              <w:rPr>
                <w:rFonts w:ascii="Times New Roman" w:hAnsi="Times New Roman"/>
                <w:bCs/>
                <w:sz w:val="24"/>
                <w:szCs w:val="24"/>
                <w:lang w:val="en-US"/>
              </w:rPr>
              <w:t xml:space="preserve"> e BE-së: (i) vendosjen e organizuar të sistemeve inteligjente të matjes dhe (ii) futjen në faza të sistemeve inteligjente të matjes mbi baza vullnetare. Zbatimi i dy opsioneve do t’i nënshtrohet një vlerësimi të përsëritur kosto-përfitim. Reagimet e subjekteve të interesuara janë mbajtur parasysh për të caktuar datën 5 korrik 2031 si afatin brenda të cilit sistemet inteligjente të matjes që nuk plotësojnë kërkesat e LSE do të hiqen nga funksionimi. Legjislacioni përkatës nënligjor, veçanërisht Kodet e Rrjetit ose një rregullore e veçantë e ERE-s, do të parashikojë rregullat e detajuara të parashikuara në nenet 20-21 dhe aneksin II të Direktivës së Energjisë Elektrike (BE) 2019/944 (riformuar).</w:t>
            </w:r>
          </w:p>
          <w:p w14:paraId="57B5FE86" w14:textId="77777777" w:rsidR="002C19D9" w:rsidRPr="002C19D9" w:rsidRDefault="002C19D9" w:rsidP="002C19D9">
            <w:pPr>
              <w:jc w:val="both"/>
              <w:rPr>
                <w:rFonts w:ascii="Times New Roman" w:hAnsi="Times New Roman"/>
                <w:bCs/>
                <w:sz w:val="24"/>
                <w:szCs w:val="24"/>
                <w:lang w:val="en-US"/>
              </w:rPr>
            </w:pPr>
          </w:p>
          <w:p w14:paraId="7BF23AE2"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Pjesa e gjashtë “Furnizimi me energji elektrike”</w:t>
            </w:r>
          </w:p>
          <w:p w14:paraId="16C9F900"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Neni 79/1 është shtuar për të reflektuar konceptin dhe rregullat e përgjithshme për klientët aktivë. Klienti aktiv është një klient fundor, ose një grup klientësh fundorë që veprojnë së bashku, i cili konsumon ose ruan energjinë elektrike të prodhuar brenda ambienteve të tij të vendosura brenda kufijve të kufizuar, ose që shet energji elektrike të prodhuar vetë ose merr pjesë në skemat e fleksibilitetit ose të efiçencës së energjisë, me kusht që këto veprimtari të mos përbëjnë veprimtarinë e tij kryesore tregtare ose profesionale. Klientët fundorë të përdorimit që kualifikohen si klientë aktivë do të kenë një kapacitet maksimal gjenerues prej 500 kË dhe do të kenë të drejtë të veprojnë kështu pa iu nënshtruar kërkesave teknike disproporcionale ose diskriminuese, kërkesave administrative, procedurave dhe tarifave, si dhe tarifave të rrjetit që nuk janë kosto-reflektuese. Legjislacioni përkatës nënligjor, në formën e vendimit të Këshillit të Ministrave, do të zëvendësojë Udhëzimin e MIE Nr.3, datë 20.6.2019</w:t>
            </w:r>
            <w:r w:rsidRPr="002C19D9">
              <w:rPr>
                <w:rFonts w:ascii="Times New Roman" w:hAnsi="Times New Roman"/>
                <w:sz w:val="24"/>
                <w:szCs w:val="24"/>
                <w:lang w:val="it-IT"/>
              </w:rPr>
              <w:t xml:space="preserve"> </w:t>
            </w:r>
            <w:r w:rsidRPr="002C19D9">
              <w:rPr>
                <w:rFonts w:ascii="Times New Roman" w:hAnsi="Times New Roman"/>
                <w:bCs/>
                <w:sz w:val="24"/>
                <w:szCs w:val="24"/>
                <w:lang w:val="it-IT"/>
              </w:rPr>
              <w:t>për miratimin e procedurës së lehtësuar të autorizimit për lidhjen në sistemin e shpërndarjes të projekteve të vogla të rinovueshme për vetëprodhuesit e e energjisë elektrike nga dielli, si dhe do të parashikojë rregulla të detajuara për klientët aktivë.</w:t>
            </w:r>
          </w:p>
          <w:p w14:paraId="5D622314" w14:textId="77777777" w:rsidR="002C19D9" w:rsidRPr="002C19D9" w:rsidRDefault="002C19D9" w:rsidP="002C19D9">
            <w:pPr>
              <w:jc w:val="both"/>
              <w:rPr>
                <w:rFonts w:ascii="Times New Roman" w:hAnsi="Times New Roman"/>
                <w:bCs/>
                <w:sz w:val="24"/>
                <w:szCs w:val="24"/>
                <w:lang w:val="it-IT"/>
              </w:rPr>
            </w:pPr>
          </w:p>
          <w:p w14:paraId="18E8AB4E"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Neni 80/1 është shtuar për të reflektuar rregullat e përgjithshme për kontratat dinamike të çmimeve të energjisë elektrike. Kontrata dinamike e çmimit të energjisë elektrike nënkupton një kontratë furnizimi midis një furnizuesi dhe një klienti fundor përdorimi që pasqyron variacionin e çmimit në tregjet korrente, duke përfshirë tregjet e ditës në avancë dhe brenda të njëjtës ditë, në intervale të paktën të barabarta me frekuencën e caktuar të tregut. Furnizuesi i ngarkuar me detyrimin e shërbimit të furnizimit universal dhe çdo furnizues që ka më shumë se 200,000 klientë fundorë do t’i ofrojë çdo klienti fundor të pajisur me matës inteligjent mundësinë për të lidhur një kontratë dinamike të çmimit të energjisë elektrike. Legjislacioni përkatës nënligjor do të përshtatet për të reflektuar detyrimin e furnizuesit për të ofruar kontrata dinamike të çmimeve të energjisë elektrike.</w:t>
            </w:r>
          </w:p>
          <w:p w14:paraId="31009E89"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Neni 80/2 është shtuar për të reflektuar rregullat dhe parimet e përgjithshme në lidhje me agregimin. Agregim nënkupton një funksion të kryer nga një person fizik ose juridik i cili kombinon disa ngarkesa të klientëve ose energji elektrike të prodhuar për shitje, blerje ose ankand në çdo treg të energjisë elektrike. Në përputhje me reagimet e subjekteve të interesuara, shtesa ligjore prezanton opsionin për të lëshuar licenca agregimi ose detyrimin për t’u regjistruar dhe për të kërkuar që të gjithë personat juridikë që kryejnë agregim të zbatojnë detyrimisht rregulloret e detajuara të publikuara nga ERE. Legjislacioni përkatës nënligjor do të parashikojë rregulla të detajuara, duke përfshirë kushtet dhe procedurat opcionale të licencimit ose regjistrimit.</w:t>
            </w:r>
          </w:p>
          <w:p w14:paraId="7FCEC761" w14:textId="77777777" w:rsidR="002C19D9" w:rsidRPr="002C19D9" w:rsidRDefault="002C19D9" w:rsidP="002C19D9">
            <w:pPr>
              <w:jc w:val="both"/>
              <w:rPr>
                <w:rFonts w:ascii="Times New Roman" w:hAnsi="Times New Roman"/>
                <w:bCs/>
                <w:sz w:val="24"/>
                <w:szCs w:val="24"/>
                <w:lang w:val="it-IT"/>
              </w:rPr>
            </w:pPr>
          </w:p>
          <w:p w14:paraId="3AC3DDBB"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lastRenderedPageBreak/>
              <w:t xml:space="preserve">Neni 80/3 është shtuar për të reflektuar rregullat e përgjithshme në lidhje me mjetet e krahasimit të çmimeve. Duke qenë se ERE operon tashmë një mjet krahasimi, aktualisht është i zbatueshëm opsioni i përjashtimit i parashikuar në pikën “b” të paragrafit 6 të nenit 14 të Direktivës së Energjisë Elektrike (BE) 2019/944 (riformuluar). Ky opsion mund të vazhdojë nëse ERE cakton një autoritet ose organ tjetër publik për të operuar mjetin. Kjo shtesë ligjore i lejon ERE-s të delegojë funksionimin e mjetit të krahasimit tek një organ tjetër. Mjeti i krahasimit i operuar nga ERE duhet të jetë në përputhje me kërkesat e përcaktuara në paragrafin 1 të nenit 14 të Direktivës së Energjisë Elektrike (BE) 2019/944 (riformuluar). </w:t>
            </w:r>
          </w:p>
          <w:p w14:paraId="071E34C4" w14:textId="77777777" w:rsidR="002C19D9" w:rsidRPr="002C19D9" w:rsidRDefault="002C19D9" w:rsidP="002C19D9">
            <w:pPr>
              <w:jc w:val="both"/>
              <w:rPr>
                <w:rFonts w:ascii="Times New Roman" w:hAnsi="Times New Roman"/>
                <w:bCs/>
                <w:sz w:val="24"/>
                <w:szCs w:val="24"/>
                <w:lang w:val="it-IT"/>
              </w:rPr>
            </w:pPr>
          </w:p>
          <w:p w14:paraId="2CDAF0E9"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Neni 80/4 është shtuar për të reflektuar rregullat dhe parimet e përgjithshme në lidhje me informacionin minimal që duhet të përfshihet në faturat dhe në informacionin e faturimit. Legjislacioni përkatës nënligjor, veçanërisht Rregullorja mbi Miratimin e Kushteve të Përgjithshme të Shërbimit të Furnizimit me Energji Elektrike për Klientët Fundorë,miratuar me vendimin Nr.203, datë 18.12.2017, të ERE-s, ose një rregullore e veçantë e ERE-s, do të parashikojë rregulla të detajuara që rrjedhin nga neni 18 dhe aneksi I i Direktivës së Energjisë Elektrike (BE) 2019/944 (riformuluar).</w:t>
            </w:r>
          </w:p>
          <w:p w14:paraId="6658ECD7" w14:textId="77777777" w:rsidR="002C19D9" w:rsidRPr="002C19D9" w:rsidRDefault="002C19D9" w:rsidP="002C19D9">
            <w:pPr>
              <w:jc w:val="both"/>
              <w:rPr>
                <w:rFonts w:ascii="Times New Roman" w:hAnsi="Times New Roman"/>
                <w:bCs/>
                <w:sz w:val="24"/>
                <w:szCs w:val="24"/>
                <w:lang w:val="it-IT"/>
              </w:rPr>
            </w:pPr>
          </w:p>
          <w:p w14:paraId="7C82D7E8"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Neni 80/5 është shtuar për të reflektuar konceptin dhe rregullat e përgjithshme në lidhje me komunitetet e qytetarëve të energjisë. Komuniteti i qytetarëve të energjisë nënkupton një person juridik që bazohet në pjesëmarrjen vullnetare dhe të hapur dhe që kontrollohet efektivisht nga anëtarët ose aksionarët që janë persona fizikë, autoritetet lokale, duke përfshirë bashkitë, ose ndërmarrjet e vogla; që ka për qëllim parësor t’i sigurojë përfitime komunitetit mjedisore, ekonomik ose social për anëtarët ose aksionarët e tij ose për zonat lokale ku operon, se sa të gjenerojë fitime financiare; dhe që mund të angazhohet në prodhimin, duke përfshirë nga burimet e rinovueshme, shpërndarjen, furnizimin, konsumin, agregimin, depozitimin e energjisë, shërbimet e efikasitetit të energjisë ose funksionimin e pikës së rikarikimit ose të ofrojë shërbime të tjera energjetike për anëtarët ose aksionarët e tij. Legjislacioni përkatës nënligjor, në formën e një udhëzimi të Ministrisë, do të parashikojë rregulla të detajuara në lidhje me komunitetet e qytetarëve të energjisë.</w:t>
            </w:r>
          </w:p>
          <w:p w14:paraId="42A1DD63" w14:textId="77777777" w:rsidR="002C19D9" w:rsidRPr="002C19D9" w:rsidRDefault="002C19D9" w:rsidP="002C19D9">
            <w:pPr>
              <w:jc w:val="both"/>
              <w:rPr>
                <w:rFonts w:ascii="Times New Roman" w:hAnsi="Times New Roman"/>
                <w:bCs/>
                <w:sz w:val="24"/>
                <w:szCs w:val="24"/>
                <w:lang w:val="it-IT"/>
              </w:rPr>
            </w:pPr>
          </w:p>
          <w:p w14:paraId="56B6ED6A"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xml:space="preserve">Neni 81 është ndryshuar për të përafruar me </w:t>
            </w:r>
            <w:r w:rsidRPr="002C19D9">
              <w:rPr>
                <w:rFonts w:ascii="Times New Roman" w:hAnsi="Times New Roman"/>
                <w:bCs/>
                <w:i/>
                <w:iCs/>
                <w:sz w:val="24"/>
                <w:szCs w:val="24"/>
                <w:lang w:val="it-IT"/>
              </w:rPr>
              <w:t>acquis</w:t>
            </w:r>
            <w:r w:rsidRPr="002C19D9">
              <w:rPr>
                <w:rFonts w:ascii="Times New Roman" w:hAnsi="Times New Roman"/>
                <w:bCs/>
                <w:sz w:val="24"/>
                <w:szCs w:val="24"/>
                <w:lang w:val="it-IT"/>
              </w:rPr>
              <w:t xml:space="preserve"> e BE-së të drejtat bazë kontraktuale të klientëve përkundrejt furnitorëve. Rrjedhimisht, furnitorët do t’u ofrojnë klientëve fundorë një zgjedhje të gjerë mënyrash pagese, duke siguruar që metoda të tilla të mos bëjnë dallime të padrejta midis klientëve. Çdo ndryshim në tarifat në lidhje me mënyrat e pagesës ose sistemet e parapagimit duhet të jetë objektiv, jodiskriminues dhe proporcional dhe nuk duhet të kalojë kostot direkte të përballuara nga klientët fundorë të përdorimit për përdorimin e një mënyre specifike pagese ose një sistemi parapagese. Për më tepër, klientët familjarë me akses në sistemet e parapagimit nuk do të vihen në disavantazh nga këto sisteme. Ndryshimi ligjor lejon tarifat për daljen nga një sistem, siç parashikohet në nenin 88 të LSE-së, duke mbajtur parasysh këtu reagimet e subjekteve të interesuara. Legjislacioni përkatës nënligjor do të rishikohet dhe përshtatet për të pasqyruar rregullat e detajuara në lidhje me të drejtat bazë kontraktuale.</w:t>
            </w:r>
          </w:p>
          <w:p w14:paraId="42BEDC2A" w14:textId="77777777" w:rsidR="002C19D9" w:rsidRPr="002C19D9" w:rsidRDefault="002C19D9" w:rsidP="002C19D9">
            <w:pPr>
              <w:jc w:val="both"/>
              <w:rPr>
                <w:rFonts w:ascii="Times New Roman" w:hAnsi="Times New Roman"/>
                <w:bCs/>
                <w:sz w:val="24"/>
                <w:szCs w:val="24"/>
                <w:lang w:val="it-IT"/>
              </w:rPr>
            </w:pPr>
          </w:p>
          <w:p w14:paraId="2F111D3D" w14:textId="5F47CE25"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xml:space="preserve">Nenet 83 dhe 85 janë ndryshuar për të rishikuar objektin e përfituesve që kanë të drejtë të furnizohen sipas shërbimit universal të furnizimit. </w:t>
            </w:r>
            <w:r w:rsidRPr="002C19D9">
              <w:rPr>
                <w:rFonts w:ascii="Times New Roman" w:hAnsi="Times New Roman"/>
                <w:bCs/>
                <w:i/>
                <w:iCs/>
                <w:sz w:val="24"/>
                <w:szCs w:val="24"/>
                <w:lang w:val="it-IT"/>
              </w:rPr>
              <w:t>Acquis</w:t>
            </w:r>
            <w:r w:rsidRPr="002C19D9">
              <w:rPr>
                <w:rFonts w:ascii="Times New Roman" w:hAnsi="Times New Roman"/>
                <w:bCs/>
                <w:sz w:val="24"/>
                <w:szCs w:val="24"/>
                <w:lang w:val="it-IT"/>
              </w:rPr>
              <w:t xml:space="preserve"> e BE-së lejon parashikimin dhe zbatimin e masave të përcaktimit të çmimeve, si një përjashtim i lejuar, në lidhje me furnizimin e klientëve familjarë në nevojë, në varësi të kushteve të përshkruara në paragrafin 4 të nenit 85 të LSE-së. Baza e të dhënave për identifikimin e klientëve familjarë në nevojë duhet të jetë i disponueshëm sipas nenit 95 të LSE-së. Për më tepër, </w:t>
            </w:r>
            <w:r w:rsidRPr="002C19D9">
              <w:rPr>
                <w:rFonts w:ascii="Times New Roman" w:hAnsi="Times New Roman"/>
                <w:bCs/>
                <w:i/>
                <w:iCs/>
                <w:sz w:val="24"/>
                <w:szCs w:val="24"/>
                <w:lang w:val="it-IT"/>
              </w:rPr>
              <w:t>acquis</w:t>
            </w:r>
            <w:r w:rsidRPr="002C19D9">
              <w:rPr>
                <w:rFonts w:ascii="Times New Roman" w:hAnsi="Times New Roman"/>
                <w:bCs/>
                <w:sz w:val="24"/>
                <w:szCs w:val="24"/>
                <w:lang w:val="it-IT"/>
              </w:rPr>
              <w:t xml:space="preserve"> e BE-së lejon aplikimin e përcaktimit të çmimeve për një gamë më të gjerë klientësh fundorë, duke përfshirë klientët familjarë dhe mikrondërmarrjet, në varësi të kushteve të specifikuara në paragrafin 5 të nenit 85 të LSE-së. Megjithatë, bazuar në sugjerimet e subjekteve të interesuara, aplikimi i kategorive të klientëve (si përfitues të masave të përcaktimit të çmimeve) sipas </w:t>
            </w:r>
            <w:r w:rsidRPr="002C19D9">
              <w:rPr>
                <w:rFonts w:ascii="Times New Roman" w:hAnsi="Times New Roman"/>
                <w:bCs/>
                <w:i/>
                <w:iCs/>
                <w:sz w:val="24"/>
                <w:szCs w:val="24"/>
                <w:lang w:val="it-IT"/>
              </w:rPr>
              <w:t>acquis</w:t>
            </w:r>
            <w:r w:rsidRPr="002C19D9">
              <w:rPr>
                <w:rFonts w:ascii="Times New Roman" w:hAnsi="Times New Roman"/>
                <w:bCs/>
                <w:sz w:val="24"/>
                <w:szCs w:val="24"/>
                <w:lang w:val="it-IT"/>
              </w:rPr>
              <w:t xml:space="preserve"> të BE-së mund të paraqesë sfida në kontekstin e Shqipërisë. Meqenëse masat aktuale të përcaktimit të çmimeve janë të diferencuara në bazë të tensionit (voltazhit) </w:t>
            </w:r>
            <w:r w:rsidRPr="002C19D9">
              <w:rPr>
                <w:rFonts w:ascii="Times New Roman" w:hAnsi="Times New Roman"/>
                <w:bCs/>
                <w:sz w:val="24"/>
                <w:szCs w:val="24"/>
                <w:lang w:val="it-IT"/>
              </w:rPr>
              <w:lastRenderedPageBreak/>
              <w:t>të lidhur, bazat përkatëse të të dhënave të nevojshme për të identifikuar klientët familjarë dhe mikrondërmarrjet mund të jenë aktualisht jo të plota. Për të adresuar këtë çështje, ndryshimi ligjor parashikon një detyrim vetëdeklarimi për klientët në lidhje me të dhënat përkatëse që nuk disponohen nga ofruesi i shërbimit universal. Aktet nënligjore përkatëse, veçanërisht Vendimi i Këshillit të Ministrave nr. 456, datë 29.06.2022 Për Miratimin e Kushteve për</w:t>
            </w:r>
            <w:r w:rsidR="00172C76">
              <w:rPr>
                <w:rFonts w:ascii="Times New Roman" w:hAnsi="Times New Roman"/>
                <w:bCs/>
                <w:sz w:val="24"/>
                <w:szCs w:val="24"/>
                <w:lang w:val="it-IT"/>
              </w:rPr>
              <w:t xml:space="preserve"> </w:t>
            </w:r>
            <w:r w:rsidRPr="002C19D9">
              <w:rPr>
                <w:rFonts w:ascii="Times New Roman" w:hAnsi="Times New Roman"/>
                <w:bCs/>
                <w:sz w:val="24"/>
                <w:szCs w:val="24"/>
                <w:lang w:val="it-IT"/>
              </w:rPr>
              <w:t>Vendosjen e Detyrimit të Shërbimit Publik, që do të Zbatohet ndaj të Licencuarve në Sektorin e Energjisë Elektrike, të cilët  Ushtrojnë Aktivitetin e Prodhimit, Transmetimit, Shpërndarjes dhe Furnizimit me Energji Elektrike, do të rishikohen dhe rregullohen në përputhje me ndryshimet ligjore.</w:t>
            </w:r>
          </w:p>
          <w:p w14:paraId="3E9B68CE"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Neni 86 ndryshohet për të transferuar dispozitat e detajuara në lidhje me furnizuesin e mundësisë së fundit në legjislacionin përkatës nënligjor, veçanërisht tek Rregullorja mbi Miratimin e Rregullave për Kushtet e Shërbimit të Furnizimit nga Furnizuesi I Mundësisë së Fundit dhe Kushtet Kontraktore të Furnizimit me Energji Elektrike, miratuar me vendimin nr. 247, datë 11.12.2018, të ERE-s.</w:t>
            </w:r>
          </w:p>
          <w:p w14:paraId="6B1070CA"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xml:space="preserve">Neni 87 ndryshohet për të transferuar dispozitat e detajuara në lidhje me furnizuesin e mundësisë së fundit në aktet nënligjore përkatëse, veçanërisht në Vendimin e Këshillit të Ministrave nr. 449, datë 15.06.2016 për Miratimin e Kushteve dhe të  Procedurave për Përcaktimin e Furnizuesit të Mundësisë së Fundit të Energjisë Elektrike dhe Rregulloren mbi Miratimin e Rregullave për Kushtet e Shërbimit të Furnizimit nga Furnizuesi I Mundësisë së Fundit dhe Kushtet Kontraktore të Furnizimit me Energji Elektrike, miratuar me vendimin nr. 247, datë 11.12.2018, të ERE-s. </w:t>
            </w:r>
          </w:p>
          <w:p w14:paraId="70C3D9EF"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Neni 88 është ndryshuar për të reflektuar rregullat e përgjithshme në lidhje me ndërrimin e furnitorëve. Rregullat për ndërrimin e furnizuesit të energjisë elektrike duhet të sigurojnë që e drejta për të ndërruar furnizues t’u jepet të gjithë klientëve në mënyrë jodiskriminuese për sa i përket kostos, përpjekjes dhe kohës. Klientët familjarë kanë të drejtë të marrin pjesë në skemat e ndërrimit kolektiv. Rregullat për ndërrimin e furnizuesve të energjisë elektrike duhet të sigurojnë në lidhje me skemat e ndërrimit kolektiv mbrojtjen maksimale të klientëve për të shmangur çdo praktikë abuzive dhe barrierë të pajustifikuar administrative. Ndërrimi i furnitorëve do të kryhet brenda një kohe sa më të shkurtër. Çdo klient që dëshiron të ndërrojë furnizues, duke respektuar kushtet kontraktuale, ka të drejtë për një ndërrimi të tillë brenda një kohe maksimale prej tre javësh nga data e kërkesës. Procesi teknik i ndërrimit të furnizuesit do të zgjasë jo më shumë se 24 orë dhe do të jetë i mundur në çdo ditë pune jo më vonë se: 1 janar 2026 për klientët që u shërbehet një nivel tensioni ndërmjet 6 kV dhe 35 kV; dhe 5 korrik 2031 për klientët që u shërbehet një nivel tensioni nën 1 kV. Afati i veçantë për ndërrimin 24-orësh të furnizuesit për klientët e tensionit të mesëm dhe të tensionit të ulët është futur në përgjigje të reagimeve të subjekteve të interesuara. Legjislacioni përkatës nënligjor, veçanërisht Rregullorja mbi miratimin e Rregullores për Ndryshimin e Furnizuesit të Energjisë Elektrike,miratuar me vendimin  nr. 113, datë 08.07.2016, të ERE-s, do të rishikohet dhe përshtatet për të pasqyruar këto ndryshime ligjore dhe për të parashikuar rregulla të detajuara.</w:t>
            </w:r>
          </w:p>
          <w:p w14:paraId="248C9D0A"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Pjesa e shtatë “Klientët dhe mbrojtja e tyre”</w:t>
            </w:r>
          </w:p>
          <w:p w14:paraId="41713BCF"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Neni 94 ndryshohet për t’u dhënë të gjithë klientëve të drejtën për të pasur më shumë se një kontratë furnizimi me energji elektrike njëkohësisht. Legjislacioni përkatës nënligjor, veçanërisht Rregullorja mbi Miratimin e Kushteve të Përgjithshme të Shërbimit të Furnizimit me Energji Elektrike për Klientët Fundorë,miratuar me vendimin Nr.203, datë 18.12.2017, të ERE-s,, do të rishikohet dhe përshtatet në përputhje me ndryshimet ligjore.</w:t>
            </w:r>
          </w:p>
          <w:p w14:paraId="3010505D"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xml:space="preserve">Neni 95 është ndryshuar për të përafruar kuadrin rregullator në lidhje me klientët në nevojë me </w:t>
            </w:r>
            <w:r w:rsidRPr="002C19D9">
              <w:rPr>
                <w:rFonts w:ascii="Times New Roman" w:hAnsi="Times New Roman"/>
                <w:bCs/>
                <w:i/>
                <w:iCs/>
                <w:sz w:val="24"/>
                <w:szCs w:val="24"/>
                <w:lang w:val="it-IT"/>
              </w:rPr>
              <w:t>acquis</w:t>
            </w:r>
            <w:r w:rsidRPr="002C19D9">
              <w:rPr>
                <w:rFonts w:ascii="Times New Roman" w:hAnsi="Times New Roman"/>
                <w:bCs/>
                <w:sz w:val="24"/>
                <w:szCs w:val="24"/>
                <w:lang w:val="it-IT"/>
              </w:rPr>
              <w:t xml:space="preserve"> të BE-së. Kriteret për të përfituar nga statusi i klientit në nevojë janë zgjeruar për të përfshirë tre elementë të rinj: numrin e familjeve në varfëri energjetike; moshën e klientit; dhe çdo kriter tjetër të miratuar nga Këshilli i Ministrave. Aktet nënligjore përkatëse, veçanërisht Vendimi i Këshillit të Ministrave nr. 456, datë 29.06.2022 Për Miratimin e Kushteve përVendosjen e Detyrimit të Shërbimit Publik, që do të Zbatohet ndaj të Licencuarve në Sektorin e Energjisë Elektrike, të cilët  Ushtrojnë Aktivitetin e Prodhimit, Transmetimit, Shpërndarjes dhe Furnizimit me Energji Elektrike, do të rishikohen dhe </w:t>
            </w:r>
            <w:r w:rsidRPr="002C19D9">
              <w:rPr>
                <w:rFonts w:ascii="Times New Roman" w:hAnsi="Times New Roman"/>
                <w:bCs/>
                <w:sz w:val="24"/>
                <w:szCs w:val="24"/>
                <w:lang w:val="it-IT"/>
              </w:rPr>
              <w:lastRenderedPageBreak/>
              <w:t>përshtaten për të pasqyruar këto ndryshime ligjore dhe për të parashikuar rregulla të detajuara. [Edir 2019 Artet 28-29]</w:t>
            </w:r>
          </w:p>
          <w:p w14:paraId="7CE7C34B"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Pjesa e tetë “Tregu i Energjisë Elektrike”</w:t>
            </w:r>
          </w:p>
          <w:p w14:paraId="623C0756" w14:textId="77777777" w:rsidR="002C19D9" w:rsidRPr="002C19D9" w:rsidRDefault="002C19D9" w:rsidP="002C19D9">
            <w:pPr>
              <w:jc w:val="both"/>
              <w:rPr>
                <w:rFonts w:ascii="Times New Roman" w:hAnsi="Times New Roman"/>
                <w:bCs/>
                <w:sz w:val="24"/>
                <w:szCs w:val="24"/>
                <w:lang w:val="it-IT"/>
              </w:rPr>
            </w:pPr>
            <w:r w:rsidRPr="002C19D9">
              <w:rPr>
                <w:rFonts w:ascii="Times New Roman" w:hAnsi="Times New Roman"/>
                <w:bCs/>
                <w:sz w:val="24"/>
                <w:szCs w:val="24"/>
                <w:lang w:val="it-IT"/>
              </w:rPr>
              <w:t xml:space="preserve">Neni 97 ndryshohet për të rishikuar konceptin dhe përkufizimin e tregjeve të energjisë elektrike, duke përfshirë propozimet e OST dhe ALPEX si dhe të </w:t>
            </w:r>
            <w:r w:rsidRPr="002C19D9">
              <w:rPr>
                <w:rFonts w:ascii="Times New Roman" w:hAnsi="Times New Roman"/>
                <w:bCs/>
                <w:i/>
                <w:iCs/>
                <w:sz w:val="24"/>
                <w:szCs w:val="24"/>
                <w:lang w:val="it-IT"/>
              </w:rPr>
              <w:t>acquis</w:t>
            </w:r>
            <w:r w:rsidRPr="002C19D9">
              <w:rPr>
                <w:rFonts w:ascii="Times New Roman" w:hAnsi="Times New Roman"/>
                <w:bCs/>
                <w:sz w:val="24"/>
                <w:szCs w:val="24"/>
                <w:lang w:val="it-IT"/>
              </w:rPr>
              <w:t xml:space="preserve"> të BE-së. Tregjet e energjisë elektrike nënkuptojnë tregjet për energjinë elektrike, duke përfshirë tregun e blerjes së lirë, tregun e organizuar të energjisë elektrike dhe tregun e derivativëve të energjisë elektrike, tregjet për tregtimin e energjisë, kapaciteteve, balancimit dhe shërbimeve ndihmëse në të gjitha afatet kohore, duke përfshirë tregjet për transaksione të ardhshme, tregjet e ditës në avancë dhe brenda të njëjtës ditë. Legjislacioni nënligjor përkatës, veçanërisht Vendimi i Këshillit të Ministrave nr. 519, datë 13.07.2016 për Miratimin e Modelit të Tregut të Energjisë Elektrike, i ndryshuar me Vendimin e Këshillit të Ministrave nr. 872, datë 27.12.2022, për disa Ndryshime dhe Shtesa në vendimin  nr. 519, datë 13.7.2016, të Këshillit të Ministrave,</w:t>
            </w:r>
            <w:r w:rsidRPr="002C19D9">
              <w:rPr>
                <w:rFonts w:ascii="Times New Roman" w:hAnsi="Times New Roman"/>
                <w:sz w:val="24"/>
                <w:szCs w:val="24"/>
                <w:lang w:val="it-IT"/>
              </w:rPr>
              <w:t xml:space="preserve"> </w:t>
            </w:r>
            <w:r w:rsidRPr="002C19D9">
              <w:rPr>
                <w:rFonts w:ascii="Times New Roman" w:hAnsi="Times New Roman"/>
                <w:bCs/>
                <w:sz w:val="24"/>
                <w:szCs w:val="24"/>
                <w:lang w:val="it-IT"/>
              </w:rPr>
              <w:t>për Miratimin e Modelit të Tregut të Energjisë Elektrike do të rishikohet dhe përshtatet në përputhje me ndryshimet ligjore.</w:t>
            </w:r>
          </w:p>
          <w:p w14:paraId="33F24815" w14:textId="77777777" w:rsidR="002C19D9" w:rsidRPr="002C19D9" w:rsidRDefault="002C19D9" w:rsidP="002C19D9">
            <w:pPr>
              <w:jc w:val="both"/>
              <w:rPr>
                <w:rFonts w:ascii="Times New Roman" w:hAnsi="Times New Roman"/>
                <w:bCs/>
                <w:sz w:val="24"/>
                <w:szCs w:val="24"/>
                <w:lang w:val="pt-PT"/>
              </w:rPr>
            </w:pPr>
            <w:r w:rsidRPr="002C19D9">
              <w:rPr>
                <w:rFonts w:ascii="Times New Roman" w:hAnsi="Times New Roman"/>
                <w:bCs/>
                <w:sz w:val="24"/>
                <w:szCs w:val="24"/>
                <w:lang w:val="it-IT"/>
              </w:rPr>
              <w:t xml:space="preserve">Neni 97/1 shtohet për të rishikuar nenin 57 të mëparshëm të LSE-së. Kjo shtesë rishikon konceptin e Operatorit të Tregut për të pasqyruar zhvillimet në tregun e energjisë elektrike në Shqipëri, duke marrë parasysh konsultimet me subjektet e interesuara. Ai përafron dispozitat në lidhje me tregjet e energjisë elektrike dhe Operatorin e Tregut brenda LSE-së. </w:t>
            </w:r>
            <w:r w:rsidRPr="002C19D9">
              <w:rPr>
                <w:rFonts w:ascii="Times New Roman" w:hAnsi="Times New Roman"/>
                <w:bCs/>
                <w:sz w:val="24"/>
                <w:szCs w:val="24"/>
                <w:lang w:val="pt-PT"/>
              </w:rPr>
              <w:t>Komentet e subjekteve të interesuara janë zbatuar për të mos deleguar te licenca NEMO, pasi Operatori i Tregut dhe NEMO janë koncepte të veçanta. Për më tepër, shtesa lejon që Operatori i Tregut të jetë një palë tjetër përveç ALPEX, siç rekomandohet nga subjektet e interesuara. Në përputhje me reagimet e subjekteve të interesuara, neni ruan gjithashtu nivelin aktual të detajeve për delegimin tek LSE-ja, ndërsa heq detajet për aksionarët e Operatorit të Tregut.</w:t>
            </w:r>
          </w:p>
          <w:p w14:paraId="70C41F4C" w14:textId="77777777" w:rsidR="002C19D9" w:rsidRPr="002C19D9" w:rsidRDefault="002C19D9" w:rsidP="002C19D9">
            <w:pPr>
              <w:jc w:val="both"/>
              <w:rPr>
                <w:rFonts w:ascii="Times New Roman" w:hAnsi="Times New Roman"/>
                <w:bCs/>
                <w:sz w:val="24"/>
                <w:szCs w:val="24"/>
                <w:lang w:val="pt-PT"/>
              </w:rPr>
            </w:pPr>
            <w:r w:rsidRPr="002C19D9">
              <w:rPr>
                <w:rFonts w:ascii="Times New Roman" w:hAnsi="Times New Roman"/>
                <w:bCs/>
                <w:sz w:val="24"/>
                <w:szCs w:val="24"/>
                <w:lang w:val="pt-PT"/>
              </w:rPr>
              <w:t xml:space="preserve">Neni 98 është ndryshuar për të reflektuar parimet e lidhura me rregullat e tregut të parashikuara nga </w:t>
            </w:r>
            <w:r w:rsidRPr="002C19D9">
              <w:rPr>
                <w:rFonts w:ascii="Times New Roman" w:hAnsi="Times New Roman"/>
                <w:bCs/>
                <w:i/>
                <w:iCs/>
                <w:sz w:val="24"/>
                <w:szCs w:val="24"/>
                <w:lang w:val="pt-PT"/>
              </w:rPr>
              <w:t>acquis</w:t>
            </w:r>
            <w:r w:rsidRPr="002C19D9">
              <w:rPr>
                <w:rFonts w:ascii="Times New Roman" w:hAnsi="Times New Roman"/>
                <w:bCs/>
                <w:sz w:val="24"/>
                <w:szCs w:val="24"/>
                <w:lang w:val="pt-PT"/>
              </w:rPr>
              <w:t xml:space="preserve"> e BE-së. Legjislacioni nënligjor përkatës, veçanërisht Vendimi i Këshillit të Ministrave nr. 519, datë 13.07.2016 për Miratimin e Modelit të Tregut të Energjisë Elektrike, i ndryshuar me Vendimin e Këshillit të Ministrave nr.872, datë 27.12.2022, për disa Ndryshime dhe Shtesa në vendimin  nr. 519, datë 13.7.2016, të Këshillit të Ministrave, për Miratimin e Modelit të Tregut të Energjisë Elektrike ,Rregullorja për miratimin e Rregullave të Tregut të Energjisë Elektrike(Rregullat e Alpex Përkufizimet, Procedura e Tregtimit si dhe Procedura e Kierimit dhe Shlyerjes), miratuar me vendim</w:t>
            </w:r>
            <w:r w:rsidRPr="002C19D9">
              <w:rPr>
                <w:rFonts w:ascii="Times New Roman" w:hAnsi="Times New Roman"/>
                <w:sz w:val="24"/>
                <w:szCs w:val="24"/>
                <w:lang w:val="pt-PT"/>
              </w:rPr>
              <w:t xml:space="preserve"> </w:t>
            </w:r>
            <w:r w:rsidRPr="002C19D9">
              <w:rPr>
                <w:rFonts w:ascii="Times New Roman" w:hAnsi="Times New Roman"/>
                <w:bCs/>
                <w:sz w:val="24"/>
                <w:szCs w:val="24"/>
                <w:lang w:val="pt-PT"/>
              </w:rPr>
              <w:t>nr. 347, datë 27.12.2024, të ERE-s   dhe Rregullorja mbi miratimin e Rregullave të Tregut  Shqiptar të Balancimit të Energjisë Elektrike, miratuar me vendimin</w:t>
            </w:r>
            <w:r w:rsidRPr="002C19D9">
              <w:rPr>
                <w:rFonts w:ascii="Times New Roman" w:hAnsi="Times New Roman"/>
                <w:sz w:val="24"/>
                <w:szCs w:val="24"/>
                <w:lang w:val="pt-PT"/>
              </w:rPr>
              <w:t xml:space="preserve"> </w:t>
            </w:r>
            <w:r w:rsidRPr="002C19D9">
              <w:rPr>
                <w:rFonts w:ascii="Times New Roman" w:hAnsi="Times New Roman"/>
                <w:bCs/>
                <w:sz w:val="24"/>
                <w:szCs w:val="24"/>
                <w:lang w:val="pt-PT"/>
              </w:rPr>
              <w:t>nr. 106, datë 02.07.2020, të ERE-s, do të rishikohen për të reflektuar e parashikuar rregulla të detajuara.</w:t>
            </w:r>
          </w:p>
          <w:p w14:paraId="2EF1A65D" w14:textId="77777777" w:rsidR="002C19D9" w:rsidRPr="002C19D9" w:rsidRDefault="002C19D9" w:rsidP="002C19D9">
            <w:pPr>
              <w:jc w:val="both"/>
              <w:rPr>
                <w:rFonts w:ascii="Times New Roman" w:hAnsi="Times New Roman"/>
                <w:bCs/>
                <w:sz w:val="24"/>
                <w:szCs w:val="24"/>
                <w:lang w:val="pt-PT"/>
              </w:rPr>
            </w:pPr>
          </w:p>
          <w:p w14:paraId="07880C17" w14:textId="77777777" w:rsidR="002C19D9" w:rsidRPr="002C19D9" w:rsidRDefault="002C19D9" w:rsidP="002C19D9">
            <w:pPr>
              <w:jc w:val="both"/>
              <w:rPr>
                <w:rFonts w:ascii="Times New Roman" w:hAnsi="Times New Roman"/>
                <w:bCs/>
                <w:sz w:val="24"/>
                <w:szCs w:val="24"/>
                <w:lang w:val="pt-PT"/>
              </w:rPr>
            </w:pPr>
            <w:r w:rsidRPr="002C19D9">
              <w:rPr>
                <w:rFonts w:ascii="Times New Roman" w:hAnsi="Times New Roman"/>
                <w:bCs/>
                <w:sz w:val="24"/>
                <w:szCs w:val="24"/>
                <w:lang w:val="pt-PT"/>
              </w:rPr>
              <w:t>Neni 98/1 është shtuar për të reflektuar rregullat dhe parimet e përgjithshme në lidhje me tregjet e ditës në avancë dhe brenda të njëjtës ditë. Legjislacioni përkatës nënligjor, veçanërisht Rregullorja për miratimin e Rregullave të Tregut të Energjisë Elektrike(Rregullat e Alpex Përkufizimet, Procedura e Tregtimit si dhe Procedura e Kierimit dhe Shlyerjes), miratuar me vendim nr. 347, datë 27.12.2024, të ERE-s do të rishikohet për të parashikuar rregulla të detajuara.</w:t>
            </w:r>
          </w:p>
          <w:p w14:paraId="09447AB7" w14:textId="77777777" w:rsidR="002C19D9" w:rsidRPr="002C19D9" w:rsidRDefault="002C19D9" w:rsidP="002C19D9">
            <w:pPr>
              <w:jc w:val="both"/>
              <w:rPr>
                <w:rFonts w:ascii="Times New Roman" w:hAnsi="Times New Roman"/>
                <w:bCs/>
                <w:sz w:val="24"/>
                <w:szCs w:val="24"/>
                <w:lang w:val="pt-PT"/>
              </w:rPr>
            </w:pPr>
            <w:r w:rsidRPr="002C19D9">
              <w:rPr>
                <w:rFonts w:ascii="Times New Roman" w:hAnsi="Times New Roman"/>
                <w:bCs/>
                <w:sz w:val="24"/>
                <w:szCs w:val="24"/>
                <w:lang w:val="pt-PT"/>
              </w:rPr>
              <w:t>Neni 98/2 është futur për të reflektuar kërkesat e përgjithshme në lidhje me tregjet për transaksionet e ardhshme. Legjislacioni përkatës nënligjor, veçanërisht Rregullorja mbi Miratimin e Rregullave të Harmonizuara të Alokimit të Kapaciteteve të Interkoneksionit për Zyrën e Koordinimit të Ankandeve në Evropën Juglindore (SEE CAO), për Kufijtë Shqipëri-Greqi, Shqipëri- Mal i Zi dhe Shqipëri- Kosovë, miratuar me vendimin Nr. 197, datë 26.11.2020, të ERE-s në përputhje me nenin 51 të Rregullores së Komisionit (BE) 2016/1719 të datës 26 shtator 2016 që përcakton një udhëzues për shpërndarjen e kapaciteteve, do të rishikohet për të parashikuar rregulla të detajuara.</w:t>
            </w:r>
          </w:p>
          <w:p w14:paraId="23248657" w14:textId="77777777" w:rsidR="002C19D9" w:rsidRPr="002C19D9" w:rsidRDefault="002C19D9" w:rsidP="002C19D9">
            <w:pPr>
              <w:jc w:val="both"/>
              <w:rPr>
                <w:rFonts w:ascii="Times New Roman" w:hAnsi="Times New Roman"/>
                <w:bCs/>
                <w:sz w:val="24"/>
                <w:szCs w:val="24"/>
                <w:lang w:val="pt-PT"/>
              </w:rPr>
            </w:pPr>
            <w:r w:rsidRPr="002C19D9">
              <w:rPr>
                <w:rFonts w:ascii="Times New Roman" w:hAnsi="Times New Roman"/>
                <w:bCs/>
                <w:sz w:val="24"/>
                <w:szCs w:val="24"/>
                <w:lang w:val="pt-PT"/>
              </w:rPr>
              <w:t xml:space="preserve">Neni 99 është ndryshuar për të reflektuar </w:t>
            </w:r>
            <w:r w:rsidRPr="002C19D9">
              <w:rPr>
                <w:rFonts w:ascii="Times New Roman" w:hAnsi="Times New Roman"/>
                <w:bCs/>
                <w:i/>
                <w:iCs/>
                <w:sz w:val="24"/>
                <w:szCs w:val="24"/>
                <w:lang w:val="pt-PT"/>
              </w:rPr>
              <w:t>acquis</w:t>
            </w:r>
            <w:r w:rsidRPr="002C19D9">
              <w:rPr>
                <w:rFonts w:ascii="Times New Roman" w:hAnsi="Times New Roman"/>
                <w:bCs/>
                <w:sz w:val="24"/>
                <w:szCs w:val="24"/>
                <w:lang w:val="pt-PT"/>
              </w:rPr>
              <w:t xml:space="preserve"> e BE-së për përgjegjësinë e balancimit. Si rregull i përgjithshëm, të gjithë pjesëmarrësit e tregut janë përgjegjës për mosbalancimet që shkaktojnë në sistem. Megjithatë, mund të parashikohen përjashtime nga përgjegjësia për rruajtjen e balancimit tek projektet demonstruese, gjeneratorët e rinovueshëm më të vegjël se </w:t>
            </w:r>
            <w:r w:rsidRPr="002C19D9">
              <w:rPr>
                <w:rFonts w:ascii="Times New Roman" w:hAnsi="Times New Roman"/>
                <w:bCs/>
                <w:sz w:val="24"/>
                <w:szCs w:val="24"/>
                <w:lang w:val="pt-PT"/>
              </w:rPr>
              <w:lastRenderedPageBreak/>
              <w:t>sa 400 kË (më të vegjël se 200 kË nga viti 2026) dhe gjeneratorët e subvencionuar. Ndryshimi e reflekton këtë opsion përjashtimi në LSE për të ofruar fleksibilitet, pra ofron mundësinë për të përjashtuar prodhuesit e përzgjedhur nga përgjegjësia e balancimit në të ardhmen nëpërmjet një vendimi të Këshillit të Ministrave. Legjislacioni përkatës nënligjor, veçanërisht Vendimi i Këshillit të Ministrave nr. 398, datë 09.06.2022 për trajtimin e disbalancave të shkaktuar nga prodhuesit me përparësi  të energjisë elektrike dhe Rregullorja mbi miratimin e Rregullave të Tregut  Shqiptar të Balancimit të Energjisë Elektrike, miratuar me vendimin nr. 106, datë 02.07.2020, të ERE-s, do të rishikohen për të parashikuar rregulla të hollësishme.</w:t>
            </w:r>
          </w:p>
          <w:p w14:paraId="4B427280" w14:textId="77777777" w:rsidR="002C19D9" w:rsidRPr="002C19D9" w:rsidRDefault="002C19D9" w:rsidP="002C19D9">
            <w:pPr>
              <w:jc w:val="both"/>
              <w:rPr>
                <w:rFonts w:ascii="Times New Roman" w:hAnsi="Times New Roman"/>
                <w:bCs/>
                <w:sz w:val="24"/>
                <w:szCs w:val="24"/>
                <w:lang w:val="pt-PT"/>
              </w:rPr>
            </w:pPr>
            <w:r w:rsidRPr="002C19D9">
              <w:rPr>
                <w:rFonts w:ascii="Times New Roman" w:hAnsi="Times New Roman"/>
                <w:bCs/>
                <w:sz w:val="24"/>
                <w:szCs w:val="24"/>
                <w:lang w:val="pt-PT"/>
              </w:rPr>
              <w:t>Neni 100 është ndryshuar për të reflektuar rregullat dhe parimet e përgjithshme në lidhje me tregjet balancuese. Legjislacioni nënligjor përkatës, veçanërisht Rregullorja mbi miratimin e Rregullave të Tregut  Shqiptar të Balancimit të Energjisë Elektrike, miratuar me vendimin nr. 106, datë 02.07.2020, të ERE-s do të rishikohet për të reflektuar dhe parashikuar rregullat e detajuara.</w:t>
            </w:r>
          </w:p>
          <w:p w14:paraId="4F2F697F" w14:textId="77777777" w:rsidR="002C19D9" w:rsidRPr="002C19D9" w:rsidRDefault="002C19D9" w:rsidP="002C19D9">
            <w:pPr>
              <w:jc w:val="both"/>
              <w:rPr>
                <w:rFonts w:ascii="Times New Roman" w:hAnsi="Times New Roman"/>
                <w:bCs/>
                <w:sz w:val="24"/>
                <w:szCs w:val="24"/>
                <w:lang w:val="pt-PT"/>
              </w:rPr>
            </w:pPr>
            <w:r w:rsidRPr="002C19D9">
              <w:rPr>
                <w:rFonts w:ascii="Times New Roman" w:hAnsi="Times New Roman"/>
                <w:bCs/>
                <w:sz w:val="24"/>
                <w:szCs w:val="24"/>
                <w:lang w:val="pt-PT"/>
              </w:rPr>
              <w:t>• Pjesa e nëntë “Të drejtat pronësore”</w:t>
            </w:r>
          </w:p>
          <w:p w14:paraId="68EF1489" w14:textId="77777777" w:rsidR="002C19D9" w:rsidRPr="002C19D9" w:rsidRDefault="002C19D9" w:rsidP="002C19D9">
            <w:pPr>
              <w:jc w:val="both"/>
              <w:rPr>
                <w:rFonts w:ascii="Times New Roman" w:hAnsi="Times New Roman"/>
                <w:bCs/>
                <w:sz w:val="24"/>
                <w:szCs w:val="24"/>
                <w:lang w:val="pt-PT"/>
              </w:rPr>
            </w:pPr>
            <w:r w:rsidRPr="002C19D9">
              <w:rPr>
                <w:rFonts w:ascii="Times New Roman" w:hAnsi="Times New Roman"/>
                <w:bCs/>
                <w:sz w:val="24"/>
                <w:szCs w:val="24"/>
                <w:lang w:val="pt-PT"/>
              </w:rPr>
              <w:t>Nuk janë bërë ndryshime në këtë pjesë të LSE-së.</w:t>
            </w:r>
          </w:p>
          <w:p w14:paraId="36F3BF16" w14:textId="77777777" w:rsidR="002C19D9" w:rsidRPr="002C19D9" w:rsidRDefault="002C19D9" w:rsidP="002C19D9">
            <w:pPr>
              <w:jc w:val="both"/>
              <w:rPr>
                <w:rFonts w:ascii="Times New Roman" w:hAnsi="Times New Roman"/>
                <w:bCs/>
                <w:sz w:val="24"/>
                <w:szCs w:val="24"/>
                <w:lang w:val="pt-PT"/>
              </w:rPr>
            </w:pPr>
            <w:r w:rsidRPr="002C19D9">
              <w:rPr>
                <w:rFonts w:ascii="Times New Roman" w:hAnsi="Times New Roman"/>
                <w:bCs/>
                <w:sz w:val="24"/>
                <w:szCs w:val="24"/>
                <w:lang w:val="pt-PT"/>
              </w:rPr>
              <w:t>• Pjesa e dhjetë “Dispozita të tjera”</w:t>
            </w:r>
          </w:p>
          <w:p w14:paraId="3FF67760" w14:textId="77777777" w:rsidR="002C19D9" w:rsidRPr="002C19D9" w:rsidRDefault="002C19D9" w:rsidP="002C19D9">
            <w:pPr>
              <w:jc w:val="both"/>
              <w:rPr>
                <w:rFonts w:ascii="Times New Roman" w:hAnsi="Times New Roman"/>
                <w:bCs/>
                <w:sz w:val="24"/>
                <w:szCs w:val="24"/>
                <w:lang w:val="pt-PT"/>
              </w:rPr>
            </w:pPr>
            <w:r w:rsidRPr="002C19D9">
              <w:rPr>
                <w:rFonts w:ascii="Times New Roman" w:hAnsi="Times New Roman"/>
                <w:bCs/>
                <w:sz w:val="24"/>
                <w:szCs w:val="24"/>
                <w:lang w:val="pt-PT"/>
              </w:rPr>
              <w:t>Neni 107 ndryshohet për të rregulluar nivelin e gjobave administrative duke iu referuar Raportit të EnC-së për Vendin, konsultimeve me ERE-n dhe pikës “d” të paragrafit 3 të nenit 59 të Direktivës së Energjisë Elektrike (BE) 2019/944 (riformuluar). Bazuar në konsultimet me ERE-n, niveli i vendosur i gjobave administrative përafrohet me ato të parashikuara në kuadrin e zbatuar të REMIT sipas Rregullores mbi miratimin e rregullores për integrimin dhe Transparencën e tregut me shumicë  të energjisë, miratuar me vendimin nr. 126, datë 17.05.2021,të ERE-s. Legjislacioni nënligjor përkatës, veçanërisht, do të rishikohet dhe përshtatet në përputhje me ndryshimet ligjore.</w:t>
            </w:r>
          </w:p>
          <w:p w14:paraId="6D4E632E" w14:textId="77777777" w:rsidR="002C19D9" w:rsidRPr="002C19D9" w:rsidRDefault="002C19D9" w:rsidP="002C19D9">
            <w:pPr>
              <w:jc w:val="both"/>
              <w:rPr>
                <w:rFonts w:ascii="Times New Roman" w:hAnsi="Times New Roman"/>
                <w:bCs/>
                <w:sz w:val="24"/>
                <w:szCs w:val="24"/>
                <w:lang w:val="pt-PT"/>
              </w:rPr>
            </w:pPr>
            <w:r w:rsidRPr="002C19D9">
              <w:rPr>
                <w:rFonts w:ascii="Times New Roman" w:hAnsi="Times New Roman"/>
                <w:bCs/>
                <w:sz w:val="24"/>
                <w:szCs w:val="24"/>
                <w:lang w:val="pt-PT"/>
              </w:rPr>
              <w:t>Neni 108 ndryshohet për të harmonizuar listën e akteve nënligjore që do të miratohen në lidhje me ndryshimet e tjera të LSE-së.</w:t>
            </w:r>
          </w:p>
          <w:p w14:paraId="733FDC96" w14:textId="77777777" w:rsidR="002C19D9" w:rsidRPr="002C19D9" w:rsidRDefault="002C19D9" w:rsidP="002C19D9">
            <w:pPr>
              <w:jc w:val="both"/>
              <w:rPr>
                <w:rFonts w:ascii="Times New Roman" w:hAnsi="Times New Roman"/>
                <w:bCs/>
                <w:sz w:val="24"/>
                <w:szCs w:val="24"/>
                <w:lang w:val="pt-PT"/>
              </w:rPr>
            </w:pPr>
            <w:r w:rsidRPr="002C19D9">
              <w:rPr>
                <w:rFonts w:ascii="Times New Roman" w:hAnsi="Times New Roman"/>
                <w:bCs/>
                <w:sz w:val="24"/>
                <w:szCs w:val="24"/>
                <w:lang w:val="pt-PT"/>
              </w:rPr>
              <w:t>Neni 109 është ndryshuar për të pasqyruar zhvillimet e fundit të tregut bazuar në informacionin e dhënë në Raportin Vjetor 2023 të ERE-s dhe për të krijuar një lidhje me ndryshimet në nenin 85 të LSE-së. Prezantohet një paragraf i ri, bazuar në konsultimet me OST-në, për të përfshirë një afat dhe një bazë ligjore të qartë për ndërprerjen e përdoruesve që janë përdorues që nuk i përmbahen rregullave.</w:t>
            </w:r>
          </w:p>
          <w:p w14:paraId="7A7AF454" w14:textId="3C70755A" w:rsidR="00A6137F" w:rsidRPr="002C19D9" w:rsidRDefault="00A6137F" w:rsidP="002C19D9">
            <w:pPr>
              <w:tabs>
                <w:tab w:val="left" w:pos="60"/>
                <w:tab w:val="left" w:pos="540"/>
              </w:tabs>
              <w:jc w:val="both"/>
              <w:rPr>
                <w:rFonts w:ascii="Times New Roman" w:hAnsi="Times New Roman"/>
                <w:sz w:val="24"/>
                <w:szCs w:val="24"/>
                <w:lang w:val="pt-PT"/>
              </w:rPr>
            </w:pPr>
          </w:p>
        </w:tc>
      </w:tr>
    </w:tbl>
    <w:p w14:paraId="3A320FF0" w14:textId="77777777" w:rsidR="008675CA" w:rsidRPr="00154067" w:rsidRDefault="008675CA" w:rsidP="002C19D9">
      <w:pPr>
        <w:pStyle w:val="BodyText"/>
        <w:jc w:val="both"/>
        <w:rPr>
          <w:rFonts w:ascii="Times New Roman" w:hAnsi="Times New Roman"/>
          <w:i/>
          <w:sz w:val="24"/>
          <w:szCs w:val="24"/>
          <w:lang w:val="sq-AL"/>
        </w:rPr>
      </w:pPr>
    </w:p>
    <w:p w14:paraId="2D9A4CA5" w14:textId="77777777" w:rsidR="008675CA" w:rsidRPr="00154067" w:rsidRDefault="00E54C97" w:rsidP="002C19D9">
      <w:pPr>
        <w:pStyle w:val="BodyText"/>
        <w:jc w:val="both"/>
        <w:rPr>
          <w:rFonts w:ascii="Times New Roman" w:hAnsi="Times New Roman"/>
          <w:b/>
          <w:sz w:val="24"/>
          <w:szCs w:val="24"/>
          <w:lang w:val="sq-AL"/>
        </w:rPr>
      </w:pPr>
      <w:r w:rsidRPr="00154067">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154067" w14:paraId="6F85D1AB" w14:textId="77777777" w:rsidTr="00FE3A8D">
        <w:tc>
          <w:tcPr>
            <w:tcW w:w="9056" w:type="dxa"/>
          </w:tcPr>
          <w:p w14:paraId="410B064F" w14:textId="2CCBFFF9" w:rsidR="00092682" w:rsidRPr="002C19D9" w:rsidRDefault="00092682" w:rsidP="002C19D9">
            <w:pPr>
              <w:tabs>
                <w:tab w:val="left" w:pos="567"/>
              </w:tabs>
              <w:spacing w:after="120"/>
              <w:jc w:val="both"/>
              <w:rPr>
                <w:rFonts w:ascii="Times New Roman" w:hAnsi="Times New Roman"/>
                <w:sz w:val="24"/>
                <w:szCs w:val="24"/>
                <w:lang w:val="sq-AL"/>
              </w:rPr>
            </w:pPr>
            <w:r w:rsidRPr="002C19D9">
              <w:rPr>
                <w:rFonts w:ascii="Times New Roman" w:hAnsi="Times New Roman"/>
                <w:sz w:val="24"/>
                <w:szCs w:val="24"/>
                <w:lang w:val="sq-AL"/>
              </w:rPr>
              <w:t>Çështjet kryesore që mendojmë se duhet të diskutohen lidhur me këtë nismë</w:t>
            </w:r>
            <w:r w:rsidR="00CC56CF" w:rsidRPr="002C19D9">
              <w:rPr>
                <w:rFonts w:ascii="Times New Roman" w:hAnsi="Times New Roman"/>
                <w:sz w:val="24"/>
                <w:szCs w:val="24"/>
                <w:lang w:val="sq-AL"/>
              </w:rPr>
              <w:t xml:space="preserve"> ligjore</w:t>
            </w:r>
            <w:r w:rsidRPr="002C19D9">
              <w:rPr>
                <w:rFonts w:ascii="Times New Roman" w:hAnsi="Times New Roman"/>
                <w:sz w:val="24"/>
                <w:szCs w:val="24"/>
                <w:lang w:val="sq-AL"/>
              </w:rPr>
              <w:t xml:space="preserve"> janë:</w:t>
            </w:r>
          </w:p>
          <w:p w14:paraId="75609F3A" w14:textId="74626DEF" w:rsidR="00CB13AC" w:rsidRPr="002C19D9" w:rsidRDefault="00FD4B47" w:rsidP="002C19D9">
            <w:pPr>
              <w:pStyle w:val="ListParagraph"/>
              <w:numPr>
                <w:ilvl w:val="0"/>
                <w:numId w:val="86"/>
              </w:numPr>
              <w:jc w:val="both"/>
              <w:rPr>
                <w:rFonts w:ascii="Times New Roman" w:hAnsi="Times New Roman"/>
                <w:sz w:val="24"/>
                <w:szCs w:val="24"/>
                <w:lang w:val="sq-AL" w:eastAsia="en-US"/>
              </w:rPr>
            </w:pPr>
            <w:r w:rsidRPr="002C19D9">
              <w:rPr>
                <w:rFonts w:ascii="Times New Roman" w:hAnsi="Times New Roman"/>
                <w:sz w:val="24"/>
                <w:szCs w:val="24"/>
                <w:lang w:val="sq-AL"/>
              </w:rPr>
              <w:t xml:space="preserve">A mendoni se </w:t>
            </w:r>
            <w:r w:rsidR="005C53DA" w:rsidRPr="002C19D9">
              <w:rPr>
                <w:rFonts w:ascii="Times New Roman" w:hAnsi="Times New Roman"/>
                <w:sz w:val="24"/>
                <w:szCs w:val="24"/>
                <w:lang w:val="sq-AL"/>
              </w:rPr>
              <w:t>përmbajtja</w:t>
            </w:r>
            <w:r w:rsidR="00203E98" w:rsidRPr="002C19D9">
              <w:rPr>
                <w:rFonts w:ascii="Times New Roman" w:hAnsi="Times New Roman"/>
                <w:sz w:val="24"/>
                <w:szCs w:val="24"/>
                <w:lang w:val="sq-AL"/>
              </w:rPr>
              <w:t xml:space="preserve"> </w:t>
            </w:r>
            <w:r w:rsidR="005C53DA" w:rsidRPr="002C19D9">
              <w:rPr>
                <w:rFonts w:ascii="Times New Roman" w:hAnsi="Times New Roman"/>
                <w:sz w:val="24"/>
                <w:szCs w:val="24"/>
                <w:lang w:val="sq-AL"/>
              </w:rPr>
              <w:t>e</w:t>
            </w:r>
            <w:r w:rsidR="00A46EDE" w:rsidRPr="002C19D9">
              <w:rPr>
                <w:rFonts w:ascii="Times New Roman" w:hAnsi="Times New Roman"/>
                <w:sz w:val="24"/>
                <w:szCs w:val="24"/>
                <w:lang w:val="sq-AL"/>
              </w:rPr>
              <w:t xml:space="preserve"> </w:t>
            </w:r>
            <w:r w:rsidR="00745FB4" w:rsidRPr="002C19D9">
              <w:rPr>
                <w:rFonts w:ascii="Times New Roman" w:hAnsi="Times New Roman"/>
                <w:sz w:val="24"/>
                <w:szCs w:val="24"/>
                <w:lang w:val="sq-AL"/>
              </w:rPr>
              <w:t xml:space="preserve">projektligjit </w:t>
            </w:r>
            <w:r w:rsidR="000C3DE2" w:rsidRPr="002C19D9">
              <w:rPr>
                <w:rFonts w:ascii="Times New Roman" w:hAnsi="Times New Roman"/>
                <w:sz w:val="24"/>
                <w:szCs w:val="24"/>
                <w:lang w:val="sq-AL" w:eastAsia="en-US"/>
              </w:rPr>
              <w:t>“</w:t>
            </w:r>
            <w:r w:rsidR="002C19D9" w:rsidRPr="002C19D9">
              <w:rPr>
                <w:rFonts w:ascii="Times New Roman" w:hAnsi="Times New Roman"/>
                <w:sz w:val="24"/>
                <w:szCs w:val="24"/>
                <w:lang w:val="de-DE"/>
              </w:rPr>
              <w:t>Për disa shtesa dhe ndryshime në ligjin nr. 43/2015 “Për sektorin e energjisë elektrike</w:t>
            </w:r>
            <w:r w:rsidR="002C19D9" w:rsidRPr="002C19D9">
              <w:rPr>
                <w:rFonts w:ascii="Times New Roman" w:hAnsi="Times New Roman"/>
                <w:sz w:val="24"/>
                <w:szCs w:val="24"/>
                <w:lang w:val="sq-AL"/>
              </w:rPr>
              <w:t>”,</w:t>
            </w:r>
            <w:r w:rsidR="002C3679" w:rsidRPr="002C19D9">
              <w:rPr>
                <w:rFonts w:ascii="Times New Roman" w:hAnsi="Times New Roman"/>
                <w:sz w:val="24"/>
                <w:szCs w:val="24"/>
                <w:lang w:val="sq-AL"/>
              </w:rPr>
              <w:t xml:space="preserve"> </w:t>
            </w:r>
            <w:r w:rsidR="002E181A">
              <w:rPr>
                <w:rFonts w:ascii="Times New Roman" w:hAnsi="Times New Roman"/>
                <w:sz w:val="24"/>
                <w:szCs w:val="24"/>
                <w:lang w:val="sq-AL"/>
              </w:rPr>
              <w:t xml:space="preserve"> </w:t>
            </w:r>
            <w:r w:rsidR="0089745D">
              <w:rPr>
                <w:rFonts w:ascii="Times New Roman" w:hAnsi="Times New Roman"/>
                <w:sz w:val="24"/>
                <w:szCs w:val="24"/>
                <w:lang w:val="sq-AL"/>
              </w:rPr>
              <w:t>mund të arrijë objektivat e synuara</w:t>
            </w:r>
            <w:r w:rsidR="00CB13AC" w:rsidRPr="002C19D9">
              <w:rPr>
                <w:rFonts w:ascii="Times New Roman" w:hAnsi="Times New Roman"/>
                <w:sz w:val="24"/>
                <w:szCs w:val="24"/>
                <w:lang w:val="sq-AL"/>
              </w:rPr>
              <w:t>?</w:t>
            </w:r>
          </w:p>
          <w:p w14:paraId="04EB468E" w14:textId="295206E3" w:rsidR="00454C25" w:rsidRPr="002C19D9" w:rsidRDefault="00206A93" w:rsidP="002C19D9">
            <w:pPr>
              <w:widowControl w:val="0"/>
              <w:numPr>
                <w:ilvl w:val="0"/>
                <w:numId w:val="86"/>
              </w:numPr>
              <w:tabs>
                <w:tab w:val="left" w:pos="384"/>
              </w:tabs>
              <w:autoSpaceDE w:val="0"/>
              <w:autoSpaceDN w:val="0"/>
              <w:spacing w:before="1"/>
              <w:ind w:right="120"/>
              <w:rPr>
                <w:rFonts w:ascii="Times New Roman" w:hAnsi="Times New Roman"/>
                <w:sz w:val="24"/>
                <w:szCs w:val="24"/>
                <w:lang w:val="sq-AL"/>
              </w:rPr>
            </w:pPr>
            <w:r w:rsidRPr="002C19D9">
              <w:rPr>
                <w:rFonts w:ascii="Times New Roman" w:hAnsi="Times New Roman"/>
                <w:sz w:val="24"/>
                <w:szCs w:val="24"/>
                <w:lang w:val="sq-AL"/>
              </w:rPr>
              <w:t>A mendoni se ka elementë t</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tjer</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q</w:t>
            </w:r>
            <w:r w:rsidR="00EF567E" w:rsidRPr="002C19D9">
              <w:rPr>
                <w:rFonts w:ascii="Times New Roman" w:hAnsi="Times New Roman"/>
                <w:sz w:val="24"/>
                <w:szCs w:val="24"/>
                <w:lang w:val="sq-AL"/>
              </w:rPr>
              <w:t>ë</w:t>
            </w:r>
            <w:r w:rsidRPr="002C19D9">
              <w:rPr>
                <w:rFonts w:ascii="Times New Roman" w:hAnsi="Times New Roman"/>
                <w:sz w:val="24"/>
                <w:szCs w:val="24"/>
                <w:lang w:val="sq-AL"/>
              </w:rPr>
              <w:t xml:space="preserve"> duhet të përfshihen në </w:t>
            </w:r>
            <w:r w:rsidR="00277A31" w:rsidRPr="002C19D9">
              <w:rPr>
                <w:rFonts w:ascii="Times New Roman" w:hAnsi="Times New Roman"/>
                <w:sz w:val="24"/>
                <w:szCs w:val="24"/>
                <w:lang w:val="sq-AL"/>
              </w:rPr>
              <w:t xml:space="preserve">këtë </w:t>
            </w:r>
            <w:r w:rsidR="001F2C78" w:rsidRPr="002C19D9">
              <w:rPr>
                <w:rFonts w:ascii="Times New Roman" w:hAnsi="Times New Roman"/>
                <w:sz w:val="24"/>
                <w:szCs w:val="24"/>
                <w:lang w:val="sq-AL"/>
              </w:rPr>
              <w:t>projektligj</w:t>
            </w:r>
            <w:r w:rsidRPr="002C19D9">
              <w:rPr>
                <w:rFonts w:ascii="Times New Roman" w:hAnsi="Times New Roman"/>
                <w:sz w:val="24"/>
                <w:szCs w:val="24"/>
                <w:lang w:val="sq-AL"/>
              </w:rPr>
              <w:t>?</w:t>
            </w:r>
          </w:p>
          <w:p w14:paraId="3D4086F2" w14:textId="060D2F9E" w:rsidR="00E4497D" w:rsidRPr="00154067" w:rsidRDefault="00E4497D" w:rsidP="002C19D9">
            <w:pPr>
              <w:widowControl w:val="0"/>
              <w:tabs>
                <w:tab w:val="left" w:pos="384"/>
              </w:tabs>
              <w:autoSpaceDE w:val="0"/>
              <w:autoSpaceDN w:val="0"/>
              <w:spacing w:before="1"/>
              <w:ind w:left="383" w:right="120"/>
              <w:rPr>
                <w:rFonts w:ascii="Times New Roman" w:hAnsi="Times New Roman"/>
                <w:sz w:val="24"/>
                <w:szCs w:val="24"/>
                <w:lang w:val="sq-AL"/>
              </w:rPr>
            </w:pPr>
          </w:p>
        </w:tc>
      </w:tr>
    </w:tbl>
    <w:p w14:paraId="6609AFC9" w14:textId="77777777" w:rsidR="00203E98" w:rsidRPr="00154067" w:rsidRDefault="00203E98" w:rsidP="002C19D9">
      <w:pPr>
        <w:rPr>
          <w:rFonts w:ascii="Times New Roman" w:hAnsi="Times New Roman"/>
          <w:sz w:val="24"/>
          <w:szCs w:val="24"/>
          <w:lang w:val="sq-AL"/>
        </w:rPr>
      </w:pPr>
    </w:p>
    <w:p w14:paraId="2965CDC2" w14:textId="26B32FD5" w:rsidR="00203E98" w:rsidRPr="00154067" w:rsidRDefault="00203E98" w:rsidP="002C19D9">
      <w:pPr>
        <w:rPr>
          <w:rFonts w:ascii="Times New Roman" w:hAnsi="Times New Roman"/>
          <w:sz w:val="24"/>
          <w:szCs w:val="24"/>
          <w:lang w:val="sq-AL"/>
        </w:rPr>
      </w:pPr>
    </w:p>
    <w:sectPr w:rsidR="00203E98" w:rsidRPr="00154067" w:rsidSect="004D630F">
      <w:pgSz w:w="11900" w:h="16840"/>
      <w:pgMar w:top="450" w:right="1417" w:bottom="117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9"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1B26D40"/>
    <w:multiLevelType w:val="hybridMultilevel"/>
    <w:tmpl w:val="81B8F5DC"/>
    <w:lvl w:ilvl="0" w:tplc="809EC566">
      <w:start w:val="1"/>
      <w:numFmt w:val="bullet"/>
      <w:lvlText w:val="-"/>
      <w:lvlJc w:val="left"/>
      <w:pPr>
        <w:ind w:left="720" w:hanging="360"/>
      </w:pPr>
      <w:rPr>
        <w:rFonts w:ascii="Times New Roman" w:eastAsia="Calibr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3"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4" w15:restartNumberingAfterBreak="0">
    <w:nsid w:val="283650E0"/>
    <w:multiLevelType w:val="hybridMultilevel"/>
    <w:tmpl w:val="DF70801C"/>
    <w:lvl w:ilvl="0" w:tplc="809EC5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6"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7" w15:restartNumberingAfterBreak="0">
    <w:nsid w:val="2B1B5588"/>
    <w:multiLevelType w:val="hybridMultilevel"/>
    <w:tmpl w:val="76D083C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9"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20"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21"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3"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4"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5"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6" w15:restartNumberingAfterBreak="0">
    <w:nsid w:val="32A2259D"/>
    <w:multiLevelType w:val="hybridMultilevel"/>
    <w:tmpl w:val="27CAD9E4"/>
    <w:lvl w:ilvl="0" w:tplc="A5DA48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8"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9"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30"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31"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32"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39900012"/>
    <w:multiLevelType w:val="hybridMultilevel"/>
    <w:tmpl w:val="5F1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5"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7"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8" w15:restartNumberingAfterBreak="0">
    <w:nsid w:val="3F9A48B9"/>
    <w:multiLevelType w:val="hybridMultilevel"/>
    <w:tmpl w:val="8D2A13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41"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42"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43"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44"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6"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479F6D9A"/>
    <w:multiLevelType w:val="hybridMultilevel"/>
    <w:tmpl w:val="0F767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9"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51"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52"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53"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4"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55"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6"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7"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8"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9"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60"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1"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2"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63" w15:restartNumberingAfterBreak="0">
    <w:nsid w:val="544F203A"/>
    <w:multiLevelType w:val="hybridMultilevel"/>
    <w:tmpl w:val="42029E1C"/>
    <w:lvl w:ilvl="0" w:tplc="809EC5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65"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6"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7"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8"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9"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70"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71"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72"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73"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4"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75" w15:restartNumberingAfterBreak="0">
    <w:nsid w:val="62E7084C"/>
    <w:multiLevelType w:val="hybridMultilevel"/>
    <w:tmpl w:val="D2D48D5E"/>
    <w:lvl w:ilvl="0" w:tplc="C42A164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C662FE"/>
    <w:multiLevelType w:val="hybridMultilevel"/>
    <w:tmpl w:val="B7408A1E"/>
    <w:lvl w:ilvl="0" w:tplc="DDD6E8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78"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79"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80"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81"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82"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83"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4"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85"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86"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7"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8"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0"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1"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92"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93"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94"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95"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6"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7"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16cid:durableId="655689354">
    <w:abstractNumId w:val="88"/>
  </w:num>
  <w:num w:numId="2" w16cid:durableId="1163156478">
    <w:abstractNumId w:val="67"/>
  </w:num>
  <w:num w:numId="3" w16cid:durableId="642657563">
    <w:abstractNumId w:val="91"/>
  </w:num>
  <w:num w:numId="4" w16cid:durableId="1088117976">
    <w:abstractNumId w:val="74"/>
  </w:num>
  <w:num w:numId="5" w16cid:durableId="276838422">
    <w:abstractNumId w:val="51"/>
  </w:num>
  <w:num w:numId="6" w16cid:durableId="1054355389">
    <w:abstractNumId w:val="8"/>
  </w:num>
  <w:num w:numId="7" w16cid:durableId="1515656129">
    <w:abstractNumId w:val="5"/>
  </w:num>
  <w:num w:numId="8" w16cid:durableId="36780633">
    <w:abstractNumId w:val="15"/>
  </w:num>
  <w:num w:numId="9" w16cid:durableId="164174179">
    <w:abstractNumId w:val="82"/>
  </w:num>
  <w:num w:numId="10" w16cid:durableId="1711103504">
    <w:abstractNumId w:val="59"/>
  </w:num>
  <w:num w:numId="11" w16cid:durableId="1234730934">
    <w:abstractNumId w:val="92"/>
  </w:num>
  <w:num w:numId="12" w16cid:durableId="728765139">
    <w:abstractNumId w:val="84"/>
  </w:num>
  <w:num w:numId="13" w16cid:durableId="2054648857">
    <w:abstractNumId w:val="6"/>
  </w:num>
  <w:num w:numId="14" w16cid:durableId="1907296630">
    <w:abstractNumId w:val="80"/>
  </w:num>
  <w:num w:numId="15" w16cid:durableId="878712683">
    <w:abstractNumId w:val="81"/>
  </w:num>
  <w:num w:numId="16" w16cid:durableId="714278966">
    <w:abstractNumId w:val="22"/>
  </w:num>
  <w:num w:numId="17" w16cid:durableId="2050450511">
    <w:abstractNumId w:val="30"/>
  </w:num>
  <w:num w:numId="18" w16cid:durableId="1789620237">
    <w:abstractNumId w:val="36"/>
  </w:num>
  <w:num w:numId="19" w16cid:durableId="19598120">
    <w:abstractNumId w:val="2"/>
  </w:num>
  <w:num w:numId="20" w16cid:durableId="1654262244">
    <w:abstractNumId w:val="19"/>
  </w:num>
  <w:num w:numId="21" w16cid:durableId="1032417087">
    <w:abstractNumId w:val="37"/>
  </w:num>
  <w:num w:numId="22" w16cid:durableId="404643391">
    <w:abstractNumId w:val="85"/>
  </w:num>
  <w:num w:numId="23" w16cid:durableId="432552695">
    <w:abstractNumId w:val="50"/>
  </w:num>
  <w:num w:numId="24" w16cid:durableId="146365310">
    <w:abstractNumId w:val="29"/>
  </w:num>
  <w:num w:numId="25" w16cid:durableId="571740666">
    <w:abstractNumId w:val="24"/>
  </w:num>
  <w:num w:numId="26" w16cid:durableId="1896307365">
    <w:abstractNumId w:val="52"/>
  </w:num>
  <w:num w:numId="27" w16cid:durableId="1942057833">
    <w:abstractNumId w:val="12"/>
  </w:num>
  <w:num w:numId="28" w16cid:durableId="597253856">
    <w:abstractNumId w:val="45"/>
  </w:num>
  <w:num w:numId="29" w16cid:durableId="961694504">
    <w:abstractNumId w:val="18"/>
  </w:num>
  <w:num w:numId="30" w16cid:durableId="355664256">
    <w:abstractNumId w:val="72"/>
  </w:num>
  <w:num w:numId="31" w16cid:durableId="1879510793">
    <w:abstractNumId w:val="79"/>
  </w:num>
  <w:num w:numId="32" w16cid:durableId="780497511">
    <w:abstractNumId w:val="41"/>
  </w:num>
  <w:num w:numId="33" w16cid:durableId="1628855354">
    <w:abstractNumId w:val="78"/>
  </w:num>
  <w:num w:numId="34" w16cid:durableId="1029914434">
    <w:abstractNumId w:val="3"/>
  </w:num>
  <w:num w:numId="35" w16cid:durableId="1179078609">
    <w:abstractNumId w:val="13"/>
  </w:num>
  <w:num w:numId="36" w16cid:durableId="601303369">
    <w:abstractNumId w:val="43"/>
  </w:num>
  <w:num w:numId="37" w16cid:durableId="772170035">
    <w:abstractNumId w:val="27"/>
  </w:num>
  <w:num w:numId="38" w16cid:durableId="1466391823">
    <w:abstractNumId w:val="20"/>
  </w:num>
  <w:num w:numId="39" w16cid:durableId="916090852">
    <w:abstractNumId w:val="56"/>
  </w:num>
  <w:num w:numId="40" w16cid:durableId="1012495034">
    <w:abstractNumId w:val="34"/>
  </w:num>
  <w:num w:numId="41" w16cid:durableId="1379819958">
    <w:abstractNumId w:val="40"/>
  </w:num>
  <w:num w:numId="42" w16cid:durableId="315842132">
    <w:abstractNumId w:val="62"/>
  </w:num>
  <w:num w:numId="43" w16cid:durableId="1229682186">
    <w:abstractNumId w:val="93"/>
  </w:num>
  <w:num w:numId="44" w16cid:durableId="1621108744">
    <w:abstractNumId w:val="69"/>
  </w:num>
  <w:num w:numId="45" w16cid:durableId="636296862">
    <w:abstractNumId w:val="71"/>
  </w:num>
  <w:num w:numId="46" w16cid:durableId="1434938260">
    <w:abstractNumId w:val="97"/>
  </w:num>
  <w:num w:numId="47" w16cid:durableId="442727046">
    <w:abstractNumId w:val="90"/>
  </w:num>
  <w:num w:numId="48" w16cid:durableId="1979871563">
    <w:abstractNumId w:val="10"/>
  </w:num>
  <w:num w:numId="49" w16cid:durableId="137458970">
    <w:abstractNumId w:val="21"/>
  </w:num>
  <w:num w:numId="50" w16cid:durableId="1709407154">
    <w:abstractNumId w:val="55"/>
  </w:num>
  <w:num w:numId="51" w16cid:durableId="39936579">
    <w:abstractNumId w:val="73"/>
  </w:num>
  <w:num w:numId="52" w16cid:durableId="1077282429">
    <w:abstractNumId w:val="95"/>
  </w:num>
  <w:num w:numId="53" w16cid:durableId="227769126">
    <w:abstractNumId w:val="66"/>
  </w:num>
  <w:num w:numId="54" w16cid:durableId="1756852124">
    <w:abstractNumId w:val="58"/>
  </w:num>
  <w:num w:numId="55" w16cid:durableId="1084567429">
    <w:abstractNumId w:val="60"/>
  </w:num>
  <w:num w:numId="56" w16cid:durableId="870461644">
    <w:abstractNumId w:val="83"/>
  </w:num>
  <w:num w:numId="57" w16cid:durableId="196548703">
    <w:abstractNumId w:val="64"/>
  </w:num>
  <w:num w:numId="58" w16cid:durableId="182018888">
    <w:abstractNumId w:val="86"/>
  </w:num>
  <w:num w:numId="59" w16cid:durableId="1569994277">
    <w:abstractNumId w:val="7"/>
  </w:num>
  <w:num w:numId="60" w16cid:durableId="1166900872">
    <w:abstractNumId w:val="96"/>
  </w:num>
  <w:num w:numId="61" w16cid:durableId="199128849">
    <w:abstractNumId w:val="48"/>
  </w:num>
  <w:num w:numId="62" w16cid:durableId="1164659741">
    <w:abstractNumId w:val="53"/>
  </w:num>
  <w:num w:numId="63" w16cid:durableId="192234445">
    <w:abstractNumId w:val="87"/>
  </w:num>
  <w:num w:numId="64" w16cid:durableId="1970672271">
    <w:abstractNumId w:val="61"/>
  </w:num>
  <w:num w:numId="65" w16cid:durableId="729617577">
    <w:abstractNumId w:val="70"/>
  </w:num>
  <w:num w:numId="66" w16cid:durableId="438571003">
    <w:abstractNumId w:val="25"/>
  </w:num>
  <w:num w:numId="67" w16cid:durableId="1633248089">
    <w:abstractNumId w:val="57"/>
  </w:num>
  <w:num w:numId="68" w16cid:durableId="1776552785">
    <w:abstractNumId w:val="0"/>
  </w:num>
  <w:num w:numId="69" w16cid:durableId="1694383987">
    <w:abstractNumId w:val="16"/>
  </w:num>
  <w:num w:numId="70" w16cid:durableId="841432006">
    <w:abstractNumId w:val="1"/>
  </w:num>
  <w:num w:numId="71" w16cid:durableId="1520316975">
    <w:abstractNumId w:val="68"/>
  </w:num>
  <w:num w:numId="72" w16cid:durableId="9114951">
    <w:abstractNumId w:val="9"/>
  </w:num>
  <w:num w:numId="73" w16cid:durableId="1213688812">
    <w:abstractNumId w:val="35"/>
  </w:num>
  <w:num w:numId="74" w16cid:durableId="1473063396">
    <w:abstractNumId w:val="44"/>
  </w:num>
  <w:num w:numId="75" w16cid:durableId="52583184">
    <w:abstractNumId w:val="89"/>
  </w:num>
  <w:num w:numId="76" w16cid:durableId="1527324323">
    <w:abstractNumId w:val="77"/>
  </w:num>
  <w:num w:numId="77" w16cid:durableId="1966035237">
    <w:abstractNumId w:val="32"/>
  </w:num>
  <w:num w:numId="78" w16cid:durableId="1410495102">
    <w:abstractNumId w:val="23"/>
  </w:num>
  <w:num w:numId="79" w16cid:durableId="1910574966">
    <w:abstractNumId w:val="94"/>
  </w:num>
  <w:num w:numId="80" w16cid:durableId="1797990659">
    <w:abstractNumId w:val="31"/>
  </w:num>
  <w:num w:numId="81" w16cid:durableId="976955746">
    <w:abstractNumId w:val="65"/>
  </w:num>
  <w:num w:numId="82" w16cid:durableId="1766731788">
    <w:abstractNumId w:val="42"/>
  </w:num>
  <w:num w:numId="83" w16cid:durableId="93980004">
    <w:abstractNumId w:val="46"/>
  </w:num>
  <w:num w:numId="84" w16cid:durableId="2090342077">
    <w:abstractNumId w:val="4"/>
  </w:num>
  <w:num w:numId="85" w16cid:durableId="1476794164">
    <w:abstractNumId w:val="28"/>
  </w:num>
  <w:num w:numId="86" w16cid:durableId="493378588">
    <w:abstractNumId w:val="54"/>
  </w:num>
  <w:num w:numId="87" w16cid:durableId="14770130">
    <w:abstractNumId w:val="49"/>
  </w:num>
  <w:num w:numId="88" w16cid:durableId="1687291963">
    <w:abstractNumId w:val="39"/>
  </w:num>
  <w:num w:numId="89" w16cid:durableId="3674560">
    <w:abstractNumId w:val="33"/>
  </w:num>
  <w:num w:numId="90" w16cid:durableId="383985174">
    <w:abstractNumId w:val="17"/>
  </w:num>
  <w:num w:numId="91" w16cid:durableId="1212812120">
    <w:abstractNumId w:val="63"/>
  </w:num>
  <w:num w:numId="92" w16cid:durableId="1828009568">
    <w:abstractNumId w:val="38"/>
  </w:num>
  <w:num w:numId="93" w16cid:durableId="949043192">
    <w:abstractNumId w:val="26"/>
  </w:num>
  <w:num w:numId="94" w16cid:durableId="1184712813">
    <w:abstractNumId w:val="47"/>
  </w:num>
  <w:num w:numId="95" w16cid:durableId="1098600884">
    <w:abstractNumId w:val="75"/>
  </w:num>
  <w:num w:numId="96" w16cid:durableId="893345415">
    <w:abstractNumId w:val="11"/>
  </w:num>
  <w:num w:numId="97" w16cid:durableId="527526273">
    <w:abstractNumId w:val="14"/>
  </w:num>
  <w:num w:numId="98" w16cid:durableId="1076517556">
    <w:abstractNumId w:val="7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7D9"/>
    <w:rsid w:val="00020D9C"/>
    <w:rsid w:val="0003493C"/>
    <w:rsid w:val="00044810"/>
    <w:rsid w:val="00052752"/>
    <w:rsid w:val="00055DE8"/>
    <w:rsid w:val="00061727"/>
    <w:rsid w:val="0006546C"/>
    <w:rsid w:val="0007347E"/>
    <w:rsid w:val="00087972"/>
    <w:rsid w:val="00092682"/>
    <w:rsid w:val="000A0329"/>
    <w:rsid w:val="000B4ADF"/>
    <w:rsid w:val="000C3DE2"/>
    <w:rsid w:val="000E284B"/>
    <w:rsid w:val="00101F09"/>
    <w:rsid w:val="00103C86"/>
    <w:rsid w:val="001077A7"/>
    <w:rsid w:val="00144A90"/>
    <w:rsid w:val="00154067"/>
    <w:rsid w:val="001603EE"/>
    <w:rsid w:val="00163AAF"/>
    <w:rsid w:val="00172C76"/>
    <w:rsid w:val="0017437B"/>
    <w:rsid w:val="00185354"/>
    <w:rsid w:val="001A7984"/>
    <w:rsid w:val="001E40DB"/>
    <w:rsid w:val="001E4573"/>
    <w:rsid w:val="001F2C78"/>
    <w:rsid w:val="00203C7D"/>
    <w:rsid w:val="00203E98"/>
    <w:rsid w:val="00206A93"/>
    <w:rsid w:val="002310D5"/>
    <w:rsid w:val="0023335B"/>
    <w:rsid w:val="00243ED7"/>
    <w:rsid w:val="002477BC"/>
    <w:rsid w:val="002726E3"/>
    <w:rsid w:val="00277A31"/>
    <w:rsid w:val="00284BB2"/>
    <w:rsid w:val="002B048F"/>
    <w:rsid w:val="002C19D9"/>
    <w:rsid w:val="002C3679"/>
    <w:rsid w:val="002D3F25"/>
    <w:rsid w:val="002E181A"/>
    <w:rsid w:val="002E53FF"/>
    <w:rsid w:val="002E7E3C"/>
    <w:rsid w:val="002F0D44"/>
    <w:rsid w:val="003315E9"/>
    <w:rsid w:val="00334CD0"/>
    <w:rsid w:val="003435BD"/>
    <w:rsid w:val="00343EA7"/>
    <w:rsid w:val="00361D15"/>
    <w:rsid w:val="003708D4"/>
    <w:rsid w:val="00375A36"/>
    <w:rsid w:val="00383384"/>
    <w:rsid w:val="00383D55"/>
    <w:rsid w:val="00383F0A"/>
    <w:rsid w:val="00384D29"/>
    <w:rsid w:val="00392518"/>
    <w:rsid w:val="003A291A"/>
    <w:rsid w:val="003F4071"/>
    <w:rsid w:val="004046E2"/>
    <w:rsid w:val="00417891"/>
    <w:rsid w:val="004318B1"/>
    <w:rsid w:val="00433F2F"/>
    <w:rsid w:val="00453FEB"/>
    <w:rsid w:val="00454C25"/>
    <w:rsid w:val="00457BA0"/>
    <w:rsid w:val="00463C25"/>
    <w:rsid w:val="004806C6"/>
    <w:rsid w:val="004955FD"/>
    <w:rsid w:val="004978EE"/>
    <w:rsid w:val="004A34AE"/>
    <w:rsid w:val="004A562E"/>
    <w:rsid w:val="004A5FFE"/>
    <w:rsid w:val="004C5AE2"/>
    <w:rsid w:val="004C63CC"/>
    <w:rsid w:val="004D630F"/>
    <w:rsid w:val="004E24EE"/>
    <w:rsid w:val="00505509"/>
    <w:rsid w:val="00515A22"/>
    <w:rsid w:val="00524E31"/>
    <w:rsid w:val="0052547A"/>
    <w:rsid w:val="00546100"/>
    <w:rsid w:val="00554255"/>
    <w:rsid w:val="005551EC"/>
    <w:rsid w:val="00561566"/>
    <w:rsid w:val="00574E6C"/>
    <w:rsid w:val="005942E3"/>
    <w:rsid w:val="00596E1F"/>
    <w:rsid w:val="00597D72"/>
    <w:rsid w:val="005C53DA"/>
    <w:rsid w:val="005D01F9"/>
    <w:rsid w:val="005D67CE"/>
    <w:rsid w:val="0060245B"/>
    <w:rsid w:val="0061742F"/>
    <w:rsid w:val="006231E6"/>
    <w:rsid w:val="00645549"/>
    <w:rsid w:val="00647695"/>
    <w:rsid w:val="006632E2"/>
    <w:rsid w:val="00666B0D"/>
    <w:rsid w:val="006926B6"/>
    <w:rsid w:val="00696F40"/>
    <w:rsid w:val="006B08CA"/>
    <w:rsid w:val="006B2424"/>
    <w:rsid w:val="006B5C5F"/>
    <w:rsid w:val="006B71DE"/>
    <w:rsid w:val="0070191D"/>
    <w:rsid w:val="00720851"/>
    <w:rsid w:val="00731B03"/>
    <w:rsid w:val="00745FB4"/>
    <w:rsid w:val="00760432"/>
    <w:rsid w:val="0076075D"/>
    <w:rsid w:val="007765B7"/>
    <w:rsid w:val="007817F3"/>
    <w:rsid w:val="00785430"/>
    <w:rsid w:val="007A3520"/>
    <w:rsid w:val="007B25CB"/>
    <w:rsid w:val="007B4AD9"/>
    <w:rsid w:val="007C18CB"/>
    <w:rsid w:val="007F3499"/>
    <w:rsid w:val="00803493"/>
    <w:rsid w:val="00805C10"/>
    <w:rsid w:val="008130DA"/>
    <w:rsid w:val="00826133"/>
    <w:rsid w:val="008535A2"/>
    <w:rsid w:val="008675CA"/>
    <w:rsid w:val="0089476B"/>
    <w:rsid w:val="0089745D"/>
    <w:rsid w:val="008C4FD5"/>
    <w:rsid w:val="008C64CB"/>
    <w:rsid w:val="008F0DBA"/>
    <w:rsid w:val="00902467"/>
    <w:rsid w:val="00930D14"/>
    <w:rsid w:val="009318AF"/>
    <w:rsid w:val="00957E1F"/>
    <w:rsid w:val="00991965"/>
    <w:rsid w:val="00994C29"/>
    <w:rsid w:val="009C2E02"/>
    <w:rsid w:val="009C5F77"/>
    <w:rsid w:val="009F0195"/>
    <w:rsid w:val="009F0CCD"/>
    <w:rsid w:val="00A05359"/>
    <w:rsid w:val="00A07789"/>
    <w:rsid w:val="00A46EDE"/>
    <w:rsid w:val="00A6137F"/>
    <w:rsid w:val="00A73EFE"/>
    <w:rsid w:val="00A86E98"/>
    <w:rsid w:val="00A9244E"/>
    <w:rsid w:val="00AC4D67"/>
    <w:rsid w:val="00AD4479"/>
    <w:rsid w:val="00AF5895"/>
    <w:rsid w:val="00B0093C"/>
    <w:rsid w:val="00B05910"/>
    <w:rsid w:val="00B11C82"/>
    <w:rsid w:val="00B16A46"/>
    <w:rsid w:val="00B21675"/>
    <w:rsid w:val="00B76E89"/>
    <w:rsid w:val="00B82C4C"/>
    <w:rsid w:val="00B87EE9"/>
    <w:rsid w:val="00B93DDC"/>
    <w:rsid w:val="00BB066B"/>
    <w:rsid w:val="00BB2BFF"/>
    <w:rsid w:val="00BD2CC2"/>
    <w:rsid w:val="00BF2355"/>
    <w:rsid w:val="00BF6669"/>
    <w:rsid w:val="00BF7C94"/>
    <w:rsid w:val="00C216BA"/>
    <w:rsid w:val="00C52325"/>
    <w:rsid w:val="00C57907"/>
    <w:rsid w:val="00C60DE2"/>
    <w:rsid w:val="00C64006"/>
    <w:rsid w:val="00C70AE0"/>
    <w:rsid w:val="00C87D70"/>
    <w:rsid w:val="00CA71FF"/>
    <w:rsid w:val="00CB062B"/>
    <w:rsid w:val="00CB0BE7"/>
    <w:rsid w:val="00CB13AC"/>
    <w:rsid w:val="00CC3D10"/>
    <w:rsid w:val="00CC56CF"/>
    <w:rsid w:val="00D051C6"/>
    <w:rsid w:val="00D0544D"/>
    <w:rsid w:val="00D06CBA"/>
    <w:rsid w:val="00D11EF8"/>
    <w:rsid w:val="00D14CB7"/>
    <w:rsid w:val="00D3153E"/>
    <w:rsid w:val="00D45127"/>
    <w:rsid w:val="00D55724"/>
    <w:rsid w:val="00D61801"/>
    <w:rsid w:val="00D75573"/>
    <w:rsid w:val="00D9357B"/>
    <w:rsid w:val="00DA7378"/>
    <w:rsid w:val="00DC24E3"/>
    <w:rsid w:val="00DE1DCB"/>
    <w:rsid w:val="00E069FA"/>
    <w:rsid w:val="00E27A78"/>
    <w:rsid w:val="00E42CA5"/>
    <w:rsid w:val="00E4497D"/>
    <w:rsid w:val="00E468D5"/>
    <w:rsid w:val="00E46FDB"/>
    <w:rsid w:val="00E54C97"/>
    <w:rsid w:val="00E5604D"/>
    <w:rsid w:val="00EB47AB"/>
    <w:rsid w:val="00EC1CFE"/>
    <w:rsid w:val="00ED16BC"/>
    <w:rsid w:val="00EE585C"/>
    <w:rsid w:val="00EF567E"/>
    <w:rsid w:val="00EF5B88"/>
    <w:rsid w:val="00F020DD"/>
    <w:rsid w:val="00F04DE4"/>
    <w:rsid w:val="00F05EC4"/>
    <w:rsid w:val="00F2467C"/>
    <w:rsid w:val="00F34765"/>
    <w:rsid w:val="00F378E5"/>
    <w:rsid w:val="00F45F0A"/>
    <w:rsid w:val="00F46442"/>
    <w:rsid w:val="00F8037C"/>
    <w:rsid w:val="00F84ECB"/>
    <w:rsid w:val="00F960CC"/>
    <w:rsid w:val="00F97BAB"/>
    <w:rsid w:val="00FA3DFD"/>
    <w:rsid w:val="00FB3326"/>
    <w:rsid w:val="00FC3DD2"/>
    <w:rsid w:val="00FD4B47"/>
    <w:rsid w:val="00FE0711"/>
    <w:rsid w:val="00FE0F4D"/>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 w:type="paragraph" w:styleId="NormalWeb">
    <w:name w:val="Normal (Web)"/>
    <w:basedOn w:val="Normal"/>
    <w:uiPriority w:val="99"/>
    <w:unhideWhenUsed/>
    <w:rsid w:val="00BF6669"/>
    <w:rPr>
      <w:rFonts w:ascii="Times New Roman" w:eastAsia="Calibri" w:hAnsi="Times New Roman"/>
      <w:sz w:val="24"/>
      <w:szCs w:val="24"/>
      <w:lang w:val="en-US"/>
    </w:rPr>
  </w:style>
  <w:style w:type="character" w:styleId="Strong">
    <w:name w:val="Strong"/>
    <w:uiPriority w:val="22"/>
    <w:qFormat/>
    <w:rsid w:val="00BF6669"/>
    <w:rPr>
      <w:b/>
      <w:bCs/>
    </w:rPr>
  </w:style>
  <w:style w:type="character" w:styleId="UnresolvedMention">
    <w:name w:val="Unresolved Mention"/>
    <w:basedOn w:val="DefaultParagraphFont"/>
    <w:uiPriority w:val="99"/>
    <w:semiHidden/>
    <w:unhideWhenUsed/>
    <w:rsid w:val="00524E31"/>
    <w:rPr>
      <w:color w:val="605E5C"/>
      <w:shd w:val="clear" w:color="auto" w:fill="E1DFDD"/>
    </w:rPr>
  </w:style>
  <w:style w:type="character" w:customStyle="1" w:styleId="Bodytext2">
    <w:name w:val="Body text (2)_"/>
    <w:link w:val="Bodytext20"/>
    <w:rsid w:val="00546100"/>
    <w:rPr>
      <w:rFonts w:ascii="Garamond" w:eastAsia="Garamond" w:hAnsi="Garamond" w:cs="Garamond"/>
      <w:shd w:val="clear" w:color="auto" w:fill="FFFFFF"/>
    </w:rPr>
  </w:style>
  <w:style w:type="paragraph" w:customStyle="1" w:styleId="Bodytext20">
    <w:name w:val="Body text (2)"/>
    <w:basedOn w:val="Normal"/>
    <w:link w:val="Bodytext2"/>
    <w:rsid w:val="00546100"/>
    <w:pPr>
      <w:widowControl w:val="0"/>
      <w:shd w:val="clear" w:color="auto" w:fill="FFFFFF"/>
      <w:spacing w:before="120" w:line="269" w:lineRule="exact"/>
      <w:jc w:val="both"/>
    </w:pPr>
    <w:rPr>
      <w:rFonts w:ascii="Garamond" w:eastAsia="Garamond" w:hAnsi="Garamond" w:cs="Garamond"/>
      <w:sz w:val="24"/>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 w:id="15585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lma.davidhi@infrastruktura.gov.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lma.davidhi@infrastruktura.gov.al" TargetMode="External"/><Relationship Id="rId5" Type="http://schemas.openxmlformats.org/officeDocument/2006/relationships/hyperlink" Target="http://www.konsultimipublik.gov.a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16</Pages>
  <Words>9847</Words>
  <Characters>56132</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Vilma Davidhi</cp:lastModifiedBy>
  <cp:revision>17</cp:revision>
  <cp:lastPrinted>2024-04-04T08:22:00Z</cp:lastPrinted>
  <dcterms:created xsi:type="dcterms:W3CDTF">2025-07-01T09:48:00Z</dcterms:created>
  <dcterms:modified xsi:type="dcterms:W3CDTF">2025-07-04T09:58:00Z</dcterms:modified>
</cp:coreProperties>
</file>