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324D" w14:textId="61F0C90A" w:rsidR="00CA0C10" w:rsidRPr="00F01A0B" w:rsidRDefault="0027304B" w:rsidP="00591477">
      <w:pPr>
        <w:spacing w:line="276" w:lineRule="auto"/>
        <w:rPr>
          <w:rFonts w:ascii="Times New Roman" w:hAnsi="Times New Roman"/>
          <w:b/>
          <w:sz w:val="24"/>
          <w:szCs w:val="24"/>
          <w:lang w:val="sq-AL" w:bidi="en-GB"/>
        </w:rPr>
      </w:pPr>
      <w:r w:rsidRPr="00F01A0B">
        <w:rPr>
          <w:rFonts w:ascii="Times New Roman" w:hAnsi="Times New Roman"/>
          <w:b/>
          <w:noProof/>
          <w:sz w:val="24"/>
          <w:szCs w:val="24"/>
          <w:lang w:val="sq-AL"/>
        </w:rPr>
        <w:drawing>
          <wp:inline distT="0" distB="0" distL="0" distR="0" wp14:anchorId="4108F256" wp14:editId="527E67FA">
            <wp:extent cx="6086475" cy="1447800"/>
            <wp:effectExtent l="0" t="0" r="9525" b="0"/>
            <wp:docPr id="1664232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1447800"/>
                    </a:xfrm>
                    <a:prstGeom prst="rect">
                      <a:avLst/>
                    </a:prstGeom>
                    <a:noFill/>
                  </pic:spPr>
                </pic:pic>
              </a:graphicData>
            </a:graphic>
          </wp:inline>
        </w:drawing>
      </w:r>
    </w:p>
    <w:p w14:paraId="2CCC3CEE" w14:textId="77777777" w:rsidR="0027304B" w:rsidRPr="00F01A0B" w:rsidRDefault="0027304B" w:rsidP="00591477">
      <w:pPr>
        <w:pStyle w:val="Heading1"/>
        <w:spacing w:before="0" w:line="276" w:lineRule="auto"/>
        <w:jc w:val="center"/>
        <w:rPr>
          <w:rFonts w:ascii="Times New Roman" w:hAnsi="Times New Roman" w:cs="Times New Roman"/>
          <w:b/>
          <w:color w:val="auto"/>
          <w:sz w:val="24"/>
          <w:szCs w:val="24"/>
          <w:lang w:val="sq-AL" w:bidi="en-GB"/>
        </w:rPr>
      </w:pPr>
    </w:p>
    <w:p w14:paraId="64E6AEF3" w14:textId="77777777" w:rsidR="0027304B" w:rsidRPr="00F01A0B" w:rsidRDefault="0027304B" w:rsidP="00591477">
      <w:pPr>
        <w:pStyle w:val="Heading1"/>
        <w:spacing w:before="0" w:line="276" w:lineRule="auto"/>
        <w:jc w:val="center"/>
        <w:rPr>
          <w:rFonts w:ascii="Times New Roman" w:hAnsi="Times New Roman" w:cs="Times New Roman"/>
          <w:b/>
          <w:color w:val="auto"/>
          <w:sz w:val="24"/>
          <w:szCs w:val="24"/>
          <w:lang w:val="sq-AL" w:bidi="en-GB"/>
        </w:rPr>
      </w:pPr>
    </w:p>
    <w:p w14:paraId="783199A6" w14:textId="324A3BD8" w:rsidR="00CA0C10" w:rsidRPr="00F01A0B" w:rsidRDefault="00CA0C10" w:rsidP="00591477">
      <w:pPr>
        <w:pStyle w:val="Heading1"/>
        <w:spacing w:before="0" w:line="276" w:lineRule="auto"/>
        <w:jc w:val="center"/>
        <w:rPr>
          <w:rFonts w:ascii="Times New Roman" w:hAnsi="Times New Roman" w:cs="Times New Roman"/>
          <w:b/>
          <w:color w:val="auto"/>
          <w:sz w:val="24"/>
          <w:szCs w:val="24"/>
          <w:lang w:val="sq-AL" w:bidi="en-GB"/>
        </w:rPr>
      </w:pPr>
      <w:r w:rsidRPr="00F01A0B">
        <w:rPr>
          <w:rFonts w:ascii="Times New Roman" w:hAnsi="Times New Roman" w:cs="Times New Roman"/>
          <w:b/>
          <w:color w:val="auto"/>
          <w:sz w:val="24"/>
          <w:szCs w:val="24"/>
          <w:lang w:val="sq-AL" w:bidi="en-GB"/>
        </w:rPr>
        <w:t>RAPORT</w:t>
      </w:r>
    </w:p>
    <w:p w14:paraId="21E061CE" w14:textId="77777777" w:rsidR="00CA0C10" w:rsidRPr="00F01A0B" w:rsidRDefault="00CA0C10" w:rsidP="00591477">
      <w:pPr>
        <w:spacing w:line="276" w:lineRule="auto"/>
        <w:jc w:val="center"/>
        <w:rPr>
          <w:rFonts w:ascii="Times New Roman" w:hAnsi="Times New Roman"/>
          <w:b/>
          <w:sz w:val="24"/>
          <w:szCs w:val="24"/>
          <w:lang w:val="sq-AL" w:bidi="en-GB"/>
        </w:rPr>
      </w:pPr>
    </w:p>
    <w:p w14:paraId="0F00FE88" w14:textId="77777777" w:rsidR="00E90532" w:rsidRDefault="00CA0C10" w:rsidP="00E90532">
      <w:pPr>
        <w:pStyle w:val="Heading1"/>
        <w:spacing w:before="0" w:line="276" w:lineRule="auto"/>
        <w:jc w:val="center"/>
        <w:rPr>
          <w:rFonts w:ascii="Times New Roman" w:hAnsi="Times New Roman" w:cs="Times New Roman"/>
          <w:b/>
          <w:color w:val="auto"/>
          <w:sz w:val="24"/>
          <w:szCs w:val="24"/>
          <w:lang w:val="sq-AL"/>
        </w:rPr>
      </w:pPr>
      <w:r w:rsidRPr="00F01A0B">
        <w:rPr>
          <w:rFonts w:ascii="Times New Roman" w:hAnsi="Times New Roman" w:cs="Times New Roman"/>
          <w:b/>
          <w:color w:val="auto"/>
          <w:sz w:val="24"/>
          <w:szCs w:val="24"/>
          <w:lang w:val="sq-AL" w:bidi="en-GB"/>
        </w:rPr>
        <w:t xml:space="preserve">PËR REZULTATET E KONSULTIMIT PUBLIK TË </w:t>
      </w:r>
      <w:r w:rsidRPr="00F01A0B">
        <w:rPr>
          <w:rFonts w:ascii="Times New Roman" w:hAnsi="Times New Roman" w:cs="Times New Roman"/>
          <w:b/>
          <w:color w:val="auto"/>
          <w:sz w:val="24"/>
          <w:szCs w:val="24"/>
          <w:lang w:val="sq-AL"/>
        </w:rPr>
        <w:t>PRO</w:t>
      </w:r>
      <w:r w:rsidR="00E90532">
        <w:rPr>
          <w:rFonts w:ascii="Times New Roman" w:hAnsi="Times New Roman" w:cs="Times New Roman"/>
          <w:b/>
          <w:color w:val="auto"/>
          <w:sz w:val="24"/>
          <w:szCs w:val="24"/>
          <w:lang w:val="sq-AL"/>
        </w:rPr>
        <w:t xml:space="preserve">JEKTVENDIMIT </w:t>
      </w:r>
    </w:p>
    <w:p w14:paraId="1AE8EC11" w14:textId="77777777" w:rsidR="00E90532" w:rsidRPr="00E90532" w:rsidRDefault="00E90532" w:rsidP="00E90532">
      <w:pPr>
        <w:rPr>
          <w:lang w:val="sq-AL"/>
        </w:rPr>
      </w:pPr>
    </w:p>
    <w:p w14:paraId="709AFFCD" w14:textId="6B99F83E" w:rsidR="00E90532" w:rsidRPr="00E90532" w:rsidRDefault="00E90532" w:rsidP="00E90532">
      <w:pPr>
        <w:pStyle w:val="Heading1"/>
        <w:spacing w:before="0" w:line="276" w:lineRule="auto"/>
        <w:jc w:val="center"/>
        <w:rPr>
          <w:rFonts w:ascii="Times New Roman" w:hAnsi="Times New Roman" w:cs="Times New Roman"/>
          <w:color w:val="auto"/>
          <w:sz w:val="24"/>
          <w:szCs w:val="24"/>
          <w:lang w:val="sq-AL"/>
        </w:rPr>
      </w:pPr>
      <w:r w:rsidRPr="005C02C0">
        <w:rPr>
          <w:rFonts w:ascii="Times New Roman" w:hAnsi="Times New Roman"/>
          <w:color w:val="000000"/>
          <w:sz w:val="24"/>
          <w:szCs w:val="24"/>
          <w:shd w:val="clear" w:color="auto" w:fill="FFFFFF"/>
          <w:lang w:val="sq-AL"/>
        </w:rPr>
        <w:t>“</w:t>
      </w:r>
      <w:r w:rsidRPr="004F5D64">
        <w:rPr>
          <w:rFonts w:ascii="Times New Roman" w:eastAsiaTheme="minorHAnsi" w:hAnsi="Times New Roman"/>
          <w:b/>
          <w:bCs/>
          <w:iCs/>
          <w:color w:val="000000"/>
          <w:sz w:val="24"/>
          <w:szCs w:val="24"/>
          <w:lang w:val="sq-AL"/>
        </w:rPr>
        <w:t>PËR MIRATIMIN E STRATEGJISË AFATGJATË TË RINOVIMIT TË STOKUT TË NDËRTESAVE</w:t>
      </w:r>
      <w:r w:rsidRPr="005C02C0">
        <w:rPr>
          <w:rFonts w:ascii="Times New Roman" w:hAnsi="Times New Roman"/>
          <w:sz w:val="24"/>
          <w:szCs w:val="22"/>
          <w:lang w:val="sq-AL"/>
        </w:rPr>
        <w:t>”</w:t>
      </w:r>
    </w:p>
    <w:p w14:paraId="33B2FABA" w14:textId="77777777" w:rsidR="005B6D2B" w:rsidRPr="00F01A0B" w:rsidRDefault="005B6D2B" w:rsidP="00591477">
      <w:pPr>
        <w:spacing w:line="276" w:lineRule="auto"/>
        <w:rPr>
          <w:rFonts w:ascii="Times New Roman" w:hAnsi="Times New Roman"/>
          <w:sz w:val="24"/>
          <w:szCs w:val="24"/>
          <w:lang w:val="sq-AL"/>
        </w:rPr>
      </w:pPr>
    </w:p>
    <w:p w14:paraId="2824BD7A" w14:textId="77777777" w:rsidR="00175D1D" w:rsidRPr="00F01A0B" w:rsidRDefault="00175D1D" w:rsidP="00591477">
      <w:pPr>
        <w:spacing w:line="276" w:lineRule="auto"/>
        <w:rPr>
          <w:rFonts w:ascii="Times New Roman" w:hAnsi="Times New Roman"/>
          <w:sz w:val="24"/>
          <w:szCs w:val="24"/>
          <w:lang w:val="sq-AL"/>
        </w:rPr>
      </w:pPr>
    </w:p>
    <w:p w14:paraId="74497D18" w14:textId="77777777" w:rsidR="005B6D2B" w:rsidRPr="00F01A0B" w:rsidRDefault="005B6D2B" w:rsidP="00591477">
      <w:pPr>
        <w:pStyle w:val="ListParagraph"/>
        <w:numPr>
          <w:ilvl w:val="0"/>
          <w:numId w:val="1"/>
        </w:numPr>
        <w:spacing w:line="276" w:lineRule="auto"/>
        <w:jc w:val="both"/>
        <w:rPr>
          <w:rFonts w:ascii="Times New Roman" w:hAnsi="Times New Roman"/>
          <w:b/>
          <w:bCs/>
          <w:sz w:val="24"/>
          <w:szCs w:val="24"/>
          <w:lang w:val="sq-AL"/>
        </w:rPr>
      </w:pPr>
      <w:r w:rsidRPr="00F01A0B">
        <w:rPr>
          <w:rFonts w:ascii="Times New Roman" w:hAnsi="Times New Roman"/>
          <w:b/>
          <w:bCs/>
          <w:sz w:val="24"/>
          <w:szCs w:val="24"/>
          <w:lang w:val="sq-AL"/>
        </w:rPr>
        <w:t>Titulli i draft aktit</w:t>
      </w:r>
      <w:r w:rsidR="00910D3D" w:rsidRPr="00F01A0B">
        <w:rPr>
          <w:rFonts w:ascii="Times New Roman" w:hAnsi="Times New Roman"/>
          <w:b/>
          <w:bCs/>
          <w:sz w:val="24"/>
          <w:szCs w:val="24"/>
          <w:lang w:val="sq-AL"/>
        </w:rPr>
        <w:t>/dokumentit</w:t>
      </w:r>
    </w:p>
    <w:p w14:paraId="21960598" w14:textId="77777777" w:rsidR="00E90532" w:rsidRDefault="00E90532" w:rsidP="00E90532">
      <w:pPr>
        <w:spacing w:line="276" w:lineRule="auto"/>
        <w:rPr>
          <w:rFonts w:ascii="Times New Roman" w:hAnsi="Times New Roman"/>
          <w:sz w:val="24"/>
          <w:szCs w:val="24"/>
          <w:lang w:val="sq-AL"/>
        </w:rPr>
      </w:pPr>
    </w:p>
    <w:p w14:paraId="5D55BD7F" w14:textId="2E12C82C" w:rsidR="00E90532" w:rsidRPr="00E90532" w:rsidRDefault="00E90532" w:rsidP="00E90532">
      <w:pPr>
        <w:spacing w:line="276" w:lineRule="auto"/>
        <w:rPr>
          <w:rFonts w:ascii="Times New Roman" w:hAnsi="Times New Roman"/>
          <w:i/>
          <w:iCs/>
          <w:sz w:val="24"/>
          <w:szCs w:val="22"/>
          <w:lang w:val="sq-AL"/>
        </w:rPr>
      </w:pPr>
      <w:r w:rsidRPr="00E90532">
        <w:rPr>
          <w:rFonts w:ascii="Times New Roman" w:hAnsi="Times New Roman"/>
          <w:iCs/>
          <w:sz w:val="24"/>
          <w:szCs w:val="22"/>
          <w:lang w:val="sq-AL"/>
        </w:rPr>
        <w:t xml:space="preserve">Projektvendimi </w:t>
      </w:r>
      <w:r w:rsidRPr="00E90532">
        <w:rPr>
          <w:rFonts w:ascii="Times New Roman" w:hAnsi="Times New Roman"/>
          <w:bCs/>
          <w:iCs/>
          <w:sz w:val="24"/>
          <w:szCs w:val="22"/>
          <w:lang w:val="sq-AL"/>
        </w:rPr>
        <w:t>“</w:t>
      </w:r>
      <w:r w:rsidRPr="004F5D64">
        <w:rPr>
          <w:rFonts w:ascii="Times New Roman" w:hAnsi="Times New Roman"/>
          <w:bCs/>
          <w:iCs/>
          <w:sz w:val="24"/>
          <w:szCs w:val="22"/>
          <w:lang w:val="sq-AL"/>
        </w:rPr>
        <w:t>Për miratimin e strategjisë afatgjatë të rinovimit të stokut të ndërtesave</w:t>
      </w:r>
      <w:r w:rsidRPr="00E90532">
        <w:rPr>
          <w:rFonts w:ascii="Times New Roman" w:hAnsi="Times New Roman"/>
          <w:bCs/>
          <w:iCs/>
          <w:sz w:val="24"/>
          <w:szCs w:val="22"/>
          <w:lang w:val="sq-AL"/>
        </w:rPr>
        <w:t>”</w:t>
      </w:r>
    </w:p>
    <w:p w14:paraId="7078FC08" w14:textId="3D539039" w:rsidR="007978AB" w:rsidRPr="005C02C0" w:rsidRDefault="007978AB" w:rsidP="00591477">
      <w:pPr>
        <w:spacing w:line="276" w:lineRule="auto"/>
        <w:jc w:val="both"/>
        <w:rPr>
          <w:rFonts w:ascii="Times New Roman" w:hAnsi="Times New Roman"/>
          <w:sz w:val="24"/>
          <w:szCs w:val="24"/>
          <w:lang w:val="sq-AL"/>
        </w:rPr>
      </w:pPr>
    </w:p>
    <w:p w14:paraId="115268CA" w14:textId="64F89C59" w:rsidR="00D174C5" w:rsidRPr="00F01A0B" w:rsidRDefault="00D174C5" w:rsidP="00591477">
      <w:pPr>
        <w:pStyle w:val="Default"/>
        <w:spacing w:line="276" w:lineRule="auto"/>
        <w:jc w:val="both"/>
        <w:rPr>
          <w:b/>
          <w:bCs/>
          <w:lang w:val="sq-AL"/>
        </w:rPr>
      </w:pPr>
    </w:p>
    <w:p w14:paraId="6E2505CA" w14:textId="77777777" w:rsidR="00A23F2A" w:rsidRPr="00F01A0B" w:rsidRDefault="005B6D2B" w:rsidP="00591477">
      <w:pPr>
        <w:pStyle w:val="ListParagraph"/>
        <w:numPr>
          <w:ilvl w:val="0"/>
          <w:numId w:val="1"/>
        </w:numPr>
        <w:spacing w:line="276" w:lineRule="auto"/>
        <w:jc w:val="both"/>
        <w:rPr>
          <w:rFonts w:ascii="Times New Roman" w:hAnsi="Times New Roman"/>
          <w:b/>
          <w:iCs/>
          <w:sz w:val="24"/>
          <w:szCs w:val="24"/>
          <w:lang w:val="sq-AL"/>
        </w:rPr>
      </w:pPr>
      <w:r w:rsidRPr="00F01A0B">
        <w:rPr>
          <w:rFonts w:ascii="Times New Roman" w:hAnsi="Times New Roman"/>
          <w:b/>
          <w:bCs/>
          <w:sz w:val="24"/>
          <w:szCs w:val="24"/>
          <w:lang w:val="sq-AL"/>
        </w:rPr>
        <w:t>Kohëzgjatja e konsultimeve</w:t>
      </w:r>
    </w:p>
    <w:p w14:paraId="09A65487"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064113EE" w14:textId="77777777" w:rsidR="00F15746" w:rsidRPr="00F01A0B" w:rsidRDefault="00F15746" w:rsidP="00591477">
      <w:pPr>
        <w:pStyle w:val="ListParagraph"/>
        <w:spacing w:line="276" w:lineRule="auto"/>
        <w:ind w:left="720" w:firstLine="0"/>
        <w:jc w:val="both"/>
        <w:rPr>
          <w:rFonts w:ascii="Times New Roman" w:hAnsi="Times New Roman"/>
          <w:b/>
          <w:iCs/>
          <w:sz w:val="24"/>
          <w:szCs w:val="24"/>
          <w:lang w:val="sq-AL"/>
        </w:rPr>
      </w:pPr>
    </w:p>
    <w:p w14:paraId="1D5C18D6" w14:textId="6F6AEF58" w:rsidR="00CC3801" w:rsidRPr="00F01A0B" w:rsidRDefault="008E6B76" w:rsidP="00591477">
      <w:pPr>
        <w:spacing w:line="276" w:lineRule="auto"/>
        <w:jc w:val="both"/>
        <w:rPr>
          <w:rFonts w:ascii="Times New Roman" w:hAnsi="Times New Roman"/>
          <w:sz w:val="24"/>
          <w:szCs w:val="24"/>
          <w:lang w:val="sq-AL"/>
        </w:rPr>
      </w:pPr>
      <w:r w:rsidRPr="00F01A0B">
        <w:rPr>
          <w:rFonts w:ascii="Times New Roman" w:hAnsi="Times New Roman"/>
          <w:sz w:val="24"/>
          <w:szCs w:val="24"/>
          <w:lang w:val="sq-AL"/>
        </w:rPr>
        <w:t>Ky projek</w:t>
      </w:r>
      <w:r w:rsidR="00FF1C77">
        <w:rPr>
          <w:rFonts w:ascii="Times New Roman" w:hAnsi="Times New Roman"/>
          <w:sz w:val="24"/>
          <w:szCs w:val="24"/>
          <w:lang w:val="sq-AL"/>
        </w:rPr>
        <w:t>vendim</w:t>
      </w:r>
      <w:r w:rsidRPr="00F01A0B">
        <w:rPr>
          <w:rFonts w:ascii="Times New Roman" w:hAnsi="Times New Roman"/>
          <w:sz w:val="24"/>
          <w:szCs w:val="24"/>
          <w:lang w:val="sq-AL"/>
        </w:rPr>
        <w:t xml:space="preserve"> </w:t>
      </w:r>
      <w:r w:rsidR="007F0918" w:rsidRPr="00F01A0B">
        <w:rPr>
          <w:rFonts w:ascii="Times New Roman" w:hAnsi="Times New Roman"/>
          <w:sz w:val="24"/>
          <w:szCs w:val="24"/>
          <w:lang w:val="sq-AL"/>
        </w:rPr>
        <w:t>ë</w:t>
      </w:r>
      <w:r w:rsidR="00887F8B" w:rsidRPr="00F01A0B">
        <w:rPr>
          <w:rFonts w:ascii="Times New Roman" w:hAnsi="Times New Roman"/>
          <w:sz w:val="24"/>
          <w:szCs w:val="24"/>
          <w:lang w:val="sq-AL"/>
        </w:rPr>
        <w:t>sht</w:t>
      </w:r>
      <w:r w:rsidR="0051336A" w:rsidRPr="00F01A0B">
        <w:rPr>
          <w:rFonts w:ascii="Times New Roman" w:hAnsi="Times New Roman"/>
          <w:sz w:val="24"/>
          <w:szCs w:val="24"/>
          <w:lang w:val="sq-AL"/>
        </w:rPr>
        <w:t>ë</w:t>
      </w:r>
      <w:r w:rsidR="00887F8B" w:rsidRPr="00F01A0B">
        <w:rPr>
          <w:rFonts w:ascii="Times New Roman" w:hAnsi="Times New Roman"/>
          <w:sz w:val="24"/>
          <w:szCs w:val="24"/>
          <w:lang w:val="sq-AL"/>
        </w:rPr>
        <w:t xml:space="preserve"> publikuar </w:t>
      </w:r>
      <w:r w:rsidR="00910D3D" w:rsidRPr="00F01A0B">
        <w:rPr>
          <w:rFonts w:ascii="Times New Roman" w:hAnsi="Times New Roman"/>
          <w:sz w:val="24"/>
          <w:szCs w:val="24"/>
          <w:lang w:val="sq-AL"/>
        </w:rPr>
        <w:t xml:space="preserve">në regjistrin elektronik për njoftimet dhe konsultimet publike </w:t>
      </w:r>
      <w:r w:rsidR="00A23F2A" w:rsidRPr="00F01A0B">
        <w:rPr>
          <w:rFonts w:ascii="Times New Roman" w:hAnsi="Times New Roman"/>
          <w:sz w:val="24"/>
          <w:szCs w:val="24"/>
          <w:lang w:val="sq-AL"/>
        </w:rPr>
        <w:t>(në nivel eksperti dhe qytetari)</w:t>
      </w:r>
      <w:r w:rsidR="007F0918" w:rsidRPr="00F01A0B">
        <w:rPr>
          <w:rFonts w:ascii="Times New Roman" w:hAnsi="Times New Roman"/>
          <w:sz w:val="24"/>
          <w:szCs w:val="24"/>
          <w:lang w:val="sq-AL"/>
        </w:rPr>
        <w:t xml:space="preserve"> në datë </w:t>
      </w:r>
      <w:r w:rsidR="000F3553" w:rsidRPr="00F01A0B">
        <w:rPr>
          <w:rFonts w:ascii="Times New Roman" w:hAnsi="Times New Roman"/>
          <w:bCs/>
          <w:sz w:val="24"/>
          <w:szCs w:val="24"/>
          <w:lang w:val="sq-AL"/>
        </w:rPr>
        <w:t>1</w:t>
      </w:r>
      <w:r w:rsidR="00E90532">
        <w:rPr>
          <w:rFonts w:ascii="Times New Roman" w:hAnsi="Times New Roman"/>
          <w:bCs/>
          <w:sz w:val="24"/>
          <w:szCs w:val="24"/>
          <w:lang w:val="sq-AL"/>
        </w:rPr>
        <w:t>8</w:t>
      </w:r>
      <w:r w:rsidR="000F3553" w:rsidRPr="00F01A0B">
        <w:rPr>
          <w:rFonts w:ascii="Times New Roman" w:hAnsi="Times New Roman"/>
          <w:bCs/>
          <w:sz w:val="24"/>
          <w:szCs w:val="24"/>
          <w:lang w:val="sq-AL"/>
        </w:rPr>
        <w:t xml:space="preserve"> </w:t>
      </w:r>
      <w:r w:rsidR="00E90532">
        <w:rPr>
          <w:rFonts w:ascii="Times New Roman" w:hAnsi="Times New Roman"/>
          <w:bCs/>
          <w:sz w:val="24"/>
          <w:szCs w:val="24"/>
          <w:lang w:val="sq-AL"/>
        </w:rPr>
        <w:t xml:space="preserve">Dhjetor 2024 </w:t>
      </w:r>
      <w:r w:rsidR="000F3553" w:rsidRPr="00F01A0B">
        <w:rPr>
          <w:rFonts w:ascii="Times New Roman" w:hAnsi="Times New Roman"/>
          <w:bCs/>
          <w:sz w:val="24"/>
          <w:szCs w:val="24"/>
          <w:lang w:val="sq-AL"/>
        </w:rPr>
        <w:t xml:space="preserve">deri </w:t>
      </w:r>
      <w:r w:rsidR="000F3553" w:rsidRPr="00F01A0B">
        <w:rPr>
          <w:rFonts w:ascii="Times New Roman" w:hAnsi="Times New Roman"/>
          <w:sz w:val="24"/>
          <w:szCs w:val="24"/>
          <w:lang w:val="sq-AL"/>
        </w:rPr>
        <w:t>në</w:t>
      </w:r>
      <w:r w:rsidR="000F3553" w:rsidRPr="00F01A0B">
        <w:rPr>
          <w:rFonts w:ascii="Times New Roman" w:hAnsi="Times New Roman"/>
          <w:bCs/>
          <w:sz w:val="24"/>
          <w:szCs w:val="24"/>
          <w:lang w:val="sq-AL"/>
        </w:rPr>
        <w:t xml:space="preserve"> </w:t>
      </w:r>
      <w:r w:rsidR="00E90532">
        <w:rPr>
          <w:rFonts w:ascii="Times New Roman" w:hAnsi="Times New Roman"/>
          <w:bCs/>
          <w:sz w:val="24"/>
          <w:szCs w:val="24"/>
          <w:lang w:val="sq-AL"/>
        </w:rPr>
        <w:t>15 Janar 2025</w:t>
      </w:r>
      <w:r w:rsidR="008D202D" w:rsidRPr="00F01A0B">
        <w:rPr>
          <w:rFonts w:ascii="Times New Roman" w:hAnsi="Times New Roman"/>
          <w:sz w:val="24"/>
          <w:szCs w:val="24"/>
          <w:lang w:val="sq-AL"/>
        </w:rPr>
        <w:t>, për një periudhë 20 ditë pune, në respektim të afatit ligjor të konsultimit.</w:t>
      </w:r>
    </w:p>
    <w:p w14:paraId="552C1EE3" w14:textId="77777777" w:rsidR="008D202D" w:rsidRPr="00E90532" w:rsidRDefault="008D202D" w:rsidP="00591477">
      <w:pPr>
        <w:spacing w:line="276" w:lineRule="auto"/>
        <w:ind w:left="360"/>
        <w:jc w:val="both"/>
        <w:rPr>
          <w:rFonts w:ascii="Times New Roman" w:hAnsi="Times New Roman"/>
          <w:sz w:val="28"/>
          <w:szCs w:val="28"/>
          <w:lang w:val="sq-AL"/>
        </w:rPr>
      </w:pPr>
    </w:p>
    <w:p w14:paraId="43F3DC45" w14:textId="77777777" w:rsidR="00E90532" w:rsidRPr="00E90532" w:rsidRDefault="00E90532" w:rsidP="00591477">
      <w:pPr>
        <w:spacing w:line="276" w:lineRule="auto"/>
        <w:jc w:val="both"/>
        <w:rPr>
          <w:rFonts w:ascii="Times New Roman" w:hAnsi="Times New Roman"/>
          <w:sz w:val="24"/>
          <w:szCs w:val="22"/>
          <w:lang w:val="sq-AL"/>
        </w:rPr>
      </w:pPr>
      <w:hyperlink r:id="rId9" w:history="1">
        <w:r w:rsidRPr="00E90532">
          <w:rPr>
            <w:rStyle w:val="Hyperlink"/>
            <w:rFonts w:ascii="Times New Roman" w:hAnsi="Times New Roman"/>
            <w:sz w:val="24"/>
            <w:szCs w:val="22"/>
            <w:lang w:val="sq-AL"/>
          </w:rPr>
          <w:t>"Projekt-vendimi “Për miratimin e Strategjisë Afatgjatë të Rinovimin të Stokut të Ndërtesave</w:t>
        </w:r>
      </w:hyperlink>
    </w:p>
    <w:p w14:paraId="07E81A60" w14:textId="7EF332E5" w:rsidR="002C7E2D" w:rsidRPr="00E90532" w:rsidRDefault="00E90532" w:rsidP="00591477">
      <w:pPr>
        <w:spacing w:line="276" w:lineRule="auto"/>
        <w:jc w:val="both"/>
        <w:rPr>
          <w:rFonts w:ascii="Times New Roman" w:hAnsi="Times New Roman"/>
          <w:sz w:val="28"/>
          <w:szCs w:val="28"/>
          <w:lang w:val="sq-AL"/>
        </w:rPr>
      </w:pPr>
      <w:hyperlink r:id="rId10" w:history="1">
        <w:r w:rsidRPr="00BA5552">
          <w:rPr>
            <w:rStyle w:val="Hyperlink"/>
            <w:rFonts w:ascii="Times New Roman" w:hAnsi="Times New Roman"/>
            <w:sz w:val="24"/>
            <w:szCs w:val="22"/>
            <w:lang w:val="sq-AL"/>
          </w:rPr>
          <w:t>"Projekt-vendimi “Për miratimin e Strategjisë Afatgjatë të Rinovimin të Stokut të Ndërtesave”</w:t>
        </w:r>
      </w:hyperlink>
    </w:p>
    <w:p w14:paraId="54EDE46F" w14:textId="5C89B6A5" w:rsidR="007755F2" w:rsidRPr="00F01A0B" w:rsidRDefault="007755F2" w:rsidP="00591477">
      <w:pPr>
        <w:spacing w:line="276" w:lineRule="auto"/>
        <w:jc w:val="both"/>
        <w:rPr>
          <w:rFonts w:ascii="Times New Roman" w:hAnsi="Times New Roman"/>
          <w:sz w:val="24"/>
          <w:szCs w:val="24"/>
          <w:lang w:val="sq-AL"/>
        </w:rPr>
      </w:pPr>
    </w:p>
    <w:p w14:paraId="4561558F" w14:textId="77777777" w:rsidR="00D67B83" w:rsidRPr="00F01A0B" w:rsidRDefault="005B6D2B" w:rsidP="00591477">
      <w:pPr>
        <w:pStyle w:val="ListParagraph"/>
        <w:numPr>
          <w:ilvl w:val="0"/>
          <w:numId w:val="1"/>
        </w:numPr>
        <w:spacing w:line="276" w:lineRule="auto"/>
        <w:jc w:val="both"/>
        <w:rPr>
          <w:rFonts w:ascii="Times New Roman" w:hAnsi="Times New Roman"/>
          <w:b/>
          <w:sz w:val="24"/>
          <w:szCs w:val="24"/>
          <w:lang w:val="sq-AL"/>
        </w:rPr>
      </w:pPr>
      <w:r w:rsidRPr="00F01A0B">
        <w:rPr>
          <w:rFonts w:ascii="Times New Roman" w:hAnsi="Times New Roman"/>
          <w:b/>
          <w:bCs/>
          <w:sz w:val="24"/>
          <w:szCs w:val="24"/>
          <w:lang w:val="sq-AL"/>
        </w:rPr>
        <w:t>Metoda e konsultimit</w:t>
      </w:r>
    </w:p>
    <w:p w14:paraId="00D691EC"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p>
    <w:p w14:paraId="42A8BB10"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Shpjegoni se si u shpërnda informacioni mbi konsultimet e hapura, si u ftuan palët e interesuara të kontribuojnë.</w:t>
      </w:r>
    </w:p>
    <w:p w14:paraId="5E1D34B8"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Përfshini gjithashtu aktivitete nga konsultimet paraprake nëse janë organizuar të tilla).</w:t>
      </w:r>
    </w:p>
    <w:p w14:paraId="07847DB1" w14:textId="77777777" w:rsidR="00F15746" w:rsidRPr="00F01A0B" w:rsidRDefault="00F15746" w:rsidP="00591477">
      <w:pPr>
        <w:pStyle w:val="ListParagraph"/>
        <w:spacing w:line="276" w:lineRule="auto"/>
        <w:ind w:left="720" w:firstLine="0"/>
        <w:jc w:val="both"/>
        <w:rPr>
          <w:rFonts w:ascii="Times New Roman" w:hAnsi="Times New Roman"/>
          <w:b/>
          <w:sz w:val="24"/>
          <w:szCs w:val="24"/>
          <w:lang w:val="sq-AL"/>
        </w:rPr>
      </w:pPr>
    </w:p>
    <w:p w14:paraId="421C239E" w14:textId="78ADF75C" w:rsidR="00091664" w:rsidRPr="00F01A0B" w:rsidRDefault="00B37B00" w:rsidP="00591477">
      <w:pPr>
        <w:pStyle w:val="Default"/>
        <w:spacing w:line="276" w:lineRule="auto"/>
        <w:jc w:val="both"/>
        <w:rPr>
          <w:lang w:val="sq-AL"/>
        </w:rPr>
      </w:pPr>
      <w:r w:rsidRPr="00F01A0B">
        <w:rPr>
          <w:lang w:val="sq-AL"/>
        </w:rPr>
        <w:lastRenderedPageBreak/>
        <w:t>Projektligji “</w:t>
      </w:r>
      <w:r w:rsidR="00C86E48" w:rsidRPr="004F5D64">
        <w:rPr>
          <w:bCs/>
          <w:iCs/>
          <w:szCs w:val="22"/>
          <w:lang w:val="sq-AL"/>
        </w:rPr>
        <w:t>Për miratimin e strategjisë afatgjatë të rinovimit të stokut të ndërtesave</w:t>
      </w:r>
      <w:r w:rsidR="00C86E48">
        <w:rPr>
          <w:iCs/>
          <w:lang w:val="sq-AL"/>
        </w:rPr>
        <w:t xml:space="preserve">”, </w:t>
      </w:r>
      <w:r w:rsidRPr="00F01A0B">
        <w:rPr>
          <w:iCs/>
          <w:lang w:val="sq-AL"/>
        </w:rPr>
        <w:t xml:space="preserve">u konsultua: </w:t>
      </w:r>
    </w:p>
    <w:p w14:paraId="4C8F47FA" w14:textId="77777777" w:rsidR="00AF7BA7" w:rsidRPr="00F01A0B" w:rsidRDefault="00AF7BA7" w:rsidP="00591477">
      <w:pPr>
        <w:pStyle w:val="BodyText"/>
        <w:tabs>
          <w:tab w:val="clear" w:pos="567"/>
          <w:tab w:val="left" w:pos="270"/>
        </w:tabs>
        <w:spacing w:after="0" w:line="276" w:lineRule="auto"/>
        <w:ind w:left="360" w:hanging="90"/>
        <w:jc w:val="both"/>
        <w:rPr>
          <w:rFonts w:ascii="Times New Roman" w:hAnsi="Times New Roman"/>
          <w:sz w:val="24"/>
          <w:szCs w:val="24"/>
          <w:lang w:val="sq-AL"/>
        </w:rPr>
      </w:pPr>
    </w:p>
    <w:p w14:paraId="2FC92B05" w14:textId="2D0FF520" w:rsidR="00E757D2" w:rsidRPr="00F01A0B" w:rsidRDefault="00B37B00"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F01A0B">
        <w:rPr>
          <w:rFonts w:ascii="Times New Roman" w:hAnsi="Times New Roman"/>
          <w:sz w:val="24"/>
          <w:szCs w:val="24"/>
          <w:lang w:val="sq-AL"/>
        </w:rPr>
        <w:t>Nëpërmjet publikimit</w:t>
      </w:r>
      <w:r w:rsidR="009553BA" w:rsidRPr="00F01A0B">
        <w:rPr>
          <w:rFonts w:ascii="Times New Roman" w:hAnsi="Times New Roman"/>
          <w:sz w:val="24"/>
          <w:szCs w:val="24"/>
          <w:lang w:val="sq-AL"/>
        </w:rPr>
        <w:t xml:space="preserve"> në R</w:t>
      </w:r>
      <w:r w:rsidR="00E757D2" w:rsidRPr="00F01A0B">
        <w:rPr>
          <w:rFonts w:ascii="Times New Roman" w:hAnsi="Times New Roman"/>
          <w:sz w:val="24"/>
          <w:szCs w:val="24"/>
          <w:lang w:val="sq-AL"/>
        </w:rPr>
        <w:t>egjistr</w:t>
      </w:r>
      <w:r w:rsidR="00626AE5" w:rsidRPr="00F01A0B">
        <w:rPr>
          <w:rFonts w:ascii="Times New Roman" w:hAnsi="Times New Roman"/>
          <w:sz w:val="24"/>
          <w:szCs w:val="24"/>
          <w:lang w:val="sq-AL"/>
        </w:rPr>
        <w:t>in elektronik për njoftimet dhe</w:t>
      </w:r>
      <w:r w:rsidRPr="00F01A0B">
        <w:rPr>
          <w:rFonts w:ascii="Times New Roman" w:hAnsi="Times New Roman"/>
          <w:sz w:val="24"/>
          <w:szCs w:val="24"/>
          <w:lang w:val="sq-AL"/>
        </w:rPr>
        <w:t xml:space="preserve"> konsultimet publike nga data </w:t>
      </w:r>
      <w:r w:rsidR="00C86E48" w:rsidRPr="00F01A0B">
        <w:rPr>
          <w:rFonts w:ascii="Times New Roman" w:hAnsi="Times New Roman"/>
          <w:bCs/>
          <w:sz w:val="24"/>
          <w:szCs w:val="24"/>
          <w:lang w:val="sq-AL"/>
        </w:rPr>
        <w:t>1</w:t>
      </w:r>
      <w:r w:rsidR="00C86E48">
        <w:rPr>
          <w:rFonts w:ascii="Times New Roman" w:hAnsi="Times New Roman"/>
          <w:bCs/>
          <w:sz w:val="24"/>
          <w:szCs w:val="24"/>
          <w:lang w:val="sq-AL"/>
        </w:rPr>
        <w:t>8</w:t>
      </w:r>
      <w:r w:rsidR="00C86E48" w:rsidRPr="00F01A0B">
        <w:rPr>
          <w:rFonts w:ascii="Times New Roman" w:hAnsi="Times New Roman"/>
          <w:bCs/>
          <w:sz w:val="24"/>
          <w:szCs w:val="24"/>
          <w:lang w:val="sq-AL"/>
        </w:rPr>
        <w:t xml:space="preserve"> </w:t>
      </w:r>
      <w:r w:rsidR="00C86E48">
        <w:rPr>
          <w:rFonts w:ascii="Times New Roman" w:hAnsi="Times New Roman"/>
          <w:bCs/>
          <w:sz w:val="24"/>
          <w:szCs w:val="24"/>
          <w:lang w:val="sq-AL"/>
        </w:rPr>
        <w:t xml:space="preserve">Dhjetor 2024 </w:t>
      </w:r>
      <w:r w:rsidR="00C86E48" w:rsidRPr="00F01A0B">
        <w:rPr>
          <w:rFonts w:ascii="Times New Roman" w:hAnsi="Times New Roman"/>
          <w:bCs/>
          <w:sz w:val="24"/>
          <w:szCs w:val="24"/>
          <w:lang w:val="sq-AL"/>
        </w:rPr>
        <w:t xml:space="preserve">deri </w:t>
      </w:r>
      <w:r w:rsidR="00C86E48" w:rsidRPr="00F01A0B">
        <w:rPr>
          <w:rFonts w:ascii="Times New Roman" w:hAnsi="Times New Roman"/>
          <w:sz w:val="24"/>
          <w:szCs w:val="24"/>
          <w:lang w:val="sq-AL"/>
        </w:rPr>
        <w:t>në</w:t>
      </w:r>
      <w:r w:rsidR="00C86E48" w:rsidRPr="00F01A0B">
        <w:rPr>
          <w:rFonts w:ascii="Times New Roman" w:hAnsi="Times New Roman"/>
          <w:bCs/>
          <w:sz w:val="24"/>
          <w:szCs w:val="24"/>
          <w:lang w:val="sq-AL"/>
        </w:rPr>
        <w:t xml:space="preserve"> </w:t>
      </w:r>
      <w:r w:rsidR="00C86E48">
        <w:rPr>
          <w:rFonts w:ascii="Times New Roman" w:hAnsi="Times New Roman"/>
          <w:bCs/>
          <w:sz w:val="24"/>
          <w:szCs w:val="24"/>
          <w:lang w:val="sq-AL"/>
        </w:rPr>
        <w:t>15 Janar 2025</w:t>
      </w:r>
      <w:r w:rsidRPr="00F01A0B">
        <w:rPr>
          <w:rFonts w:ascii="Times New Roman" w:hAnsi="Times New Roman"/>
          <w:sz w:val="24"/>
          <w:szCs w:val="24"/>
          <w:lang w:val="sq-AL"/>
        </w:rPr>
        <w:t>;</w:t>
      </w:r>
    </w:p>
    <w:p w14:paraId="5384398E" w14:textId="14EAD902" w:rsidR="00AF7BA7" w:rsidRPr="00F01A0B" w:rsidRDefault="00A04234"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F01A0B">
        <w:rPr>
          <w:rFonts w:ascii="Times New Roman" w:hAnsi="Times New Roman"/>
          <w:sz w:val="24"/>
          <w:szCs w:val="24"/>
          <w:lang w:val="sq-AL"/>
        </w:rPr>
        <w:t>Nëpërmjet publikimit</w:t>
      </w:r>
      <w:r w:rsidR="00B37B00" w:rsidRPr="00F01A0B">
        <w:rPr>
          <w:rFonts w:ascii="Times New Roman" w:hAnsi="Times New Roman"/>
          <w:sz w:val="24"/>
          <w:szCs w:val="24"/>
          <w:lang w:val="sq-AL"/>
        </w:rPr>
        <w:t xml:space="preserve"> </w:t>
      </w:r>
      <w:r w:rsidR="00AF7BA7" w:rsidRPr="00F01A0B">
        <w:rPr>
          <w:rFonts w:ascii="Times New Roman" w:hAnsi="Times New Roman"/>
          <w:sz w:val="24"/>
          <w:szCs w:val="24"/>
          <w:lang w:val="sq-AL"/>
        </w:rPr>
        <w:t xml:space="preserve">në </w:t>
      </w:r>
      <w:r w:rsidR="00F46035" w:rsidRPr="00F01A0B">
        <w:rPr>
          <w:rFonts w:ascii="Times New Roman" w:hAnsi="Times New Roman"/>
          <w:sz w:val="24"/>
          <w:szCs w:val="24"/>
          <w:lang w:val="sq-AL"/>
        </w:rPr>
        <w:t>faqen</w:t>
      </w:r>
      <w:r w:rsidR="00416C05" w:rsidRPr="00F01A0B">
        <w:rPr>
          <w:rFonts w:ascii="Times New Roman" w:hAnsi="Times New Roman"/>
          <w:sz w:val="24"/>
          <w:szCs w:val="24"/>
          <w:lang w:val="sq-AL"/>
        </w:rPr>
        <w:t xml:space="preserve"> zyrtar</w:t>
      </w:r>
      <w:r w:rsidR="00F46035" w:rsidRPr="00F01A0B">
        <w:rPr>
          <w:rFonts w:ascii="Times New Roman" w:hAnsi="Times New Roman"/>
          <w:sz w:val="24"/>
          <w:szCs w:val="24"/>
          <w:lang w:val="sq-AL"/>
        </w:rPr>
        <w:t>e</w:t>
      </w:r>
      <w:r w:rsidR="00AF7BA7" w:rsidRPr="00F01A0B">
        <w:rPr>
          <w:rFonts w:ascii="Times New Roman" w:hAnsi="Times New Roman"/>
          <w:sz w:val="24"/>
          <w:szCs w:val="24"/>
          <w:lang w:val="sq-AL"/>
        </w:rPr>
        <w:t xml:space="preserve"> të M</w:t>
      </w:r>
      <w:r w:rsidR="00F46035" w:rsidRPr="00F01A0B">
        <w:rPr>
          <w:rFonts w:ascii="Times New Roman" w:hAnsi="Times New Roman"/>
          <w:sz w:val="24"/>
          <w:szCs w:val="24"/>
          <w:lang w:val="sq-AL"/>
        </w:rPr>
        <w:t>inistrisë së Infrastrukturës dhe Energjisë</w:t>
      </w:r>
      <w:r w:rsidR="00A70C10" w:rsidRPr="00F01A0B">
        <w:rPr>
          <w:rFonts w:ascii="Times New Roman" w:hAnsi="Times New Roman"/>
          <w:sz w:val="24"/>
          <w:szCs w:val="24"/>
          <w:lang w:val="sq-AL"/>
        </w:rPr>
        <w:t xml:space="preserve"> në</w:t>
      </w:r>
      <w:r w:rsidR="00AF7BA7" w:rsidRPr="00F01A0B">
        <w:rPr>
          <w:rFonts w:ascii="Times New Roman" w:hAnsi="Times New Roman"/>
          <w:sz w:val="24"/>
          <w:szCs w:val="24"/>
          <w:lang w:val="sq-AL"/>
        </w:rPr>
        <w:t xml:space="preserve"> datë </w:t>
      </w:r>
      <w:r w:rsidR="00C86E48" w:rsidRPr="00F01A0B">
        <w:rPr>
          <w:rFonts w:ascii="Times New Roman" w:hAnsi="Times New Roman"/>
          <w:bCs/>
          <w:sz w:val="24"/>
          <w:szCs w:val="24"/>
          <w:lang w:val="sq-AL"/>
        </w:rPr>
        <w:t>1</w:t>
      </w:r>
      <w:r w:rsidR="00C86E48">
        <w:rPr>
          <w:rFonts w:ascii="Times New Roman" w:hAnsi="Times New Roman"/>
          <w:bCs/>
          <w:sz w:val="24"/>
          <w:szCs w:val="24"/>
          <w:lang w:val="sq-AL"/>
        </w:rPr>
        <w:t>8</w:t>
      </w:r>
      <w:r w:rsidR="00C86E48" w:rsidRPr="00F01A0B">
        <w:rPr>
          <w:rFonts w:ascii="Times New Roman" w:hAnsi="Times New Roman"/>
          <w:bCs/>
          <w:sz w:val="24"/>
          <w:szCs w:val="24"/>
          <w:lang w:val="sq-AL"/>
        </w:rPr>
        <w:t xml:space="preserve"> </w:t>
      </w:r>
      <w:r w:rsidR="00C86E48">
        <w:rPr>
          <w:rFonts w:ascii="Times New Roman" w:hAnsi="Times New Roman"/>
          <w:bCs/>
          <w:sz w:val="24"/>
          <w:szCs w:val="24"/>
          <w:lang w:val="sq-AL"/>
        </w:rPr>
        <w:t xml:space="preserve">Dhjetor 2024 </w:t>
      </w:r>
      <w:r w:rsidR="00C86E48" w:rsidRPr="00F01A0B">
        <w:rPr>
          <w:rFonts w:ascii="Times New Roman" w:hAnsi="Times New Roman"/>
          <w:bCs/>
          <w:sz w:val="24"/>
          <w:szCs w:val="24"/>
          <w:lang w:val="sq-AL"/>
        </w:rPr>
        <w:t xml:space="preserve">deri </w:t>
      </w:r>
      <w:r w:rsidR="00C86E48" w:rsidRPr="00F01A0B">
        <w:rPr>
          <w:rFonts w:ascii="Times New Roman" w:hAnsi="Times New Roman"/>
          <w:sz w:val="24"/>
          <w:szCs w:val="24"/>
          <w:lang w:val="sq-AL"/>
        </w:rPr>
        <w:t>në</w:t>
      </w:r>
      <w:r w:rsidR="00C86E48" w:rsidRPr="00F01A0B">
        <w:rPr>
          <w:rFonts w:ascii="Times New Roman" w:hAnsi="Times New Roman"/>
          <w:bCs/>
          <w:sz w:val="24"/>
          <w:szCs w:val="24"/>
          <w:lang w:val="sq-AL"/>
        </w:rPr>
        <w:t xml:space="preserve"> </w:t>
      </w:r>
      <w:r w:rsidR="00C86E48">
        <w:rPr>
          <w:rFonts w:ascii="Times New Roman" w:hAnsi="Times New Roman"/>
          <w:bCs/>
          <w:sz w:val="24"/>
          <w:szCs w:val="24"/>
          <w:lang w:val="sq-AL"/>
        </w:rPr>
        <w:t xml:space="preserve">15 Janar 2025 </w:t>
      </w:r>
      <w:r w:rsidR="00AF7BA7" w:rsidRPr="00F01A0B">
        <w:rPr>
          <w:rFonts w:ascii="Times New Roman" w:hAnsi="Times New Roman"/>
          <w:sz w:val="24"/>
          <w:szCs w:val="24"/>
          <w:lang w:val="sq-AL"/>
        </w:rPr>
        <w:t>dhe paketës shoqëruese;</w:t>
      </w:r>
    </w:p>
    <w:p w14:paraId="12A0D527" w14:textId="10E9F838" w:rsidR="00EB0243" w:rsidRPr="00F01A0B" w:rsidRDefault="00C00C8F"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F01A0B">
        <w:rPr>
          <w:rFonts w:ascii="Times New Roman" w:hAnsi="Times New Roman"/>
          <w:sz w:val="24"/>
          <w:szCs w:val="24"/>
          <w:lang w:val="sq-AL"/>
        </w:rPr>
        <w:t>N</w:t>
      </w:r>
      <w:r w:rsidR="008930F2" w:rsidRPr="00F01A0B">
        <w:rPr>
          <w:rFonts w:ascii="Times New Roman" w:hAnsi="Times New Roman"/>
          <w:sz w:val="24"/>
          <w:szCs w:val="24"/>
          <w:lang w:val="sq-AL"/>
        </w:rPr>
        <w:t>d</w:t>
      </w:r>
      <w:r w:rsidR="007C630B" w:rsidRPr="00F01A0B">
        <w:rPr>
          <w:rFonts w:ascii="Times New Roman" w:hAnsi="Times New Roman"/>
          <w:sz w:val="24"/>
          <w:szCs w:val="24"/>
          <w:lang w:val="sq-AL"/>
        </w:rPr>
        <w:t>ë</w:t>
      </w:r>
      <w:r w:rsidR="008930F2" w:rsidRPr="00F01A0B">
        <w:rPr>
          <w:rFonts w:ascii="Times New Roman" w:hAnsi="Times New Roman"/>
          <w:sz w:val="24"/>
          <w:szCs w:val="24"/>
          <w:lang w:val="sq-AL"/>
        </w:rPr>
        <w:t>rmjet post</w:t>
      </w:r>
      <w:r w:rsidR="007C630B" w:rsidRPr="00F01A0B">
        <w:rPr>
          <w:rFonts w:ascii="Times New Roman" w:hAnsi="Times New Roman"/>
          <w:sz w:val="24"/>
          <w:szCs w:val="24"/>
          <w:lang w:val="sq-AL"/>
        </w:rPr>
        <w:t>ë</w:t>
      </w:r>
      <w:r w:rsidR="008930F2" w:rsidRPr="00F01A0B">
        <w:rPr>
          <w:rFonts w:ascii="Times New Roman" w:hAnsi="Times New Roman"/>
          <w:sz w:val="24"/>
          <w:szCs w:val="24"/>
          <w:lang w:val="sq-AL"/>
        </w:rPr>
        <w:t>s elektronike</w:t>
      </w:r>
      <w:r w:rsidR="00B37B00" w:rsidRPr="00F01A0B">
        <w:rPr>
          <w:rFonts w:ascii="Times New Roman" w:hAnsi="Times New Roman"/>
          <w:sz w:val="24"/>
          <w:szCs w:val="24"/>
          <w:lang w:val="sq-AL"/>
        </w:rPr>
        <w:t xml:space="preserve"> të koordinatorit</w:t>
      </w:r>
      <w:r w:rsidR="001A228B" w:rsidRPr="00F01A0B">
        <w:rPr>
          <w:rFonts w:ascii="Times New Roman" w:hAnsi="Times New Roman"/>
          <w:sz w:val="24"/>
          <w:szCs w:val="24"/>
          <w:lang w:val="sq-AL"/>
        </w:rPr>
        <w:t xml:space="preserve"> për njoftim dhe konsultim publik</w:t>
      </w:r>
      <w:r w:rsidR="008930F2" w:rsidRPr="00F01A0B">
        <w:rPr>
          <w:rFonts w:ascii="Times New Roman" w:hAnsi="Times New Roman"/>
          <w:sz w:val="24"/>
          <w:szCs w:val="24"/>
          <w:lang w:val="sq-AL"/>
        </w:rPr>
        <w:t>:</w:t>
      </w:r>
      <w:r w:rsidR="00017646" w:rsidRPr="00F01A0B">
        <w:rPr>
          <w:rFonts w:ascii="Times New Roman" w:hAnsi="Times New Roman"/>
          <w:sz w:val="24"/>
          <w:szCs w:val="24"/>
          <w:lang w:val="sq-AL"/>
        </w:rPr>
        <w:t xml:space="preserve"> </w:t>
      </w:r>
      <w:hyperlink r:id="rId11" w:history="1">
        <w:r w:rsidR="00497261" w:rsidRPr="00F01A0B">
          <w:rPr>
            <w:rStyle w:val="Hyperlink"/>
            <w:rFonts w:ascii="Times New Roman" w:hAnsi="Times New Roman"/>
            <w:sz w:val="24"/>
            <w:szCs w:val="24"/>
            <w:lang w:val="sq-AL"/>
          </w:rPr>
          <w:t>vilma.davidhi@infrastruktura.gov.al</w:t>
        </w:r>
      </w:hyperlink>
      <w:r w:rsidR="00017646" w:rsidRPr="00F01A0B">
        <w:rPr>
          <w:rFonts w:ascii="Times New Roman" w:hAnsi="Times New Roman"/>
          <w:sz w:val="24"/>
          <w:szCs w:val="24"/>
          <w:lang w:val="sq-AL"/>
        </w:rPr>
        <w:t>.</w:t>
      </w:r>
    </w:p>
    <w:p w14:paraId="3F1E0778" w14:textId="77777777" w:rsidR="00332DB4" w:rsidRPr="00F01A0B" w:rsidRDefault="00332DB4" w:rsidP="00591477">
      <w:pPr>
        <w:tabs>
          <w:tab w:val="left" w:pos="630"/>
        </w:tabs>
        <w:spacing w:line="276" w:lineRule="auto"/>
        <w:ind w:left="450" w:firstLine="90"/>
        <w:jc w:val="both"/>
        <w:rPr>
          <w:rFonts w:ascii="Times New Roman" w:hAnsi="Times New Roman"/>
          <w:sz w:val="24"/>
          <w:szCs w:val="24"/>
          <w:lang w:val="sq-AL"/>
        </w:rPr>
      </w:pPr>
    </w:p>
    <w:p w14:paraId="7E115950" w14:textId="2E536301" w:rsidR="007C630B" w:rsidRPr="00F01A0B" w:rsidRDefault="005B6D2B" w:rsidP="00591477">
      <w:pPr>
        <w:pStyle w:val="ListParagraph"/>
        <w:numPr>
          <w:ilvl w:val="0"/>
          <w:numId w:val="8"/>
        </w:numPr>
        <w:spacing w:line="276" w:lineRule="auto"/>
        <w:jc w:val="both"/>
        <w:rPr>
          <w:rFonts w:ascii="Times New Roman" w:hAnsi="Times New Roman"/>
          <w:b/>
          <w:bCs/>
          <w:sz w:val="24"/>
          <w:szCs w:val="24"/>
          <w:lang w:val="sq-AL"/>
        </w:rPr>
      </w:pPr>
      <w:r w:rsidRPr="00F01A0B">
        <w:rPr>
          <w:rFonts w:ascii="Times New Roman" w:hAnsi="Times New Roman"/>
          <w:b/>
          <w:bCs/>
          <w:sz w:val="24"/>
          <w:szCs w:val="24"/>
          <w:lang w:val="sq-AL"/>
        </w:rPr>
        <w:t>Palët e interesit të përfshira</w:t>
      </w:r>
    </w:p>
    <w:p w14:paraId="32E5622E" w14:textId="77777777" w:rsidR="009B7A7D" w:rsidRPr="00F01A0B" w:rsidRDefault="009B7A7D" w:rsidP="00591477">
      <w:pPr>
        <w:spacing w:line="276" w:lineRule="auto"/>
        <w:jc w:val="both"/>
        <w:rPr>
          <w:rFonts w:ascii="Times New Roman" w:hAnsi="Times New Roman"/>
          <w:i/>
          <w:sz w:val="24"/>
          <w:szCs w:val="24"/>
          <w:lang w:val="sq-AL"/>
        </w:rPr>
      </w:pPr>
      <w:r w:rsidRPr="00F01A0B">
        <w:rPr>
          <w:rFonts w:ascii="Times New Roman" w:hAnsi="Times New Roman"/>
          <w:i/>
          <w:sz w:val="24"/>
          <w:szCs w:val="24"/>
          <w:lang w:val="sq-AL"/>
        </w:rPr>
        <w:t>Listoni të gjithë palët e interesuara, qoftë organizata apo individë, të cilët kanë dhënë komente/kontribut në konsultimet publike përmes metodave të ndryshme të konsultimit, gjatë gjithë procesit të hartimit.</w:t>
      </w:r>
    </w:p>
    <w:p w14:paraId="24F45D46" w14:textId="77777777" w:rsidR="009B7A7D" w:rsidRPr="00F01A0B" w:rsidRDefault="009B7A7D" w:rsidP="00591477">
      <w:pPr>
        <w:spacing w:line="276" w:lineRule="auto"/>
        <w:jc w:val="both"/>
        <w:rPr>
          <w:rFonts w:ascii="Times New Roman" w:hAnsi="Times New Roman"/>
          <w:i/>
          <w:sz w:val="24"/>
          <w:szCs w:val="24"/>
          <w:lang w:val="sq-AL"/>
        </w:rPr>
      </w:pPr>
      <w:r w:rsidRPr="00F01A0B">
        <w:rPr>
          <w:rFonts w:ascii="Times New Roman" w:hAnsi="Times New Roman"/>
          <w:i/>
          <w:sz w:val="24"/>
          <w:szCs w:val="24"/>
          <w:lang w:val="sq-AL"/>
        </w:rPr>
        <w:t>Përmendni gjithashtu numrin dhe strukturën e palëve të interesuara që morën pjesë në takime publike ose seanca të organeve këshilluese.</w:t>
      </w:r>
    </w:p>
    <w:p w14:paraId="4DAB02BF" w14:textId="77777777" w:rsidR="009B7A7D" w:rsidRPr="00F01A0B" w:rsidRDefault="009B7A7D" w:rsidP="00591477">
      <w:pPr>
        <w:spacing w:line="276" w:lineRule="auto"/>
        <w:jc w:val="both"/>
        <w:rPr>
          <w:rFonts w:ascii="Times New Roman" w:hAnsi="Times New Roman"/>
          <w:i/>
          <w:sz w:val="24"/>
          <w:szCs w:val="24"/>
          <w:lang w:val="sq-AL"/>
        </w:rPr>
      </w:pPr>
      <w:r w:rsidRPr="00F01A0B">
        <w:rPr>
          <w:rFonts w:ascii="Times New Roman" w:hAnsi="Times New Roman"/>
          <w:i/>
          <w:sz w:val="24"/>
          <w:szCs w:val="24"/>
          <w:lang w:val="sq-AL"/>
        </w:rPr>
        <w:t>Specifikoni palët e interesuara që morën pjesë në grupin e punës për hartimin e aktit.</w:t>
      </w:r>
    </w:p>
    <w:p w14:paraId="699276D3" w14:textId="77777777" w:rsidR="009B7A7D" w:rsidRPr="00F01A0B" w:rsidRDefault="009B7A7D" w:rsidP="00591477">
      <w:pPr>
        <w:pStyle w:val="ListParagraph"/>
        <w:spacing w:line="276" w:lineRule="auto"/>
        <w:ind w:left="720" w:firstLine="0"/>
        <w:jc w:val="both"/>
        <w:rPr>
          <w:rFonts w:ascii="Times New Roman" w:hAnsi="Times New Roman"/>
          <w:b/>
          <w:bCs/>
          <w:sz w:val="24"/>
          <w:szCs w:val="24"/>
          <w:lang w:val="sq-AL"/>
        </w:rPr>
      </w:pPr>
    </w:p>
    <w:p w14:paraId="1235B50E" w14:textId="55899036" w:rsidR="00F46E3A" w:rsidRPr="00F01A0B" w:rsidRDefault="00B37B00" w:rsidP="00591477">
      <w:pPr>
        <w:spacing w:line="276" w:lineRule="auto"/>
        <w:jc w:val="both"/>
        <w:rPr>
          <w:rFonts w:ascii="Times New Roman" w:hAnsi="Times New Roman"/>
          <w:iCs/>
          <w:sz w:val="24"/>
          <w:szCs w:val="24"/>
          <w:lang w:val="sq-AL"/>
        </w:rPr>
      </w:pPr>
      <w:r w:rsidRPr="00F01A0B">
        <w:rPr>
          <w:rFonts w:ascii="Times New Roman" w:hAnsi="Times New Roman"/>
          <w:iCs/>
          <w:sz w:val="24"/>
          <w:szCs w:val="24"/>
          <w:lang w:val="sq-AL"/>
        </w:rPr>
        <w:t xml:space="preserve">Palët e interesuara, të cilat morën pjesë në hartimin e këtij projektakti janë </w:t>
      </w:r>
      <w:r w:rsidR="00F46E3A" w:rsidRPr="00E402D4">
        <w:rPr>
          <w:rFonts w:ascii="Times New Roman" w:hAnsi="Times New Roman"/>
          <w:sz w:val="24"/>
          <w:szCs w:val="24"/>
          <w:lang w:val="sq-AL"/>
        </w:rPr>
        <w:t>Ministri</w:t>
      </w:r>
      <w:r w:rsidR="00982737" w:rsidRPr="00E402D4">
        <w:rPr>
          <w:rFonts w:ascii="Times New Roman" w:hAnsi="Times New Roman"/>
          <w:sz w:val="24"/>
          <w:szCs w:val="24"/>
          <w:lang w:val="sq-AL"/>
        </w:rPr>
        <w:t>a</w:t>
      </w:r>
      <w:r w:rsidR="00F46E3A" w:rsidRPr="00E402D4">
        <w:rPr>
          <w:rFonts w:ascii="Times New Roman" w:hAnsi="Times New Roman"/>
          <w:sz w:val="24"/>
          <w:szCs w:val="24"/>
          <w:lang w:val="sq-AL"/>
        </w:rPr>
        <w:t xml:space="preserve"> e Drejtësisë, Ministri</w:t>
      </w:r>
      <w:r w:rsidR="00982737" w:rsidRPr="00E402D4">
        <w:rPr>
          <w:rFonts w:ascii="Times New Roman" w:hAnsi="Times New Roman"/>
          <w:sz w:val="24"/>
          <w:szCs w:val="24"/>
          <w:lang w:val="sq-AL"/>
        </w:rPr>
        <w:t>a</w:t>
      </w:r>
      <w:r w:rsidR="00F46E3A" w:rsidRPr="00E402D4">
        <w:rPr>
          <w:rFonts w:ascii="Times New Roman" w:hAnsi="Times New Roman"/>
          <w:sz w:val="24"/>
          <w:szCs w:val="24"/>
          <w:lang w:val="sq-AL"/>
        </w:rPr>
        <w:t xml:space="preserve"> e Financave</w:t>
      </w:r>
      <w:r w:rsidR="005A65AA" w:rsidRPr="00E402D4">
        <w:rPr>
          <w:rFonts w:ascii="Times New Roman" w:hAnsi="Times New Roman"/>
          <w:sz w:val="24"/>
          <w:szCs w:val="24"/>
          <w:lang w:val="sq-AL"/>
        </w:rPr>
        <w:t>,</w:t>
      </w:r>
      <w:r w:rsidR="002D5C4F" w:rsidRPr="00E402D4">
        <w:rPr>
          <w:rFonts w:ascii="Times New Roman" w:hAnsi="Times New Roman"/>
          <w:sz w:val="24"/>
          <w:szCs w:val="24"/>
          <w:lang w:val="sq-AL"/>
        </w:rPr>
        <w:t xml:space="preserve"> </w:t>
      </w:r>
      <w:r w:rsidR="00982737" w:rsidRPr="00E402D4">
        <w:rPr>
          <w:rFonts w:ascii="Times New Roman" w:hAnsi="Times New Roman"/>
          <w:sz w:val="24"/>
          <w:szCs w:val="24"/>
          <w:lang w:val="sq-AL"/>
        </w:rPr>
        <w:t xml:space="preserve">Ministria e </w:t>
      </w:r>
      <w:r w:rsidR="005A65AA" w:rsidRPr="00E402D4">
        <w:rPr>
          <w:rFonts w:ascii="Times New Roman" w:hAnsi="Times New Roman"/>
          <w:sz w:val="24"/>
          <w:szCs w:val="24"/>
          <w:lang w:val="sq-AL"/>
        </w:rPr>
        <w:t>Turizmit dhe Mjedisit</w:t>
      </w:r>
      <w:r w:rsidR="00E402D4">
        <w:rPr>
          <w:rFonts w:ascii="Times New Roman" w:hAnsi="Times New Roman"/>
          <w:sz w:val="24"/>
          <w:szCs w:val="24"/>
          <w:lang w:val="sq-AL"/>
        </w:rPr>
        <w:t xml:space="preserve">, </w:t>
      </w:r>
      <w:r w:rsidR="00E402D4" w:rsidRPr="00E402D4">
        <w:rPr>
          <w:rFonts w:ascii="Times New Roman" w:hAnsi="Times New Roman"/>
          <w:sz w:val="24"/>
          <w:szCs w:val="24"/>
          <w:lang w:val="sq-AL"/>
        </w:rPr>
        <w:t>Ministria e</w:t>
      </w:r>
      <w:r w:rsidR="00E402D4">
        <w:rPr>
          <w:rFonts w:ascii="Times New Roman" w:hAnsi="Times New Roman"/>
          <w:sz w:val="24"/>
          <w:szCs w:val="24"/>
          <w:lang w:val="sq-AL"/>
        </w:rPr>
        <w:t xml:space="preserve"> Bujqësisë dhë Zhvillimit Rural, </w:t>
      </w:r>
      <w:r w:rsidR="00E402D4" w:rsidRPr="00E402D4">
        <w:rPr>
          <w:rFonts w:ascii="Times New Roman" w:hAnsi="Times New Roman"/>
          <w:sz w:val="24"/>
          <w:szCs w:val="24"/>
          <w:lang w:val="sq-AL"/>
        </w:rPr>
        <w:t>Ministria e</w:t>
      </w:r>
      <w:r w:rsidR="00E402D4">
        <w:rPr>
          <w:rFonts w:ascii="Times New Roman" w:hAnsi="Times New Roman"/>
          <w:sz w:val="24"/>
          <w:szCs w:val="24"/>
          <w:lang w:val="sq-AL"/>
        </w:rPr>
        <w:t xml:space="preserve"> Shëndetësisë dhe Mbrojtjes Sociale dhe Ministria e Ekonomisë, Kulturës dhe Inovacionit.</w:t>
      </w:r>
    </w:p>
    <w:p w14:paraId="575AEB7D" w14:textId="77777777" w:rsidR="0037579B" w:rsidRPr="00F01A0B" w:rsidRDefault="0065643C" w:rsidP="00591477">
      <w:pPr>
        <w:tabs>
          <w:tab w:val="left" w:pos="7552"/>
        </w:tabs>
        <w:spacing w:line="276" w:lineRule="auto"/>
        <w:jc w:val="both"/>
        <w:rPr>
          <w:rFonts w:ascii="Times New Roman" w:hAnsi="Times New Roman"/>
          <w:sz w:val="24"/>
          <w:szCs w:val="24"/>
          <w:lang w:val="sq-AL" w:eastAsia="en-GB"/>
        </w:rPr>
      </w:pPr>
      <w:r w:rsidRPr="00F01A0B">
        <w:rPr>
          <w:rFonts w:ascii="Times New Roman" w:hAnsi="Times New Roman"/>
          <w:sz w:val="24"/>
          <w:szCs w:val="24"/>
          <w:lang w:val="sq-AL" w:eastAsia="en-GB"/>
        </w:rPr>
        <w:t xml:space="preserve">     </w:t>
      </w:r>
    </w:p>
    <w:p w14:paraId="5608F273" w14:textId="10747D95" w:rsidR="005B6D2B" w:rsidRPr="00F01A0B" w:rsidRDefault="005B6D2B" w:rsidP="00591477">
      <w:pPr>
        <w:pStyle w:val="ListParagraph"/>
        <w:numPr>
          <w:ilvl w:val="0"/>
          <w:numId w:val="8"/>
        </w:numPr>
        <w:spacing w:line="276" w:lineRule="auto"/>
        <w:jc w:val="both"/>
        <w:rPr>
          <w:rFonts w:ascii="Times New Roman" w:hAnsi="Times New Roman"/>
          <w:i/>
          <w:iCs/>
          <w:sz w:val="24"/>
          <w:szCs w:val="24"/>
          <w:lang w:val="sq-AL"/>
        </w:rPr>
      </w:pPr>
      <w:r w:rsidRPr="00F01A0B">
        <w:rPr>
          <w:rFonts w:ascii="Times New Roman" w:hAnsi="Times New Roman"/>
          <w:b/>
          <w:bCs/>
          <w:sz w:val="24"/>
          <w:szCs w:val="24"/>
          <w:lang w:val="sq-AL"/>
        </w:rPr>
        <w:t>Pasqyra e komenteve të pranuara me arsyetimin e komenteve të pranuara/ refuzuara</w:t>
      </w:r>
    </w:p>
    <w:p w14:paraId="3E608D97" w14:textId="77777777" w:rsidR="00835FB2" w:rsidRPr="00F01A0B" w:rsidRDefault="00835FB2"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Gruponi komentet/ propozimit e pranuara sipas çështjes që ato ngritën;</w:t>
      </w:r>
    </w:p>
    <w:p w14:paraId="1924A277" w14:textId="2AA57176" w:rsidR="00835FB2" w:rsidRPr="00F01A0B" w:rsidRDefault="00835FB2"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Gruponi komente të ngjashme së bashku dhe renditni palët e interesuara që i ngritën ato;</w:t>
      </w:r>
    </w:p>
    <w:p w14:paraId="2D796315" w14:textId="77777777" w:rsidR="00835FB2" w:rsidRPr="00F01A0B" w:rsidRDefault="00835FB2"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Shpjegoni cili ishte vendimi i marrë dhe sqaroni shkurtimisht arsyet për të.</w:t>
      </w:r>
    </w:p>
    <w:p w14:paraId="2455A5C0" w14:textId="77777777" w:rsidR="00D6009E" w:rsidRPr="00F01A0B" w:rsidRDefault="00D6009E" w:rsidP="00591477">
      <w:pPr>
        <w:spacing w:line="276" w:lineRule="auto"/>
        <w:ind w:left="360"/>
        <w:jc w:val="both"/>
        <w:rPr>
          <w:rFonts w:ascii="Times New Roman" w:hAnsi="Times New Roman"/>
          <w:iCs/>
          <w:sz w:val="24"/>
          <w:szCs w:val="24"/>
          <w:lang w:val="sq-AL"/>
        </w:rPr>
      </w:pPr>
    </w:p>
    <w:p w14:paraId="42F1ECD8" w14:textId="3A70C742" w:rsidR="00C24135" w:rsidRPr="00E35C12" w:rsidRDefault="002C2F44" w:rsidP="00591477">
      <w:pPr>
        <w:pStyle w:val="Default"/>
        <w:spacing w:line="276" w:lineRule="auto"/>
        <w:jc w:val="both"/>
        <w:rPr>
          <w:bCs/>
          <w:highlight w:val="yellow"/>
          <w:lang w:val="sq-AL" w:eastAsia="sl-SI"/>
        </w:rPr>
      </w:pPr>
      <w:r w:rsidRPr="00F01A0B">
        <w:rPr>
          <w:lang w:val="sq-AL"/>
        </w:rPr>
        <w:t>Projekt</w:t>
      </w:r>
      <w:r w:rsidR="00E35C12">
        <w:rPr>
          <w:lang w:val="sq-AL"/>
        </w:rPr>
        <w:t>vendimi</w:t>
      </w:r>
      <w:r w:rsidRPr="00F01A0B">
        <w:rPr>
          <w:lang w:val="sq-AL"/>
        </w:rPr>
        <w:t xml:space="preserve"> </w:t>
      </w:r>
      <w:r w:rsidR="00FD340E" w:rsidRPr="00F01A0B">
        <w:rPr>
          <w:lang w:val="sq-AL"/>
        </w:rPr>
        <w:t>“</w:t>
      </w:r>
      <w:r w:rsidR="00E35C12" w:rsidRPr="004F5D64">
        <w:rPr>
          <w:bCs/>
          <w:iCs/>
          <w:szCs w:val="22"/>
          <w:lang w:val="sq-AL"/>
        </w:rPr>
        <w:t>Për miratimin e strategjisë afatgjatë të rinovimit të stokut të ndërtesave</w:t>
      </w:r>
      <w:r w:rsidR="00E35C12">
        <w:rPr>
          <w:iCs/>
          <w:lang w:val="sq-AL"/>
        </w:rPr>
        <w:t xml:space="preserve">”, </w:t>
      </w:r>
      <w:r w:rsidR="00912681" w:rsidRPr="00F01A0B">
        <w:rPr>
          <w:lang w:val="sq-AL"/>
        </w:rPr>
        <w:t>ka pasur 1</w:t>
      </w:r>
      <w:r w:rsidR="00E35C12">
        <w:rPr>
          <w:lang w:val="sq-AL"/>
        </w:rPr>
        <w:t>98</w:t>
      </w:r>
      <w:r w:rsidR="00836D08" w:rsidRPr="00F01A0B">
        <w:rPr>
          <w:lang w:val="sq-AL"/>
        </w:rPr>
        <w:t xml:space="preserve"> </w:t>
      </w:r>
      <w:r w:rsidR="00912681" w:rsidRPr="00F01A0B">
        <w:rPr>
          <w:lang w:val="sq-AL"/>
        </w:rPr>
        <w:t>lexime nga qytetarët</w:t>
      </w:r>
      <w:r w:rsidR="00C24135">
        <w:rPr>
          <w:lang w:val="sq-AL"/>
        </w:rPr>
        <w:t xml:space="preserve">, </w:t>
      </w:r>
      <w:r w:rsidR="00836D08" w:rsidRPr="00F01A0B">
        <w:rPr>
          <w:lang w:val="sq-AL"/>
        </w:rPr>
        <w:t>1</w:t>
      </w:r>
      <w:r w:rsidR="00E35C12">
        <w:rPr>
          <w:lang w:val="sq-AL"/>
        </w:rPr>
        <w:t>67</w:t>
      </w:r>
      <w:r w:rsidR="00912681" w:rsidRPr="00F01A0B">
        <w:rPr>
          <w:lang w:val="sq-AL"/>
        </w:rPr>
        <w:t xml:space="preserve"> lexime nga ekspertët</w:t>
      </w:r>
      <w:r w:rsidR="00C24135">
        <w:rPr>
          <w:lang w:val="sq-AL"/>
        </w:rPr>
        <w:t xml:space="preserve"> </w:t>
      </w:r>
      <w:r w:rsidR="00C24135" w:rsidRPr="00BA5552">
        <w:rPr>
          <w:lang w:val="sq-AL"/>
        </w:rPr>
        <w:t>dhe</w:t>
      </w:r>
      <w:r w:rsidR="00BA5552" w:rsidRPr="00BA5552">
        <w:rPr>
          <w:lang w:val="sq-AL"/>
        </w:rPr>
        <w:t xml:space="preserve"> </w:t>
      </w:r>
      <w:r w:rsidR="00E35C12" w:rsidRPr="00BA5552">
        <w:rPr>
          <w:lang w:val="sq-AL"/>
        </w:rPr>
        <w:t>një</w:t>
      </w:r>
      <w:r w:rsidR="00C24135" w:rsidRPr="00BA5552">
        <w:rPr>
          <w:lang w:val="sq-AL"/>
        </w:rPr>
        <w:t xml:space="preserve"> reagim</w:t>
      </w:r>
      <w:r w:rsidR="00E35C12" w:rsidRPr="00BA5552">
        <w:rPr>
          <w:lang w:val="sq-AL"/>
        </w:rPr>
        <w:t xml:space="preserve"> </w:t>
      </w:r>
      <w:r w:rsidR="00C24135" w:rsidRPr="00BA5552">
        <w:rPr>
          <w:lang w:val="sq-AL"/>
        </w:rPr>
        <w:t>n</w:t>
      </w:r>
      <w:r w:rsidR="00591477" w:rsidRPr="00BA5552">
        <w:rPr>
          <w:lang w:val="sq-AL"/>
        </w:rPr>
        <w:t>ë</w:t>
      </w:r>
      <w:r w:rsidR="00C24135" w:rsidRPr="00BA5552">
        <w:rPr>
          <w:lang w:val="sq-AL"/>
        </w:rPr>
        <w:t>p</w:t>
      </w:r>
      <w:r w:rsidR="00591477" w:rsidRPr="00BA5552">
        <w:rPr>
          <w:lang w:val="sq-AL"/>
        </w:rPr>
        <w:t>ë</w:t>
      </w:r>
      <w:r w:rsidR="00C24135" w:rsidRPr="00BA5552">
        <w:rPr>
          <w:lang w:val="sq-AL"/>
        </w:rPr>
        <w:t xml:space="preserve">rmjet </w:t>
      </w:r>
      <w:r w:rsidR="003A2CB4">
        <w:rPr>
          <w:lang w:val="sq-AL"/>
        </w:rPr>
        <w:t xml:space="preserve">adresës </w:t>
      </w:r>
      <w:r w:rsidR="00BA5552" w:rsidRPr="00BA5552">
        <w:rPr>
          <w:lang w:val="sq-AL"/>
        </w:rPr>
        <w:t>post</w:t>
      </w:r>
      <w:r w:rsidR="003A2CB4">
        <w:rPr>
          <w:lang w:val="sq-AL"/>
        </w:rPr>
        <w:t>are</w:t>
      </w:r>
      <w:r w:rsidR="00BA5552" w:rsidRPr="00BA5552">
        <w:rPr>
          <w:lang w:val="sq-AL"/>
        </w:rPr>
        <w:t xml:space="preserve"> </w:t>
      </w:r>
      <w:r w:rsidR="003A2CB4">
        <w:rPr>
          <w:lang w:val="sq-AL"/>
        </w:rPr>
        <w:t xml:space="preserve">të MIE, </w:t>
      </w:r>
      <w:r w:rsidR="00BA5552" w:rsidRPr="00BA5552">
        <w:rPr>
          <w:lang w:val="sq-AL"/>
        </w:rPr>
        <w:t>nga Shoqata e Nd</w:t>
      </w:r>
      <w:r w:rsidR="00BA5552">
        <w:rPr>
          <w:lang w:val="sq-AL"/>
        </w:rPr>
        <w:t>ë</w:t>
      </w:r>
      <w:r w:rsidR="00BA5552" w:rsidRPr="00BA5552">
        <w:rPr>
          <w:lang w:val="sq-AL"/>
        </w:rPr>
        <w:t>rtuesve t</w:t>
      </w:r>
      <w:r w:rsidR="00BA5552">
        <w:rPr>
          <w:lang w:val="sq-AL"/>
        </w:rPr>
        <w:t>ë</w:t>
      </w:r>
      <w:r w:rsidR="00BA5552" w:rsidRPr="00BA5552">
        <w:rPr>
          <w:lang w:val="sq-AL"/>
        </w:rPr>
        <w:t xml:space="preserve"> Shqip</w:t>
      </w:r>
      <w:r w:rsidR="00BA5552">
        <w:rPr>
          <w:lang w:val="sq-AL"/>
        </w:rPr>
        <w:t>ë</w:t>
      </w:r>
      <w:r w:rsidR="00BA5552" w:rsidRPr="00BA5552">
        <w:rPr>
          <w:lang w:val="sq-AL"/>
        </w:rPr>
        <w:t>ris</w:t>
      </w:r>
      <w:r w:rsidR="00BA5552">
        <w:rPr>
          <w:lang w:val="sq-AL"/>
        </w:rPr>
        <w:t>ë</w:t>
      </w:r>
      <w:r w:rsidR="00BA5552" w:rsidRPr="00BA5552">
        <w:rPr>
          <w:lang w:val="sq-AL"/>
        </w:rPr>
        <w:t>.</w:t>
      </w:r>
    </w:p>
    <w:p w14:paraId="6F1E56B7" w14:textId="77777777" w:rsidR="00C24135" w:rsidRPr="00E35C12" w:rsidRDefault="00C24135" w:rsidP="00591477">
      <w:pPr>
        <w:pStyle w:val="Default"/>
        <w:spacing w:line="276" w:lineRule="auto"/>
        <w:jc w:val="both"/>
        <w:rPr>
          <w:bCs/>
          <w:highlight w:val="yellow"/>
          <w:lang w:val="sq-AL" w:eastAsia="sl-SI"/>
        </w:rPr>
      </w:pPr>
    </w:p>
    <w:p w14:paraId="1DA6B5FB" w14:textId="7FDFF3CF" w:rsidR="00F01A0B" w:rsidRPr="00C24135" w:rsidRDefault="00C24135" w:rsidP="00591477">
      <w:pPr>
        <w:pStyle w:val="Default"/>
        <w:spacing w:line="276" w:lineRule="auto"/>
        <w:jc w:val="both"/>
        <w:rPr>
          <w:lang w:val="sq-AL"/>
        </w:rPr>
      </w:pPr>
      <w:r w:rsidRPr="00BA5552">
        <w:rPr>
          <w:lang w:val="sq-AL"/>
        </w:rPr>
        <w:t>N</w:t>
      </w:r>
      <w:r w:rsidR="00A03535" w:rsidRPr="00BA5552">
        <w:rPr>
          <w:lang w:val="sq-AL"/>
        </w:rPr>
        <w:t xml:space="preserve">ë tabelën </w:t>
      </w:r>
      <w:r w:rsidRPr="00BA5552">
        <w:rPr>
          <w:lang w:val="sq-AL"/>
        </w:rPr>
        <w:t xml:space="preserve">si më poshtë gjenden të reflektura komentet e </w:t>
      </w:r>
      <w:r w:rsidR="00E35C12" w:rsidRPr="00BA5552">
        <w:rPr>
          <w:lang w:val="sq-AL"/>
        </w:rPr>
        <w:t>bëra nga aktorët e interesuar</w:t>
      </w:r>
      <w:r w:rsidRPr="00BA5552">
        <w:rPr>
          <w:lang w:val="sq-AL"/>
        </w:rPr>
        <w:t xml:space="preserve"> në Shqipëri</w:t>
      </w:r>
      <w:r w:rsidR="00A03535" w:rsidRPr="00BA5552">
        <w:rPr>
          <w:lang w:val="sq-AL"/>
        </w:rPr>
        <w:t>:</w:t>
      </w:r>
    </w:p>
    <w:p w14:paraId="3F2D125B" w14:textId="77777777" w:rsidR="00A03535" w:rsidRDefault="00A03535" w:rsidP="00591477">
      <w:pPr>
        <w:shd w:val="clear" w:color="auto" w:fill="FFFFFF"/>
        <w:spacing w:line="276" w:lineRule="auto"/>
        <w:ind w:left="360"/>
        <w:jc w:val="both"/>
        <w:rPr>
          <w:rFonts w:ascii="Times New Roman" w:hAnsi="Times New Roman"/>
          <w:bCs/>
          <w:sz w:val="24"/>
          <w:szCs w:val="24"/>
          <w:lang w:val="sq-AL" w:eastAsia="sl-SI"/>
        </w:rPr>
      </w:pPr>
    </w:p>
    <w:p w14:paraId="353ADDDE"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75FD005B"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1EAD1247"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344CBE5E"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6D394560"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05922393"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7E13C0E2"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092C2AB6" w14:textId="77777777" w:rsidR="00C24135" w:rsidRDefault="00C24135" w:rsidP="00591477">
      <w:pPr>
        <w:pStyle w:val="BodyText"/>
        <w:spacing w:line="276" w:lineRule="auto"/>
        <w:jc w:val="both"/>
        <w:rPr>
          <w:rFonts w:ascii="Times New Roman" w:hAnsi="Times New Roman"/>
          <w:sz w:val="24"/>
          <w:szCs w:val="24"/>
          <w:lang w:val="sq-AL"/>
        </w:rPr>
        <w:sectPr w:rsidR="00C24135" w:rsidSect="0027304B">
          <w:pgSz w:w="11900" w:h="16840"/>
          <w:pgMar w:top="900" w:right="1417" w:bottom="1417" w:left="1417" w:header="708" w:footer="708"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078"/>
        <w:gridCol w:w="5942"/>
        <w:gridCol w:w="1836"/>
        <w:gridCol w:w="1307"/>
        <w:gridCol w:w="2763"/>
      </w:tblGrid>
      <w:tr w:rsidR="000F3158" w:rsidRPr="00F01A0B" w14:paraId="248CEFD7" w14:textId="77777777" w:rsidTr="007876E3">
        <w:trPr>
          <w:jc w:val="center"/>
        </w:trPr>
        <w:tc>
          <w:tcPr>
            <w:tcW w:w="586" w:type="dxa"/>
            <w:tcBorders>
              <w:top w:val="single" w:sz="4" w:space="0" w:color="auto"/>
              <w:left w:val="single" w:sz="4" w:space="0" w:color="auto"/>
              <w:bottom w:val="single" w:sz="4" w:space="0" w:color="auto"/>
              <w:right w:val="single" w:sz="4" w:space="0" w:color="auto"/>
            </w:tcBorders>
          </w:tcPr>
          <w:p w14:paraId="3E07D069"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Nr.</w:t>
            </w:r>
          </w:p>
        </w:tc>
        <w:tc>
          <w:tcPr>
            <w:tcW w:w="2078" w:type="dxa"/>
            <w:tcBorders>
              <w:top w:val="single" w:sz="4" w:space="0" w:color="auto"/>
              <w:left w:val="single" w:sz="4" w:space="0" w:color="auto"/>
              <w:bottom w:val="single" w:sz="4" w:space="0" w:color="auto"/>
              <w:right w:val="single" w:sz="4" w:space="0" w:color="auto"/>
            </w:tcBorders>
            <w:hideMark/>
          </w:tcPr>
          <w:p w14:paraId="4CD316C6"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Çështja e  adresuar</w:t>
            </w:r>
          </w:p>
          <w:p w14:paraId="591D8078" w14:textId="77777777" w:rsidR="000F3158" w:rsidRPr="00F01A0B" w:rsidRDefault="000F3158" w:rsidP="00591477">
            <w:pPr>
              <w:pStyle w:val="BodyText"/>
              <w:spacing w:line="276" w:lineRule="auto"/>
              <w:jc w:val="both"/>
              <w:rPr>
                <w:rFonts w:ascii="Times New Roman" w:hAnsi="Times New Roman"/>
                <w:i/>
                <w:iCs/>
                <w:sz w:val="24"/>
                <w:szCs w:val="24"/>
                <w:lang w:val="sq-AL"/>
              </w:rPr>
            </w:pPr>
            <w:r w:rsidRPr="00F01A0B">
              <w:rPr>
                <w:rFonts w:ascii="Times New Roman" w:hAnsi="Times New Roman"/>
                <w:sz w:val="24"/>
                <w:szCs w:val="24"/>
                <w:lang w:val="sq-AL"/>
              </w:rPr>
              <w:t>(</w:t>
            </w:r>
            <w:r w:rsidRPr="00F01A0B">
              <w:rPr>
                <w:rFonts w:ascii="Times New Roman" w:hAnsi="Times New Roman"/>
                <w:i/>
                <w:sz w:val="24"/>
                <w:szCs w:val="24"/>
                <w:lang w:val="sq-AL"/>
              </w:rPr>
              <w:t>psh. përkufizimi i ri i…, kushtet për regjistrimin e…, rregullimi i…, etj.)</w:t>
            </w:r>
          </w:p>
        </w:tc>
        <w:tc>
          <w:tcPr>
            <w:tcW w:w="5942" w:type="dxa"/>
            <w:tcBorders>
              <w:top w:val="single" w:sz="4" w:space="0" w:color="auto"/>
              <w:left w:val="single" w:sz="4" w:space="0" w:color="auto"/>
              <w:bottom w:val="single" w:sz="4" w:space="0" w:color="auto"/>
              <w:right w:val="single" w:sz="4" w:space="0" w:color="auto"/>
            </w:tcBorders>
            <w:hideMark/>
          </w:tcPr>
          <w:p w14:paraId="5BD673ED"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Komenti</w:t>
            </w:r>
          </w:p>
          <w:p w14:paraId="4D2A405C" w14:textId="77777777" w:rsidR="000F3158" w:rsidRPr="00F01A0B" w:rsidRDefault="000F3158" w:rsidP="00591477">
            <w:pPr>
              <w:pStyle w:val="BodyText"/>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 xml:space="preserve">(grumbulloni dhe përmblidhni komente identike/të ngjashme nga palët e ndryshme të interesuara së bashku) </w:t>
            </w:r>
          </w:p>
        </w:tc>
        <w:tc>
          <w:tcPr>
            <w:tcW w:w="1836" w:type="dxa"/>
            <w:tcBorders>
              <w:top w:val="single" w:sz="4" w:space="0" w:color="auto"/>
              <w:left w:val="single" w:sz="4" w:space="0" w:color="auto"/>
              <w:bottom w:val="single" w:sz="4" w:space="0" w:color="auto"/>
              <w:right w:val="single" w:sz="4" w:space="0" w:color="auto"/>
            </w:tcBorders>
            <w:hideMark/>
          </w:tcPr>
          <w:p w14:paraId="68F3ED86"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 xml:space="preserve">Palët e interesuara </w:t>
            </w:r>
            <w:r w:rsidRPr="00F01A0B">
              <w:rPr>
                <w:rFonts w:ascii="Times New Roman" w:hAnsi="Times New Roman"/>
                <w:i/>
                <w:iCs/>
                <w:sz w:val="24"/>
                <w:szCs w:val="24"/>
                <w:lang w:val="sq-AL"/>
              </w:rPr>
              <w:t>(renditni të gjithë ata që adresuan çështjen në mënyrë të ngjashme)</w:t>
            </w:r>
          </w:p>
        </w:tc>
        <w:tc>
          <w:tcPr>
            <w:tcW w:w="1307" w:type="dxa"/>
            <w:tcBorders>
              <w:top w:val="single" w:sz="4" w:space="0" w:color="auto"/>
              <w:left w:val="single" w:sz="4" w:space="0" w:color="auto"/>
              <w:bottom w:val="single" w:sz="4" w:space="0" w:color="auto"/>
              <w:right w:val="single" w:sz="4" w:space="0" w:color="auto"/>
            </w:tcBorders>
            <w:hideMark/>
          </w:tcPr>
          <w:p w14:paraId="70EC214B"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 xml:space="preserve">Vendimi (I pranuar/I pranuar pjesërisht/I refuzuar) </w:t>
            </w:r>
          </w:p>
        </w:tc>
        <w:tc>
          <w:tcPr>
            <w:tcW w:w="2763" w:type="dxa"/>
            <w:tcBorders>
              <w:top w:val="single" w:sz="4" w:space="0" w:color="auto"/>
              <w:left w:val="single" w:sz="4" w:space="0" w:color="auto"/>
              <w:bottom w:val="single" w:sz="4" w:space="0" w:color="auto"/>
              <w:right w:val="single" w:sz="4" w:space="0" w:color="auto"/>
            </w:tcBorders>
            <w:hideMark/>
          </w:tcPr>
          <w:p w14:paraId="2DC61E80"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Justifikimi</w:t>
            </w:r>
          </w:p>
        </w:tc>
      </w:tr>
      <w:tr w:rsidR="00D72BD1" w:rsidRPr="00484141" w14:paraId="37378638" w14:textId="77777777" w:rsidTr="007876E3">
        <w:trPr>
          <w:jc w:val="center"/>
        </w:trPr>
        <w:tc>
          <w:tcPr>
            <w:tcW w:w="586" w:type="dxa"/>
            <w:tcBorders>
              <w:top w:val="single" w:sz="4" w:space="0" w:color="auto"/>
              <w:left w:val="single" w:sz="4" w:space="0" w:color="auto"/>
              <w:bottom w:val="single" w:sz="4" w:space="0" w:color="auto"/>
              <w:right w:val="single" w:sz="4" w:space="0" w:color="auto"/>
            </w:tcBorders>
          </w:tcPr>
          <w:p w14:paraId="3839C265" w14:textId="4A6145D6" w:rsidR="00D72BD1" w:rsidRPr="00F01A0B" w:rsidRDefault="007876E3"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1</w:t>
            </w:r>
            <w:r w:rsidR="00D72BD1">
              <w:rPr>
                <w:rFonts w:ascii="Times New Roman" w:hAnsi="Times New Roman"/>
                <w:sz w:val="24"/>
                <w:szCs w:val="24"/>
                <w:lang w:val="sq-AL"/>
              </w:rPr>
              <w:t>.</w:t>
            </w:r>
          </w:p>
        </w:tc>
        <w:tc>
          <w:tcPr>
            <w:tcW w:w="2078" w:type="dxa"/>
            <w:tcBorders>
              <w:top w:val="single" w:sz="4" w:space="0" w:color="auto"/>
              <w:left w:val="single" w:sz="4" w:space="0" w:color="auto"/>
              <w:bottom w:val="single" w:sz="4" w:space="0" w:color="auto"/>
              <w:right w:val="single" w:sz="4" w:space="0" w:color="auto"/>
            </w:tcBorders>
          </w:tcPr>
          <w:p w14:paraId="1AE35BDC" w14:textId="1769F9FD" w:rsidR="00D72BD1" w:rsidRPr="00D72BD1" w:rsidRDefault="00D72BD1" w:rsidP="00F37C19">
            <w:pPr>
              <w:pStyle w:val="BodyText"/>
              <w:spacing w:line="276" w:lineRule="auto"/>
              <w:jc w:val="both"/>
              <w:rPr>
                <w:rFonts w:ascii="Times New Roman" w:hAnsi="Times New Roman"/>
                <w:b/>
                <w:bCs/>
                <w:sz w:val="24"/>
                <w:szCs w:val="24"/>
                <w:lang w:val="sq-AL"/>
              </w:rPr>
            </w:pPr>
            <w:r w:rsidRPr="00D72BD1">
              <w:rPr>
                <w:rFonts w:ascii="Times New Roman" w:hAnsi="Times New Roman"/>
                <w:b/>
                <w:bCs/>
                <w:sz w:val="24"/>
                <w:szCs w:val="24"/>
                <w:lang w:val="sq-AL"/>
              </w:rPr>
              <w:t>Baza ligjore ku mbështetet</w:t>
            </w:r>
            <w:r>
              <w:rPr>
                <w:rFonts w:ascii="Times New Roman" w:hAnsi="Times New Roman"/>
                <w:b/>
                <w:bCs/>
                <w:sz w:val="24"/>
                <w:szCs w:val="24"/>
                <w:lang w:val="sq-AL"/>
              </w:rPr>
              <w:t xml:space="preserve"> plani</w:t>
            </w:r>
            <w:r w:rsidRPr="00D72BD1">
              <w:rPr>
                <w:rFonts w:ascii="Times New Roman" w:hAnsi="Times New Roman"/>
                <w:b/>
                <w:bCs/>
                <w:sz w:val="24"/>
                <w:szCs w:val="24"/>
                <w:lang w:val="sq-AL"/>
              </w:rPr>
              <w:t xml:space="preserve"> dhe përfshirjen e këtij drafti në PKEK</w:t>
            </w:r>
          </w:p>
        </w:tc>
        <w:tc>
          <w:tcPr>
            <w:tcW w:w="5942" w:type="dxa"/>
            <w:tcBorders>
              <w:top w:val="single" w:sz="4" w:space="0" w:color="auto"/>
              <w:left w:val="single" w:sz="4" w:space="0" w:color="auto"/>
              <w:bottom w:val="single" w:sz="4" w:space="0" w:color="auto"/>
              <w:right w:val="single" w:sz="4" w:space="0" w:color="auto"/>
            </w:tcBorders>
          </w:tcPr>
          <w:p w14:paraId="26C9F318" w14:textId="20F523E1" w:rsidR="006C1074" w:rsidRPr="00B14788" w:rsidRDefault="006C1074" w:rsidP="006C1074">
            <w:pPr>
              <w:jc w:val="both"/>
              <w:rPr>
                <w:rFonts w:ascii="Times New Roman" w:hAnsi="Times New Roman"/>
                <w:sz w:val="24"/>
                <w:szCs w:val="24"/>
                <w:lang w:val="sq-AL"/>
              </w:rPr>
            </w:pPr>
            <w:r w:rsidRPr="00B14788">
              <w:rPr>
                <w:rFonts w:ascii="Times New Roman" w:hAnsi="Times New Roman"/>
                <w:sz w:val="24"/>
                <w:szCs w:val="24"/>
                <w:lang w:val="sq-AL"/>
              </w:rPr>
              <w:t>Komenti ynë është se, në këtë draft Stategji, baza ligjore është Vendimi D/2021/14/MC-EnC(</w:t>
            </w:r>
            <w:hyperlink r:id="rId12" w:history="1">
              <w:r w:rsidR="00D64AC8" w:rsidRPr="009D5B7C">
                <w:rPr>
                  <w:rStyle w:val="Hyperlink"/>
                  <w:rFonts w:ascii="Times New Roman" w:hAnsi="Times New Roman"/>
                  <w:sz w:val="24"/>
                  <w:szCs w:val="24"/>
                  <w:lang w:val="sq-AL"/>
                </w:rPr>
                <w:t>https://www.energycommunity.org/dam/jcr.c755f9db-f6e7-448c-9cf5</w:t>
              </w:r>
              <w:r w:rsidR="00D64AC8" w:rsidRPr="009D5B7C">
                <w:rPr>
                  <w:rStyle w:val="Hyperlink"/>
                  <w:rFonts w:ascii="Times New Roman" w:hAnsi="Times New Roman"/>
                  <w:lang w:val="sq-AL"/>
                </w:rPr>
                <w:t xml:space="preserve"> </w:t>
              </w:r>
              <w:r w:rsidR="00D64AC8" w:rsidRPr="009D5B7C">
                <w:rPr>
                  <w:rStyle w:val="Hyperlink"/>
                  <w:rFonts w:ascii="Times New Roman" w:hAnsi="Times New Roman"/>
                  <w:sz w:val="24"/>
                  <w:szCs w:val="24"/>
                  <w:lang w:val="sq-AL"/>
                </w:rPr>
                <w:t>0a5f02113ae2/19thMCDecision 14 CEPII_30112021.pdf</w:t>
              </w:r>
            </w:hyperlink>
            <w:r w:rsidRPr="00B14788">
              <w:rPr>
                <w:rFonts w:ascii="Times New Roman" w:hAnsi="Times New Roman"/>
                <w:sz w:val="24"/>
                <w:szCs w:val="24"/>
                <w:lang w:val="sq-AL"/>
              </w:rPr>
              <w:t>)</w:t>
            </w:r>
            <w:r w:rsidR="00D64AC8">
              <w:rPr>
                <w:rFonts w:ascii="Times New Roman" w:hAnsi="Times New Roman"/>
                <w:sz w:val="24"/>
                <w:szCs w:val="24"/>
                <w:lang w:val="sq-AL"/>
              </w:rPr>
              <w:t xml:space="preserve"> </w:t>
            </w:r>
            <w:r w:rsidRPr="00B14788">
              <w:rPr>
                <w:rFonts w:ascii="Times New Roman" w:hAnsi="Times New Roman"/>
                <w:sz w:val="24"/>
                <w:szCs w:val="24"/>
                <w:lang w:val="sq-AL"/>
              </w:rPr>
              <w:t>i Këshillit të ministrave të Komunitetit të Energjisë në Vjenë, ku Shqipëria është Palë Kontraktuese. Në në faqen 27-28 ku flitet për Nenin 2a (Long-term renovation strategy), ku pika 8 shprehet se "Strategjia afatgjatë e rinovimit e secilës palë kontraktuese do t'i dorëzohet Sekretariatit të Komunitetit të Energjisë si pjesë e planit të saj përfundimtar të integruar kombëtar të energjisë dhe klimës, të përmendur në nenin 3 të Rregullores (BE) 2018/1999, siç është inkorporuar në Komunitetin e Energjisë. Si një shmangie nga neni 3(1) i asaj rregulloreje, strategjia e parë afatgjatë e rinovimit sipas paragrafit 1 të këtij neni do t'i dorëzohet Sekretariatit të Komunitetit të Energjisë deri më 10 mars 2023. "Ky vendim mendojmë se është në përputhje me ligjin 28/2021 i cili shprehet në të njëjtën linjë me këtë vendim të KM të Komunitetit të Energjisë në Vjenë. Nga publikimi vërejmë se ky dokument nuk është pjesë e PKEK të përditësuar dhe nuk i është dorëzuar Sekretariatit para 10 Marsit 2023.</w:t>
            </w:r>
          </w:p>
          <w:p w14:paraId="1F47BF1F" w14:textId="2E652BCE" w:rsidR="00D72BD1" w:rsidRPr="003332FA" w:rsidRDefault="006C1074" w:rsidP="004F5D64">
            <w:pPr>
              <w:jc w:val="both"/>
              <w:rPr>
                <w:rFonts w:ascii="Times New Roman" w:hAnsi="Times New Roman"/>
                <w:i/>
                <w:iCs/>
                <w:sz w:val="24"/>
                <w:szCs w:val="24"/>
                <w:lang w:val="sq-AL"/>
              </w:rPr>
            </w:pPr>
            <w:r w:rsidRPr="00B14788">
              <w:rPr>
                <w:rFonts w:ascii="Times New Roman" w:hAnsi="Times New Roman"/>
                <w:sz w:val="24"/>
                <w:szCs w:val="24"/>
                <w:lang w:val="sq-AL"/>
              </w:rPr>
              <w:lastRenderedPageBreak/>
              <w:t>Besojmë se ky projekt-VKM edhe pse nuk ka detyrim t'i referohet Direktivës 2010/31/EU tashme të shfuqizuar me Direktivën (BE) 2024/1275 të Parlamentit Evropian dhe Këshillit, datë 24 Prill 2024 "Për Performancën Energjitike të Ndërtesave", në këtë draft parashikohet në Nenin 5 "Plani kombëtar për rinovimin e ndërtesave" pika 1 se, Këshilli i Ministrave me propozimin e ministrisë përgjegjëse për energjinë, miraton planin kombëtar për rinovimin e ndërtesave, që përfshin stokun kombëtar të ndërtesave rezidenciale dhe jorezidenciale, publike dhe jopublike me qëllim transformimin në një stok me performancë të lartë energjitike dhe të dekarbonizuar deri në vitin 2050, për transformimin e ndërtesave ekzistuese në ndërtesa pa emetime.</w:t>
            </w:r>
          </w:p>
        </w:tc>
        <w:tc>
          <w:tcPr>
            <w:tcW w:w="1836" w:type="dxa"/>
            <w:tcBorders>
              <w:top w:val="single" w:sz="4" w:space="0" w:color="auto"/>
              <w:left w:val="single" w:sz="4" w:space="0" w:color="auto"/>
              <w:bottom w:val="single" w:sz="4" w:space="0" w:color="auto"/>
              <w:right w:val="single" w:sz="4" w:space="0" w:color="auto"/>
            </w:tcBorders>
          </w:tcPr>
          <w:p w14:paraId="1E7BC495" w14:textId="2B7C1B37" w:rsidR="00D72BD1" w:rsidRPr="00AE3156" w:rsidRDefault="00D72BD1" w:rsidP="00F37C19">
            <w:pPr>
              <w:pStyle w:val="BodyText"/>
              <w:spacing w:line="276" w:lineRule="auto"/>
              <w:jc w:val="both"/>
              <w:rPr>
                <w:rFonts w:ascii="Times New Roman" w:hAnsi="Times New Roman"/>
                <w:b/>
                <w:bCs/>
                <w:sz w:val="24"/>
                <w:szCs w:val="24"/>
                <w:lang w:val="sq-AL"/>
              </w:rPr>
            </w:pPr>
            <w:r w:rsidRPr="002A319E">
              <w:rPr>
                <w:rFonts w:ascii="Times New Roman" w:hAnsi="Times New Roman"/>
                <w:b/>
                <w:bCs/>
                <w:sz w:val="24"/>
                <w:szCs w:val="22"/>
                <w:lang w:val="sq-AL"/>
              </w:rPr>
              <w:lastRenderedPageBreak/>
              <w:t>Shoqata e Ndërtuesve të Shqipërisë</w:t>
            </w:r>
          </w:p>
        </w:tc>
        <w:tc>
          <w:tcPr>
            <w:tcW w:w="1307" w:type="dxa"/>
            <w:tcBorders>
              <w:top w:val="single" w:sz="4" w:space="0" w:color="auto"/>
              <w:left w:val="single" w:sz="4" w:space="0" w:color="auto"/>
              <w:bottom w:val="single" w:sz="4" w:space="0" w:color="auto"/>
              <w:right w:val="single" w:sz="4" w:space="0" w:color="auto"/>
            </w:tcBorders>
          </w:tcPr>
          <w:p w14:paraId="0D314413" w14:textId="114E21D3" w:rsidR="00D72BD1" w:rsidRDefault="00A92F6A"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Refuzuar</w:t>
            </w:r>
          </w:p>
        </w:tc>
        <w:tc>
          <w:tcPr>
            <w:tcW w:w="2763" w:type="dxa"/>
            <w:tcBorders>
              <w:top w:val="single" w:sz="4" w:space="0" w:color="auto"/>
              <w:left w:val="single" w:sz="4" w:space="0" w:color="auto"/>
              <w:bottom w:val="single" w:sz="4" w:space="0" w:color="auto"/>
              <w:right w:val="single" w:sz="4" w:space="0" w:color="auto"/>
            </w:tcBorders>
          </w:tcPr>
          <w:p w14:paraId="5B32D60E" w14:textId="38076A72" w:rsidR="00D72BD1" w:rsidRDefault="007876E3" w:rsidP="007876E3">
            <w:pPr>
              <w:pStyle w:val="BodyText"/>
              <w:jc w:val="both"/>
              <w:rPr>
                <w:rFonts w:ascii="Times New Roman" w:hAnsi="Times New Roman"/>
                <w:sz w:val="24"/>
                <w:szCs w:val="24"/>
                <w:lang w:val="sq-AL"/>
              </w:rPr>
            </w:pPr>
            <w:r>
              <w:rPr>
                <w:rFonts w:ascii="Times New Roman" w:hAnsi="Times New Roman"/>
                <w:sz w:val="24"/>
                <w:szCs w:val="24"/>
                <w:lang w:val="sq-AL"/>
              </w:rPr>
              <w:t>D</w:t>
            </w:r>
            <w:r w:rsidR="004F5D64">
              <w:rPr>
                <w:rFonts w:ascii="Times New Roman" w:hAnsi="Times New Roman"/>
                <w:sz w:val="24"/>
                <w:szCs w:val="24"/>
                <w:lang w:val="sq-AL"/>
              </w:rPr>
              <w:t>uke qene se nuk v</w:t>
            </w:r>
            <w:r>
              <w:rPr>
                <w:rFonts w:ascii="Times New Roman" w:hAnsi="Times New Roman"/>
                <w:sz w:val="24"/>
                <w:szCs w:val="24"/>
                <w:lang w:val="sq-AL"/>
              </w:rPr>
              <w:t>ë</w:t>
            </w:r>
            <w:r w:rsidR="004F5D64">
              <w:rPr>
                <w:rFonts w:ascii="Times New Roman" w:hAnsi="Times New Roman"/>
                <w:sz w:val="24"/>
                <w:szCs w:val="24"/>
                <w:lang w:val="sq-AL"/>
              </w:rPr>
              <w:t>r</w:t>
            </w:r>
            <w:r>
              <w:rPr>
                <w:rFonts w:ascii="Times New Roman" w:hAnsi="Times New Roman"/>
                <w:sz w:val="24"/>
                <w:szCs w:val="24"/>
                <w:lang w:val="sq-AL"/>
              </w:rPr>
              <w:t>e</w:t>
            </w:r>
            <w:r w:rsidR="004F5D64">
              <w:rPr>
                <w:rFonts w:ascii="Times New Roman" w:hAnsi="Times New Roman"/>
                <w:sz w:val="24"/>
                <w:szCs w:val="24"/>
                <w:lang w:val="sq-AL"/>
              </w:rPr>
              <w:t>jm</w:t>
            </w:r>
            <w:r>
              <w:rPr>
                <w:rFonts w:ascii="Times New Roman" w:hAnsi="Times New Roman"/>
                <w:sz w:val="24"/>
                <w:szCs w:val="24"/>
                <w:lang w:val="sq-AL"/>
              </w:rPr>
              <w:t>ë</w:t>
            </w:r>
            <w:r w:rsidR="004F5D64">
              <w:rPr>
                <w:rFonts w:ascii="Times New Roman" w:hAnsi="Times New Roman"/>
                <w:sz w:val="24"/>
                <w:szCs w:val="24"/>
                <w:lang w:val="sq-AL"/>
              </w:rPr>
              <w:t xml:space="preserve"> asnj</w:t>
            </w:r>
            <w:r>
              <w:rPr>
                <w:rFonts w:ascii="Times New Roman" w:hAnsi="Times New Roman"/>
                <w:sz w:val="24"/>
                <w:szCs w:val="24"/>
                <w:lang w:val="sq-AL"/>
              </w:rPr>
              <w:t>ë</w:t>
            </w:r>
            <w:r w:rsidR="004F5D64">
              <w:rPr>
                <w:rFonts w:ascii="Times New Roman" w:hAnsi="Times New Roman"/>
                <w:sz w:val="24"/>
                <w:szCs w:val="24"/>
                <w:lang w:val="sq-AL"/>
              </w:rPr>
              <w:t xml:space="preserve"> rekomandim t</w:t>
            </w:r>
            <w:r>
              <w:rPr>
                <w:rFonts w:ascii="Times New Roman" w:hAnsi="Times New Roman"/>
                <w:sz w:val="24"/>
                <w:szCs w:val="24"/>
                <w:lang w:val="sq-AL"/>
              </w:rPr>
              <w:t xml:space="preserve">ë </w:t>
            </w:r>
            <w:r w:rsidR="004F5D64">
              <w:rPr>
                <w:rFonts w:ascii="Times New Roman" w:hAnsi="Times New Roman"/>
                <w:sz w:val="24"/>
                <w:szCs w:val="24"/>
                <w:lang w:val="sq-AL"/>
              </w:rPr>
              <w:t>dobish</w:t>
            </w:r>
            <w:r>
              <w:rPr>
                <w:rFonts w:ascii="Times New Roman" w:hAnsi="Times New Roman"/>
                <w:sz w:val="24"/>
                <w:szCs w:val="24"/>
                <w:lang w:val="sq-AL"/>
              </w:rPr>
              <w:t>ë</w:t>
            </w:r>
            <w:r w:rsidR="004F5D64">
              <w:rPr>
                <w:rFonts w:ascii="Times New Roman" w:hAnsi="Times New Roman"/>
                <w:sz w:val="24"/>
                <w:szCs w:val="24"/>
                <w:lang w:val="sq-AL"/>
              </w:rPr>
              <w:t>m p</w:t>
            </w:r>
            <w:r>
              <w:rPr>
                <w:rFonts w:ascii="Times New Roman" w:hAnsi="Times New Roman"/>
                <w:sz w:val="24"/>
                <w:szCs w:val="24"/>
                <w:lang w:val="sq-AL"/>
              </w:rPr>
              <w:t>ë</w:t>
            </w:r>
            <w:r w:rsidR="004F5D64">
              <w:rPr>
                <w:rFonts w:ascii="Times New Roman" w:hAnsi="Times New Roman"/>
                <w:sz w:val="24"/>
                <w:szCs w:val="24"/>
                <w:lang w:val="sq-AL"/>
              </w:rPr>
              <w:t>r reflektim n</w:t>
            </w:r>
            <w:r>
              <w:rPr>
                <w:rFonts w:ascii="Times New Roman" w:hAnsi="Times New Roman"/>
                <w:sz w:val="24"/>
                <w:szCs w:val="24"/>
                <w:lang w:val="sq-AL"/>
              </w:rPr>
              <w:t>ë</w:t>
            </w:r>
            <w:r w:rsidR="004F5D64">
              <w:rPr>
                <w:rFonts w:ascii="Times New Roman" w:hAnsi="Times New Roman"/>
                <w:sz w:val="24"/>
                <w:szCs w:val="24"/>
                <w:lang w:val="sq-AL"/>
              </w:rPr>
              <w:t xml:space="preserve"> strategjin</w:t>
            </w:r>
            <w:r>
              <w:rPr>
                <w:rFonts w:ascii="Times New Roman" w:hAnsi="Times New Roman"/>
                <w:sz w:val="24"/>
                <w:szCs w:val="24"/>
                <w:lang w:val="sq-AL"/>
              </w:rPr>
              <w:t>ë</w:t>
            </w:r>
            <w:r w:rsidR="004F5D64">
              <w:rPr>
                <w:rFonts w:ascii="Times New Roman" w:hAnsi="Times New Roman"/>
                <w:sz w:val="24"/>
                <w:szCs w:val="24"/>
                <w:lang w:val="sq-AL"/>
              </w:rPr>
              <w:t xml:space="preserve"> komb</w:t>
            </w:r>
            <w:r>
              <w:rPr>
                <w:rFonts w:ascii="Times New Roman" w:hAnsi="Times New Roman"/>
                <w:sz w:val="24"/>
                <w:szCs w:val="24"/>
                <w:lang w:val="sq-AL"/>
              </w:rPr>
              <w:t>ë</w:t>
            </w:r>
            <w:r w:rsidR="004F5D64">
              <w:rPr>
                <w:rFonts w:ascii="Times New Roman" w:hAnsi="Times New Roman"/>
                <w:sz w:val="24"/>
                <w:szCs w:val="24"/>
                <w:lang w:val="sq-AL"/>
              </w:rPr>
              <w:t>t</w:t>
            </w:r>
            <w:r>
              <w:rPr>
                <w:rFonts w:ascii="Times New Roman" w:hAnsi="Times New Roman"/>
                <w:sz w:val="24"/>
                <w:szCs w:val="24"/>
                <w:lang w:val="sq-AL"/>
              </w:rPr>
              <w:t>a</w:t>
            </w:r>
            <w:r w:rsidR="004F5D64">
              <w:rPr>
                <w:rFonts w:ascii="Times New Roman" w:hAnsi="Times New Roman"/>
                <w:sz w:val="24"/>
                <w:szCs w:val="24"/>
                <w:lang w:val="sq-AL"/>
              </w:rPr>
              <w:t>re t</w:t>
            </w:r>
            <w:r>
              <w:rPr>
                <w:rFonts w:ascii="Times New Roman" w:hAnsi="Times New Roman"/>
                <w:sz w:val="24"/>
                <w:szCs w:val="24"/>
                <w:lang w:val="sq-AL"/>
              </w:rPr>
              <w:t>ë</w:t>
            </w:r>
            <w:r w:rsidR="004F5D64">
              <w:rPr>
                <w:rFonts w:ascii="Times New Roman" w:hAnsi="Times New Roman"/>
                <w:sz w:val="24"/>
                <w:szCs w:val="24"/>
                <w:lang w:val="sq-AL"/>
              </w:rPr>
              <w:t xml:space="preserve"> rinovimit t</w:t>
            </w:r>
            <w:r>
              <w:rPr>
                <w:rFonts w:ascii="Times New Roman" w:hAnsi="Times New Roman"/>
                <w:sz w:val="24"/>
                <w:szCs w:val="24"/>
                <w:lang w:val="sq-AL"/>
              </w:rPr>
              <w:t>ë</w:t>
            </w:r>
            <w:r w:rsidR="004F5D64">
              <w:rPr>
                <w:rFonts w:ascii="Times New Roman" w:hAnsi="Times New Roman"/>
                <w:sz w:val="24"/>
                <w:szCs w:val="24"/>
                <w:lang w:val="sq-AL"/>
              </w:rPr>
              <w:t xml:space="preserve"> nd</w:t>
            </w:r>
            <w:r>
              <w:rPr>
                <w:rFonts w:ascii="Times New Roman" w:hAnsi="Times New Roman"/>
                <w:sz w:val="24"/>
                <w:szCs w:val="24"/>
                <w:lang w:val="sq-AL"/>
              </w:rPr>
              <w:t>ë</w:t>
            </w:r>
            <w:r w:rsidR="004F5D64">
              <w:rPr>
                <w:rFonts w:ascii="Times New Roman" w:hAnsi="Times New Roman"/>
                <w:sz w:val="24"/>
                <w:szCs w:val="24"/>
                <w:lang w:val="sq-AL"/>
              </w:rPr>
              <w:t>rtesave, vle</w:t>
            </w:r>
            <w:r w:rsidR="00AF10E1">
              <w:rPr>
                <w:rFonts w:ascii="Times New Roman" w:hAnsi="Times New Roman"/>
                <w:sz w:val="24"/>
                <w:szCs w:val="24"/>
                <w:lang w:val="sq-AL"/>
              </w:rPr>
              <w:t>r</w:t>
            </w:r>
            <w:r>
              <w:rPr>
                <w:rFonts w:ascii="Times New Roman" w:hAnsi="Times New Roman"/>
                <w:sz w:val="24"/>
                <w:szCs w:val="24"/>
                <w:lang w:val="sq-AL"/>
              </w:rPr>
              <w:t>ë</w:t>
            </w:r>
            <w:r w:rsidR="004F5D64">
              <w:rPr>
                <w:rFonts w:ascii="Times New Roman" w:hAnsi="Times New Roman"/>
                <w:sz w:val="24"/>
                <w:szCs w:val="24"/>
                <w:lang w:val="sq-AL"/>
              </w:rPr>
              <w:t>sojm</w:t>
            </w:r>
            <w:r>
              <w:rPr>
                <w:rFonts w:ascii="Times New Roman" w:hAnsi="Times New Roman"/>
                <w:sz w:val="24"/>
                <w:szCs w:val="24"/>
                <w:lang w:val="sq-AL"/>
              </w:rPr>
              <w:t>ë</w:t>
            </w:r>
            <w:r w:rsidR="004F5D64">
              <w:rPr>
                <w:rFonts w:ascii="Times New Roman" w:hAnsi="Times New Roman"/>
                <w:sz w:val="24"/>
                <w:szCs w:val="24"/>
                <w:lang w:val="sq-AL"/>
              </w:rPr>
              <w:t xml:space="preserve"> q</w:t>
            </w:r>
            <w:r>
              <w:rPr>
                <w:rFonts w:ascii="Times New Roman" w:hAnsi="Times New Roman"/>
                <w:sz w:val="24"/>
                <w:szCs w:val="24"/>
                <w:lang w:val="sq-AL"/>
              </w:rPr>
              <w:t>ë</w:t>
            </w:r>
            <w:r w:rsidR="004F5D64">
              <w:rPr>
                <w:rFonts w:ascii="Times New Roman" w:hAnsi="Times New Roman"/>
                <w:sz w:val="24"/>
                <w:szCs w:val="24"/>
                <w:lang w:val="sq-AL"/>
              </w:rPr>
              <w:t xml:space="preserve"> ky koment nuk mund t</w:t>
            </w:r>
            <w:r>
              <w:rPr>
                <w:rFonts w:ascii="Times New Roman" w:hAnsi="Times New Roman"/>
                <w:sz w:val="24"/>
                <w:szCs w:val="24"/>
                <w:lang w:val="sq-AL"/>
              </w:rPr>
              <w:t>ë</w:t>
            </w:r>
            <w:r w:rsidR="004F5D64">
              <w:rPr>
                <w:rFonts w:ascii="Times New Roman" w:hAnsi="Times New Roman"/>
                <w:sz w:val="24"/>
                <w:szCs w:val="24"/>
                <w:lang w:val="sq-AL"/>
              </w:rPr>
              <w:t xml:space="preserve"> merret n</w:t>
            </w:r>
            <w:r>
              <w:rPr>
                <w:rFonts w:ascii="Times New Roman" w:hAnsi="Times New Roman"/>
                <w:sz w:val="24"/>
                <w:szCs w:val="24"/>
                <w:lang w:val="sq-AL"/>
              </w:rPr>
              <w:t>ë</w:t>
            </w:r>
            <w:r w:rsidR="004F5D64">
              <w:rPr>
                <w:rFonts w:ascii="Times New Roman" w:hAnsi="Times New Roman"/>
                <w:sz w:val="24"/>
                <w:szCs w:val="24"/>
                <w:lang w:val="sq-AL"/>
              </w:rPr>
              <w:t xml:space="preserve"> konsiderat</w:t>
            </w:r>
            <w:r>
              <w:rPr>
                <w:rFonts w:ascii="Times New Roman" w:hAnsi="Times New Roman"/>
                <w:sz w:val="24"/>
                <w:szCs w:val="24"/>
                <w:lang w:val="sq-AL"/>
              </w:rPr>
              <w:t>ë</w:t>
            </w:r>
            <w:r w:rsidR="004F5D64">
              <w:rPr>
                <w:rFonts w:ascii="Times New Roman" w:hAnsi="Times New Roman"/>
                <w:sz w:val="24"/>
                <w:szCs w:val="24"/>
                <w:lang w:val="sq-AL"/>
              </w:rPr>
              <w:t>.</w:t>
            </w:r>
          </w:p>
          <w:p w14:paraId="360D4C5E" w14:textId="45F96E95" w:rsidR="004F5D64" w:rsidRDefault="004F5D64" w:rsidP="003332FA">
            <w:pPr>
              <w:pStyle w:val="BodyText"/>
              <w:rPr>
                <w:rFonts w:ascii="Times New Roman" w:hAnsi="Times New Roman"/>
                <w:sz w:val="24"/>
                <w:szCs w:val="24"/>
                <w:lang w:val="sq-AL"/>
              </w:rPr>
            </w:pPr>
          </w:p>
        </w:tc>
      </w:tr>
      <w:tr w:rsidR="00F37C19" w:rsidRPr="00484141" w14:paraId="2BF3C8F1" w14:textId="77777777" w:rsidTr="007876E3">
        <w:trPr>
          <w:trHeight w:val="352"/>
          <w:jc w:val="center"/>
        </w:trPr>
        <w:tc>
          <w:tcPr>
            <w:tcW w:w="586" w:type="dxa"/>
            <w:tcBorders>
              <w:top w:val="single" w:sz="4" w:space="0" w:color="auto"/>
              <w:left w:val="single" w:sz="4" w:space="0" w:color="auto"/>
              <w:bottom w:val="single" w:sz="4" w:space="0" w:color="auto"/>
              <w:right w:val="single" w:sz="4" w:space="0" w:color="auto"/>
            </w:tcBorders>
          </w:tcPr>
          <w:p w14:paraId="3EE498C7" w14:textId="42A767A6" w:rsidR="00F37C19" w:rsidRPr="00F01A0B" w:rsidRDefault="00D72BD1"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6</w:t>
            </w:r>
            <w:r w:rsidR="00F37C19" w:rsidRPr="00F01A0B">
              <w:rPr>
                <w:rFonts w:ascii="Times New Roman" w:hAnsi="Times New Roman"/>
                <w:sz w:val="24"/>
                <w:szCs w:val="24"/>
                <w:lang w:val="sq-AL"/>
              </w:rPr>
              <w:t>.</w:t>
            </w:r>
          </w:p>
        </w:tc>
        <w:tc>
          <w:tcPr>
            <w:tcW w:w="2078" w:type="dxa"/>
            <w:tcBorders>
              <w:top w:val="single" w:sz="4" w:space="0" w:color="auto"/>
              <w:left w:val="single" w:sz="4" w:space="0" w:color="auto"/>
              <w:bottom w:val="single" w:sz="4" w:space="0" w:color="auto"/>
              <w:right w:val="single" w:sz="4" w:space="0" w:color="auto"/>
            </w:tcBorders>
          </w:tcPr>
          <w:p w14:paraId="62C5EBC6" w14:textId="76D3616D" w:rsidR="00F37C19" w:rsidRPr="00F01A0B" w:rsidRDefault="002A319E" w:rsidP="00F37C19">
            <w:pPr>
              <w:pStyle w:val="BodyText"/>
              <w:spacing w:line="276" w:lineRule="auto"/>
              <w:jc w:val="both"/>
              <w:rPr>
                <w:rFonts w:ascii="Times New Roman" w:hAnsi="Times New Roman"/>
                <w:sz w:val="24"/>
                <w:szCs w:val="24"/>
                <w:lang w:val="sq-AL"/>
              </w:rPr>
            </w:pPr>
            <w:r w:rsidRPr="00BB7393">
              <w:rPr>
                <w:rFonts w:ascii="Times New Roman" w:hAnsi="Times New Roman"/>
                <w:b/>
                <w:bCs/>
                <w:sz w:val="24"/>
                <w:szCs w:val="24"/>
                <w:lang w:val="sq-AL"/>
              </w:rPr>
              <w:t>Objektivat e "detyrueshme” të dekarbonizimit të stokut të ndërtesave.</w:t>
            </w:r>
          </w:p>
        </w:tc>
        <w:tc>
          <w:tcPr>
            <w:tcW w:w="5942" w:type="dxa"/>
            <w:tcBorders>
              <w:top w:val="single" w:sz="4" w:space="0" w:color="auto"/>
              <w:left w:val="single" w:sz="4" w:space="0" w:color="auto"/>
              <w:bottom w:val="single" w:sz="4" w:space="0" w:color="auto"/>
              <w:right w:val="single" w:sz="4" w:space="0" w:color="auto"/>
            </w:tcBorders>
          </w:tcPr>
          <w:p w14:paraId="5289B344" w14:textId="1549B2A2" w:rsidR="00D57ADF" w:rsidRPr="00B14788" w:rsidRDefault="009D20C3" w:rsidP="00D57ADF">
            <w:pPr>
              <w:jc w:val="both"/>
              <w:rPr>
                <w:rFonts w:ascii="Times New Roman" w:hAnsi="Times New Roman"/>
                <w:sz w:val="24"/>
                <w:szCs w:val="24"/>
                <w:lang w:val="sq-AL"/>
              </w:rPr>
            </w:pPr>
            <w:r>
              <w:rPr>
                <w:rFonts w:ascii="Times New Roman" w:hAnsi="Times New Roman"/>
                <w:sz w:val="24"/>
                <w:szCs w:val="24"/>
                <w:lang w:val="sq-AL"/>
              </w:rPr>
              <w:t xml:space="preserve">1. </w:t>
            </w:r>
            <w:r w:rsidR="00D57ADF" w:rsidRPr="00B14788">
              <w:rPr>
                <w:rFonts w:ascii="Times New Roman" w:hAnsi="Times New Roman"/>
                <w:sz w:val="24"/>
                <w:szCs w:val="24"/>
                <w:lang w:val="sq-AL"/>
              </w:rPr>
              <w:t>Është thuajse e pa mundur të reduktohen 214.1 kt CO2eq vetëm nga supozimi se rinovimi i gjithë stokut aktual të ndërtasave rezidenciale do të mund të ndodhë deri në vitin 2050. Bëhet fjalë një sipërfaqe totale prej rreth 60 milionë m2 deri në vitin 2050 që praktikisht është stoku aktual ose rreth 744,700 ndërtesa. Kjo "pamundësi" del nga fakti se qoftë ligji aktual 116/2016, por edhe drafti përkatës i fundvitit të kaluar, nuk parashikon detyrim për rinovimin e sektorit rezidencial përveçse gjatë nje rinovimi të rëndësishëm krejt rastësor, ose përmes granteve të cilat në SARSN, nuk jane aspak të parashikuara për këtë kategori për të zbutur rreth 16.5 miliard EUR që do të duheshin për rinovimin e 60 milionë m2 deri në vitin 2050.</w:t>
            </w:r>
          </w:p>
          <w:p w14:paraId="07AF125A" w14:textId="5BAAAAD6" w:rsidR="00D57ADF" w:rsidRPr="00B14788" w:rsidRDefault="009D20C3" w:rsidP="00D57ADF">
            <w:pPr>
              <w:jc w:val="both"/>
              <w:rPr>
                <w:rFonts w:ascii="Times New Roman" w:hAnsi="Times New Roman"/>
                <w:sz w:val="24"/>
                <w:szCs w:val="24"/>
                <w:lang w:val="sq-AL"/>
              </w:rPr>
            </w:pPr>
            <w:r>
              <w:rPr>
                <w:rFonts w:ascii="Times New Roman" w:hAnsi="Times New Roman"/>
                <w:sz w:val="24"/>
                <w:szCs w:val="24"/>
                <w:lang w:val="sq-AL"/>
              </w:rPr>
              <w:t xml:space="preserve">2. </w:t>
            </w:r>
            <w:r w:rsidR="00D57ADF" w:rsidRPr="00B14788">
              <w:rPr>
                <w:rFonts w:ascii="Times New Roman" w:hAnsi="Times New Roman"/>
                <w:sz w:val="24"/>
                <w:szCs w:val="24"/>
                <w:lang w:val="sq-AL"/>
              </w:rPr>
              <w:t xml:space="preserve">Sipas Ligjit aktual 116/2016 dhe draftit perkatës të nentorit 2024, si edhe kërkesave ligjore për përqindjen e vjetore të rinovimit të ndërtesave publike (ligji 28/2021 neni 9/3 dhe neni 9/4) ku kërkohet që "Duke filluar nga data 1.4.2022, sektori publik ngarkohet me zbatimin e objektivit </w:t>
            </w:r>
            <w:r w:rsidR="00D57ADF" w:rsidRPr="00B14788">
              <w:rPr>
                <w:rFonts w:ascii="Times New Roman" w:hAnsi="Times New Roman"/>
                <w:sz w:val="24"/>
                <w:szCs w:val="24"/>
                <w:lang w:val="sq-AL"/>
              </w:rPr>
              <w:lastRenderedPageBreak/>
              <w:t xml:space="preserve">që 3% </w:t>
            </w:r>
            <w:r w:rsidR="00D57ADF">
              <w:rPr>
                <w:rFonts w:ascii="Times New Roman" w:hAnsi="Times New Roman"/>
                <w:lang w:val="sq-AL"/>
              </w:rPr>
              <w:t xml:space="preserve"> </w:t>
            </w:r>
            <w:r w:rsidR="00D57ADF" w:rsidRPr="00B14788">
              <w:rPr>
                <w:rFonts w:ascii="Times New Roman" w:hAnsi="Times New Roman"/>
                <w:sz w:val="24"/>
                <w:szCs w:val="24"/>
                <w:lang w:val="sq-AL"/>
              </w:rPr>
              <w:t>(tre qind) e sipërfaqes totale të stokut të ndërtesave publike me ngrohje dhe/ose ftohje, në pronësi dhe të zëna nga organet e qeverisjes qendrore, dhe 2% (dy për qind) e sipërfaqes totale të stokut të ndërtesave të tjera publike të rinovohet çdo vit për të përmbushur kërkesat minimale për performancën e energjisë". Duke arsyetuar ne shikojmë se nuk është bërë ndonjë analizë në këtë drejtim dhe nuk është respektuar ligji në këtë Strategji. Gjithashtu me këtë ritëm (5% çdo vit) viti 2050 do ti gjeje të gjitha ndërtesat publike të rinovuara (rreth 12 mil m2).</w:t>
            </w:r>
          </w:p>
          <w:p w14:paraId="625FB9CB" w14:textId="77777777" w:rsidR="00D57ADF" w:rsidRPr="00B14788" w:rsidRDefault="00D57ADF" w:rsidP="00D57ADF">
            <w:pPr>
              <w:jc w:val="both"/>
              <w:rPr>
                <w:rFonts w:ascii="Times New Roman" w:hAnsi="Times New Roman"/>
                <w:sz w:val="24"/>
                <w:szCs w:val="24"/>
                <w:lang w:val="sq-AL"/>
              </w:rPr>
            </w:pPr>
            <w:r w:rsidRPr="00B14788">
              <w:rPr>
                <w:rFonts w:ascii="Times New Roman" w:hAnsi="Times New Roman"/>
                <w:sz w:val="24"/>
                <w:szCs w:val="24"/>
                <w:lang w:val="sq-AL"/>
              </w:rPr>
              <w:t>3. Lidhur me rinovimin e stokut të ndërtesave të shërbimeve tregtare/private të Shqipërisë për vitet 2030, 2040 dhe 2050, për 22 mil m2 do të duhen rreth 20 miliard EUR. Komenti yne është se cili është mekanizmi promovues ligjor ose incentivues që kjo gjë të ndodhë? Këtë kategori ndërtesash nuk e parashikon percaktimi ligjor i cili shprehet vetem për ndërtesat rezidenciale dhe jo rezidenciale dhe detyrimin për zbatimin e kërkesave minimale për ndërtesat publike në pronesi të shtetit.</w:t>
            </w:r>
          </w:p>
          <w:p w14:paraId="5DF2F0D5" w14:textId="2E06FAF8" w:rsidR="00F37C19" w:rsidRPr="00F01A0B" w:rsidRDefault="00F37C19" w:rsidP="00F37C19">
            <w:pPr>
              <w:pStyle w:val="BodyText"/>
              <w:spacing w:line="276" w:lineRule="auto"/>
              <w:jc w:val="both"/>
              <w:rPr>
                <w:rFonts w:ascii="Times New Roman" w:hAnsi="Times New Roman"/>
                <w:sz w:val="24"/>
                <w:szCs w:val="24"/>
                <w:lang w:val="sq-AL"/>
              </w:rPr>
            </w:pPr>
          </w:p>
        </w:tc>
        <w:tc>
          <w:tcPr>
            <w:tcW w:w="1836" w:type="dxa"/>
            <w:tcBorders>
              <w:top w:val="single" w:sz="4" w:space="0" w:color="auto"/>
              <w:left w:val="single" w:sz="4" w:space="0" w:color="auto"/>
              <w:bottom w:val="single" w:sz="4" w:space="0" w:color="auto"/>
              <w:right w:val="single" w:sz="4" w:space="0" w:color="auto"/>
            </w:tcBorders>
          </w:tcPr>
          <w:p w14:paraId="4C0DF66B" w14:textId="789C4404" w:rsidR="00F37C19" w:rsidRPr="002A319E" w:rsidRDefault="002A319E" w:rsidP="00F37C19">
            <w:pPr>
              <w:pStyle w:val="BodyText"/>
              <w:spacing w:line="276" w:lineRule="auto"/>
              <w:jc w:val="both"/>
              <w:rPr>
                <w:rFonts w:ascii="Times New Roman" w:hAnsi="Times New Roman"/>
                <w:b/>
                <w:bCs/>
                <w:sz w:val="24"/>
                <w:szCs w:val="24"/>
                <w:lang w:val="sq-AL"/>
              </w:rPr>
            </w:pPr>
            <w:r w:rsidRPr="002A319E">
              <w:rPr>
                <w:rFonts w:ascii="Times New Roman" w:hAnsi="Times New Roman"/>
                <w:b/>
                <w:bCs/>
                <w:sz w:val="24"/>
                <w:szCs w:val="22"/>
                <w:lang w:val="sq-AL"/>
              </w:rPr>
              <w:lastRenderedPageBreak/>
              <w:t>Shoqata e Ndërtuesve të Shqipërisë</w:t>
            </w:r>
          </w:p>
        </w:tc>
        <w:tc>
          <w:tcPr>
            <w:tcW w:w="1307" w:type="dxa"/>
            <w:tcBorders>
              <w:top w:val="single" w:sz="4" w:space="0" w:color="auto"/>
              <w:left w:val="single" w:sz="4" w:space="0" w:color="auto"/>
              <w:bottom w:val="single" w:sz="4" w:space="0" w:color="auto"/>
              <w:right w:val="single" w:sz="4" w:space="0" w:color="auto"/>
            </w:tcBorders>
          </w:tcPr>
          <w:p w14:paraId="4EB334F2" w14:textId="22C137EE" w:rsidR="00F37C19" w:rsidRPr="00F01A0B" w:rsidRDefault="0029659E"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Refuzuar</w:t>
            </w:r>
          </w:p>
        </w:tc>
        <w:tc>
          <w:tcPr>
            <w:tcW w:w="2763" w:type="dxa"/>
            <w:tcBorders>
              <w:top w:val="single" w:sz="4" w:space="0" w:color="auto"/>
              <w:left w:val="single" w:sz="4" w:space="0" w:color="auto"/>
              <w:bottom w:val="single" w:sz="4" w:space="0" w:color="auto"/>
              <w:right w:val="single" w:sz="4" w:space="0" w:color="auto"/>
            </w:tcBorders>
          </w:tcPr>
          <w:p w14:paraId="5267EB00" w14:textId="31D7AC53" w:rsidR="00F37C19" w:rsidRDefault="00C02F0D" w:rsidP="00082910">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4F5D64">
              <w:rPr>
                <w:rFonts w:ascii="Times New Roman" w:hAnsi="Times New Roman"/>
                <w:sz w:val="24"/>
                <w:szCs w:val="24"/>
                <w:lang w:val="sq-AL"/>
              </w:rPr>
              <w:t>Direktiva</w:t>
            </w:r>
            <w:r w:rsidR="00A73F91">
              <w:rPr>
                <w:rFonts w:ascii="Times New Roman" w:hAnsi="Times New Roman"/>
                <w:sz w:val="24"/>
                <w:szCs w:val="24"/>
                <w:lang w:val="sq-AL"/>
              </w:rPr>
              <w:t xml:space="preserve"> </w:t>
            </w:r>
            <w:r w:rsidR="004F5D64">
              <w:rPr>
                <w:rFonts w:ascii="Times New Roman" w:hAnsi="Times New Roman"/>
                <w:sz w:val="24"/>
                <w:szCs w:val="24"/>
                <w:lang w:val="sq-AL"/>
              </w:rPr>
              <w:t>p</w:t>
            </w:r>
            <w:r w:rsidR="00A73F91">
              <w:rPr>
                <w:rFonts w:ascii="Times New Roman" w:hAnsi="Times New Roman"/>
                <w:sz w:val="24"/>
                <w:szCs w:val="24"/>
                <w:lang w:val="sq-AL"/>
              </w:rPr>
              <w:t>ë</w:t>
            </w:r>
            <w:r w:rsidR="004F5D64">
              <w:rPr>
                <w:rFonts w:ascii="Times New Roman" w:hAnsi="Times New Roman"/>
                <w:sz w:val="24"/>
                <w:szCs w:val="24"/>
                <w:lang w:val="sq-AL"/>
              </w:rPr>
              <w:t>r performanc</w:t>
            </w:r>
            <w:r w:rsidR="00A73F91">
              <w:rPr>
                <w:rFonts w:ascii="Times New Roman" w:hAnsi="Times New Roman"/>
                <w:sz w:val="24"/>
                <w:szCs w:val="24"/>
                <w:lang w:val="sq-AL"/>
              </w:rPr>
              <w:t>ë</w:t>
            </w:r>
            <w:r w:rsidR="004F5D64">
              <w:rPr>
                <w:rFonts w:ascii="Times New Roman" w:hAnsi="Times New Roman"/>
                <w:sz w:val="24"/>
                <w:szCs w:val="24"/>
                <w:lang w:val="sq-AL"/>
              </w:rPr>
              <w:t>n energjetike t</w:t>
            </w:r>
            <w:r w:rsidR="00A73F91">
              <w:rPr>
                <w:rFonts w:ascii="Times New Roman" w:hAnsi="Times New Roman"/>
                <w:sz w:val="24"/>
                <w:szCs w:val="24"/>
                <w:lang w:val="sq-AL"/>
              </w:rPr>
              <w:t>ë</w:t>
            </w:r>
            <w:r w:rsidR="004F5D64">
              <w:rPr>
                <w:rFonts w:ascii="Times New Roman" w:hAnsi="Times New Roman"/>
                <w:sz w:val="24"/>
                <w:szCs w:val="24"/>
                <w:lang w:val="sq-AL"/>
              </w:rPr>
              <w:t xml:space="preserve"> nd</w:t>
            </w:r>
            <w:r w:rsidR="00A73F91">
              <w:rPr>
                <w:rFonts w:ascii="Times New Roman" w:hAnsi="Times New Roman"/>
                <w:sz w:val="24"/>
                <w:szCs w:val="24"/>
                <w:lang w:val="sq-AL"/>
              </w:rPr>
              <w:t>ë</w:t>
            </w:r>
            <w:r w:rsidR="004F5D64">
              <w:rPr>
                <w:rFonts w:ascii="Times New Roman" w:hAnsi="Times New Roman"/>
                <w:sz w:val="24"/>
                <w:szCs w:val="24"/>
                <w:lang w:val="sq-AL"/>
              </w:rPr>
              <w:t>rtesave parashikon dekarbonizimin e plot</w:t>
            </w:r>
            <w:r w:rsidR="00A73F91">
              <w:rPr>
                <w:rFonts w:ascii="Times New Roman" w:hAnsi="Times New Roman"/>
                <w:sz w:val="24"/>
                <w:szCs w:val="24"/>
                <w:lang w:val="sq-AL"/>
              </w:rPr>
              <w:t>ë</w:t>
            </w:r>
            <w:r w:rsidR="004F5D64">
              <w:rPr>
                <w:rFonts w:ascii="Times New Roman" w:hAnsi="Times New Roman"/>
                <w:sz w:val="24"/>
                <w:szCs w:val="24"/>
                <w:lang w:val="sq-AL"/>
              </w:rPr>
              <w:t xml:space="preserve"> t</w:t>
            </w:r>
            <w:r w:rsidR="00A73F91">
              <w:rPr>
                <w:rFonts w:ascii="Times New Roman" w:hAnsi="Times New Roman"/>
                <w:sz w:val="24"/>
                <w:szCs w:val="24"/>
                <w:lang w:val="sq-AL"/>
              </w:rPr>
              <w:t>ë</w:t>
            </w:r>
            <w:r w:rsidR="004F5D64">
              <w:rPr>
                <w:rFonts w:ascii="Times New Roman" w:hAnsi="Times New Roman"/>
                <w:sz w:val="24"/>
                <w:szCs w:val="24"/>
                <w:lang w:val="sq-AL"/>
              </w:rPr>
              <w:t xml:space="preserve"> stokut komb</w:t>
            </w:r>
            <w:r w:rsidR="00A73F91">
              <w:rPr>
                <w:rFonts w:ascii="Times New Roman" w:hAnsi="Times New Roman"/>
                <w:sz w:val="24"/>
                <w:szCs w:val="24"/>
                <w:lang w:val="sq-AL"/>
              </w:rPr>
              <w:t>ë</w:t>
            </w:r>
            <w:r w:rsidR="004F5D64">
              <w:rPr>
                <w:rFonts w:ascii="Times New Roman" w:hAnsi="Times New Roman"/>
                <w:sz w:val="24"/>
                <w:szCs w:val="24"/>
                <w:lang w:val="sq-AL"/>
              </w:rPr>
              <w:t>tar t</w:t>
            </w:r>
            <w:r w:rsidR="00A73F91">
              <w:rPr>
                <w:rFonts w:ascii="Times New Roman" w:hAnsi="Times New Roman"/>
                <w:sz w:val="24"/>
                <w:szCs w:val="24"/>
                <w:lang w:val="sq-AL"/>
              </w:rPr>
              <w:t>ë</w:t>
            </w:r>
            <w:r w:rsidR="004F5D64">
              <w:rPr>
                <w:rFonts w:ascii="Times New Roman" w:hAnsi="Times New Roman"/>
                <w:sz w:val="24"/>
                <w:szCs w:val="24"/>
                <w:lang w:val="sq-AL"/>
              </w:rPr>
              <w:t xml:space="preserve"> nd</w:t>
            </w:r>
            <w:r w:rsidR="00A73F91">
              <w:rPr>
                <w:rFonts w:ascii="Times New Roman" w:hAnsi="Times New Roman"/>
                <w:sz w:val="24"/>
                <w:szCs w:val="24"/>
                <w:lang w:val="sq-AL"/>
              </w:rPr>
              <w:t>ë</w:t>
            </w:r>
            <w:r w:rsidR="004F5D64">
              <w:rPr>
                <w:rFonts w:ascii="Times New Roman" w:hAnsi="Times New Roman"/>
                <w:sz w:val="24"/>
                <w:szCs w:val="24"/>
                <w:lang w:val="sq-AL"/>
              </w:rPr>
              <w:t>rtesave. N</w:t>
            </w:r>
            <w:r w:rsidR="00A73F91">
              <w:rPr>
                <w:rFonts w:ascii="Times New Roman" w:hAnsi="Times New Roman"/>
                <w:sz w:val="24"/>
                <w:szCs w:val="24"/>
                <w:lang w:val="sq-AL"/>
              </w:rPr>
              <w:t>ë</w:t>
            </w:r>
            <w:r w:rsidR="004F5D64">
              <w:rPr>
                <w:rFonts w:ascii="Times New Roman" w:hAnsi="Times New Roman"/>
                <w:sz w:val="24"/>
                <w:szCs w:val="24"/>
                <w:lang w:val="sq-AL"/>
              </w:rPr>
              <w:t xml:space="preserve"> pjes</w:t>
            </w:r>
            <w:r w:rsidR="00A73F91">
              <w:rPr>
                <w:rFonts w:ascii="Times New Roman" w:hAnsi="Times New Roman"/>
                <w:sz w:val="24"/>
                <w:szCs w:val="24"/>
                <w:lang w:val="sq-AL"/>
              </w:rPr>
              <w:t>ë</w:t>
            </w:r>
            <w:r w:rsidR="004F5D64">
              <w:rPr>
                <w:rFonts w:ascii="Times New Roman" w:hAnsi="Times New Roman"/>
                <w:sz w:val="24"/>
                <w:szCs w:val="24"/>
                <w:lang w:val="sq-AL"/>
              </w:rPr>
              <w:t>n e masave t</w:t>
            </w:r>
            <w:r w:rsidR="00A73F91">
              <w:rPr>
                <w:rFonts w:ascii="Times New Roman" w:hAnsi="Times New Roman"/>
                <w:sz w:val="24"/>
                <w:szCs w:val="24"/>
                <w:lang w:val="sq-AL"/>
              </w:rPr>
              <w:t>ë</w:t>
            </w:r>
            <w:r w:rsidR="004F5D64">
              <w:rPr>
                <w:rFonts w:ascii="Times New Roman" w:hAnsi="Times New Roman"/>
                <w:sz w:val="24"/>
                <w:szCs w:val="24"/>
                <w:lang w:val="sq-AL"/>
              </w:rPr>
              <w:t xml:space="preserve"> politikave p</w:t>
            </w:r>
            <w:r w:rsidR="00A73F91">
              <w:rPr>
                <w:rFonts w:ascii="Times New Roman" w:hAnsi="Times New Roman"/>
                <w:sz w:val="24"/>
                <w:szCs w:val="24"/>
                <w:lang w:val="sq-AL"/>
              </w:rPr>
              <w:t>ë</w:t>
            </w:r>
            <w:r w:rsidR="004F5D64">
              <w:rPr>
                <w:rFonts w:ascii="Times New Roman" w:hAnsi="Times New Roman"/>
                <w:sz w:val="24"/>
                <w:szCs w:val="24"/>
                <w:lang w:val="sq-AL"/>
              </w:rPr>
              <w:t>rkat</w:t>
            </w:r>
            <w:r w:rsidR="00A73F91">
              <w:rPr>
                <w:rFonts w:ascii="Times New Roman" w:hAnsi="Times New Roman"/>
                <w:sz w:val="24"/>
                <w:szCs w:val="24"/>
                <w:lang w:val="sq-AL"/>
              </w:rPr>
              <w:t>ë</w:t>
            </w:r>
            <w:r w:rsidR="004F5D64">
              <w:rPr>
                <w:rFonts w:ascii="Times New Roman" w:hAnsi="Times New Roman"/>
                <w:sz w:val="24"/>
                <w:szCs w:val="24"/>
                <w:lang w:val="sq-AL"/>
              </w:rPr>
              <w:t>se energjetike, jan</w:t>
            </w:r>
            <w:r w:rsidR="00A73F91">
              <w:rPr>
                <w:rFonts w:ascii="Times New Roman" w:hAnsi="Times New Roman"/>
                <w:sz w:val="24"/>
                <w:szCs w:val="24"/>
                <w:lang w:val="sq-AL"/>
              </w:rPr>
              <w:t>ë</w:t>
            </w:r>
            <w:r w:rsidR="004F5D64">
              <w:rPr>
                <w:rFonts w:ascii="Times New Roman" w:hAnsi="Times New Roman"/>
                <w:sz w:val="24"/>
                <w:szCs w:val="24"/>
                <w:lang w:val="sq-AL"/>
              </w:rPr>
              <w:t xml:space="preserve"> parashikuar incentivat t</w:t>
            </w:r>
            <w:r w:rsidR="00A73F91">
              <w:rPr>
                <w:rFonts w:ascii="Times New Roman" w:hAnsi="Times New Roman"/>
                <w:sz w:val="24"/>
                <w:szCs w:val="24"/>
                <w:lang w:val="sq-AL"/>
              </w:rPr>
              <w:t>ë</w:t>
            </w:r>
            <w:r w:rsidR="004F5D64">
              <w:rPr>
                <w:rFonts w:ascii="Times New Roman" w:hAnsi="Times New Roman"/>
                <w:sz w:val="24"/>
                <w:szCs w:val="24"/>
                <w:lang w:val="sq-AL"/>
              </w:rPr>
              <w:t xml:space="preserve"> cilat do t</w:t>
            </w:r>
            <w:r w:rsidR="00044B8E">
              <w:rPr>
                <w:rFonts w:ascii="Times New Roman" w:hAnsi="Times New Roman"/>
                <w:sz w:val="24"/>
                <w:szCs w:val="24"/>
                <w:lang w:val="sq-AL"/>
              </w:rPr>
              <w:t>’</w:t>
            </w:r>
            <w:r w:rsidR="004F5D64">
              <w:rPr>
                <w:rFonts w:ascii="Times New Roman" w:hAnsi="Times New Roman"/>
                <w:sz w:val="24"/>
                <w:szCs w:val="24"/>
                <w:lang w:val="sq-AL"/>
              </w:rPr>
              <w:t>i shtyn</w:t>
            </w:r>
            <w:r w:rsidR="00A73F91">
              <w:rPr>
                <w:rFonts w:ascii="Times New Roman" w:hAnsi="Times New Roman"/>
                <w:sz w:val="24"/>
                <w:szCs w:val="24"/>
                <w:lang w:val="sq-AL"/>
              </w:rPr>
              <w:t>ë</w:t>
            </w:r>
            <w:r w:rsidR="004F5D64">
              <w:rPr>
                <w:rFonts w:ascii="Times New Roman" w:hAnsi="Times New Roman"/>
                <w:sz w:val="24"/>
                <w:szCs w:val="24"/>
                <w:lang w:val="sq-AL"/>
              </w:rPr>
              <w:t xml:space="preserve"> pronar</w:t>
            </w:r>
            <w:r w:rsidR="00A73F91">
              <w:rPr>
                <w:rFonts w:ascii="Times New Roman" w:hAnsi="Times New Roman"/>
                <w:sz w:val="24"/>
                <w:szCs w:val="24"/>
                <w:lang w:val="sq-AL"/>
              </w:rPr>
              <w:t>ë</w:t>
            </w:r>
            <w:r w:rsidR="004F5D64">
              <w:rPr>
                <w:rFonts w:ascii="Times New Roman" w:hAnsi="Times New Roman"/>
                <w:sz w:val="24"/>
                <w:szCs w:val="24"/>
                <w:lang w:val="sq-AL"/>
              </w:rPr>
              <w:t>t e nd</w:t>
            </w:r>
            <w:r w:rsidR="00A73F91">
              <w:rPr>
                <w:rFonts w:ascii="Times New Roman" w:hAnsi="Times New Roman"/>
                <w:sz w:val="24"/>
                <w:szCs w:val="24"/>
                <w:lang w:val="sq-AL"/>
              </w:rPr>
              <w:t>ë</w:t>
            </w:r>
            <w:r w:rsidR="004F5D64">
              <w:rPr>
                <w:rFonts w:ascii="Times New Roman" w:hAnsi="Times New Roman"/>
                <w:sz w:val="24"/>
                <w:szCs w:val="24"/>
                <w:lang w:val="sq-AL"/>
              </w:rPr>
              <w:t>rtesave t</w:t>
            </w:r>
            <w:r w:rsidR="00A73F91">
              <w:rPr>
                <w:rFonts w:ascii="Times New Roman" w:hAnsi="Times New Roman"/>
                <w:sz w:val="24"/>
                <w:szCs w:val="24"/>
                <w:lang w:val="sq-AL"/>
              </w:rPr>
              <w:t>ë</w:t>
            </w:r>
            <w:r w:rsidR="004F5D64">
              <w:rPr>
                <w:rFonts w:ascii="Times New Roman" w:hAnsi="Times New Roman"/>
                <w:sz w:val="24"/>
                <w:szCs w:val="24"/>
                <w:lang w:val="sq-AL"/>
              </w:rPr>
              <w:t xml:space="preserve"> konsiderojn</w:t>
            </w:r>
            <w:r w:rsidR="00A73F91">
              <w:rPr>
                <w:rFonts w:ascii="Times New Roman" w:hAnsi="Times New Roman"/>
                <w:sz w:val="24"/>
                <w:szCs w:val="24"/>
                <w:lang w:val="sq-AL"/>
              </w:rPr>
              <w:t>ë</w:t>
            </w:r>
            <w:r w:rsidR="004F5D64">
              <w:rPr>
                <w:rFonts w:ascii="Times New Roman" w:hAnsi="Times New Roman"/>
                <w:sz w:val="24"/>
                <w:szCs w:val="24"/>
                <w:lang w:val="sq-AL"/>
              </w:rPr>
              <w:t xml:space="preserve"> zbatimin e masave t</w:t>
            </w:r>
            <w:r w:rsidR="00A73F91">
              <w:rPr>
                <w:rFonts w:ascii="Times New Roman" w:hAnsi="Times New Roman"/>
                <w:sz w:val="24"/>
                <w:szCs w:val="24"/>
                <w:lang w:val="sq-AL"/>
              </w:rPr>
              <w:t>ë</w:t>
            </w:r>
            <w:r w:rsidR="004F5D64">
              <w:rPr>
                <w:rFonts w:ascii="Times New Roman" w:hAnsi="Times New Roman"/>
                <w:sz w:val="24"/>
                <w:szCs w:val="24"/>
                <w:lang w:val="sq-AL"/>
              </w:rPr>
              <w:t xml:space="preserve"> EE dhe RES me leverdi ekonomike. </w:t>
            </w:r>
          </w:p>
          <w:p w14:paraId="378004B1" w14:textId="4575237A" w:rsidR="004F5D64" w:rsidRDefault="00082910" w:rsidP="00082910">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 xml:space="preserve">2. </w:t>
            </w:r>
            <w:r w:rsidR="004F5D64">
              <w:rPr>
                <w:rFonts w:ascii="Times New Roman" w:hAnsi="Times New Roman"/>
                <w:sz w:val="24"/>
                <w:szCs w:val="24"/>
                <w:lang w:val="sq-AL"/>
              </w:rPr>
              <w:t>P</w:t>
            </w:r>
            <w:r w:rsidR="001A72E2">
              <w:rPr>
                <w:rFonts w:ascii="Times New Roman" w:hAnsi="Times New Roman"/>
                <w:sz w:val="24"/>
                <w:szCs w:val="24"/>
                <w:lang w:val="sq-AL"/>
              </w:rPr>
              <w:t>ë</w:t>
            </w:r>
            <w:r w:rsidR="004F5D64">
              <w:rPr>
                <w:rFonts w:ascii="Times New Roman" w:hAnsi="Times New Roman"/>
                <w:sz w:val="24"/>
                <w:szCs w:val="24"/>
                <w:lang w:val="sq-AL"/>
              </w:rPr>
              <w:t xml:space="preserve">r zbatimin e nenit 9/4 </w:t>
            </w:r>
            <w:r w:rsidR="001A72E2">
              <w:rPr>
                <w:rFonts w:ascii="Times New Roman" w:hAnsi="Times New Roman"/>
                <w:sz w:val="24"/>
                <w:szCs w:val="24"/>
                <w:lang w:val="sq-AL"/>
              </w:rPr>
              <w:t>ë</w:t>
            </w:r>
            <w:r w:rsidR="004F5D64">
              <w:rPr>
                <w:rFonts w:ascii="Times New Roman" w:hAnsi="Times New Roman"/>
                <w:sz w:val="24"/>
                <w:szCs w:val="24"/>
                <w:lang w:val="sq-AL"/>
              </w:rPr>
              <w:t>sht</w:t>
            </w:r>
            <w:r w:rsidR="001A72E2">
              <w:rPr>
                <w:rFonts w:ascii="Times New Roman" w:hAnsi="Times New Roman"/>
                <w:sz w:val="24"/>
                <w:szCs w:val="24"/>
                <w:lang w:val="sq-AL"/>
              </w:rPr>
              <w:t>ë</w:t>
            </w:r>
            <w:r w:rsidR="004F5D64">
              <w:rPr>
                <w:rFonts w:ascii="Times New Roman" w:hAnsi="Times New Roman"/>
                <w:sz w:val="24"/>
                <w:szCs w:val="24"/>
                <w:lang w:val="sq-AL"/>
              </w:rPr>
              <w:t xml:space="preserve"> hartuar dhe miratuar n</w:t>
            </w:r>
            <w:r w:rsidR="001A72E2">
              <w:rPr>
                <w:rFonts w:ascii="Times New Roman" w:hAnsi="Times New Roman"/>
                <w:sz w:val="24"/>
                <w:szCs w:val="24"/>
                <w:lang w:val="sq-AL"/>
              </w:rPr>
              <w:t>ë</w:t>
            </w:r>
            <w:r w:rsidR="004F5D64">
              <w:rPr>
                <w:rFonts w:ascii="Times New Roman" w:hAnsi="Times New Roman"/>
                <w:sz w:val="24"/>
                <w:szCs w:val="24"/>
                <w:lang w:val="sq-AL"/>
              </w:rPr>
              <w:t xml:space="preserve"> maj t</w:t>
            </w:r>
            <w:r w:rsidR="001A72E2">
              <w:rPr>
                <w:rFonts w:ascii="Times New Roman" w:hAnsi="Times New Roman"/>
                <w:sz w:val="24"/>
                <w:szCs w:val="24"/>
                <w:lang w:val="sq-AL"/>
              </w:rPr>
              <w:t>ë</w:t>
            </w:r>
            <w:r w:rsidR="004F5D64">
              <w:rPr>
                <w:rFonts w:ascii="Times New Roman" w:hAnsi="Times New Roman"/>
                <w:sz w:val="24"/>
                <w:szCs w:val="24"/>
                <w:lang w:val="sq-AL"/>
              </w:rPr>
              <w:t xml:space="preserve"> vitit 2024 Vendimi p</w:t>
            </w:r>
            <w:r w:rsidR="001A72E2">
              <w:rPr>
                <w:rFonts w:ascii="Times New Roman" w:hAnsi="Times New Roman"/>
                <w:sz w:val="24"/>
                <w:szCs w:val="24"/>
                <w:lang w:val="sq-AL"/>
              </w:rPr>
              <w:t>ë</w:t>
            </w:r>
            <w:r w:rsidR="004F5D64">
              <w:rPr>
                <w:rFonts w:ascii="Times New Roman" w:hAnsi="Times New Roman"/>
                <w:sz w:val="24"/>
                <w:szCs w:val="24"/>
                <w:lang w:val="sq-AL"/>
              </w:rPr>
              <w:t>rkat</w:t>
            </w:r>
            <w:r w:rsidR="001A72E2">
              <w:rPr>
                <w:rFonts w:ascii="Times New Roman" w:hAnsi="Times New Roman"/>
                <w:sz w:val="24"/>
                <w:szCs w:val="24"/>
                <w:lang w:val="sq-AL"/>
              </w:rPr>
              <w:t>ë</w:t>
            </w:r>
            <w:r w:rsidR="004F5D64">
              <w:rPr>
                <w:rFonts w:ascii="Times New Roman" w:hAnsi="Times New Roman"/>
                <w:sz w:val="24"/>
                <w:szCs w:val="24"/>
                <w:lang w:val="sq-AL"/>
              </w:rPr>
              <w:t>s q</w:t>
            </w:r>
            <w:r w:rsidR="001A72E2">
              <w:rPr>
                <w:rFonts w:ascii="Times New Roman" w:hAnsi="Times New Roman"/>
                <w:sz w:val="24"/>
                <w:szCs w:val="24"/>
                <w:lang w:val="sq-AL"/>
              </w:rPr>
              <w:t>ë</w:t>
            </w:r>
            <w:r w:rsidR="004F5D64">
              <w:rPr>
                <w:rFonts w:ascii="Times New Roman" w:hAnsi="Times New Roman"/>
                <w:sz w:val="24"/>
                <w:szCs w:val="24"/>
                <w:lang w:val="sq-AL"/>
              </w:rPr>
              <w:t xml:space="preserve"> parashikon m</w:t>
            </w:r>
            <w:r w:rsidR="001A72E2">
              <w:rPr>
                <w:rFonts w:ascii="Times New Roman" w:hAnsi="Times New Roman"/>
                <w:sz w:val="24"/>
                <w:szCs w:val="24"/>
                <w:lang w:val="sq-AL"/>
              </w:rPr>
              <w:t>ë</w:t>
            </w:r>
            <w:r w:rsidR="004F5D64">
              <w:rPr>
                <w:rFonts w:ascii="Times New Roman" w:hAnsi="Times New Roman"/>
                <w:sz w:val="24"/>
                <w:szCs w:val="24"/>
                <w:lang w:val="sq-AL"/>
              </w:rPr>
              <w:t>nyr</w:t>
            </w:r>
            <w:r w:rsidR="001A72E2">
              <w:rPr>
                <w:rFonts w:ascii="Times New Roman" w:hAnsi="Times New Roman"/>
                <w:sz w:val="24"/>
                <w:szCs w:val="24"/>
                <w:lang w:val="sq-AL"/>
              </w:rPr>
              <w:t>ë</w:t>
            </w:r>
            <w:r w:rsidR="004F5D64">
              <w:rPr>
                <w:rFonts w:ascii="Times New Roman" w:hAnsi="Times New Roman"/>
                <w:sz w:val="24"/>
                <w:szCs w:val="24"/>
                <w:lang w:val="sq-AL"/>
              </w:rPr>
              <w:t>n e zbatimit t</w:t>
            </w:r>
            <w:r w:rsidR="001A72E2">
              <w:rPr>
                <w:rFonts w:ascii="Times New Roman" w:hAnsi="Times New Roman"/>
                <w:sz w:val="24"/>
                <w:szCs w:val="24"/>
                <w:lang w:val="sq-AL"/>
              </w:rPr>
              <w:t>ë</w:t>
            </w:r>
            <w:r w:rsidR="004F5D64">
              <w:rPr>
                <w:rFonts w:ascii="Times New Roman" w:hAnsi="Times New Roman"/>
                <w:sz w:val="24"/>
                <w:szCs w:val="24"/>
                <w:lang w:val="sq-AL"/>
              </w:rPr>
              <w:t xml:space="preserve"> k</w:t>
            </w:r>
            <w:r w:rsidR="001A72E2">
              <w:rPr>
                <w:rFonts w:ascii="Times New Roman" w:hAnsi="Times New Roman"/>
                <w:sz w:val="24"/>
                <w:szCs w:val="24"/>
                <w:lang w:val="sq-AL"/>
              </w:rPr>
              <w:t>ë</w:t>
            </w:r>
            <w:r w:rsidR="004F5D64">
              <w:rPr>
                <w:rFonts w:ascii="Times New Roman" w:hAnsi="Times New Roman"/>
                <w:sz w:val="24"/>
                <w:szCs w:val="24"/>
                <w:lang w:val="sq-AL"/>
              </w:rPr>
              <w:t>tij detyrimi. Strategjia parashikon p</w:t>
            </w:r>
            <w:r w:rsidR="001A72E2">
              <w:rPr>
                <w:rFonts w:ascii="Times New Roman" w:hAnsi="Times New Roman"/>
                <w:sz w:val="24"/>
                <w:szCs w:val="24"/>
                <w:lang w:val="sq-AL"/>
              </w:rPr>
              <w:t>ë</w:t>
            </w:r>
            <w:r w:rsidR="004F5D64">
              <w:rPr>
                <w:rFonts w:ascii="Times New Roman" w:hAnsi="Times New Roman"/>
                <w:sz w:val="24"/>
                <w:szCs w:val="24"/>
                <w:lang w:val="sq-AL"/>
              </w:rPr>
              <w:t>rtej k</w:t>
            </w:r>
            <w:r w:rsidR="001A72E2">
              <w:rPr>
                <w:rFonts w:ascii="Times New Roman" w:hAnsi="Times New Roman"/>
                <w:sz w:val="24"/>
                <w:szCs w:val="24"/>
                <w:lang w:val="sq-AL"/>
              </w:rPr>
              <w:t>ë</w:t>
            </w:r>
            <w:r w:rsidR="004F5D64">
              <w:rPr>
                <w:rFonts w:ascii="Times New Roman" w:hAnsi="Times New Roman"/>
                <w:sz w:val="24"/>
                <w:szCs w:val="24"/>
                <w:lang w:val="sq-AL"/>
              </w:rPr>
              <w:t>saj politke ekzistuese marrjen e t</w:t>
            </w:r>
            <w:r w:rsidR="001A72E2">
              <w:rPr>
                <w:rFonts w:ascii="Times New Roman" w:hAnsi="Times New Roman"/>
                <w:sz w:val="24"/>
                <w:szCs w:val="24"/>
                <w:lang w:val="sq-AL"/>
              </w:rPr>
              <w:t>ë</w:t>
            </w:r>
            <w:r w:rsidR="004F5D64">
              <w:rPr>
                <w:rFonts w:ascii="Times New Roman" w:hAnsi="Times New Roman"/>
                <w:sz w:val="24"/>
                <w:szCs w:val="24"/>
                <w:lang w:val="sq-AL"/>
              </w:rPr>
              <w:t xml:space="preserve"> gjitha masave, qoft</w:t>
            </w:r>
            <w:r w:rsidR="001A72E2">
              <w:rPr>
                <w:rFonts w:ascii="Times New Roman" w:hAnsi="Times New Roman"/>
                <w:sz w:val="24"/>
                <w:szCs w:val="24"/>
                <w:lang w:val="sq-AL"/>
              </w:rPr>
              <w:t>ë</w:t>
            </w:r>
            <w:r w:rsidR="004F5D64">
              <w:rPr>
                <w:rFonts w:ascii="Times New Roman" w:hAnsi="Times New Roman"/>
                <w:sz w:val="24"/>
                <w:szCs w:val="24"/>
                <w:lang w:val="sq-AL"/>
              </w:rPr>
              <w:t xml:space="preserve"> edhe ndryshimin n</w:t>
            </w:r>
            <w:r w:rsidR="001A72E2">
              <w:rPr>
                <w:rFonts w:ascii="Times New Roman" w:hAnsi="Times New Roman"/>
                <w:sz w:val="24"/>
                <w:szCs w:val="24"/>
                <w:lang w:val="sq-AL"/>
              </w:rPr>
              <w:t>ë</w:t>
            </w:r>
            <w:r w:rsidR="004F5D64">
              <w:rPr>
                <w:rFonts w:ascii="Times New Roman" w:hAnsi="Times New Roman"/>
                <w:sz w:val="24"/>
                <w:szCs w:val="24"/>
                <w:lang w:val="sq-AL"/>
              </w:rPr>
              <w:t xml:space="preserve"> 5% t</w:t>
            </w:r>
            <w:r w:rsidR="001A72E2">
              <w:rPr>
                <w:rFonts w:ascii="Times New Roman" w:hAnsi="Times New Roman"/>
                <w:sz w:val="24"/>
                <w:szCs w:val="24"/>
                <w:lang w:val="sq-AL"/>
              </w:rPr>
              <w:t>ë</w:t>
            </w:r>
            <w:r w:rsidR="004F5D64">
              <w:rPr>
                <w:rFonts w:ascii="Times New Roman" w:hAnsi="Times New Roman"/>
                <w:sz w:val="24"/>
                <w:szCs w:val="24"/>
                <w:lang w:val="sq-AL"/>
              </w:rPr>
              <w:t xml:space="preserve"> vler</w:t>
            </w:r>
            <w:r w:rsidR="001A72E2">
              <w:rPr>
                <w:rFonts w:ascii="Times New Roman" w:hAnsi="Times New Roman"/>
                <w:sz w:val="24"/>
                <w:szCs w:val="24"/>
                <w:lang w:val="sq-AL"/>
              </w:rPr>
              <w:t>ë</w:t>
            </w:r>
            <w:r w:rsidR="004F5D64">
              <w:rPr>
                <w:rFonts w:ascii="Times New Roman" w:hAnsi="Times New Roman"/>
                <w:sz w:val="24"/>
                <w:szCs w:val="24"/>
                <w:lang w:val="sq-AL"/>
              </w:rPr>
              <w:t>s s</w:t>
            </w:r>
            <w:r w:rsidR="001A72E2">
              <w:rPr>
                <w:rFonts w:ascii="Times New Roman" w:hAnsi="Times New Roman"/>
                <w:sz w:val="24"/>
                <w:szCs w:val="24"/>
                <w:lang w:val="sq-AL"/>
              </w:rPr>
              <w:t>ë</w:t>
            </w:r>
            <w:r w:rsidR="004F5D64">
              <w:rPr>
                <w:rFonts w:ascii="Times New Roman" w:hAnsi="Times New Roman"/>
                <w:sz w:val="24"/>
                <w:szCs w:val="24"/>
                <w:lang w:val="sq-AL"/>
              </w:rPr>
              <w:t xml:space="preserve"> rinovuar çdo vit p</w:t>
            </w:r>
            <w:r w:rsidR="001A72E2">
              <w:rPr>
                <w:rFonts w:ascii="Times New Roman" w:hAnsi="Times New Roman"/>
                <w:sz w:val="24"/>
                <w:szCs w:val="24"/>
                <w:lang w:val="sq-AL"/>
              </w:rPr>
              <w:t>ë</w:t>
            </w:r>
            <w:r w:rsidR="004F5D64">
              <w:rPr>
                <w:rFonts w:ascii="Times New Roman" w:hAnsi="Times New Roman"/>
                <w:sz w:val="24"/>
                <w:szCs w:val="24"/>
                <w:lang w:val="sq-AL"/>
              </w:rPr>
              <w:t>r realizimnin e objektivit.</w:t>
            </w:r>
          </w:p>
          <w:p w14:paraId="4C030C18" w14:textId="052443FF" w:rsidR="004F5D64" w:rsidRPr="00F01A0B" w:rsidRDefault="00082910" w:rsidP="00082910">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 xml:space="preserve">3. </w:t>
            </w:r>
            <w:r w:rsidR="004F5D64">
              <w:rPr>
                <w:rFonts w:ascii="Times New Roman" w:hAnsi="Times New Roman"/>
                <w:sz w:val="24"/>
                <w:szCs w:val="24"/>
                <w:lang w:val="sq-AL"/>
              </w:rPr>
              <w:t>Nd</w:t>
            </w:r>
            <w:r w:rsidR="001A72E2">
              <w:rPr>
                <w:rFonts w:ascii="Times New Roman" w:hAnsi="Times New Roman"/>
                <w:sz w:val="24"/>
                <w:szCs w:val="24"/>
                <w:lang w:val="sq-AL"/>
              </w:rPr>
              <w:t>ë</w:t>
            </w:r>
            <w:r w:rsidR="004F5D64">
              <w:rPr>
                <w:rFonts w:ascii="Times New Roman" w:hAnsi="Times New Roman"/>
                <w:sz w:val="24"/>
                <w:szCs w:val="24"/>
                <w:lang w:val="sq-AL"/>
              </w:rPr>
              <w:t>rtesat komerciale jan</w:t>
            </w:r>
            <w:r w:rsidR="001A72E2">
              <w:rPr>
                <w:rFonts w:ascii="Times New Roman" w:hAnsi="Times New Roman"/>
                <w:sz w:val="24"/>
                <w:szCs w:val="24"/>
                <w:lang w:val="sq-AL"/>
              </w:rPr>
              <w:t>ë</w:t>
            </w:r>
            <w:r w:rsidR="004F5D64">
              <w:rPr>
                <w:rFonts w:ascii="Times New Roman" w:hAnsi="Times New Roman"/>
                <w:sz w:val="24"/>
                <w:szCs w:val="24"/>
                <w:lang w:val="sq-AL"/>
              </w:rPr>
              <w:t xml:space="preserve"> p</w:t>
            </w:r>
            <w:r w:rsidR="001A72E2">
              <w:rPr>
                <w:rFonts w:ascii="Times New Roman" w:hAnsi="Times New Roman"/>
                <w:sz w:val="24"/>
                <w:szCs w:val="24"/>
                <w:lang w:val="sq-AL"/>
              </w:rPr>
              <w:t>ë</w:t>
            </w:r>
            <w:r w:rsidR="004F5D64">
              <w:rPr>
                <w:rFonts w:ascii="Times New Roman" w:hAnsi="Times New Roman"/>
                <w:sz w:val="24"/>
                <w:szCs w:val="24"/>
                <w:lang w:val="sq-AL"/>
              </w:rPr>
              <w:t>rfshir</w:t>
            </w:r>
            <w:r w:rsidR="001A72E2">
              <w:rPr>
                <w:rFonts w:ascii="Times New Roman" w:hAnsi="Times New Roman"/>
                <w:sz w:val="24"/>
                <w:szCs w:val="24"/>
                <w:lang w:val="sq-AL"/>
              </w:rPr>
              <w:t>ë</w:t>
            </w:r>
            <w:r w:rsidR="004F5D64">
              <w:rPr>
                <w:rFonts w:ascii="Times New Roman" w:hAnsi="Times New Roman"/>
                <w:sz w:val="24"/>
                <w:szCs w:val="24"/>
                <w:lang w:val="sq-AL"/>
              </w:rPr>
              <w:t xml:space="preserve"> n</w:t>
            </w:r>
            <w:r w:rsidR="001A72E2">
              <w:rPr>
                <w:rFonts w:ascii="Times New Roman" w:hAnsi="Times New Roman"/>
                <w:sz w:val="24"/>
                <w:szCs w:val="24"/>
                <w:lang w:val="sq-AL"/>
              </w:rPr>
              <w:t>ë</w:t>
            </w:r>
            <w:r w:rsidR="004F5D64">
              <w:rPr>
                <w:rFonts w:ascii="Times New Roman" w:hAnsi="Times New Roman"/>
                <w:sz w:val="24"/>
                <w:szCs w:val="24"/>
                <w:lang w:val="sq-AL"/>
              </w:rPr>
              <w:t xml:space="preserve"> kategorin</w:t>
            </w:r>
            <w:r w:rsidR="001A72E2">
              <w:rPr>
                <w:rFonts w:ascii="Times New Roman" w:hAnsi="Times New Roman"/>
                <w:sz w:val="24"/>
                <w:szCs w:val="24"/>
                <w:lang w:val="sq-AL"/>
              </w:rPr>
              <w:t>ë</w:t>
            </w:r>
            <w:r w:rsidR="004F5D64">
              <w:rPr>
                <w:rFonts w:ascii="Times New Roman" w:hAnsi="Times New Roman"/>
                <w:sz w:val="24"/>
                <w:szCs w:val="24"/>
                <w:lang w:val="sq-AL"/>
              </w:rPr>
              <w:t xml:space="preserve"> e nd</w:t>
            </w:r>
            <w:r w:rsidR="001A72E2">
              <w:rPr>
                <w:rFonts w:ascii="Times New Roman" w:hAnsi="Times New Roman"/>
                <w:sz w:val="24"/>
                <w:szCs w:val="24"/>
                <w:lang w:val="sq-AL"/>
              </w:rPr>
              <w:t>ë</w:t>
            </w:r>
            <w:r w:rsidR="004F5D64">
              <w:rPr>
                <w:rFonts w:ascii="Times New Roman" w:hAnsi="Times New Roman"/>
                <w:sz w:val="24"/>
                <w:szCs w:val="24"/>
                <w:lang w:val="sq-AL"/>
              </w:rPr>
              <w:t>rtesave jorezidenciale sipas klasifikimeve t</w:t>
            </w:r>
            <w:r w:rsidR="001A72E2">
              <w:rPr>
                <w:rFonts w:ascii="Times New Roman" w:hAnsi="Times New Roman"/>
                <w:sz w:val="24"/>
                <w:szCs w:val="24"/>
                <w:lang w:val="sq-AL"/>
              </w:rPr>
              <w:t>ë</w:t>
            </w:r>
            <w:r w:rsidR="004F5D64">
              <w:rPr>
                <w:rFonts w:ascii="Times New Roman" w:hAnsi="Times New Roman"/>
                <w:sz w:val="24"/>
                <w:szCs w:val="24"/>
                <w:lang w:val="sq-AL"/>
              </w:rPr>
              <w:t xml:space="preserve"> INSTAT. P</w:t>
            </w:r>
            <w:r w:rsidR="001A72E2">
              <w:rPr>
                <w:rFonts w:ascii="Times New Roman" w:hAnsi="Times New Roman"/>
                <w:sz w:val="24"/>
                <w:szCs w:val="24"/>
                <w:lang w:val="sq-AL"/>
              </w:rPr>
              <w:t>ë</w:t>
            </w:r>
            <w:r w:rsidR="004F5D64">
              <w:rPr>
                <w:rFonts w:ascii="Times New Roman" w:hAnsi="Times New Roman"/>
                <w:sz w:val="24"/>
                <w:szCs w:val="24"/>
                <w:lang w:val="sq-AL"/>
              </w:rPr>
              <w:t>r k</w:t>
            </w:r>
            <w:r w:rsidR="001A72E2">
              <w:rPr>
                <w:rFonts w:ascii="Times New Roman" w:hAnsi="Times New Roman"/>
                <w:sz w:val="24"/>
                <w:szCs w:val="24"/>
                <w:lang w:val="sq-AL"/>
              </w:rPr>
              <w:t>ë</w:t>
            </w:r>
            <w:r w:rsidR="004F5D64">
              <w:rPr>
                <w:rFonts w:ascii="Times New Roman" w:hAnsi="Times New Roman"/>
                <w:sz w:val="24"/>
                <w:szCs w:val="24"/>
                <w:lang w:val="sq-AL"/>
              </w:rPr>
              <w:t>t</w:t>
            </w:r>
            <w:r w:rsidR="001A72E2">
              <w:rPr>
                <w:rFonts w:ascii="Times New Roman" w:hAnsi="Times New Roman"/>
                <w:sz w:val="24"/>
                <w:szCs w:val="24"/>
                <w:lang w:val="sq-AL"/>
              </w:rPr>
              <w:t>ë</w:t>
            </w:r>
            <w:r w:rsidR="004F5D64">
              <w:rPr>
                <w:rFonts w:ascii="Times New Roman" w:hAnsi="Times New Roman"/>
                <w:sz w:val="24"/>
                <w:szCs w:val="24"/>
                <w:lang w:val="sq-AL"/>
              </w:rPr>
              <w:t xml:space="preserve"> kategori nd</w:t>
            </w:r>
            <w:r w:rsidR="001A72E2">
              <w:rPr>
                <w:rFonts w:ascii="Times New Roman" w:hAnsi="Times New Roman"/>
                <w:sz w:val="24"/>
                <w:szCs w:val="24"/>
                <w:lang w:val="sq-AL"/>
              </w:rPr>
              <w:t>ë</w:t>
            </w:r>
            <w:r w:rsidR="004F5D64">
              <w:rPr>
                <w:rFonts w:ascii="Times New Roman" w:hAnsi="Times New Roman"/>
                <w:sz w:val="24"/>
                <w:szCs w:val="24"/>
                <w:lang w:val="sq-AL"/>
              </w:rPr>
              <w:t>rtesash jan</w:t>
            </w:r>
            <w:r w:rsidR="001A72E2">
              <w:rPr>
                <w:rFonts w:ascii="Times New Roman" w:hAnsi="Times New Roman"/>
                <w:sz w:val="24"/>
                <w:szCs w:val="24"/>
                <w:lang w:val="sq-AL"/>
              </w:rPr>
              <w:t>ë</w:t>
            </w:r>
            <w:r w:rsidR="004F5D64">
              <w:rPr>
                <w:rFonts w:ascii="Times New Roman" w:hAnsi="Times New Roman"/>
                <w:sz w:val="24"/>
                <w:szCs w:val="24"/>
                <w:lang w:val="sq-AL"/>
              </w:rPr>
              <w:t xml:space="preserve"> parashikuar fushata promovimi p</w:t>
            </w:r>
            <w:r w:rsidR="001A72E2">
              <w:rPr>
                <w:rFonts w:ascii="Times New Roman" w:hAnsi="Times New Roman"/>
                <w:sz w:val="24"/>
                <w:szCs w:val="24"/>
                <w:lang w:val="sq-AL"/>
              </w:rPr>
              <w:t>ë</w:t>
            </w:r>
            <w:r w:rsidR="004F5D64">
              <w:rPr>
                <w:rFonts w:ascii="Times New Roman" w:hAnsi="Times New Roman"/>
                <w:sz w:val="24"/>
                <w:szCs w:val="24"/>
                <w:lang w:val="sq-AL"/>
              </w:rPr>
              <w:t>r efiçenc</w:t>
            </w:r>
            <w:r w:rsidR="001A72E2">
              <w:rPr>
                <w:rFonts w:ascii="Times New Roman" w:hAnsi="Times New Roman"/>
                <w:sz w:val="24"/>
                <w:szCs w:val="24"/>
                <w:lang w:val="sq-AL"/>
              </w:rPr>
              <w:t>ë</w:t>
            </w:r>
            <w:r w:rsidR="004F5D64">
              <w:rPr>
                <w:rFonts w:ascii="Times New Roman" w:hAnsi="Times New Roman"/>
                <w:sz w:val="24"/>
                <w:szCs w:val="24"/>
                <w:lang w:val="sq-AL"/>
              </w:rPr>
              <w:t>n energjetike dhe RES n</w:t>
            </w:r>
            <w:r w:rsidR="001A72E2">
              <w:rPr>
                <w:rFonts w:ascii="Times New Roman" w:hAnsi="Times New Roman"/>
                <w:sz w:val="24"/>
                <w:szCs w:val="24"/>
                <w:lang w:val="sq-AL"/>
              </w:rPr>
              <w:t>ë</w:t>
            </w:r>
            <w:r w:rsidR="004F5D64">
              <w:rPr>
                <w:rFonts w:ascii="Times New Roman" w:hAnsi="Times New Roman"/>
                <w:sz w:val="24"/>
                <w:szCs w:val="24"/>
                <w:lang w:val="sq-AL"/>
              </w:rPr>
              <w:t xml:space="preserve"> k</w:t>
            </w:r>
            <w:r w:rsidR="001A72E2">
              <w:rPr>
                <w:rFonts w:ascii="Times New Roman" w:hAnsi="Times New Roman"/>
                <w:sz w:val="24"/>
                <w:szCs w:val="24"/>
                <w:lang w:val="sq-AL"/>
              </w:rPr>
              <w:t>ë</w:t>
            </w:r>
            <w:r w:rsidR="004F5D64">
              <w:rPr>
                <w:rFonts w:ascii="Times New Roman" w:hAnsi="Times New Roman"/>
                <w:sz w:val="24"/>
                <w:szCs w:val="24"/>
                <w:lang w:val="sq-AL"/>
              </w:rPr>
              <w:t>to nd</w:t>
            </w:r>
            <w:r w:rsidR="001A72E2">
              <w:rPr>
                <w:rFonts w:ascii="Times New Roman" w:hAnsi="Times New Roman"/>
                <w:sz w:val="24"/>
                <w:szCs w:val="24"/>
                <w:lang w:val="sq-AL"/>
              </w:rPr>
              <w:t>ë</w:t>
            </w:r>
            <w:r w:rsidR="004F5D64">
              <w:rPr>
                <w:rFonts w:ascii="Times New Roman" w:hAnsi="Times New Roman"/>
                <w:sz w:val="24"/>
                <w:szCs w:val="24"/>
                <w:lang w:val="sq-AL"/>
              </w:rPr>
              <w:t>rtesa. Kjo kategori nd</w:t>
            </w:r>
            <w:r w:rsidR="001A72E2">
              <w:rPr>
                <w:rFonts w:ascii="Times New Roman" w:hAnsi="Times New Roman"/>
                <w:sz w:val="24"/>
                <w:szCs w:val="24"/>
                <w:lang w:val="sq-AL"/>
              </w:rPr>
              <w:t>ë</w:t>
            </w:r>
            <w:r w:rsidR="004F5D64">
              <w:rPr>
                <w:rFonts w:ascii="Times New Roman" w:hAnsi="Times New Roman"/>
                <w:sz w:val="24"/>
                <w:szCs w:val="24"/>
                <w:lang w:val="sq-AL"/>
              </w:rPr>
              <w:t>rtesash duke q</w:t>
            </w:r>
            <w:r w:rsidR="001A72E2">
              <w:rPr>
                <w:rFonts w:ascii="Times New Roman" w:hAnsi="Times New Roman"/>
                <w:sz w:val="24"/>
                <w:szCs w:val="24"/>
                <w:lang w:val="sq-AL"/>
              </w:rPr>
              <w:t>ë</w:t>
            </w:r>
            <w:r w:rsidR="004F5D64">
              <w:rPr>
                <w:rFonts w:ascii="Times New Roman" w:hAnsi="Times New Roman"/>
                <w:sz w:val="24"/>
                <w:szCs w:val="24"/>
                <w:lang w:val="sq-AL"/>
              </w:rPr>
              <w:t>n</w:t>
            </w:r>
            <w:r w:rsidR="001A72E2">
              <w:rPr>
                <w:rFonts w:ascii="Times New Roman" w:hAnsi="Times New Roman"/>
                <w:sz w:val="24"/>
                <w:szCs w:val="24"/>
                <w:lang w:val="sq-AL"/>
              </w:rPr>
              <w:t>ë</w:t>
            </w:r>
            <w:r w:rsidR="004F5D64">
              <w:rPr>
                <w:rFonts w:ascii="Times New Roman" w:hAnsi="Times New Roman"/>
                <w:sz w:val="24"/>
                <w:szCs w:val="24"/>
                <w:lang w:val="sq-AL"/>
              </w:rPr>
              <w:t xml:space="preserve"> se reduktimi i faturave energjetike lidhet </w:t>
            </w:r>
            <w:r w:rsidR="004F5D64">
              <w:rPr>
                <w:rFonts w:ascii="Times New Roman" w:hAnsi="Times New Roman"/>
                <w:sz w:val="24"/>
                <w:szCs w:val="24"/>
                <w:lang w:val="sq-AL"/>
              </w:rPr>
              <w:lastRenderedPageBreak/>
              <w:t>drejtperdrej me konkurrueshm</w:t>
            </w:r>
            <w:r w:rsidR="001A72E2">
              <w:rPr>
                <w:rFonts w:ascii="Times New Roman" w:hAnsi="Times New Roman"/>
                <w:sz w:val="24"/>
                <w:szCs w:val="24"/>
                <w:lang w:val="sq-AL"/>
              </w:rPr>
              <w:t>ë</w:t>
            </w:r>
            <w:r w:rsidR="004F5D64">
              <w:rPr>
                <w:rFonts w:ascii="Times New Roman" w:hAnsi="Times New Roman"/>
                <w:sz w:val="24"/>
                <w:szCs w:val="24"/>
                <w:lang w:val="sq-AL"/>
              </w:rPr>
              <w:t>rin</w:t>
            </w:r>
            <w:r w:rsidR="001A72E2">
              <w:rPr>
                <w:rFonts w:ascii="Times New Roman" w:hAnsi="Times New Roman"/>
                <w:sz w:val="24"/>
                <w:szCs w:val="24"/>
                <w:lang w:val="sq-AL"/>
              </w:rPr>
              <w:t>ë</w:t>
            </w:r>
            <w:r w:rsidR="004F5D64">
              <w:rPr>
                <w:rFonts w:ascii="Times New Roman" w:hAnsi="Times New Roman"/>
                <w:sz w:val="24"/>
                <w:szCs w:val="24"/>
                <w:lang w:val="sq-AL"/>
              </w:rPr>
              <w:t xml:space="preserve"> dhe avancimin e tyre n</w:t>
            </w:r>
            <w:r w:rsidR="001A72E2">
              <w:rPr>
                <w:rFonts w:ascii="Times New Roman" w:hAnsi="Times New Roman"/>
                <w:sz w:val="24"/>
                <w:szCs w:val="24"/>
                <w:lang w:val="sq-AL"/>
              </w:rPr>
              <w:t>ë</w:t>
            </w:r>
            <w:r w:rsidR="004F5D64">
              <w:rPr>
                <w:rFonts w:ascii="Times New Roman" w:hAnsi="Times New Roman"/>
                <w:sz w:val="24"/>
                <w:szCs w:val="24"/>
                <w:lang w:val="sq-AL"/>
              </w:rPr>
              <w:t xml:space="preserve"> nj</w:t>
            </w:r>
            <w:r w:rsidR="001A72E2">
              <w:rPr>
                <w:rFonts w:ascii="Times New Roman" w:hAnsi="Times New Roman"/>
                <w:sz w:val="24"/>
                <w:szCs w:val="24"/>
                <w:lang w:val="sq-AL"/>
              </w:rPr>
              <w:t>ë</w:t>
            </w:r>
            <w:r w:rsidR="004F5D64">
              <w:rPr>
                <w:rFonts w:ascii="Times New Roman" w:hAnsi="Times New Roman"/>
                <w:sz w:val="24"/>
                <w:szCs w:val="24"/>
                <w:lang w:val="sq-AL"/>
              </w:rPr>
              <w:t xml:space="preserve"> treg t</w:t>
            </w:r>
            <w:r w:rsidR="001A72E2">
              <w:rPr>
                <w:rFonts w:ascii="Times New Roman" w:hAnsi="Times New Roman"/>
                <w:sz w:val="24"/>
                <w:szCs w:val="24"/>
                <w:lang w:val="sq-AL"/>
              </w:rPr>
              <w:t>ë</w:t>
            </w:r>
            <w:r w:rsidR="004F5D64">
              <w:rPr>
                <w:rFonts w:ascii="Times New Roman" w:hAnsi="Times New Roman"/>
                <w:sz w:val="24"/>
                <w:szCs w:val="24"/>
                <w:lang w:val="sq-AL"/>
              </w:rPr>
              <w:t xml:space="preserve"> ekonomis</w:t>
            </w:r>
            <w:r w:rsidR="001A72E2">
              <w:rPr>
                <w:rFonts w:ascii="Times New Roman" w:hAnsi="Times New Roman"/>
                <w:sz w:val="24"/>
                <w:szCs w:val="24"/>
                <w:lang w:val="sq-AL"/>
              </w:rPr>
              <w:t>ë</w:t>
            </w:r>
            <w:r w:rsidR="004F5D64">
              <w:rPr>
                <w:rFonts w:ascii="Times New Roman" w:hAnsi="Times New Roman"/>
                <w:sz w:val="24"/>
                <w:szCs w:val="24"/>
                <w:lang w:val="sq-AL"/>
              </w:rPr>
              <w:t xml:space="preserve"> s</w:t>
            </w:r>
            <w:r w:rsidR="001A72E2">
              <w:rPr>
                <w:rFonts w:ascii="Times New Roman" w:hAnsi="Times New Roman"/>
                <w:sz w:val="24"/>
                <w:szCs w:val="24"/>
                <w:lang w:val="sq-AL"/>
              </w:rPr>
              <w:t>ë</w:t>
            </w:r>
            <w:r w:rsidR="004F5D64">
              <w:rPr>
                <w:rFonts w:ascii="Times New Roman" w:hAnsi="Times New Roman"/>
                <w:sz w:val="24"/>
                <w:szCs w:val="24"/>
                <w:lang w:val="sq-AL"/>
              </w:rPr>
              <w:t xml:space="preserve"> lir</w:t>
            </w:r>
            <w:r w:rsidR="001A72E2">
              <w:rPr>
                <w:rFonts w:ascii="Times New Roman" w:hAnsi="Times New Roman"/>
                <w:sz w:val="24"/>
                <w:szCs w:val="24"/>
                <w:lang w:val="sq-AL"/>
              </w:rPr>
              <w:t>ë</w:t>
            </w:r>
            <w:r w:rsidR="004F5D64">
              <w:rPr>
                <w:rFonts w:ascii="Times New Roman" w:hAnsi="Times New Roman"/>
                <w:sz w:val="24"/>
                <w:szCs w:val="24"/>
                <w:lang w:val="sq-AL"/>
              </w:rPr>
              <w:t xml:space="preserve">, </w:t>
            </w:r>
            <w:r w:rsidR="001A72E2">
              <w:rPr>
                <w:rFonts w:ascii="Times New Roman" w:hAnsi="Times New Roman"/>
                <w:sz w:val="24"/>
                <w:szCs w:val="24"/>
                <w:lang w:val="sq-AL"/>
              </w:rPr>
              <w:t>ë</w:t>
            </w:r>
            <w:r w:rsidR="004F5D64">
              <w:rPr>
                <w:rFonts w:ascii="Times New Roman" w:hAnsi="Times New Roman"/>
                <w:sz w:val="24"/>
                <w:szCs w:val="24"/>
                <w:lang w:val="sq-AL"/>
              </w:rPr>
              <w:t>sht</w:t>
            </w:r>
            <w:r w:rsidR="001A72E2">
              <w:rPr>
                <w:rFonts w:ascii="Times New Roman" w:hAnsi="Times New Roman"/>
                <w:sz w:val="24"/>
                <w:szCs w:val="24"/>
                <w:lang w:val="sq-AL"/>
              </w:rPr>
              <w:t>ë</w:t>
            </w:r>
            <w:r w:rsidR="004F5D64">
              <w:rPr>
                <w:rFonts w:ascii="Times New Roman" w:hAnsi="Times New Roman"/>
                <w:sz w:val="24"/>
                <w:szCs w:val="24"/>
                <w:lang w:val="sq-AL"/>
              </w:rPr>
              <w:t xml:space="preserve"> vler</w:t>
            </w:r>
            <w:r w:rsidR="001A72E2">
              <w:rPr>
                <w:rFonts w:ascii="Times New Roman" w:hAnsi="Times New Roman"/>
                <w:sz w:val="24"/>
                <w:szCs w:val="24"/>
                <w:lang w:val="sq-AL"/>
              </w:rPr>
              <w:t>ë</w:t>
            </w:r>
            <w:r w:rsidR="004F5D64">
              <w:rPr>
                <w:rFonts w:ascii="Times New Roman" w:hAnsi="Times New Roman"/>
                <w:sz w:val="24"/>
                <w:szCs w:val="24"/>
                <w:lang w:val="sq-AL"/>
              </w:rPr>
              <w:t>suar q</w:t>
            </w:r>
            <w:r w:rsidR="001A72E2">
              <w:rPr>
                <w:rFonts w:ascii="Times New Roman" w:hAnsi="Times New Roman"/>
                <w:sz w:val="24"/>
                <w:szCs w:val="24"/>
                <w:lang w:val="sq-AL"/>
              </w:rPr>
              <w:t>ë</w:t>
            </w:r>
            <w:r w:rsidR="004F5D64">
              <w:rPr>
                <w:rFonts w:ascii="Times New Roman" w:hAnsi="Times New Roman"/>
                <w:sz w:val="24"/>
                <w:szCs w:val="24"/>
                <w:lang w:val="sq-AL"/>
              </w:rPr>
              <w:t xml:space="preserve"> do t</w:t>
            </w:r>
            <w:r w:rsidR="001A72E2">
              <w:rPr>
                <w:rFonts w:ascii="Times New Roman" w:hAnsi="Times New Roman"/>
                <w:sz w:val="24"/>
                <w:szCs w:val="24"/>
                <w:lang w:val="sq-AL"/>
              </w:rPr>
              <w:t>ë</w:t>
            </w:r>
            <w:r w:rsidR="004F5D64">
              <w:rPr>
                <w:rFonts w:ascii="Times New Roman" w:hAnsi="Times New Roman"/>
                <w:sz w:val="24"/>
                <w:szCs w:val="24"/>
                <w:lang w:val="sq-AL"/>
              </w:rPr>
              <w:t xml:space="preserve"> jen</w:t>
            </w:r>
            <w:r w:rsidR="001A72E2">
              <w:rPr>
                <w:rFonts w:ascii="Times New Roman" w:hAnsi="Times New Roman"/>
                <w:sz w:val="24"/>
                <w:szCs w:val="24"/>
                <w:lang w:val="sq-AL"/>
              </w:rPr>
              <w:t>ë</w:t>
            </w:r>
            <w:r w:rsidR="004F5D64">
              <w:rPr>
                <w:rFonts w:ascii="Times New Roman" w:hAnsi="Times New Roman"/>
                <w:sz w:val="24"/>
                <w:szCs w:val="24"/>
                <w:lang w:val="sq-AL"/>
              </w:rPr>
              <w:t xml:space="preserve"> t</w:t>
            </w:r>
            <w:r w:rsidR="001A72E2">
              <w:rPr>
                <w:rFonts w:ascii="Times New Roman" w:hAnsi="Times New Roman"/>
                <w:sz w:val="24"/>
                <w:szCs w:val="24"/>
                <w:lang w:val="sq-AL"/>
              </w:rPr>
              <w:t>ë</w:t>
            </w:r>
            <w:r w:rsidR="004F5D64">
              <w:rPr>
                <w:rFonts w:ascii="Times New Roman" w:hAnsi="Times New Roman"/>
                <w:sz w:val="24"/>
                <w:szCs w:val="24"/>
                <w:lang w:val="sq-AL"/>
              </w:rPr>
              <w:t xml:space="preserve"> prirura t</w:t>
            </w:r>
            <w:r w:rsidR="001A72E2">
              <w:rPr>
                <w:rFonts w:ascii="Times New Roman" w:hAnsi="Times New Roman"/>
                <w:sz w:val="24"/>
                <w:szCs w:val="24"/>
                <w:lang w:val="sq-AL"/>
              </w:rPr>
              <w:t>ë</w:t>
            </w:r>
            <w:r w:rsidR="004F5D64">
              <w:rPr>
                <w:rFonts w:ascii="Times New Roman" w:hAnsi="Times New Roman"/>
                <w:sz w:val="24"/>
                <w:szCs w:val="24"/>
                <w:lang w:val="sq-AL"/>
              </w:rPr>
              <w:t xml:space="preserve"> vet</w:t>
            </w:r>
            <w:r w:rsidR="001A72E2">
              <w:rPr>
                <w:rFonts w:ascii="Times New Roman" w:hAnsi="Times New Roman"/>
                <w:sz w:val="24"/>
                <w:szCs w:val="24"/>
                <w:lang w:val="sq-AL"/>
              </w:rPr>
              <w:t>ë</w:t>
            </w:r>
            <w:r w:rsidR="004F5D64">
              <w:rPr>
                <w:rFonts w:ascii="Times New Roman" w:hAnsi="Times New Roman"/>
                <w:sz w:val="24"/>
                <w:szCs w:val="24"/>
                <w:lang w:val="sq-AL"/>
              </w:rPr>
              <w:t>financohen n</w:t>
            </w:r>
            <w:r w:rsidR="001A72E2">
              <w:rPr>
                <w:rFonts w:ascii="Times New Roman" w:hAnsi="Times New Roman"/>
                <w:sz w:val="24"/>
                <w:szCs w:val="24"/>
                <w:lang w:val="sq-AL"/>
              </w:rPr>
              <w:t>ë</w:t>
            </w:r>
            <w:r w:rsidR="004F5D64">
              <w:rPr>
                <w:rFonts w:ascii="Times New Roman" w:hAnsi="Times New Roman"/>
                <w:sz w:val="24"/>
                <w:szCs w:val="24"/>
                <w:lang w:val="sq-AL"/>
              </w:rPr>
              <w:t xml:space="preserve"> p</w:t>
            </w:r>
            <w:r w:rsidR="001A72E2">
              <w:rPr>
                <w:rFonts w:ascii="Times New Roman" w:hAnsi="Times New Roman"/>
                <w:sz w:val="24"/>
                <w:szCs w:val="24"/>
                <w:lang w:val="sq-AL"/>
              </w:rPr>
              <w:t>ë</w:t>
            </w:r>
            <w:r w:rsidR="004F5D64">
              <w:rPr>
                <w:rFonts w:ascii="Times New Roman" w:hAnsi="Times New Roman"/>
                <w:sz w:val="24"/>
                <w:szCs w:val="24"/>
                <w:lang w:val="sq-AL"/>
              </w:rPr>
              <w:t>rpjekjet e tyre p</w:t>
            </w:r>
            <w:r w:rsidR="001A72E2">
              <w:rPr>
                <w:rFonts w:ascii="Times New Roman" w:hAnsi="Times New Roman"/>
                <w:sz w:val="24"/>
                <w:szCs w:val="24"/>
                <w:lang w:val="sq-AL"/>
              </w:rPr>
              <w:t>ë</w:t>
            </w:r>
            <w:r w:rsidR="004F5D64">
              <w:rPr>
                <w:rFonts w:ascii="Times New Roman" w:hAnsi="Times New Roman"/>
                <w:sz w:val="24"/>
                <w:szCs w:val="24"/>
                <w:lang w:val="sq-AL"/>
              </w:rPr>
              <w:t>r reduktimin e faturave energjetike, pa mbeshtje financiare nga buxheti i shteti ose programe t</w:t>
            </w:r>
            <w:r w:rsidR="001A72E2">
              <w:rPr>
                <w:rFonts w:ascii="Times New Roman" w:hAnsi="Times New Roman"/>
                <w:sz w:val="24"/>
                <w:szCs w:val="24"/>
                <w:lang w:val="sq-AL"/>
              </w:rPr>
              <w:t>ë</w:t>
            </w:r>
            <w:r w:rsidR="004F5D64">
              <w:rPr>
                <w:rFonts w:ascii="Times New Roman" w:hAnsi="Times New Roman"/>
                <w:sz w:val="24"/>
                <w:szCs w:val="24"/>
                <w:lang w:val="sq-AL"/>
              </w:rPr>
              <w:t xml:space="preserve"> tjera financimi.</w:t>
            </w:r>
          </w:p>
        </w:tc>
      </w:tr>
      <w:tr w:rsidR="00F37C19" w:rsidRPr="00484141" w14:paraId="05819081" w14:textId="77777777" w:rsidTr="007876E3">
        <w:trPr>
          <w:jc w:val="center"/>
        </w:trPr>
        <w:tc>
          <w:tcPr>
            <w:tcW w:w="586" w:type="dxa"/>
            <w:tcBorders>
              <w:top w:val="single" w:sz="4" w:space="0" w:color="auto"/>
              <w:left w:val="single" w:sz="4" w:space="0" w:color="auto"/>
              <w:bottom w:val="single" w:sz="4" w:space="0" w:color="auto"/>
              <w:right w:val="single" w:sz="4" w:space="0" w:color="auto"/>
            </w:tcBorders>
          </w:tcPr>
          <w:p w14:paraId="158B6B2C" w14:textId="56C10F68" w:rsidR="00F37C19" w:rsidRPr="00F01A0B" w:rsidRDefault="00D72BD1"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7</w:t>
            </w:r>
            <w:r w:rsidR="00F37C19" w:rsidRPr="00F01A0B">
              <w:rPr>
                <w:rFonts w:ascii="Times New Roman" w:hAnsi="Times New Roman"/>
                <w:sz w:val="24"/>
                <w:szCs w:val="24"/>
                <w:lang w:val="sq-AL"/>
              </w:rPr>
              <w:t>.</w:t>
            </w:r>
          </w:p>
        </w:tc>
        <w:tc>
          <w:tcPr>
            <w:tcW w:w="2078" w:type="dxa"/>
            <w:tcBorders>
              <w:top w:val="single" w:sz="4" w:space="0" w:color="auto"/>
              <w:left w:val="single" w:sz="4" w:space="0" w:color="auto"/>
              <w:bottom w:val="single" w:sz="4" w:space="0" w:color="auto"/>
              <w:right w:val="single" w:sz="4" w:space="0" w:color="auto"/>
            </w:tcBorders>
          </w:tcPr>
          <w:p w14:paraId="5216D470" w14:textId="06D3F51F" w:rsidR="00D57ADF" w:rsidRPr="00D57ADF" w:rsidRDefault="00D57ADF" w:rsidP="00D57ADF">
            <w:pPr>
              <w:jc w:val="both"/>
              <w:rPr>
                <w:rFonts w:ascii="Times New Roman" w:hAnsi="Times New Roman"/>
                <w:b/>
                <w:bCs/>
                <w:sz w:val="24"/>
                <w:szCs w:val="24"/>
                <w:lang w:val="sq-AL"/>
              </w:rPr>
            </w:pPr>
            <w:r w:rsidRPr="00D57ADF">
              <w:rPr>
                <w:rFonts w:ascii="Times New Roman" w:hAnsi="Times New Roman"/>
                <w:b/>
                <w:bCs/>
                <w:sz w:val="24"/>
                <w:szCs w:val="24"/>
                <w:lang w:val="sq-AL"/>
              </w:rPr>
              <w:t>Modeli dhe termat ku duhet të mbështetet SARSN</w:t>
            </w:r>
          </w:p>
          <w:p w14:paraId="209B255E" w14:textId="26579CA0" w:rsidR="00F37C19" w:rsidRPr="00F01A0B" w:rsidRDefault="00F37C19" w:rsidP="00F37C19">
            <w:pPr>
              <w:pStyle w:val="BodyText"/>
              <w:spacing w:line="276" w:lineRule="auto"/>
              <w:jc w:val="both"/>
              <w:rPr>
                <w:rFonts w:ascii="Times New Roman" w:hAnsi="Times New Roman"/>
                <w:sz w:val="24"/>
                <w:szCs w:val="24"/>
                <w:lang w:val="sq-AL"/>
              </w:rPr>
            </w:pPr>
          </w:p>
        </w:tc>
        <w:tc>
          <w:tcPr>
            <w:tcW w:w="5942" w:type="dxa"/>
            <w:tcBorders>
              <w:top w:val="single" w:sz="4" w:space="0" w:color="auto"/>
              <w:left w:val="single" w:sz="4" w:space="0" w:color="auto"/>
              <w:bottom w:val="single" w:sz="4" w:space="0" w:color="auto"/>
              <w:right w:val="single" w:sz="4" w:space="0" w:color="auto"/>
            </w:tcBorders>
          </w:tcPr>
          <w:p w14:paraId="71E5BFFB" w14:textId="77777777" w:rsidR="00CD553A" w:rsidRPr="00CD553A" w:rsidRDefault="00CD553A" w:rsidP="001930EF">
            <w:pPr>
              <w:pStyle w:val="BodyText"/>
              <w:spacing w:line="276" w:lineRule="auto"/>
              <w:jc w:val="both"/>
              <w:rPr>
                <w:rFonts w:ascii="Times New Roman" w:hAnsi="Times New Roman"/>
                <w:sz w:val="24"/>
                <w:szCs w:val="24"/>
                <w:lang w:val="sq-AL"/>
              </w:rPr>
            </w:pPr>
            <w:r w:rsidRPr="00CD553A">
              <w:rPr>
                <w:rFonts w:ascii="Times New Roman" w:hAnsi="Times New Roman"/>
                <w:sz w:val="24"/>
                <w:szCs w:val="24"/>
                <w:lang w:val="sq-AL"/>
              </w:rPr>
              <w:t xml:space="preserve">a) Kapitulli 3 "Stoku i Ndërtesave në Shqipëri” lidhet me vlerësimin energjetik të stokut të ndërtesave publike dhe jo publike. Pikërisht në seksionin 3.1.1 që lidhet me "..furnizimin dhe konsumin e energjisë në ndërtesat rezidenciale" është konkluduar se konsumi i energjise është mes 485 dhe 535 ktoe, dhe konkretisht (1) Ngrohja e ambienteve të banimit; (2) Kondicionimi i ajrit; (3) Përgatitja e ujit të ngrohtë; (4) Gatimi; (5) Ndriçimi; dhe (6) Pajisjet elektrike. Në përputhje me Ligjin 116/2016 por edhe draftit të fundit për Performancen Energjitike në Ndërtesa (PEN) jane pesë elemente konsumi dhe pikërisht (1) Ngrohja; (2) Ftohja; (3) Përgatitja e Ujit të ngrohtë; (4) Ventilimi dhe (5) Ndriçimi. Pra autorët kanë koncepte të </w:t>
            </w:r>
            <w:r w:rsidRPr="00CD553A">
              <w:rPr>
                <w:rFonts w:ascii="Times New Roman" w:hAnsi="Times New Roman"/>
                <w:sz w:val="24"/>
                <w:szCs w:val="24"/>
                <w:lang w:val="sq-AL"/>
              </w:rPr>
              <w:lastRenderedPageBreak/>
              <w:t>gabuara për "kondicionimin" dhe Gatimi së bashku me pajisjet elektrike nuk parashikohen nga ligji.</w:t>
            </w:r>
          </w:p>
          <w:p w14:paraId="1602FF31" w14:textId="77777777" w:rsidR="00CD553A" w:rsidRPr="00CD553A" w:rsidRDefault="00CD553A" w:rsidP="001930EF">
            <w:pPr>
              <w:pStyle w:val="BodyText"/>
              <w:spacing w:line="276" w:lineRule="auto"/>
              <w:jc w:val="both"/>
              <w:rPr>
                <w:rFonts w:ascii="Times New Roman" w:hAnsi="Times New Roman"/>
                <w:sz w:val="24"/>
                <w:szCs w:val="24"/>
                <w:lang w:val="sq-AL"/>
              </w:rPr>
            </w:pPr>
            <w:r w:rsidRPr="00CD553A">
              <w:rPr>
                <w:rFonts w:ascii="Times New Roman" w:hAnsi="Times New Roman"/>
                <w:sz w:val="24"/>
                <w:szCs w:val="24"/>
                <w:lang w:val="sq-AL"/>
              </w:rPr>
              <w:t>b) Llogaritja e konsumit aktual të sektorit rezidencial për vitin 2023 është 502.3 ktoe (ose 5,841,750 MWh), nga të cilat 97.65 ktoe (ose 1,135,670 MWh) jane naftë, 111.20 ktoe (ose 1,293,256 MWh) dru zjarri, 282.45 ktoe (3,284,894 MWh) energji elektrike dhe 11 ktoe (ose 127,930 MWh) energji diellore termike. Ky miks konsumi është bërë nga zyrat statistikore të AKBN. Mendojme se këto statistika çojnë në rezultatin se konsumi i vitit 2023 në sektorin rezidencial (56,063,795 m2 ndërtesa të banuara sipas CENS2023, f.67) është 111 kWh/m2vit.</w:t>
            </w:r>
          </w:p>
          <w:p w14:paraId="0C04A9C9" w14:textId="77777777" w:rsidR="00CD553A" w:rsidRPr="00CD553A" w:rsidRDefault="00CD553A" w:rsidP="001930EF">
            <w:pPr>
              <w:pStyle w:val="BodyText"/>
              <w:spacing w:line="276" w:lineRule="auto"/>
              <w:jc w:val="both"/>
              <w:rPr>
                <w:rFonts w:ascii="Times New Roman" w:hAnsi="Times New Roman"/>
                <w:sz w:val="24"/>
                <w:szCs w:val="24"/>
                <w:lang w:val="sq-AL"/>
              </w:rPr>
            </w:pPr>
            <w:r w:rsidRPr="00CD553A">
              <w:rPr>
                <w:rFonts w:ascii="Times New Roman" w:hAnsi="Times New Roman"/>
                <w:sz w:val="24"/>
                <w:szCs w:val="24"/>
                <w:lang w:val="sq-AL"/>
              </w:rPr>
              <w:t>Konsulenti ka dalë në rezultate krejtësisht të tjera. Në faqen 118 fig 4.4, 4.5 dhe 4.6, për vitin 2023 jepet ky tregues i PEN përkatësisht për të gjithë stokun e ndërtesave (aktualisht të banuara dhe të pabanuara) të sektorit të banimit me 69.90 kWh/m2vit, për stokun e ndërtesave aktualisht të pabanuara në sektorin</w:t>
            </w:r>
          </w:p>
          <w:p w14:paraId="29F2333A" w14:textId="77777777" w:rsidR="00CD553A" w:rsidRPr="00CD553A" w:rsidRDefault="00CD553A" w:rsidP="001930EF">
            <w:pPr>
              <w:pStyle w:val="BodyText"/>
              <w:spacing w:line="276" w:lineRule="auto"/>
              <w:jc w:val="both"/>
              <w:rPr>
                <w:rFonts w:ascii="Times New Roman" w:hAnsi="Times New Roman"/>
                <w:sz w:val="24"/>
                <w:szCs w:val="24"/>
                <w:lang w:val="sq-AL"/>
              </w:rPr>
            </w:pPr>
            <w:r w:rsidRPr="00CD553A">
              <w:rPr>
                <w:rFonts w:ascii="Times New Roman" w:hAnsi="Times New Roman"/>
                <w:sz w:val="24"/>
                <w:szCs w:val="24"/>
                <w:lang w:val="sq-AL"/>
              </w:rPr>
              <w:t>1 ktoe = 11,630 megawatt-hours (MWh)</w:t>
            </w:r>
          </w:p>
          <w:p w14:paraId="7AF54B54" w14:textId="77777777" w:rsidR="00F37C19" w:rsidRPr="00F01A0B" w:rsidRDefault="00F37C19" w:rsidP="00F37C19">
            <w:pPr>
              <w:pStyle w:val="BodyText"/>
              <w:spacing w:line="276" w:lineRule="auto"/>
              <w:jc w:val="both"/>
              <w:rPr>
                <w:rFonts w:ascii="Times New Roman" w:hAnsi="Times New Roman"/>
                <w:sz w:val="24"/>
                <w:szCs w:val="24"/>
                <w:lang w:val="sq-AL"/>
              </w:rPr>
            </w:pPr>
          </w:p>
        </w:tc>
        <w:tc>
          <w:tcPr>
            <w:tcW w:w="1836" w:type="dxa"/>
            <w:tcBorders>
              <w:top w:val="single" w:sz="4" w:space="0" w:color="auto"/>
              <w:left w:val="single" w:sz="4" w:space="0" w:color="auto"/>
              <w:bottom w:val="single" w:sz="4" w:space="0" w:color="auto"/>
              <w:right w:val="single" w:sz="4" w:space="0" w:color="auto"/>
            </w:tcBorders>
          </w:tcPr>
          <w:p w14:paraId="2F57E0F5" w14:textId="3FE87946" w:rsidR="00F37C19" w:rsidRPr="00F01A0B" w:rsidRDefault="00B431E4" w:rsidP="00F37C19">
            <w:pPr>
              <w:pStyle w:val="BodyText"/>
              <w:spacing w:line="276" w:lineRule="auto"/>
              <w:jc w:val="both"/>
              <w:rPr>
                <w:rFonts w:ascii="Times New Roman" w:hAnsi="Times New Roman"/>
                <w:sz w:val="24"/>
                <w:szCs w:val="24"/>
                <w:lang w:val="sq-AL"/>
              </w:rPr>
            </w:pPr>
            <w:r w:rsidRPr="002A319E">
              <w:rPr>
                <w:rFonts w:ascii="Times New Roman" w:hAnsi="Times New Roman"/>
                <w:b/>
                <w:bCs/>
                <w:sz w:val="24"/>
                <w:szCs w:val="22"/>
                <w:lang w:val="sq-AL"/>
              </w:rPr>
              <w:lastRenderedPageBreak/>
              <w:t>Shoqata e Ndërtuesve të Shqipërisë</w:t>
            </w:r>
          </w:p>
        </w:tc>
        <w:tc>
          <w:tcPr>
            <w:tcW w:w="1307" w:type="dxa"/>
            <w:tcBorders>
              <w:top w:val="single" w:sz="4" w:space="0" w:color="auto"/>
              <w:left w:val="single" w:sz="4" w:space="0" w:color="auto"/>
              <w:bottom w:val="single" w:sz="4" w:space="0" w:color="auto"/>
              <w:right w:val="single" w:sz="4" w:space="0" w:color="auto"/>
            </w:tcBorders>
          </w:tcPr>
          <w:p w14:paraId="595DF231" w14:textId="3BF72A37" w:rsidR="00F37C19" w:rsidRPr="00F01A0B" w:rsidRDefault="001930EF"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Refuzuar</w:t>
            </w:r>
          </w:p>
        </w:tc>
        <w:tc>
          <w:tcPr>
            <w:tcW w:w="2763" w:type="dxa"/>
            <w:tcBorders>
              <w:top w:val="single" w:sz="4" w:space="0" w:color="auto"/>
              <w:left w:val="single" w:sz="4" w:space="0" w:color="auto"/>
              <w:bottom w:val="single" w:sz="4" w:space="0" w:color="auto"/>
              <w:right w:val="single" w:sz="4" w:space="0" w:color="auto"/>
            </w:tcBorders>
          </w:tcPr>
          <w:p w14:paraId="3FB1079A" w14:textId="1095B68E" w:rsidR="00F37C19" w:rsidRDefault="004F5D64"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a) Per shkak se strategjia nuk lidhet vetem me ligjin per performancen energjetike t</w:t>
            </w:r>
            <w:r w:rsidR="001A72E2">
              <w:rPr>
                <w:rFonts w:ascii="Times New Roman" w:hAnsi="Times New Roman"/>
                <w:sz w:val="24"/>
                <w:szCs w:val="24"/>
                <w:lang w:val="sq-AL"/>
              </w:rPr>
              <w:t>ë</w:t>
            </w:r>
            <w:r>
              <w:rPr>
                <w:rFonts w:ascii="Times New Roman" w:hAnsi="Times New Roman"/>
                <w:sz w:val="24"/>
                <w:szCs w:val="24"/>
                <w:lang w:val="sq-AL"/>
              </w:rPr>
              <w:t xml:space="preserve"> nd</w:t>
            </w:r>
            <w:r w:rsidR="001A72E2">
              <w:rPr>
                <w:rFonts w:ascii="Times New Roman" w:hAnsi="Times New Roman"/>
                <w:sz w:val="24"/>
                <w:szCs w:val="24"/>
                <w:lang w:val="sq-AL"/>
              </w:rPr>
              <w:t>ë</w:t>
            </w:r>
            <w:r>
              <w:rPr>
                <w:rFonts w:ascii="Times New Roman" w:hAnsi="Times New Roman"/>
                <w:sz w:val="24"/>
                <w:szCs w:val="24"/>
                <w:lang w:val="sq-AL"/>
              </w:rPr>
              <w:t>rtesave si dhe p</w:t>
            </w:r>
            <w:r w:rsidR="001A72E2">
              <w:rPr>
                <w:rFonts w:ascii="Times New Roman" w:hAnsi="Times New Roman"/>
                <w:sz w:val="24"/>
                <w:szCs w:val="24"/>
                <w:lang w:val="sq-AL"/>
              </w:rPr>
              <w:t>ë</w:t>
            </w:r>
            <w:r>
              <w:rPr>
                <w:rFonts w:ascii="Times New Roman" w:hAnsi="Times New Roman"/>
                <w:sz w:val="24"/>
                <w:szCs w:val="24"/>
                <w:lang w:val="sq-AL"/>
              </w:rPr>
              <w:t>r faktin q</w:t>
            </w:r>
            <w:r w:rsidR="001A72E2">
              <w:rPr>
                <w:rFonts w:ascii="Times New Roman" w:hAnsi="Times New Roman"/>
                <w:sz w:val="24"/>
                <w:szCs w:val="24"/>
                <w:lang w:val="sq-AL"/>
              </w:rPr>
              <w:t>ë</w:t>
            </w:r>
            <w:r>
              <w:rPr>
                <w:rFonts w:ascii="Times New Roman" w:hAnsi="Times New Roman"/>
                <w:sz w:val="24"/>
                <w:szCs w:val="24"/>
                <w:lang w:val="sq-AL"/>
              </w:rPr>
              <w:t xml:space="preserve"> n</w:t>
            </w:r>
            <w:r w:rsidR="001A72E2">
              <w:rPr>
                <w:rFonts w:ascii="Times New Roman" w:hAnsi="Times New Roman"/>
                <w:sz w:val="24"/>
                <w:szCs w:val="24"/>
                <w:lang w:val="sq-AL"/>
              </w:rPr>
              <w:t>ë</w:t>
            </w:r>
            <w:r>
              <w:rPr>
                <w:rFonts w:ascii="Times New Roman" w:hAnsi="Times New Roman"/>
                <w:sz w:val="24"/>
                <w:szCs w:val="24"/>
                <w:lang w:val="sq-AL"/>
              </w:rPr>
              <w:t xml:space="preserve"> vitin 2024 qeveria e Shqip</w:t>
            </w:r>
            <w:r w:rsidR="001A72E2">
              <w:rPr>
                <w:rFonts w:ascii="Times New Roman" w:hAnsi="Times New Roman"/>
                <w:sz w:val="24"/>
                <w:szCs w:val="24"/>
                <w:lang w:val="sq-AL"/>
              </w:rPr>
              <w:t>ë</w:t>
            </w:r>
            <w:r>
              <w:rPr>
                <w:rFonts w:ascii="Times New Roman" w:hAnsi="Times New Roman"/>
                <w:sz w:val="24"/>
                <w:szCs w:val="24"/>
                <w:lang w:val="sq-AL"/>
              </w:rPr>
              <w:t>ris</w:t>
            </w:r>
            <w:r w:rsidR="001A72E2">
              <w:rPr>
                <w:rFonts w:ascii="Times New Roman" w:hAnsi="Times New Roman"/>
                <w:sz w:val="24"/>
                <w:szCs w:val="24"/>
                <w:lang w:val="sq-AL"/>
              </w:rPr>
              <w:t>ë</w:t>
            </w:r>
            <w:r>
              <w:rPr>
                <w:rFonts w:ascii="Times New Roman" w:hAnsi="Times New Roman"/>
                <w:sz w:val="24"/>
                <w:szCs w:val="24"/>
                <w:lang w:val="sq-AL"/>
              </w:rPr>
              <w:t xml:space="preserve"> miratoi Ligjin p</w:t>
            </w:r>
            <w:r w:rsidR="001A72E2">
              <w:rPr>
                <w:rFonts w:ascii="Times New Roman" w:hAnsi="Times New Roman"/>
                <w:sz w:val="24"/>
                <w:szCs w:val="24"/>
                <w:lang w:val="sq-AL"/>
              </w:rPr>
              <w:t>ë</w:t>
            </w:r>
            <w:r>
              <w:rPr>
                <w:rFonts w:ascii="Times New Roman" w:hAnsi="Times New Roman"/>
                <w:sz w:val="24"/>
                <w:szCs w:val="24"/>
                <w:lang w:val="sq-AL"/>
              </w:rPr>
              <w:t>r Etiketimin e produkteve me ndikim n</w:t>
            </w:r>
            <w:r w:rsidR="001A72E2">
              <w:rPr>
                <w:rFonts w:ascii="Times New Roman" w:hAnsi="Times New Roman"/>
                <w:sz w:val="24"/>
                <w:szCs w:val="24"/>
                <w:lang w:val="sq-AL"/>
              </w:rPr>
              <w:t>ë</w:t>
            </w:r>
            <w:r>
              <w:rPr>
                <w:rFonts w:ascii="Times New Roman" w:hAnsi="Times New Roman"/>
                <w:sz w:val="24"/>
                <w:szCs w:val="24"/>
                <w:lang w:val="sq-AL"/>
              </w:rPr>
              <w:t xml:space="preserve"> energji, p</w:t>
            </w:r>
            <w:r w:rsidR="001A72E2">
              <w:rPr>
                <w:rFonts w:ascii="Times New Roman" w:hAnsi="Times New Roman"/>
                <w:sz w:val="24"/>
                <w:szCs w:val="24"/>
                <w:lang w:val="sq-AL"/>
              </w:rPr>
              <w:t>ë</w:t>
            </w:r>
            <w:r>
              <w:rPr>
                <w:rFonts w:ascii="Times New Roman" w:hAnsi="Times New Roman"/>
                <w:sz w:val="24"/>
                <w:szCs w:val="24"/>
                <w:lang w:val="sq-AL"/>
              </w:rPr>
              <w:t>rfshijra e pajisjeve t</w:t>
            </w:r>
            <w:r w:rsidR="001A72E2">
              <w:rPr>
                <w:rFonts w:ascii="Times New Roman" w:hAnsi="Times New Roman"/>
                <w:sz w:val="24"/>
                <w:szCs w:val="24"/>
                <w:lang w:val="sq-AL"/>
              </w:rPr>
              <w:t>ë</w:t>
            </w:r>
            <w:r>
              <w:rPr>
                <w:rFonts w:ascii="Times New Roman" w:hAnsi="Times New Roman"/>
                <w:sz w:val="24"/>
                <w:szCs w:val="24"/>
                <w:lang w:val="sq-AL"/>
              </w:rPr>
              <w:t xml:space="preserve"> tjera sht</w:t>
            </w:r>
            <w:r w:rsidR="001A72E2">
              <w:rPr>
                <w:rFonts w:ascii="Times New Roman" w:hAnsi="Times New Roman"/>
                <w:sz w:val="24"/>
                <w:szCs w:val="24"/>
                <w:lang w:val="sq-AL"/>
              </w:rPr>
              <w:t>ë</w:t>
            </w:r>
            <w:r>
              <w:rPr>
                <w:rFonts w:ascii="Times New Roman" w:hAnsi="Times New Roman"/>
                <w:sz w:val="24"/>
                <w:szCs w:val="24"/>
                <w:lang w:val="sq-AL"/>
              </w:rPr>
              <w:t>piake q</w:t>
            </w:r>
            <w:r w:rsidR="001A72E2">
              <w:rPr>
                <w:rFonts w:ascii="Times New Roman" w:hAnsi="Times New Roman"/>
                <w:sz w:val="24"/>
                <w:szCs w:val="24"/>
                <w:lang w:val="sq-AL"/>
              </w:rPr>
              <w:t>ë</w:t>
            </w:r>
            <w:r>
              <w:rPr>
                <w:rFonts w:ascii="Times New Roman" w:hAnsi="Times New Roman"/>
                <w:sz w:val="24"/>
                <w:szCs w:val="24"/>
                <w:lang w:val="sq-AL"/>
              </w:rPr>
              <w:t xml:space="preserve"> ndikojn</w:t>
            </w:r>
            <w:r w:rsidR="001A72E2">
              <w:rPr>
                <w:rFonts w:ascii="Times New Roman" w:hAnsi="Times New Roman"/>
                <w:sz w:val="24"/>
                <w:szCs w:val="24"/>
                <w:lang w:val="sq-AL"/>
              </w:rPr>
              <w:t>ë</w:t>
            </w:r>
            <w:r>
              <w:rPr>
                <w:rFonts w:ascii="Times New Roman" w:hAnsi="Times New Roman"/>
                <w:sz w:val="24"/>
                <w:szCs w:val="24"/>
                <w:lang w:val="sq-AL"/>
              </w:rPr>
              <w:t xml:space="preserve"> n</w:t>
            </w:r>
            <w:r w:rsidR="001A72E2">
              <w:rPr>
                <w:rFonts w:ascii="Times New Roman" w:hAnsi="Times New Roman"/>
                <w:sz w:val="24"/>
                <w:szCs w:val="24"/>
                <w:lang w:val="sq-AL"/>
              </w:rPr>
              <w:t>ë</w:t>
            </w:r>
            <w:r>
              <w:rPr>
                <w:rFonts w:ascii="Times New Roman" w:hAnsi="Times New Roman"/>
                <w:sz w:val="24"/>
                <w:szCs w:val="24"/>
                <w:lang w:val="sq-AL"/>
              </w:rPr>
              <w:t xml:space="preserve"> konsumin energjetik </w:t>
            </w:r>
            <w:r w:rsidR="001A72E2">
              <w:rPr>
                <w:rFonts w:ascii="Times New Roman" w:hAnsi="Times New Roman"/>
                <w:sz w:val="24"/>
                <w:szCs w:val="24"/>
                <w:lang w:val="sq-AL"/>
              </w:rPr>
              <w:t>ë</w:t>
            </w:r>
            <w:r>
              <w:rPr>
                <w:rFonts w:ascii="Times New Roman" w:hAnsi="Times New Roman"/>
                <w:sz w:val="24"/>
                <w:szCs w:val="24"/>
                <w:lang w:val="sq-AL"/>
              </w:rPr>
              <w:t>sht</w:t>
            </w:r>
            <w:r w:rsidR="001A72E2">
              <w:rPr>
                <w:rFonts w:ascii="Times New Roman" w:hAnsi="Times New Roman"/>
                <w:sz w:val="24"/>
                <w:szCs w:val="24"/>
                <w:lang w:val="sq-AL"/>
              </w:rPr>
              <w:t>ë</w:t>
            </w:r>
            <w:r>
              <w:rPr>
                <w:rFonts w:ascii="Times New Roman" w:hAnsi="Times New Roman"/>
                <w:sz w:val="24"/>
                <w:szCs w:val="24"/>
                <w:lang w:val="sq-AL"/>
              </w:rPr>
              <w:t xml:space="preserve"> vler</w:t>
            </w:r>
            <w:r w:rsidR="001A72E2">
              <w:rPr>
                <w:rFonts w:ascii="Times New Roman" w:hAnsi="Times New Roman"/>
                <w:sz w:val="24"/>
                <w:szCs w:val="24"/>
                <w:lang w:val="sq-AL"/>
              </w:rPr>
              <w:t>ë</w:t>
            </w:r>
            <w:r>
              <w:rPr>
                <w:rFonts w:ascii="Times New Roman" w:hAnsi="Times New Roman"/>
                <w:sz w:val="24"/>
                <w:szCs w:val="24"/>
                <w:lang w:val="sq-AL"/>
              </w:rPr>
              <w:t xml:space="preserve">suar e domosdoshme. </w:t>
            </w:r>
          </w:p>
          <w:p w14:paraId="04211DD1" w14:textId="6D68F7F0" w:rsidR="004F5D64" w:rsidRPr="00F01A0B" w:rsidRDefault="004F5D64" w:rsidP="00F37C19">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b)</w:t>
            </w:r>
            <w:r w:rsidR="009B5582">
              <w:rPr>
                <w:rFonts w:ascii="Times New Roman" w:hAnsi="Times New Roman"/>
                <w:sz w:val="24"/>
                <w:szCs w:val="24"/>
                <w:lang w:val="sq-AL"/>
              </w:rPr>
              <w:t xml:space="preserve"> Llogaritjet jan</w:t>
            </w:r>
            <w:r w:rsidR="001A72E2">
              <w:rPr>
                <w:rFonts w:ascii="Times New Roman" w:hAnsi="Times New Roman"/>
                <w:sz w:val="24"/>
                <w:szCs w:val="24"/>
                <w:lang w:val="sq-AL"/>
              </w:rPr>
              <w:t>ë</w:t>
            </w:r>
            <w:r w:rsidR="009B5582">
              <w:rPr>
                <w:rFonts w:ascii="Times New Roman" w:hAnsi="Times New Roman"/>
                <w:sz w:val="24"/>
                <w:szCs w:val="24"/>
                <w:lang w:val="sq-AL"/>
              </w:rPr>
              <w:t xml:space="preserve"> bazuar mbi bilancin energjetik zyrtar dhe statistikat e censusit t</w:t>
            </w:r>
            <w:r w:rsidR="001A72E2">
              <w:rPr>
                <w:rFonts w:ascii="Times New Roman" w:hAnsi="Times New Roman"/>
                <w:sz w:val="24"/>
                <w:szCs w:val="24"/>
                <w:lang w:val="sq-AL"/>
              </w:rPr>
              <w:t>ë</w:t>
            </w:r>
            <w:r w:rsidR="009B5582">
              <w:rPr>
                <w:rFonts w:ascii="Times New Roman" w:hAnsi="Times New Roman"/>
                <w:sz w:val="24"/>
                <w:szCs w:val="24"/>
                <w:lang w:val="sq-AL"/>
              </w:rPr>
              <w:t xml:space="preserve"> banesave (Shtator 2023). P</w:t>
            </w:r>
            <w:r w:rsidR="001A72E2">
              <w:rPr>
                <w:rFonts w:ascii="Times New Roman" w:hAnsi="Times New Roman"/>
                <w:sz w:val="24"/>
                <w:szCs w:val="24"/>
                <w:lang w:val="sq-AL"/>
              </w:rPr>
              <w:t>ë</w:t>
            </w:r>
            <w:r w:rsidR="009B5582">
              <w:rPr>
                <w:rFonts w:ascii="Times New Roman" w:hAnsi="Times New Roman"/>
                <w:sz w:val="24"/>
                <w:szCs w:val="24"/>
                <w:lang w:val="sq-AL"/>
              </w:rPr>
              <w:t>r t</w:t>
            </w:r>
            <w:r w:rsidR="001A72E2">
              <w:rPr>
                <w:rFonts w:ascii="Times New Roman" w:hAnsi="Times New Roman"/>
                <w:sz w:val="24"/>
                <w:szCs w:val="24"/>
                <w:lang w:val="sq-AL"/>
              </w:rPr>
              <w:t>ë</w:t>
            </w:r>
            <w:r w:rsidR="009B5582">
              <w:rPr>
                <w:rFonts w:ascii="Times New Roman" w:hAnsi="Times New Roman"/>
                <w:sz w:val="24"/>
                <w:szCs w:val="24"/>
                <w:lang w:val="sq-AL"/>
              </w:rPr>
              <w:t xml:space="preserve"> mos p</w:t>
            </w:r>
            <w:r w:rsidR="001A72E2">
              <w:rPr>
                <w:rFonts w:ascii="Times New Roman" w:hAnsi="Times New Roman"/>
                <w:sz w:val="24"/>
                <w:szCs w:val="24"/>
                <w:lang w:val="sq-AL"/>
              </w:rPr>
              <w:t>ë</w:t>
            </w:r>
            <w:r w:rsidR="009B5582">
              <w:rPr>
                <w:rFonts w:ascii="Times New Roman" w:hAnsi="Times New Roman"/>
                <w:sz w:val="24"/>
                <w:szCs w:val="24"/>
                <w:lang w:val="sq-AL"/>
              </w:rPr>
              <w:t>rjashtuar t</w:t>
            </w:r>
            <w:r w:rsidR="001A72E2">
              <w:rPr>
                <w:rFonts w:ascii="Times New Roman" w:hAnsi="Times New Roman"/>
                <w:sz w:val="24"/>
                <w:szCs w:val="24"/>
                <w:lang w:val="sq-AL"/>
              </w:rPr>
              <w:t>ë</w:t>
            </w:r>
            <w:r w:rsidR="009B5582">
              <w:rPr>
                <w:rFonts w:ascii="Times New Roman" w:hAnsi="Times New Roman"/>
                <w:sz w:val="24"/>
                <w:szCs w:val="24"/>
                <w:lang w:val="sq-AL"/>
              </w:rPr>
              <w:t xml:space="preserve"> gjith</w:t>
            </w:r>
            <w:r w:rsidR="001A72E2">
              <w:rPr>
                <w:rFonts w:ascii="Times New Roman" w:hAnsi="Times New Roman"/>
                <w:sz w:val="24"/>
                <w:szCs w:val="24"/>
                <w:lang w:val="sq-AL"/>
              </w:rPr>
              <w:t>ë</w:t>
            </w:r>
            <w:r w:rsidR="009B5582">
              <w:rPr>
                <w:rFonts w:ascii="Times New Roman" w:hAnsi="Times New Roman"/>
                <w:sz w:val="24"/>
                <w:szCs w:val="24"/>
                <w:lang w:val="sq-AL"/>
              </w:rPr>
              <w:t xml:space="preserve"> nd</w:t>
            </w:r>
            <w:r w:rsidR="001A72E2">
              <w:rPr>
                <w:rFonts w:ascii="Times New Roman" w:hAnsi="Times New Roman"/>
                <w:sz w:val="24"/>
                <w:szCs w:val="24"/>
                <w:lang w:val="sq-AL"/>
              </w:rPr>
              <w:t>ë</w:t>
            </w:r>
            <w:r w:rsidR="009B5582">
              <w:rPr>
                <w:rFonts w:ascii="Times New Roman" w:hAnsi="Times New Roman"/>
                <w:sz w:val="24"/>
                <w:szCs w:val="24"/>
                <w:lang w:val="sq-AL"/>
              </w:rPr>
              <w:t>rtesat e pabanuara t</w:t>
            </w:r>
            <w:r w:rsidR="001A72E2">
              <w:rPr>
                <w:rFonts w:ascii="Times New Roman" w:hAnsi="Times New Roman"/>
                <w:sz w:val="24"/>
                <w:szCs w:val="24"/>
                <w:lang w:val="sq-AL"/>
              </w:rPr>
              <w:t>ë</w:t>
            </w:r>
            <w:r w:rsidR="009B5582">
              <w:rPr>
                <w:rFonts w:ascii="Times New Roman" w:hAnsi="Times New Roman"/>
                <w:sz w:val="24"/>
                <w:szCs w:val="24"/>
                <w:lang w:val="sq-AL"/>
              </w:rPr>
              <w:t xml:space="preserve"> cilat mund t</w:t>
            </w:r>
            <w:r w:rsidR="001A72E2">
              <w:rPr>
                <w:rFonts w:ascii="Times New Roman" w:hAnsi="Times New Roman"/>
                <w:sz w:val="24"/>
                <w:szCs w:val="24"/>
                <w:lang w:val="sq-AL"/>
              </w:rPr>
              <w:t>ë</w:t>
            </w:r>
            <w:r w:rsidR="009B5582">
              <w:rPr>
                <w:rFonts w:ascii="Times New Roman" w:hAnsi="Times New Roman"/>
                <w:sz w:val="24"/>
                <w:szCs w:val="24"/>
                <w:lang w:val="sq-AL"/>
              </w:rPr>
              <w:t xml:space="preserve"> jepen me qira ditore ose mund t</w:t>
            </w:r>
            <w:r w:rsidR="001A72E2">
              <w:rPr>
                <w:rFonts w:ascii="Times New Roman" w:hAnsi="Times New Roman"/>
                <w:sz w:val="24"/>
                <w:szCs w:val="24"/>
                <w:lang w:val="sq-AL"/>
              </w:rPr>
              <w:t>ë</w:t>
            </w:r>
            <w:r w:rsidR="009B5582">
              <w:rPr>
                <w:rFonts w:ascii="Times New Roman" w:hAnsi="Times New Roman"/>
                <w:sz w:val="24"/>
                <w:szCs w:val="24"/>
                <w:lang w:val="sq-AL"/>
              </w:rPr>
              <w:t xml:space="preserve"> p</w:t>
            </w:r>
            <w:r w:rsidR="001A72E2">
              <w:rPr>
                <w:rFonts w:ascii="Times New Roman" w:hAnsi="Times New Roman"/>
                <w:sz w:val="24"/>
                <w:szCs w:val="24"/>
                <w:lang w:val="sq-AL"/>
              </w:rPr>
              <w:t>ë</w:t>
            </w:r>
            <w:r w:rsidR="009B5582">
              <w:rPr>
                <w:rFonts w:ascii="Times New Roman" w:hAnsi="Times New Roman"/>
                <w:sz w:val="24"/>
                <w:szCs w:val="24"/>
                <w:lang w:val="sq-AL"/>
              </w:rPr>
              <w:t>rdoren p</w:t>
            </w:r>
            <w:r w:rsidR="001A72E2">
              <w:rPr>
                <w:rFonts w:ascii="Times New Roman" w:hAnsi="Times New Roman"/>
                <w:sz w:val="24"/>
                <w:szCs w:val="24"/>
                <w:lang w:val="sq-AL"/>
              </w:rPr>
              <w:t>ë</w:t>
            </w:r>
            <w:r w:rsidR="009B5582">
              <w:rPr>
                <w:rFonts w:ascii="Times New Roman" w:hAnsi="Times New Roman"/>
                <w:sz w:val="24"/>
                <w:szCs w:val="24"/>
                <w:lang w:val="sq-AL"/>
              </w:rPr>
              <w:t>r koh</w:t>
            </w:r>
            <w:r w:rsidR="001A72E2">
              <w:rPr>
                <w:rFonts w:ascii="Times New Roman" w:hAnsi="Times New Roman"/>
                <w:sz w:val="24"/>
                <w:szCs w:val="24"/>
                <w:lang w:val="sq-AL"/>
              </w:rPr>
              <w:t>ë</w:t>
            </w:r>
            <w:r w:rsidR="009B5582">
              <w:rPr>
                <w:rFonts w:ascii="Times New Roman" w:hAnsi="Times New Roman"/>
                <w:sz w:val="24"/>
                <w:szCs w:val="24"/>
                <w:lang w:val="sq-AL"/>
              </w:rPr>
              <w:t xml:space="preserve"> t</w:t>
            </w:r>
            <w:r w:rsidR="001A72E2">
              <w:rPr>
                <w:rFonts w:ascii="Times New Roman" w:hAnsi="Times New Roman"/>
                <w:sz w:val="24"/>
                <w:szCs w:val="24"/>
                <w:lang w:val="sq-AL"/>
              </w:rPr>
              <w:t>ë</w:t>
            </w:r>
            <w:r w:rsidR="009B5582">
              <w:rPr>
                <w:rFonts w:ascii="Times New Roman" w:hAnsi="Times New Roman"/>
                <w:sz w:val="24"/>
                <w:szCs w:val="24"/>
                <w:lang w:val="sq-AL"/>
              </w:rPr>
              <w:t xml:space="preserve"> kufizara p</w:t>
            </w:r>
            <w:r w:rsidR="001A72E2">
              <w:rPr>
                <w:rFonts w:ascii="Times New Roman" w:hAnsi="Times New Roman"/>
                <w:sz w:val="24"/>
                <w:szCs w:val="24"/>
                <w:lang w:val="sq-AL"/>
              </w:rPr>
              <w:t>ë</w:t>
            </w:r>
            <w:r w:rsidR="009B5582">
              <w:rPr>
                <w:rFonts w:ascii="Times New Roman" w:hAnsi="Times New Roman"/>
                <w:sz w:val="24"/>
                <w:szCs w:val="24"/>
                <w:lang w:val="sq-AL"/>
              </w:rPr>
              <w:t>rgjat</w:t>
            </w:r>
            <w:r w:rsidR="001A72E2">
              <w:rPr>
                <w:rFonts w:ascii="Times New Roman" w:hAnsi="Times New Roman"/>
                <w:sz w:val="24"/>
                <w:szCs w:val="24"/>
                <w:lang w:val="sq-AL"/>
              </w:rPr>
              <w:t>ë</w:t>
            </w:r>
            <w:r w:rsidR="009B5582">
              <w:rPr>
                <w:rFonts w:ascii="Times New Roman" w:hAnsi="Times New Roman"/>
                <w:sz w:val="24"/>
                <w:szCs w:val="24"/>
                <w:lang w:val="sq-AL"/>
              </w:rPr>
              <w:t xml:space="preserve"> 1 viti kalendarik (psh 1 muaj) </w:t>
            </w:r>
            <w:r w:rsidR="001A72E2">
              <w:rPr>
                <w:rFonts w:ascii="Times New Roman" w:hAnsi="Times New Roman"/>
                <w:sz w:val="24"/>
                <w:szCs w:val="24"/>
                <w:lang w:val="sq-AL"/>
              </w:rPr>
              <w:t>ë</w:t>
            </w:r>
            <w:r w:rsidR="009B5582">
              <w:rPr>
                <w:rFonts w:ascii="Times New Roman" w:hAnsi="Times New Roman"/>
                <w:sz w:val="24"/>
                <w:szCs w:val="24"/>
                <w:lang w:val="sq-AL"/>
              </w:rPr>
              <w:t>sht</w:t>
            </w:r>
            <w:r w:rsidR="001A72E2">
              <w:rPr>
                <w:rFonts w:ascii="Times New Roman" w:hAnsi="Times New Roman"/>
                <w:sz w:val="24"/>
                <w:szCs w:val="24"/>
                <w:lang w:val="sq-AL"/>
              </w:rPr>
              <w:t>ë</w:t>
            </w:r>
            <w:r w:rsidR="009B5582">
              <w:rPr>
                <w:rFonts w:ascii="Times New Roman" w:hAnsi="Times New Roman"/>
                <w:sz w:val="24"/>
                <w:szCs w:val="24"/>
                <w:lang w:val="sq-AL"/>
              </w:rPr>
              <w:t xml:space="preserve"> supozuar nj</w:t>
            </w:r>
            <w:r w:rsidR="001A72E2">
              <w:rPr>
                <w:rFonts w:ascii="Times New Roman" w:hAnsi="Times New Roman"/>
                <w:sz w:val="24"/>
                <w:szCs w:val="24"/>
                <w:lang w:val="sq-AL"/>
              </w:rPr>
              <w:t>ë</w:t>
            </w:r>
            <w:r w:rsidR="009B5582">
              <w:rPr>
                <w:rFonts w:ascii="Times New Roman" w:hAnsi="Times New Roman"/>
                <w:sz w:val="24"/>
                <w:szCs w:val="24"/>
                <w:lang w:val="sq-AL"/>
              </w:rPr>
              <w:t xml:space="preserve"> vler</w:t>
            </w:r>
            <w:r w:rsidR="001A72E2">
              <w:rPr>
                <w:rFonts w:ascii="Times New Roman" w:hAnsi="Times New Roman"/>
                <w:sz w:val="24"/>
                <w:szCs w:val="24"/>
                <w:lang w:val="sq-AL"/>
              </w:rPr>
              <w:t>ë</w:t>
            </w:r>
            <w:r w:rsidR="009B5582">
              <w:rPr>
                <w:rFonts w:ascii="Times New Roman" w:hAnsi="Times New Roman"/>
                <w:sz w:val="24"/>
                <w:szCs w:val="24"/>
                <w:lang w:val="sq-AL"/>
              </w:rPr>
              <w:t xml:space="preserve"> mesatare e konsumit energjetik prej 1/12 e mesatares s</w:t>
            </w:r>
            <w:r w:rsidR="001A72E2">
              <w:rPr>
                <w:rFonts w:ascii="Times New Roman" w:hAnsi="Times New Roman"/>
                <w:sz w:val="24"/>
                <w:szCs w:val="24"/>
                <w:lang w:val="sq-AL"/>
              </w:rPr>
              <w:t>ë</w:t>
            </w:r>
            <w:r w:rsidR="009B5582">
              <w:rPr>
                <w:rFonts w:ascii="Times New Roman" w:hAnsi="Times New Roman"/>
                <w:sz w:val="24"/>
                <w:szCs w:val="24"/>
                <w:lang w:val="sq-AL"/>
              </w:rPr>
              <w:t xml:space="preserve"> p</w:t>
            </w:r>
            <w:r w:rsidR="001A72E2">
              <w:rPr>
                <w:rFonts w:ascii="Times New Roman" w:hAnsi="Times New Roman"/>
                <w:sz w:val="24"/>
                <w:szCs w:val="24"/>
                <w:lang w:val="sq-AL"/>
              </w:rPr>
              <w:t>ë</w:t>
            </w:r>
            <w:r w:rsidR="009B5582">
              <w:rPr>
                <w:rFonts w:ascii="Times New Roman" w:hAnsi="Times New Roman"/>
                <w:sz w:val="24"/>
                <w:szCs w:val="24"/>
                <w:lang w:val="sq-AL"/>
              </w:rPr>
              <w:t xml:space="preserve">rgjithshme vjetore. </w:t>
            </w:r>
          </w:p>
        </w:tc>
      </w:tr>
    </w:tbl>
    <w:p w14:paraId="02CC0354" w14:textId="77777777" w:rsidR="005B6D2B" w:rsidRPr="00F01A0B" w:rsidRDefault="005B6D2B" w:rsidP="00591477">
      <w:pPr>
        <w:spacing w:line="276" w:lineRule="auto"/>
        <w:jc w:val="both"/>
        <w:rPr>
          <w:rFonts w:ascii="Times New Roman" w:hAnsi="Times New Roman"/>
          <w:sz w:val="24"/>
          <w:szCs w:val="24"/>
          <w:lang w:val="sq-AL"/>
        </w:rPr>
      </w:pPr>
    </w:p>
    <w:sectPr w:rsidR="005B6D2B" w:rsidRPr="00F01A0B" w:rsidSect="00C24135">
      <w:pgSz w:w="16840" w:h="11900" w:orient="landscape"/>
      <w:pgMar w:top="1411" w:right="907"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F181" w14:textId="77777777" w:rsidR="00E40D96" w:rsidRDefault="00E40D96" w:rsidP="009553BA">
      <w:r>
        <w:separator/>
      </w:r>
    </w:p>
  </w:endnote>
  <w:endnote w:type="continuationSeparator" w:id="0">
    <w:p w14:paraId="00E35AB7" w14:textId="77777777" w:rsidR="00E40D96" w:rsidRDefault="00E40D96" w:rsidP="009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81F9" w14:textId="77777777" w:rsidR="00E40D96" w:rsidRDefault="00E40D96" w:rsidP="009553BA">
      <w:r>
        <w:separator/>
      </w:r>
    </w:p>
  </w:footnote>
  <w:footnote w:type="continuationSeparator" w:id="0">
    <w:p w14:paraId="5019DF60" w14:textId="77777777" w:rsidR="00E40D96" w:rsidRDefault="00E40D96" w:rsidP="00955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502"/>
    <w:multiLevelType w:val="hybridMultilevel"/>
    <w:tmpl w:val="E828D0FA"/>
    <w:lvl w:ilvl="0" w:tplc="A964CD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E517C"/>
    <w:multiLevelType w:val="hybridMultilevel"/>
    <w:tmpl w:val="A58C866E"/>
    <w:lvl w:ilvl="0" w:tplc="C69622C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95056B3"/>
    <w:multiLevelType w:val="hybridMultilevel"/>
    <w:tmpl w:val="D1228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80EE6"/>
    <w:multiLevelType w:val="hybridMultilevel"/>
    <w:tmpl w:val="B5E48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72608"/>
    <w:multiLevelType w:val="hybridMultilevel"/>
    <w:tmpl w:val="8832500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43485"/>
    <w:multiLevelType w:val="hybridMultilevel"/>
    <w:tmpl w:val="5C9A175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7778A"/>
    <w:multiLevelType w:val="multilevel"/>
    <w:tmpl w:val="19A0846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0D45CB"/>
    <w:multiLevelType w:val="hybridMultilevel"/>
    <w:tmpl w:val="03CCF81C"/>
    <w:lvl w:ilvl="0" w:tplc="427C0F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235582A"/>
    <w:multiLevelType w:val="hybridMultilevel"/>
    <w:tmpl w:val="F7AAD044"/>
    <w:lvl w:ilvl="0" w:tplc="0409000F">
      <w:start w:val="1"/>
      <w:numFmt w:val="decimal"/>
      <w:lvlText w:val="%1."/>
      <w:lvlJc w:val="left"/>
      <w:pPr>
        <w:ind w:left="1080" w:hanging="360"/>
      </w:pPr>
    </w:lvl>
    <w:lvl w:ilvl="1" w:tplc="53F42ED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320723A"/>
    <w:multiLevelType w:val="hybridMultilevel"/>
    <w:tmpl w:val="50ECD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3348121">
    <w:abstractNumId w:val="0"/>
  </w:num>
  <w:num w:numId="2" w16cid:durableId="1601141646">
    <w:abstractNumId w:val="6"/>
  </w:num>
  <w:num w:numId="3" w16cid:durableId="153036978">
    <w:abstractNumId w:val="11"/>
  </w:num>
  <w:num w:numId="4" w16cid:durableId="1320960138">
    <w:abstractNumId w:val="5"/>
  </w:num>
  <w:num w:numId="5" w16cid:durableId="1171410550">
    <w:abstractNumId w:val="4"/>
  </w:num>
  <w:num w:numId="6" w16cid:durableId="1700008846">
    <w:abstractNumId w:val="10"/>
  </w:num>
  <w:num w:numId="7" w16cid:durableId="884680695">
    <w:abstractNumId w:val="3"/>
  </w:num>
  <w:num w:numId="8" w16cid:durableId="700328795">
    <w:abstractNumId w:val="2"/>
  </w:num>
  <w:num w:numId="9" w16cid:durableId="1850868079">
    <w:abstractNumId w:val="9"/>
  </w:num>
  <w:num w:numId="10" w16cid:durableId="2140367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678876">
    <w:abstractNumId w:val="1"/>
  </w:num>
  <w:num w:numId="12" w16cid:durableId="126242917">
    <w:abstractNumId w:val="12"/>
  </w:num>
  <w:num w:numId="13" w16cid:durableId="966862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1163E"/>
    <w:rsid w:val="000144DC"/>
    <w:rsid w:val="00017646"/>
    <w:rsid w:val="00027DC9"/>
    <w:rsid w:val="00040195"/>
    <w:rsid w:val="0004166D"/>
    <w:rsid w:val="00044B8E"/>
    <w:rsid w:val="00063E84"/>
    <w:rsid w:val="00072515"/>
    <w:rsid w:val="00082910"/>
    <w:rsid w:val="00091664"/>
    <w:rsid w:val="000B2589"/>
    <w:rsid w:val="000B7A45"/>
    <w:rsid w:val="000C4A3E"/>
    <w:rsid w:val="000E067D"/>
    <w:rsid w:val="000F3158"/>
    <w:rsid w:val="000F3553"/>
    <w:rsid w:val="000F47E9"/>
    <w:rsid w:val="000F602F"/>
    <w:rsid w:val="001263B7"/>
    <w:rsid w:val="001438AC"/>
    <w:rsid w:val="001556EE"/>
    <w:rsid w:val="00161C01"/>
    <w:rsid w:val="001752F9"/>
    <w:rsid w:val="00175D1D"/>
    <w:rsid w:val="00180497"/>
    <w:rsid w:val="00185C5F"/>
    <w:rsid w:val="00190B72"/>
    <w:rsid w:val="001930EF"/>
    <w:rsid w:val="00196392"/>
    <w:rsid w:val="001A228B"/>
    <w:rsid w:val="001A72E2"/>
    <w:rsid w:val="001B0D9A"/>
    <w:rsid w:val="001B497E"/>
    <w:rsid w:val="001C589D"/>
    <w:rsid w:val="001D075B"/>
    <w:rsid w:val="00235578"/>
    <w:rsid w:val="00260E60"/>
    <w:rsid w:val="0027304B"/>
    <w:rsid w:val="0029659E"/>
    <w:rsid w:val="002972DD"/>
    <w:rsid w:val="002A1AAA"/>
    <w:rsid w:val="002A319E"/>
    <w:rsid w:val="002B161B"/>
    <w:rsid w:val="002C2F44"/>
    <w:rsid w:val="002C7E2D"/>
    <w:rsid w:val="002D5C4F"/>
    <w:rsid w:val="002F29C1"/>
    <w:rsid w:val="00303188"/>
    <w:rsid w:val="00332DB4"/>
    <w:rsid w:val="003332FA"/>
    <w:rsid w:val="00346443"/>
    <w:rsid w:val="003515F1"/>
    <w:rsid w:val="0037579B"/>
    <w:rsid w:val="00375967"/>
    <w:rsid w:val="0037703A"/>
    <w:rsid w:val="00385956"/>
    <w:rsid w:val="00385C91"/>
    <w:rsid w:val="00394CFC"/>
    <w:rsid w:val="003A2CB4"/>
    <w:rsid w:val="003B4369"/>
    <w:rsid w:val="003C69A3"/>
    <w:rsid w:val="003D12F3"/>
    <w:rsid w:val="003E593F"/>
    <w:rsid w:val="00416C05"/>
    <w:rsid w:val="004215C0"/>
    <w:rsid w:val="0042167B"/>
    <w:rsid w:val="004343D0"/>
    <w:rsid w:val="00435429"/>
    <w:rsid w:val="00436236"/>
    <w:rsid w:val="00445CC3"/>
    <w:rsid w:val="00447CCB"/>
    <w:rsid w:val="0045527B"/>
    <w:rsid w:val="00462BE9"/>
    <w:rsid w:val="00476889"/>
    <w:rsid w:val="00484141"/>
    <w:rsid w:val="00497261"/>
    <w:rsid w:val="004C711D"/>
    <w:rsid w:val="004E5D7E"/>
    <w:rsid w:val="004E7F05"/>
    <w:rsid w:val="004F5D64"/>
    <w:rsid w:val="00510919"/>
    <w:rsid w:val="0051336A"/>
    <w:rsid w:val="00535FEB"/>
    <w:rsid w:val="005837E5"/>
    <w:rsid w:val="00591477"/>
    <w:rsid w:val="005A5F14"/>
    <w:rsid w:val="005A65AA"/>
    <w:rsid w:val="005B1920"/>
    <w:rsid w:val="005B1B23"/>
    <w:rsid w:val="005B6D2B"/>
    <w:rsid w:val="005C02C0"/>
    <w:rsid w:val="005C4EF2"/>
    <w:rsid w:val="005D4E2F"/>
    <w:rsid w:val="0060297D"/>
    <w:rsid w:val="006179B4"/>
    <w:rsid w:val="006264EE"/>
    <w:rsid w:val="00626AE5"/>
    <w:rsid w:val="00627696"/>
    <w:rsid w:val="00636D23"/>
    <w:rsid w:val="0065643C"/>
    <w:rsid w:val="006565B0"/>
    <w:rsid w:val="00656BB0"/>
    <w:rsid w:val="006604BE"/>
    <w:rsid w:val="00681C13"/>
    <w:rsid w:val="00683047"/>
    <w:rsid w:val="00693215"/>
    <w:rsid w:val="006C1074"/>
    <w:rsid w:val="006D3833"/>
    <w:rsid w:val="006E1FDE"/>
    <w:rsid w:val="006F36AF"/>
    <w:rsid w:val="007043D2"/>
    <w:rsid w:val="00741C60"/>
    <w:rsid w:val="0074484D"/>
    <w:rsid w:val="0074531D"/>
    <w:rsid w:val="00765F3C"/>
    <w:rsid w:val="00767281"/>
    <w:rsid w:val="007755F2"/>
    <w:rsid w:val="007845B8"/>
    <w:rsid w:val="00787331"/>
    <w:rsid w:val="007876E3"/>
    <w:rsid w:val="007936BA"/>
    <w:rsid w:val="007978AB"/>
    <w:rsid w:val="007A5806"/>
    <w:rsid w:val="007B1295"/>
    <w:rsid w:val="007B35B9"/>
    <w:rsid w:val="007C630B"/>
    <w:rsid w:val="007C6BE9"/>
    <w:rsid w:val="007E1E19"/>
    <w:rsid w:val="007F0918"/>
    <w:rsid w:val="0083101D"/>
    <w:rsid w:val="00833286"/>
    <w:rsid w:val="00833C32"/>
    <w:rsid w:val="00835FB2"/>
    <w:rsid w:val="00836D08"/>
    <w:rsid w:val="00852D05"/>
    <w:rsid w:val="00855CEC"/>
    <w:rsid w:val="00864B36"/>
    <w:rsid w:val="00865310"/>
    <w:rsid w:val="008862BB"/>
    <w:rsid w:val="00887F8B"/>
    <w:rsid w:val="008930F2"/>
    <w:rsid w:val="008A3DC0"/>
    <w:rsid w:val="008B3F36"/>
    <w:rsid w:val="008C7456"/>
    <w:rsid w:val="008D202D"/>
    <w:rsid w:val="008D4F94"/>
    <w:rsid w:val="008E6B76"/>
    <w:rsid w:val="008F44B1"/>
    <w:rsid w:val="0091093C"/>
    <w:rsid w:val="00910D3D"/>
    <w:rsid w:val="00912681"/>
    <w:rsid w:val="00915038"/>
    <w:rsid w:val="0091547D"/>
    <w:rsid w:val="00926417"/>
    <w:rsid w:val="009553BA"/>
    <w:rsid w:val="009602A4"/>
    <w:rsid w:val="00963283"/>
    <w:rsid w:val="00965584"/>
    <w:rsid w:val="009776D2"/>
    <w:rsid w:val="00982737"/>
    <w:rsid w:val="009975AF"/>
    <w:rsid w:val="009B5582"/>
    <w:rsid w:val="009B696C"/>
    <w:rsid w:val="009B7A7D"/>
    <w:rsid w:val="009C45B3"/>
    <w:rsid w:val="009D20C3"/>
    <w:rsid w:val="009D4807"/>
    <w:rsid w:val="009D73C1"/>
    <w:rsid w:val="009E3F09"/>
    <w:rsid w:val="009E40AD"/>
    <w:rsid w:val="009E6EA5"/>
    <w:rsid w:val="00A03535"/>
    <w:rsid w:val="00A04234"/>
    <w:rsid w:val="00A05174"/>
    <w:rsid w:val="00A05D5E"/>
    <w:rsid w:val="00A06DA1"/>
    <w:rsid w:val="00A071C6"/>
    <w:rsid w:val="00A121AB"/>
    <w:rsid w:val="00A16ED5"/>
    <w:rsid w:val="00A23F2A"/>
    <w:rsid w:val="00A3438A"/>
    <w:rsid w:val="00A451F5"/>
    <w:rsid w:val="00A56D50"/>
    <w:rsid w:val="00A70C10"/>
    <w:rsid w:val="00A73F91"/>
    <w:rsid w:val="00A742C6"/>
    <w:rsid w:val="00A873F2"/>
    <w:rsid w:val="00A92F6A"/>
    <w:rsid w:val="00AB3F93"/>
    <w:rsid w:val="00AC3CC8"/>
    <w:rsid w:val="00AE3156"/>
    <w:rsid w:val="00AF10E1"/>
    <w:rsid w:val="00AF3236"/>
    <w:rsid w:val="00AF7BA7"/>
    <w:rsid w:val="00B05725"/>
    <w:rsid w:val="00B102AF"/>
    <w:rsid w:val="00B274E5"/>
    <w:rsid w:val="00B33196"/>
    <w:rsid w:val="00B37B00"/>
    <w:rsid w:val="00B4152B"/>
    <w:rsid w:val="00B431E4"/>
    <w:rsid w:val="00B46C0F"/>
    <w:rsid w:val="00B5089B"/>
    <w:rsid w:val="00B52A2E"/>
    <w:rsid w:val="00B77529"/>
    <w:rsid w:val="00B855D0"/>
    <w:rsid w:val="00BA5552"/>
    <w:rsid w:val="00BB0E87"/>
    <w:rsid w:val="00BD68FD"/>
    <w:rsid w:val="00BE1866"/>
    <w:rsid w:val="00BF4391"/>
    <w:rsid w:val="00BF570A"/>
    <w:rsid w:val="00BF774C"/>
    <w:rsid w:val="00C00C8F"/>
    <w:rsid w:val="00C02F0D"/>
    <w:rsid w:val="00C20DD3"/>
    <w:rsid w:val="00C24135"/>
    <w:rsid w:val="00C35401"/>
    <w:rsid w:val="00C43337"/>
    <w:rsid w:val="00C8181B"/>
    <w:rsid w:val="00C85BBC"/>
    <w:rsid w:val="00C86E48"/>
    <w:rsid w:val="00CA04DD"/>
    <w:rsid w:val="00CA0C10"/>
    <w:rsid w:val="00CA3A91"/>
    <w:rsid w:val="00CC14D6"/>
    <w:rsid w:val="00CC3801"/>
    <w:rsid w:val="00CD553A"/>
    <w:rsid w:val="00CE0202"/>
    <w:rsid w:val="00D0226B"/>
    <w:rsid w:val="00D061DA"/>
    <w:rsid w:val="00D174C5"/>
    <w:rsid w:val="00D17B5C"/>
    <w:rsid w:val="00D22023"/>
    <w:rsid w:val="00D25C95"/>
    <w:rsid w:val="00D32941"/>
    <w:rsid w:val="00D34D46"/>
    <w:rsid w:val="00D44D3E"/>
    <w:rsid w:val="00D450A9"/>
    <w:rsid w:val="00D46120"/>
    <w:rsid w:val="00D472ED"/>
    <w:rsid w:val="00D47F5C"/>
    <w:rsid w:val="00D57ADF"/>
    <w:rsid w:val="00D6009E"/>
    <w:rsid w:val="00D6029F"/>
    <w:rsid w:val="00D64AC8"/>
    <w:rsid w:val="00D67B83"/>
    <w:rsid w:val="00D72BD1"/>
    <w:rsid w:val="00DC0588"/>
    <w:rsid w:val="00DD17EC"/>
    <w:rsid w:val="00DD387B"/>
    <w:rsid w:val="00DD5D4E"/>
    <w:rsid w:val="00DD6C84"/>
    <w:rsid w:val="00E27F24"/>
    <w:rsid w:val="00E35C12"/>
    <w:rsid w:val="00E402D4"/>
    <w:rsid w:val="00E40D96"/>
    <w:rsid w:val="00E610F3"/>
    <w:rsid w:val="00E757D2"/>
    <w:rsid w:val="00E90532"/>
    <w:rsid w:val="00EB0243"/>
    <w:rsid w:val="00EB5AEA"/>
    <w:rsid w:val="00EC31CE"/>
    <w:rsid w:val="00ED4055"/>
    <w:rsid w:val="00EF0386"/>
    <w:rsid w:val="00EF6FAE"/>
    <w:rsid w:val="00F01A0B"/>
    <w:rsid w:val="00F03EFF"/>
    <w:rsid w:val="00F10A25"/>
    <w:rsid w:val="00F15746"/>
    <w:rsid w:val="00F27DE5"/>
    <w:rsid w:val="00F36FF0"/>
    <w:rsid w:val="00F37C19"/>
    <w:rsid w:val="00F46035"/>
    <w:rsid w:val="00F46E3A"/>
    <w:rsid w:val="00F51BE6"/>
    <w:rsid w:val="00F534A8"/>
    <w:rsid w:val="00F55C9B"/>
    <w:rsid w:val="00F8351E"/>
    <w:rsid w:val="00F94494"/>
    <w:rsid w:val="00FA3AE0"/>
    <w:rsid w:val="00FC09CE"/>
    <w:rsid w:val="00FD340E"/>
    <w:rsid w:val="00FD5AFC"/>
    <w:rsid w:val="00FE1FAA"/>
    <w:rsid w:val="00FF1C77"/>
    <w:rsid w:val="00FF23B1"/>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CD63"/>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paragraph" w:styleId="Heading1">
    <w:name w:val="heading 1"/>
    <w:basedOn w:val="Normal"/>
    <w:next w:val="Normal"/>
    <w:link w:val="Heading1Char"/>
    <w:uiPriority w:val="9"/>
    <w:qFormat/>
    <w:rsid w:val="00CA0C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A2E"/>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semiHidden/>
    <w:unhideWhenUsed/>
    <w:qFormat/>
    <w:rsid w:val="004E7F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character" w:customStyle="1" w:styleId="Heading2Char">
    <w:name w:val="Heading 2 Char"/>
    <w:basedOn w:val="DefaultParagraphFont"/>
    <w:link w:val="Heading2"/>
    <w:uiPriority w:val="9"/>
    <w:rsid w:val="00B52A2E"/>
    <w:rPr>
      <w:rFonts w:ascii="Calibri" w:eastAsia="Times New Roman" w:hAnsi="Calibri" w:cs="Times New Roman"/>
      <w:b/>
      <w:bCs/>
      <w:i/>
      <w:szCs w:val="26"/>
      <w:lang w:val="en-GB"/>
    </w:rPr>
  </w:style>
  <w:style w:type="character" w:styleId="Emphasis">
    <w:name w:val="Emphasis"/>
    <w:basedOn w:val="DefaultParagraphFont"/>
    <w:uiPriority w:val="20"/>
    <w:qFormat/>
    <w:rsid w:val="007E1E19"/>
    <w:rPr>
      <w:i/>
      <w:iCs/>
    </w:rPr>
  </w:style>
  <w:style w:type="paragraph" w:customStyle="1" w:styleId="xmsonormal">
    <w:name w:val="x_msonormal"/>
    <w:basedOn w:val="Normal"/>
    <w:rsid w:val="00A23F2A"/>
    <w:pPr>
      <w:spacing w:before="100" w:beforeAutospacing="1" w:after="100" w:afterAutospacing="1"/>
    </w:pPr>
    <w:rPr>
      <w:rFonts w:ascii="Times New Roman" w:hAnsi="Times New Roman"/>
      <w:sz w:val="24"/>
      <w:szCs w:val="24"/>
      <w:lang w:val="sq-AL" w:eastAsia="sq-AL"/>
    </w:rPr>
  </w:style>
  <w:style w:type="paragraph" w:customStyle="1" w:styleId="Default">
    <w:name w:val="Default"/>
    <w:rsid w:val="0074484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447CCB"/>
    <w:rPr>
      <w:color w:val="954F72" w:themeColor="followedHyperlink"/>
      <w:u w:val="single"/>
    </w:rPr>
  </w:style>
  <w:style w:type="character" w:customStyle="1" w:styleId="UnresolvedMention2">
    <w:name w:val="Unresolved Mention2"/>
    <w:basedOn w:val="DefaultParagraphFont"/>
    <w:uiPriority w:val="99"/>
    <w:semiHidden/>
    <w:unhideWhenUsed/>
    <w:rsid w:val="00ED4055"/>
    <w:rPr>
      <w:color w:val="605E5C"/>
      <w:shd w:val="clear" w:color="auto" w:fill="E1DFDD"/>
    </w:rPr>
  </w:style>
  <w:style w:type="paragraph" w:styleId="Header">
    <w:name w:val="header"/>
    <w:basedOn w:val="Normal"/>
    <w:link w:val="HeaderChar"/>
    <w:uiPriority w:val="99"/>
    <w:unhideWhenUsed/>
    <w:rsid w:val="009553BA"/>
    <w:pPr>
      <w:tabs>
        <w:tab w:val="center" w:pos="4680"/>
        <w:tab w:val="right" w:pos="9360"/>
      </w:tabs>
    </w:pPr>
  </w:style>
  <w:style w:type="character" w:customStyle="1" w:styleId="HeaderChar">
    <w:name w:val="Header Char"/>
    <w:basedOn w:val="DefaultParagraphFont"/>
    <w:link w:val="Header"/>
    <w:uiPriority w:val="99"/>
    <w:rsid w:val="009553BA"/>
    <w:rPr>
      <w:rFonts w:ascii="Arial" w:eastAsia="Times New Roman" w:hAnsi="Arial" w:cs="Times New Roman"/>
      <w:sz w:val="22"/>
      <w:szCs w:val="20"/>
      <w:lang w:val="en-GB"/>
    </w:rPr>
  </w:style>
  <w:style w:type="paragraph" w:styleId="Footer">
    <w:name w:val="footer"/>
    <w:basedOn w:val="Normal"/>
    <w:link w:val="FooterChar"/>
    <w:uiPriority w:val="99"/>
    <w:unhideWhenUsed/>
    <w:rsid w:val="009553BA"/>
    <w:pPr>
      <w:tabs>
        <w:tab w:val="center" w:pos="4680"/>
        <w:tab w:val="right" w:pos="9360"/>
      </w:tabs>
    </w:pPr>
  </w:style>
  <w:style w:type="character" w:customStyle="1" w:styleId="FooterChar">
    <w:name w:val="Footer Char"/>
    <w:basedOn w:val="DefaultParagraphFont"/>
    <w:link w:val="Footer"/>
    <w:uiPriority w:val="99"/>
    <w:rsid w:val="009553BA"/>
    <w:rPr>
      <w:rFonts w:ascii="Arial" w:eastAsia="Times New Roman" w:hAnsi="Arial" w:cs="Times New Roman"/>
      <w:sz w:val="22"/>
      <w:szCs w:val="20"/>
      <w:lang w:val="en-GB"/>
    </w:rPr>
  </w:style>
  <w:style w:type="paragraph" w:styleId="Revision">
    <w:name w:val="Revision"/>
    <w:hidden/>
    <w:uiPriority w:val="99"/>
    <w:semiHidden/>
    <w:rsid w:val="009553BA"/>
    <w:rPr>
      <w:rFonts w:ascii="Arial" w:eastAsia="Times New Roman" w:hAnsi="Arial" w:cs="Times New Roman"/>
      <w:sz w:val="22"/>
      <w:szCs w:val="20"/>
      <w:lang w:val="en-GB"/>
    </w:rPr>
  </w:style>
  <w:style w:type="character" w:customStyle="1" w:styleId="Heading1Char">
    <w:name w:val="Heading 1 Char"/>
    <w:basedOn w:val="DefaultParagraphFont"/>
    <w:link w:val="Heading1"/>
    <w:uiPriority w:val="9"/>
    <w:rsid w:val="00CA0C10"/>
    <w:rPr>
      <w:rFonts w:asciiTheme="majorHAnsi" w:eastAsiaTheme="majorEastAsia" w:hAnsiTheme="majorHAnsi" w:cstheme="majorBidi"/>
      <w:color w:val="2F5496" w:themeColor="accent1" w:themeShade="BF"/>
      <w:sz w:val="32"/>
      <w:szCs w:val="32"/>
      <w:lang w:val="en-GB"/>
    </w:rPr>
  </w:style>
  <w:style w:type="character" w:customStyle="1" w:styleId="UnresolvedMention3">
    <w:name w:val="Unresolved Mention3"/>
    <w:basedOn w:val="DefaultParagraphFont"/>
    <w:uiPriority w:val="99"/>
    <w:semiHidden/>
    <w:unhideWhenUsed/>
    <w:rsid w:val="002C7E2D"/>
    <w:rPr>
      <w:color w:val="605E5C"/>
      <w:shd w:val="clear" w:color="auto" w:fill="E1DFDD"/>
    </w:rPr>
  </w:style>
  <w:style w:type="paragraph" w:styleId="NoSpacing">
    <w:name w:val="No Spacing"/>
    <w:uiPriority w:val="1"/>
    <w:qFormat/>
    <w:rsid w:val="00B46C0F"/>
    <w:rPr>
      <w:rFonts w:ascii="Arial" w:eastAsia="Times New Roman" w:hAnsi="Arial" w:cs="Times New Roman"/>
      <w:sz w:val="22"/>
      <w:szCs w:val="20"/>
      <w:lang w:val="sq-AL"/>
    </w:rPr>
  </w:style>
  <w:style w:type="character" w:styleId="UnresolvedMention">
    <w:name w:val="Unresolved Mention"/>
    <w:basedOn w:val="DefaultParagraphFont"/>
    <w:uiPriority w:val="99"/>
    <w:semiHidden/>
    <w:unhideWhenUsed/>
    <w:rsid w:val="00D34D46"/>
    <w:rPr>
      <w:color w:val="605E5C"/>
      <w:shd w:val="clear" w:color="auto" w:fill="E1DFDD"/>
    </w:rPr>
  </w:style>
  <w:style w:type="character" w:customStyle="1" w:styleId="Heading3Char">
    <w:name w:val="Heading 3 Char"/>
    <w:basedOn w:val="DefaultParagraphFont"/>
    <w:link w:val="Heading3"/>
    <w:uiPriority w:val="9"/>
    <w:semiHidden/>
    <w:rsid w:val="004E7F05"/>
    <w:rPr>
      <w:rFonts w:eastAsiaTheme="majorEastAsia" w:cstheme="majorBidi"/>
      <w:color w:val="2F5496" w:themeColor="accent1" w:themeShade="BF"/>
      <w:kern w:val="2"/>
      <w:sz w:val="28"/>
      <w:szCs w:val="28"/>
      <w14:ligatures w14:val="standardContextual"/>
    </w:rPr>
  </w:style>
  <w:style w:type="character" w:customStyle="1" w:styleId="ParagrafiChar">
    <w:name w:val="Paragrafi Char"/>
    <w:link w:val="Paragrafi"/>
    <w:locked/>
    <w:rsid w:val="00AE3156"/>
    <w:rPr>
      <w:rFonts w:ascii="CG Times" w:hAnsi="CG Times"/>
    </w:rPr>
  </w:style>
  <w:style w:type="paragraph" w:customStyle="1" w:styleId="Paragrafi">
    <w:name w:val="Paragrafi"/>
    <w:link w:val="ParagrafiChar"/>
    <w:rsid w:val="00AE3156"/>
    <w:pPr>
      <w:widowControl w:val="0"/>
      <w:ind w:firstLine="720"/>
      <w:jc w:val="both"/>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040">
      <w:bodyDiv w:val="1"/>
      <w:marLeft w:val="0"/>
      <w:marRight w:val="0"/>
      <w:marTop w:val="0"/>
      <w:marBottom w:val="0"/>
      <w:divBdr>
        <w:top w:val="none" w:sz="0" w:space="0" w:color="auto"/>
        <w:left w:val="none" w:sz="0" w:space="0" w:color="auto"/>
        <w:bottom w:val="none" w:sz="0" w:space="0" w:color="auto"/>
        <w:right w:val="none" w:sz="0" w:space="0" w:color="auto"/>
      </w:divBdr>
    </w:div>
    <w:div w:id="79563351">
      <w:bodyDiv w:val="1"/>
      <w:marLeft w:val="0"/>
      <w:marRight w:val="0"/>
      <w:marTop w:val="0"/>
      <w:marBottom w:val="0"/>
      <w:divBdr>
        <w:top w:val="none" w:sz="0" w:space="0" w:color="auto"/>
        <w:left w:val="none" w:sz="0" w:space="0" w:color="auto"/>
        <w:bottom w:val="none" w:sz="0" w:space="0" w:color="auto"/>
        <w:right w:val="none" w:sz="0" w:space="0" w:color="auto"/>
      </w:divBdr>
    </w:div>
    <w:div w:id="104541509">
      <w:bodyDiv w:val="1"/>
      <w:marLeft w:val="0"/>
      <w:marRight w:val="0"/>
      <w:marTop w:val="0"/>
      <w:marBottom w:val="0"/>
      <w:divBdr>
        <w:top w:val="none" w:sz="0" w:space="0" w:color="auto"/>
        <w:left w:val="none" w:sz="0" w:space="0" w:color="auto"/>
        <w:bottom w:val="none" w:sz="0" w:space="0" w:color="auto"/>
        <w:right w:val="none" w:sz="0" w:space="0" w:color="auto"/>
      </w:divBdr>
    </w:div>
    <w:div w:id="139463191">
      <w:bodyDiv w:val="1"/>
      <w:marLeft w:val="0"/>
      <w:marRight w:val="0"/>
      <w:marTop w:val="0"/>
      <w:marBottom w:val="0"/>
      <w:divBdr>
        <w:top w:val="none" w:sz="0" w:space="0" w:color="auto"/>
        <w:left w:val="none" w:sz="0" w:space="0" w:color="auto"/>
        <w:bottom w:val="none" w:sz="0" w:space="0" w:color="auto"/>
        <w:right w:val="none" w:sz="0" w:space="0" w:color="auto"/>
      </w:divBdr>
    </w:div>
    <w:div w:id="140078800">
      <w:bodyDiv w:val="1"/>
      <w:marLeft w:val="0"/>
      <w:marRight w:val="0"/>
      <w:marTop w:val="0"/>
      <w:marBottom w:val="0"/>
      <w:divBdr>
        <w:top w:val="none" w:sz="0" w:space="0" w:color="auto"/>
        <w:left w:val="none" w:sz="0" w:space="0" w:color="auto"/>
        <w:bottom w:val="none" w:sz="0" w:space="0" w:color="auto"/>
        <w:right w:val="none" w:sz="0" w:space="0" w:color="auto"/>
      </w:divBdr>
    </w:div>
    <w:div w:id="151221006">
      <w:bodyDiv w:val="1"/>
      <w:marLeft w:val="0"/>
      <w:marRight w:val="0"/>
      <w:marTop w:val="0"/>
      <w:marBottom w:val="0"/>
      <w:divBdr>
        <w:top w:val="none" w:sz="0" w:space="0" w:color="auto"/>
        <w:left w:val="none" w:sz="0" w:space="0" w:color="auto"/>
        <w:bottom w:val="none" w:sz="0" w:space="0" w:color="auto"/>
        <w:right w:val="none" w:sz="0" w:space="0" w:color="auto"/>
      </w:divBdr>
    </w:div>
    <w:div w:id="161966946">
      <w:bodyDiv w:val="1"/>
      <w:marLeft w:val="0"/>
      <w:marRight w:val="0"/>
      <w:marTop w:val="0"/>
      <w:marBottom w:val="0"/>
      <w:divBdr>
        <w:top w:val="none" w:sz="0" w:space="0" w:color="auto"/>
        <w:left w:val="none" w:sz="0" w:space="0" w:color="auto"/>
        <w:bottom w:val="none" w:sz="0" w:space="0" w:color="auto"/>
        <w:right w:val="none" w:sz="0" w:space="0" w:color="auto"/>
      </w:divBdr>
    </w:div>
    <w:div w:id="183369930">
      <w:bodyDiv w:val="1"/>
      <w:marLeft w:val="0"/>
      <w:marRight w:val="0"/>
      <w:marTop w:val="0"/>
      <w:marBottom w:val="0"/>
      <w:divBdr>
        <w:top w:val="none" w:sz="0" w:space="0" w:color="auto"/>
        <w:left w:val="none" w:sz="0" w:space="0" w:color="auto"/>
        <w:bottom w:val="none" w:sz="0" w:space="0" w:color="auto"/>
        <w:right w:val="none" w:sz="0" w:space="0" w:color="auto"/>
      </w:divBdr>
    </w:div>
    <w:div w:id="200212531">
      <w:bodyDiv w:val="1"/>
      <w:marLeft w:val="0"/>
      <w:marRight w:val="0"/>
      <w:marTop w:val="0"/>
      <w:marBottom w:val="0"/>
      <w:divBdr>
        <w:top w:val="none" w:sz="0" w:space="0" w:color="auto"/>
        <w:left w:val="none" w:sz="0" w:space="0" w:color="auto"/>
        <w:bottom w:val="none" w:sz="0" w:space="0" w:color="auto"/>
        <w:right w:val="none" w:sz="0" w:space="0" w:color="auto"/>
      </w:divBdr>
    </w:div>
    <w:div w:id="200751102">
      <w:bodyDiv w:val="1"/>
      <w:marLeft w:val="0"/>
      <w:marRight w:val="0"/>
      <w:marTop w:val="0"/>
      <w:marBottom w:val="0"/>
      <w:divBdr>
        <w:top w:val="none" w:sz="0" w:space="0" w:color="auto"/>
        <w:left w:val="none" w:sz="0" w:space="0" w:color="auto"/>
        <w:bottom w:val="none" w:sz="0" w:space="0" w:color="auto"/>
        <w:right w:val="none" w:sz="0" w:space="0" w:color="auto"/>
      </w:divBdr>
    </w:div>
    <w:div w:id="203837540">
      <w:bodyDiv w:val="1"/>
      <w:marLeft w:val="0"/>
      <w:marRight w:val="0"/>
      <w:marTop w:val="0"/>
      <w:marBottom w:val="0"/>
      <w:divBdr>
        <w:top w:val="none" w:sz="0" w:space="0" w:color="auto"/>
        <w:left w:val="none" w:sz="0" w:space="0" w:color="auto"/>
        <w:bottom w:val="none" w:sz="0" w:space="0" w:color="auto"/>
        <w:right w:val="none" w:sz="0" w:space="0" w:color="auto"/>
      </w:divBdr>
    </w:div>
    <w:div w:id="206069765">
      <w:bodyDiv w:val="1"/>
      <w:marLeft w:val="0"/>
      <w:marRight w:val="0"/>
      <w:marTop w:val="0"/>
      <w:marBottom w:val="0"/>
      <w:divBdr>
        <w:top w:val="none" w:sz="0" w:space="0" w:color="auto"/>
        <w:left w:val="none" w:sz="0" w:space="0" w:color="auto"/>
        <w:bottom w:val="none" w:sz="0" w:space="0" w:color="auto"/>
        <w:right w:val="none" w:sz="0" w:space="0" w:color="auto"/>
      </w:divBdr>
    </w:div>
    <w:div w:id="262155520">
      <w:bodyDiv w:val="1"/>
      <w:marLeft w:val="0"/>
      <w:marRight w:val="0"/>
      <w:marTop w:val="0"/>
      <w:marBottom w:val="0"/>
      <w:divBdr>
        <w:top w:val="none" w:sz="0" w:space="0" w:color="auto"/>
        <w:left w:val="none" w:sz="0" w:space="0" w:color="auto"/>
        <w:bottom w:val="none" w:sz="0" w:space="0" w:color="auto"/>
        <w:right w:val="none" w:sz="0" w:space="0" w:color="auto"/>
      </w:divBdr>
    </w:div>
    <w:div w:id="264508395">
      <w:bodyDiv w:val="1"/>
      <w:marLeft w:val="0"/>
      <w:marRight w:val="0"/>
      <w:marTop w:val="0"/>
      <w:marBottom w:val="0"/>
      <w:divBdr>
        <w:top w:val="none" w:sz="0" w:space="0" w:color="auto"/>
        <w:left w:val="none" w:sz="0" w:space="0" w:color="auto"/>
        <w:bottom w:val="none" w:sz="0" w:space="0" w:color="auto"/>
        <w:right w:val="none" w:sz="0" w:space="0" w:color="auto"/>
      </w:divBdr>
    </w:div>
    <w:div w:id="296111397">
      <w:bodyDiv w:val="1"/>
      <w:marLeft w:val="0"/>
      <w:marRight w:val="0"/>
      <w:marTop w:val="0"/>
      <w:marBottom w:val="0"/>
      <w:divBdr>
        <w:top w:val="none" w:sz="0" w:space="0" w:color="auto"/>
        <w:left w:val="none" w:sz="0" w:space="0" w:color="auto"/>
        <w:bottom w:val="none" w:sz="0" w:space="0" w:color="auto"/>
        <w:right w:val="none" w:sz="0" w:space="0" w:color="auto"/>
      </w:divBdr>
    </w:div>
    <w:div w:id="338773407">
      <w:bodyDiv w:val="1"/>
      <w:marLeft w:val="0"/>
      <w:marRight w:val="0"/>
      <w:marTop w:val="0"/>
      <w:marBottom w:val="0"/>
      <w:divBdr>
        <w:top w:val="none" w:sz="0" w:space="0" w:color="auto"/>
        <w:left w:val="none" w:sz="0" w:space="0" w:color="auto"/>
        <w:bottom w:val="none" w:sz="0" w:space="0" w:color="auto"/>
        <w:right w:val="none" w:sz="0" w:space="0" w:color="auto"/>
      </w:divBdr>
    </w:div>
    <w:div w:id="387727615">
      <w:bodyDiv w:val="1"/>
      <w:marLeft w:val="0"/>
      <w:marRight w:val="0"/>
      <w:marTop w:val="0"/>
      <w:marBottom w:val="0"/>
      <w:divBdr>
        <w:top w:val="none" w:sz="0" w:space="0" w:color="auto"/>
        <w:left w:val="none" w:sz="0" w:space="0" w:color="auto"/>
        <w:bottom w:val="none" w:sz="0" w:space="0" w:color="auto"/>
        <w:right w:val="none" w:sz="0" w:space="0" w:color="auto"/>
      </w:divBdr>
    </w:div>
    <w:div w:id="396051166">
      <w:bodyDiv w:val="1"/>
      <w:marLeft w:val="0"/>
      <w:marRight w:val="0"/>
      <w:marTop w:val="0"/>
      <w:marBottom w:val="0"/>
      <w:divBdr>
        <w:top w:val="none" w:sz="0" w:space="0" w:color="auto"/>
        <w:left w:val="none" w:sz="0" w:space="0" w:color="auto"/>
        <w:bottom w:val="none" w:sz="0" w:space="0" w:color="auto"/>
        <w:right w:val="none" w:sz="0" w:space="0" w:color="auto"/>
      </w:divBdr>
    </w:div>
    <w:div w:id="400179639">
      <w:bodyDiv w:val="1"/>
      <w:marLeft w:val="0"/>
      <w:marRight w:val="0"/>
      <w:marTop w:val="0"/>
      <w:marBottom w:val="0"/>
      <w:divBdr>
        <w:top w:val="none" w:sz="0" w:space="0" w:color="auto"/>
        <w:left w:val="none" w:sz="0" w:space="0" w:color="auto"/>
        <w:bottom w:val="none" w:sz="0" w:space="0" w:color="auto"/>
        <w:right w:val="none" w:sz="0" w:space="0" w:color="auto"/>
      </w:divBdr>
    </w:div>
    <w:div w:id="447168615">
      <w:bodyDiv w:val="1"/>
      <w:marLeft w:val="0"/>
      <w:marRight w:val="0"/>
      <w:marTop w:val="0"/>
      <w:marBottom w:val="0"/>
      <w:divBdr>
        <w:top w:val="none" w:sz="0" w:space="0" w:color="auto"/>
        <w:left w:val="none" w:sz="0" w:space="0" w:color="auto"/>
        <w:bottom w:val="none" w:sz="0" w:space="0" w:color="auto"/>
        <w:right w:val="none" w:sz="0" w:space="0" w:color="auto"/>
      </w:divBdr>
    </w:div>
    <w:div w:id="527763291">
      <w:bodyDiv w:val="1"/>
      <w:marLeft w:val="0"/>
      <w:marRight w:val="0"/>
      <w:marTop w:val="0"/>
      <w:marBottom w:val="0"/>
      <w:divBdr>
        <w:top w:val="none" w:sz="0" w:space="0" w:color="auto"/>
        <w:left w:val="none" w:sz="0" w:space="0" w:color="auto"/>
        <w:bottom w:val="none" w:sz="0" w:space="0" w:color="auto"/>
        <w:right w:val="none" w:sz="0" w:space="0" w:color="auto"/>
      </w:divBdr>
    </w:div>
    <w:div w:id="554389623">
      <w:bodyDiv w:val="1"/>
      <w:marLeft w:val="0"/>
      <w:marRight w:val="0"/>
      <w:marTop w:val="0"/>
      <w:marBottom w:val="0"/>
      <w:divBdr>
        <w:top w:val="none" w:sz="0" w:space="0" w:color="auto"/>
        <w:left w:val="none" w:sz="0" w:space="0" w:color="auto"/>
        <w:bottom w:val="none" w:sz="0" w:space="0" w:color="auto"/>
        <w:right w:val="none" w:sz="0" w:space="0" w:color="auto"/>
      </w:divBdr>
    </w:div>
    <w:div w:id="554974246">
      <w:bodyDiv w:val="1"/>
      <w:marLeft w:val="0"/>
      <w:marRight w:val="0"/>
      <w:marTop w:val="0"/>
      <w:marBottom w:val="0"/>
      <w:divBdr>
        <w:top w:val="none" w:sz="0" w:space="0" w:color="auto"/>
        <w:left w:val="none" w:sz="0" w:space="0" w:color="auto"/>
        <w:bottom w:val="none" w:sz="0" w:space="0" w:color="auto"/>
        <w:right w:val="none" w:sz="0" w:space="0" w:color="auto"/>
      </w:divBdr>
    </w:div>
    <w:div w:id="579021285">
      <w:bodyDiv w:val="1"/>
      <w:marLeft w:val="0"/>
      <w:marRight w:val="0"/>
      <w:marTop w:val="0"/>
      <w:marBottom w:val="0"/>
      <w:divBdr>
        <w:top w:val="none" w:sz="0" w:space="0" w:color="auto"/>
        <w:left w:val="none" w:sz="0" w:space="0" w:color="auto"/>
        <w:bottom w:val="none" w:sz="0" w:space="0" w:color="auto"/>
        <w:right w:val="none" w:sz="0" w:space="0" w:color="auto"/>
      </w:divBdr>
    </w:div>
    <w:div w:id="595526821">
      <w:bodyDiv w:val="1"/>
      <w:marLeft w:val="0"/>
      <w:marRight w:val="0"/>
      <w:marTop w:val="0"/>
      <w:marBottom w:val="0"/>
      <w:divBdr>
        <w:top w:val="none" w:sz="0" w:space="0" w:color="auto"/>
        <w:left w:val="none" w:sz="0" w:space="0" w:color="auto"/>
        <w:bottom w:val="none" w:sz="0" w:space="0" w:color="auto"/>
        <w:right w:val="none" w:sz="0" w:space="0" w:color="auto"/>
      </w:divBdr>
    </w:div>
    <w:div w:id="656425459">
      <w:bodyDiv w:val="1"/>
      <w:marLeft w:val="0"/>
      <w:marRight w:val="0"/>
      <w:marTop w:val="0"/>
      <w:marBottom w:val="0"/>
      <w:divBdr>
        <w:top w:val="none" w:sz="0" w:space="0" w:color="auto"/>
        <w:left w:val="none" w:sz="0" w:space="0" w:color="auto"/>
        <w:bottom w:val="none" w:sz="0" w:space="0" w:color="auto"/>
        <w:right w:val="none" w:sz="0" w:space="0" w:color="auto"/>
      </w:divBdr>
    </w:div>
    <w:div w:id="658656960">
      <w:bodyDiv w:val="1"/>
      <w:marLeft w:val="0"/>
      <w:marRight w:val="0"/>
      <w:marTop w:val="0"/>
      <w:marBottom w:val="0"/>
      <w:divBdr>
        <w:top w:val="none" w:sz="0" w:space="0" w:color="auto"/>
        <w:left w:val="none" w:sz="0" w:space="0" w:color="auto"/>
        <w:bottom w:val="none" w:sz="0" w:space="0" w:color="auto"/>
        <w:right w:val="none" w:sz="0" w:space="0" w:color="auto"/>
      </w:divBdr>
    </w:div>
    <w:div w:id="683020504">
      <w:bodyDiv w:val="1"/>
      <w:marLeft w:val="0"/>
      <w:marRight w:val="0"/>
      <w:marTop w:val="0"/>
      <w:marBottom w:val="0"/>
      <w:divBdr>
        <w:top w:val="none" w:sz="0" w:space="0" w:color="auto"/>
        <w:left w:val="none" w:sz="0" w:space="0" w:color="auto"/>
        <w:bottom w:val="none" w:sz="0" w:space="0" w:color="auto"/>
        <w:right w:val="none" w:sz="0" w:space="0" w:color="auto"/>
      </w:divBdr>
      <w:divsChild>
        <w:div w:id="586236245">
          <w:marLeft w:val="0"/>
          <w:marRight w:val="0"/>
          <w:marTop w:val="0"/>
          <w:marBottom w:val="0"/>
          <w:divBdr>
            <w:top w:val="none" w:sz="0" w:space="0" w:color="auto"/>
            <w:left w:val="none" w:sz="0" w:space="0" w:color="auto"/>
            <w:bottom w:val="none" w:sz="0" w:space="0" w:color="auto"/>
            <w:right w:val="none" w:sz="0" w:space="0" w:color="auto"/>
          </w:divBdr>
        </w:div>
        <w:div w:id="1725982475">
          <w:marLeft w:val="0"/>
          <w:marRight w:val="0"/>
          <w:marTop w:val="0"/>
          <w:marBottom w:val="0"/>
          <w:divBdr>
            <w:top w:val="none" w:sz="0" w:space="0" w:color="auto"/>
            <w:left w:val="none" w:sz="0" w:space="0" w:color="auto"/>
            <w:bottom w:val="none" w:sz="0" w:space="0" w:color="auto"/>
            <w:right w:val="none" w:sz="0" w:space="0" w:color="auto"/>
          </w:divBdr>
        </w:div>
        <w:div w:id="971642764">
          <w:marLeft w:val="0"/>
          <w:marRight w:val="0"/>
          <w:marTop w:val="0"/>
          <w:marBottom w:val="0"/>
          <w:divBdr>
            <w:top w:val="none" w:sz="0" w:space="0" w:color="auto"/>
            <w:left w:val="none" w:sz="0" w:space="0" w:color="auto"/>
            <w:bottom w:val="none" w:sz="0" w:space="0" w:color="auto"/>
            <w:right w:val="none" w:sz="0" w:space="0" w:color="auto"/>
          </w:divBdr>
        </w:div>
        <w:div w:id="1413551603">
          <w:marLeft w:val="0"/>
          <w:marRight w:val="0"/>
          <w:marTop w:val="0"/>
          <w:marBottom w:val="0"/>
          <w:divBdr>
            <w:top w:val="none" w:sz="0" w:space="0" w:color="auto"/>
            <w:left w:val="none" w:sz="0" w:space="0" w:color="auto"/>
            <w:bottom w:val="none" w:sz="0" w:space="0" w:color="auto"/>
            <w:right w:val="none" w:sz="0" w:space="0" w:color="auto"/>
          </w:divBdr>
        </w:div>
      </w:divsChild>
    </w:div>
    <w:div w:id="687684447">
      <w:bodyDiv w:val="1"/>
      <w:marLeft w:val="0"/>
      <w:marRight w:val="0"/>
      <w:marTop w:val="0"/>
      <w:marBottom w:val="0"/>
      <w:divBdr>
        <w:top w:val="none" w:sz="0" w:space="0" w:color="auto"/>
        <w:left w:val="none" w:sz="0" w:space="0" w:color="auto"/>
        <w:bottom w:val="none" w:sz="0" w:space="0" w:color="auto"/>
        <w:right w:val="none" w:sz="0" w:space="0" w:color="auto"/>
      </w:divBdr>
    </w:div>
    <w:div w:id="728651504">
      <w:bodyDiv w:val="1"/>
      <w:marLeft w:val="0"/>
      <w:marRight w:val="0"/>
      <w:marTop w:val="0"/>
      <w:marBottom w:val="0"/>
      <w:divBdr>
        <w:top w:val="none" w:sz="0" w:space="0" w:color="auto"/>
        <w:left w:val="none" w:sz="0" w:space="0" w:color="auto"/>
        <w:bottom w:val="none" w:sz="0" w:space="0" w:color="auto"/>
        <w:right w:val="none" w:sz="0" w:space="0" w:color="auto"/>
      </w:divBdr>
    </w:div>
    <w:div w:id="743256243">
      <w:bodyDiv w:val="1"/>
      <w:marLeft w:val="0"/>
      <w:marRight w:val="0"/>
      <w:marTop w:val="0"/>
      <w:marBottom w:val="0"/>
      <w:divBdr>
        <w:top w:val="none" w:sz="0" w:space="0" w:color="auto"/>
        <w:left w:val="none" w:sz="0" w:space="0" w:color="auto"/>
        <w:bottom w:val="none" w:sz="0" w:space="0" w:color="auto"/>
        <w:right w:val="none" w:sz="0" w:space="0" w:color="auto"/>
      </w:divBdr>
    </w:div>
    <w:div w:id="758791454">
      <w:bodyDiv w:val="1"/>
      <w:marLeft w:val="0"/>
      <w:marRight w:val="0"/>
      <w:marTop w:val="0"/>
      <w:marBottom w:val="0"/>
      <w:divBdr>
        <w:top w:val="none" w:sz="0" w:space="0" w:color="auto"/>
        <w:left w:val="none" w:sz="0" w:space="0" w:color="auto"/>
        <w:bottom w:val="none" w:sz="0" w:space="0" w:color="auto"/>
        <w:right w:val="none" w:sz="0" w:space="0" w:color="auto"/>
      </w:divBdr>
    </w:div>
    <w:div w:id="766920989">
      <w:bodyDiv w:val="1"/>
      <w:marLeft w:val="0"/>
      <w:marRight w:val="0"/>
      <w:marTop w:val="0"/>
      <w:marBottom w:val="0"/>
      <w:divBdr>
        <w:top w:val="none" w:sz="0" w:space="0" w:color="auto"/>
        <w:left w:val="none" w:sz="0" w:space="0" w:color="auto"/>
        <w:bottom w:val="none" w:sz="0" w:space="0" w:color="auto"/>
        <w:right w:val="none" w:sz="0" w:space="0" w:color="auto"/>
      </w:divBdr>
    </w:div>
    <w:div w:id="808209534">
      <w:bodyDiv w:val="1"/>
      <w:marLeft w:val="0"/>
      <w:marRight w:val="0"/>
      <w:marTop w:val="0"/>
      <w:marBottom w:val="0"/>
      <w:divBdr>
        <w:top w:val="none" w:sz="0" w:space="0" w:color="auto"/>
        <w:left w:val="none" w:sz="0" w:space="0" w:color="auto"/>
        <w:bottom w:val="none" w:sz="0" w:space="0" w:color="auto"/>
        <w:right w:val="none" w:sz="0" w:space="0" w:color="auto"/>
      </w:divBdr>
    </w:div>
    <w:div w:id="817958238">
      <w:bodyDiv w:val="1"/>
      <w:marLeft w:val="0"/>
      <w:marRight w:val="0"/>
      <w:marTop w:val="0"/>
      <w:marBottom w:val="0"/>
      <w:divBdr>
        <w:top w:val="none" w:sz="0" w:space="0" w:color="auto"/>
        <w:left w:val="none" w:sz="0" w:space="0" w:color="auto"/>
        <w:bottom w:val="none" w:sz="0" w:space="0" w:color="auto"/>
        <w:right w:val="none" w:sz="0" w:space="0" w:color="auto"/>
      </w:divBdr>
    </w:div>
    <w:div w:id="826945259">
      <w:bodyDiv w:val="1"/>
      <w:marLeft w:val="0"/>
      <w:marRight w:val="0"/>
      <w:marTop w:val="0"/>
      <w:marBottom w:val="0"/>
      <w:divBdr>
        <w:top w:val="none" w:sz="0" w:space="0" w:color="auto"/>
        <w:left w:val="none" w:sz="0" w:space="0" w:color="auto"/>
        <w:bottom w:val="none" w:sz="0" w:space="0" w:color="auto"/>
        <w:right w:val="none" w:sz="0" w:space="0" w:color="auto"/>
      </w:divBdr>
    </w:div>
    <w:div w:id="882785829">
      <w:bodyDiv w:val="1"/>
      <w:marLeft w:val="0"/>
      <w:marRight w:val="0"/>
      <w:marTop w:val="0"/>
      <w:marBottom w:val="0"/>
      <w:divBdr>
        <w:top w:val="none" w:sz="0" w:space="0" w:color="auto"/>
        <w:left w:val="none" w:sz="0" w:space="0" w:color="auto"/>
        <w:bottom w:val="none" w:sz="0" w:space="0" w:color="auto"/>
        <w:right w:val="none" w:sz="0" w:space="0" w:color="auto"/>
      </w:divBdr>
    </w:div>
    <w:div w:id="905264761">
      <w:bodyDiv w:val="1"/>
      <w:marLeft w:val="0"/>
      <w:marRight w:val="0"/>
      <w:marTop w:val="0"/>
      <w:marBottom w:val="0"/>
      <w:divBdr>
        <w:top w:val="none" w:sz="0" w:space="0" w:color="auto"/>
        <w:left w:val="none" w:sz="0" w:space="0" w:color="auto"/>
        <w:bottom w:val="none" w:sz="0" w:space="0" w:color="auto"/>
        <w:right w:val="none" w:sz="0" w:space="0" w:color="auto"/>
      </w:divBdr>
    </w:div>
    <w:div w:id="907687214">
      <w:bodyDiv w:val="1"/>
      <w:marLeft w:val="0"/>
      <w:marRight w:val="0"/>
      <w:marTop w:val="0"/>
      <w:marBottom w:val="0"/>
      <w:divBdr>
        <w:top w:val="none" w:sz="0" w:space="0" w:color="auto"/>
        <w:left w:val="none" w:sz="0" w:space="0" w:color="auto"/>
        <w:bottom w:val="none" w:sz="0" w:space="0" w:color="auto"/>
        <w:right w:val="none" w:sz="0" w:space="0" w:color="auto"/>
      </w:divBdr>
    </w:div>
    <w:div w:id="963585224">
      <w:bodyDiv w:val="1"/>
      <w:marLeft w:val="0"/>
      <w:marRight w:val="0"/>
      <w:marTop w:val="0"/>
      <w:marBottom w:val="0"/>
      <w:divBdr>
        <w:top w:val="none" w:sz="0" w:space="0" w:color="auto"/>
        <w:left w:val="none" w:sz="0" w:space="0" w:color="auto"/>
        <w:bottom w:val="none" w:sz="0" w:space="0" w:color="auto"/>
        <w:right w:val="none" w:sz="0" w:space="0" w:color="auto"/>
      </w:divBdr>
    </w:div>
    <w:div w:id="980813243">
      <w:bodyDiv w:val="1"/>
      <w:marLeft w:val="0"/>
      <w:marRight w:val="0"/>
      <w:marTop w:val="0"/>
      <w:marBottom w:val="0"/>
      <w:divBdr>
        <w:top w:val="none" w:sz="0" w:space="0" w:color="auto"/>
        <w:left w:val="none" w:sz="0" w:space="0" w:color="auto"/>
        <w:bottom w:val="none" w:sz="0" w:space="0" w:color="auto"/>
        <w:right w:val="none" w:sz="0" w:space="0" w:color="auto"/>
      </w:divBdr>
    </w:div>
    <w:div w:id="997534584">
      <w:bodyDiv w:val="1"/>
      <w:marLeft w:val="0"/>
      <w:marRight w:val="0"/>
      <w:marTop w:val="0"/>
      <w:marBottom w:val="0"/>
      <w:divBdr>
        <w:top w:val="none" w:sz="0" w:space="0" w:color="auto"/>
        <w:left w:val="none" w:sz="0" w:space="0" w:color="auto"/>
        <w:bottom w:val="none" w:sz="0" w:space="0" w:color="auto"/>
        <w:right w:val="none" w:sz="0" w:space="0" w:color="auto"/>
      </w:divBdr>
    </w:div>
    <w:div w:id="998002023">
      <w:bodyDiv w:val="1"/>
      <w:marLeft w:val="0"/>
      <w:marRight w:val="0"/>
      <w:marTop w:val="0"/>
      <w:marBottom w:val="0"/>
      <w:divBdr>
        <w:top w:val="none" w:sz="0" w:space="0" w:color="auto"/>
        <w:left w:val="none" w:sz="0" w:space="0" w:color="auto"/>
        <w:bottom w:val="none" w:sz="0" w:space="0" w:color="auto"/>
        <w:right w:val="none" w:sz="0" w:space="0" w:color="auto"/>
      </w:divBdr>
    </w:div>
    <w:div w:id="1011375761">
      <w:bodyDiv w:val="1"/>
      <w:marLeft w:val="0"/>
      <w:marRight w:val="0"/>
      <w:marTop w:val="0"/>
      <w:marBottom w:val="0"/>
      <w:divBdr>
        <w:top w:val="none" w:sz="0" w:space="0" w:color="auto"/>
        <w:left w:val="none" w:sz="0" w:space="0" w:color="auto"/>
        <w:bottom w:val="none" w:sz="0" w:space="0" w:color="auto"/>
        <w:right w:val="none" w:sz="0" w:space="0" w:color="auto"/>
      </w:divBdr>
    </w:div>
    <w:div w:id="1086002518">
      <w:bodyDiv w:val="1"/>
      <w:marLeft w:val="0"/>
      <w:marRight w:val="0"/>
      <w:marTop w:val="0"/>
      <w:marBottom w:val="0"/>
      <w:divBdr>
        <w:top w:val="none" w:sz="0" w:space="0" w:color="auto"/>
        <w:left w:val="none" w:sz="0" w:space="0" w:color="auto"/>
        <w:bottom w:val="none" w:sz="0" w:space="0" w:color="auto"/>
        <w:right w:val="none" w:sz="0" w:space="0" w:color="auto"/>
      </w:divBdr>
    </w:div>
    <w:div w:id="1087845994">
      <w:bodyDiv w:val="1"/>
      <w:marLeft w:val="0"/>
      <w:marRight w:val="0"/>
      <w:marTop w:val="0"/>
      <w:marBottom w:val="0"/>
      <w:divBdr>
        <w:top w:val="none" w:sz="0" w:space="0" w:color="auto"/>
        <w:left w:val="none" w:sz="0" w:space="0" w:color="auto"/>
        <w:bottom w:val="none" w:sz="0" w:space="0" w:color="auto"/>
        <w:right w:val="none" w:sz="0" w:space="0" w:color="auto"/>
      </w:divBdr>
    </w:div>
    <w:div w:id="1103113489">
      <w:bodyDiv w:val="1"/>
      <w:marLeft w:val="0"/>
      <w:marRight w:val="0"/>
      <w:marTop w:val="0"/>
      <w:marBottom w:val="0"/>
      <w:divBdr>
        <w:top w:val="none" w:sz="0" w:space="0" w:color="auto"/>
        <w:left w:val="none" w:sz="0" w:space="0" w:color="auto"/>
        <w:bottom w:val="none" w:sz="0" w:space="0" w:color="auto"/>
        <w:right w:val="none" w:sz="0" w:space="0" w:color="auto"/>
      </w:divBdr>
    </w:div>
    <w:div w:id="1131023575">
      <w:bodyDiv w:val="1"/>
      <w:marLeft w:val="0"/>
      <w:marRight w:val="0"/>
      <w:marTop w:val="0"/>
      <w:marBottom w:val="0"/>
      <w:divBdr>
        <w:top w:val="none" w:sz="0" w:space="0" w:color="auto"/>
        <w:left w:val="none" w:sz="0" w:space="0" w:color="auto"/>
        <w:bottom w:val="none" w:sz="0" w:space="0" w:color="auto"/>
        <w:right w:val="none" w:sz="0" w:space="0" w:color="auto"/>
      </w:divBdr>
    </w:div>
    <w:div w:id="1131367714">
      <w:bodyDiv w:val="1"/>
      <w:marLeft w:val="0"/>
      <w:marRight w:val="0"/>
      <w:marTop w:val="0"/>
      <w:marBottom w:val="0"/>
      <w:divBdr>
        <w:top w:val="none" w:sz="0" w:space="0" w:color="auto"/>
        <w:left w:val="none" w:sz="0" w:space="0" w:color="auto"/>
        <w:bottom w:val="none" w:sz="0" w:space="0" w:color="auto"/>
        <w:right w:val="none" w:sz="0" w:space="0" w:color="auto"/>
      </w:divBdr>
    </w:div>
    <w:div w:id="1144545970">
      <w:bodyDiv w:val="1"/>
      <w:marLeft w:val="0"/>
      <w:marRight w:val="0"/>
      <w:marTop w:val="0"/>
      <w:marBottom w:val="0"/>
      <w:divBdr>
        <w:top w:val="none" w:sz="0" w:space="0" w:color="auto"/>
        <w:left w:val="none" w:sz="0" w:space="0" w:color="auto"/>
        <w:bottom w:val="none" w:sz="0" w:space="0" w:color="auto"/>
        <w:right w:val="none" w:sz="0" w:space="0" w:color="auto"/>
      </w:divBdr>
    </w:div>
    <w:div w:id="1192568022">
      <w:bodyDiv w:val="1"/>
      <w:marLeft w:val="0"/>
      <w:marRight w:val="0"/>
      <w:marTop w:val="0"/>
      <w:marBottom w:val="0"/>
      <w:divBdr>
        <w:top w:val="none" w:sz="0" w:space="0" w:color="auto"/>
        <w:left w:val="none" w:sz="0" w:space="0" w:color="auto"/>
        <w:bottom w:val="none" w:sz="0" w:space="0" w:color="auto"/>
        <w:right w:val="none" w:sz="0" w:space="0" w:color="auto"/>
      </w:divBdr>
    </w:div>
    <w:div w:id="1200968826">
      <w:bodyDiv w:val="1"/>
      <w:marLeft w:val="0"/>
      <w:marRight w:val="0"/>
      <w:marTop w:val="0"/>
      <w:marBottom w:val="0"/>
      <w:divBdr>
        <w:top w:val="none" w:sz="0" w:space="0" w:color="auto"/>
        <w:left w:val="none" w:sz="0" w:space="0" w:color="auto"/>
        <w:bottom w:val="none" w:sz="0" w:space="0" w:color="auto"/>
        <w:right w:val="none" w:sz="0" w:space="0" w:color="auto"/>
      </w:divBdr>
    </w:div>
    <w:div w:id="1215460731">
      <w:bodyDiv w:val="1"/>
      <w:marLeft w:val="0"/>
      <w:marRight w:val="0"/>
      <w:marTop w:val="0"/>
      <w:marBottom w:val="0"/>
      <w:divBdr>
        <w:top w:val="none" w:sz="0" w:space="0" w:color="auto"/>
        <w:left w:val="none" w:sz="0" w:space="0" w:color="auto"/>
        <w:bottom w:val="none" w:sz="0" w:space="0" w:color="auto"/>
        <w:right w:val="none" w:sz="0" w:space="0" w:color="auto"/>
      </w:divBdr>
    </w:div>
    <w:div w:id="1239679061">
      <w:bodyDiv w:val="1"/>
      <w:marLeft w:val="0"/>
      <w:marRight w:val="0"/>
      <w:marTop w:val="0"/>
      <w:marBottom w:val="0"/>
      <w:divBdr>
        <w:top w:val="none" w:sz="0" w:space="0" w:color="auto"/>
        <w:left w:val="none" w:sz="0" w:space="0" w:color="auto"/>
        <w:bottom w:val="none" w:sz="0" w:space="0" w:color="auto"/>
        <w:right w:val="none" w:sz="0" w:space="0" w:color="auto"/>
      </w:divBdr>
    </w:div>
    <w:div w:id="1242568193">
      <w:bodyDiv w:val="1"/>
      <w:marLeft w:val="0"/>
      <w:marRight w:val="0"/>
      <w:marTop w:val="0"/>
      <w:marBottom w:val="0"/>
      <w:divBdr>
        <w:top w:val="none" w:sz="0" w:space="0" w:color="auto"/>
        <w:left w:val="none" w:sz="0" w:space="0" w:color="auto"/>
        <w:bottom w:val="none" w:sz="0" w:space="0" w:color="auto"/>
        <w:right w:val="none" w:sz="0" w:space="0" w:color="auto"/>
      </w:divBdr>
    </w:div>
    <w:div w:id="1273395980">
      <w:bodyDiv w:val="1"/>
      <w:marLeft w:val="0"/>
      <w:marRight w:val="0"/>
      <w:marTop w:val="0"/>
      <w:marBottom w:val="0"/>
      <w:divBdr>
        <w:top w:val="none" w:sz="0" w:space="0" w:color="auto"/>
        <w:left w:val="none" w:sz="0" w:space="0" w:color="auto"/>
        <w:bottom w:val="none" w:sz="0" w:space="0" w:color="auto"/>
        <w:right w:val="none" w:sz="0" w:space="0" w:color="auto"/>
      </w:divBdr>
    </w:div>
    <w:div w:id="1285162027">
      <w:bodyDiv w:val="1"/>
      <w:marLeft w:val="0"/>
      <w:marRight w:val="0"/>
      <w:marTop w:val="0"/>
      <w:marBottom w:val="0"/>
      <w:divBdr>
        <w:top w:val="none" w:sz="0" w:space="0" w:color="auto"/>
        <w:left w:val="none" w:sz="0" w:space="0" w:color="auto"/>
        <w:bottom w:val="none" w:sz="0" w:space="0" w:color="auto"/>
        <w:right w:val="none" w:sz="0" w:space="0" w:color="auto"/>
      </w:divBdr>
    </w:div>
    <w:div w:id="1299409069">
      <w:bodyDiv w:val="1"/>
      <w:marLeft w:val="0"/>
      <w:marRight w:val="0"/>
      <w:marTop w:val="0"/>
      <w:marBottom w:val="0"/>
      <w:divBdr>
        <w:top w:val="none" w:sz="0" w:space="0" w:color="auto"/>
        <w:left w:val="none" w:sz="0" w:space="0" w:color="auto"/>
        <w:bottom w:val="none" w:sz="0" w:space="0" w:color="auto"/>
        <w:right w:val="none" w:sz="0" w:space="0" w:color="auto"/>
      </w:divBdr>
    </w:div>
    <w:div w:id="1343969514">
      <w:bodyDiv w:val="1"/>
      <w:marLeft w:val="0"/>
      <w:marRight w:val="0"/>
      <w:marTop w:val="0"/>
      <w:marBottom w:val="0"/>
      <w:divBdr>
        <w:top w:val="none" w:sz="0" w:space="0" w:color="auto"/>
        <w:left w:val="none" w:sz="0" w:space="0" w:color="auto"/>
        <w:bottom w:val="none" w:sz="0" w:space="0" w:color="auto"/>
        <w:right w:val="none" w:sz="0" w:space="0" w:color="auto"/>
      </w:divBdr>
    </w:div>
    <w:div w:id="1356613953">
      <w:bodyDiv w:val="1"/>
      <w:marLeft w:val="0"/>
      <w:marRight w:val="0"/>
      <w:marTop w:val="0"/>
      <w:marBottom w:val="0"/>
      <w:divBdr>
        <w:top w:val="none" w:sz="0" w:space="0" w:color="auto"/>
        <w:left w:val="none" w:sz="0" w:space="0" w:color="auto"/>
        <w:bottom w:val="none" w:sz="0" w:space="0" w:color="auto"/>
        <w:right w:val="none" w:sz="0" w:space="0" w:color="auto"/>
      </w:divBdr>
    </w:div>
    <w:div w:id="1370103284">
      <w:bodyDiv w:val="1"/>
      <w:marLeft w:val="0"/>
      <w:marRight w:val="0"/>
      <w:marTop w:val="0"/>
      <w:marBottom w:val="0"/>
      <w:divBdr>
        <w:top w:val="none" w:sz="0" w:space="0" w:color="auto"/>
        <w:left w:val="none" w:sz="0" w:space="0" w:color="auto"/>
        <w:bottom w:val="none" w:sz="0" w:space="0" w:color="auto"/>
        <w:right w:val="none" w:sz="0" w:space="0" w:color="auto"/>
      </w:divBdr>
    </w:div>
    <w:div w:id="1373840890">
      <w:bodyDiv w:val="1"/>
      <w:marLeft w:val="0"/>
      <w:marRight w:val="0"/>
      <w:marTop w:val="0"/>
      <w:marBottom w:val="0"/>
      <w:divBdr>
        <w:top w:val="none" w:sz="0" w:space="0" w:color="auto"/>
        <w:left w:val="none" w:sz="0" w:space="0" w:color="auto"/>
        <w:bottom w:val="none" w:sz="0" w:space="0" w:color="auto"/>
        <w:right w:val="none" w:sz="0" w:space="0" w:color="auto"/>
      </w:divBdr>
    </w:div>
    <w:div w:id="1376277010">
      <w:bodyDiv w:val="1"/>
      <w:marLeft w:val="0"/>
      <w:marRight w:val="0"/>
      <w:marTop w:val="0"/>
      <w:marBottom w:val="0"/>
      <w:divBdr>
        <w:top w:val="none" w:sz="0" w:space="0" w:color="auto"/>
        <w:left w:val="none" w:sz="0" w:space="0" w:color="auto"/>
        <w:bottom w:val="none" w:sz="0" w:space="0" w:color="auto"/>
        <w:right w:val="none" w:sz="0" w:space="0" w:color="auto"/>
      </w:divBdr>
    </w:div>
    <w:div w:id="1381514429">
      <w:bodyDiv w:val="1"/>
      <w:marLeft w:val="0"/>
      <w:marRight w:val="0"/>
      <w:marTop w:val="0"/>
      <w:marBottom w:val="0"/>
      <w:divBdr>
        <w:top w:val="none" w:sz="0" w:space="0" w:color="auto"/>
        <w:left w:val="none" w:sz="0" w:space="0" w:color="auto"/>
        <w:bottom w:val="none" w:sz="0" w:space="0" w:color="auto"/>
        <w:right w:val="none" w:sz="0" w:space="0" w:color="auto"/>
      </w:divBdr>
    </w:div>
    <w:div w:id="1389915779">
      <w:bodyDiv w:val="1"/>
      <w:marLeft w:val="0"/>
      <w:marRight w:val="0"/>
      <w:marTop w:val="0"/>
      <w:marBottom w:val="0"/>
      <w:divBdr>
        <w:top w:val="none" w:sz="0" w:space="0" w:color="auto"/>
        <w:left w:val="none" w:sz="0" w:space="0" w:color="auto"/>
        <w:bottom w:val="none" w:sz="0" w:space="0" w:color="auto"/>
        <w:right w:val="none" w:sz="0" w:space="0" w:color="auto"/>
      </w:divBdr>
    </w:div>
    <w:div w:id="1393967589">
      <w:bodyDiv w:val="1"/>
      <w:marLeft w:val="0"/>
      <w:marRight w:val="0"/>
      <w:marTop w:val="0"/>
      <w:marBottom w:val="0"/>
      <w:divBdr>
        <w:top w:val="none" w:sz="0" w:space="0" w:color="auto"/>
        <w:left w:val="none" w:sz="0" w:space="0" w:color="auto"/>
        <w:bottom w:val="none" w:sz="0" w:space="0" w:color="auto"/>
        <w:right w:val="none" w:sz="0" w:space="0" w:color="auto"/>
      </w:divBdr>
    </w:div>
    <w:div w:id="1403715662">
      <w:bodyDiv w:val="1"/>
      <w:marLeft w:val="0"/>
      <w:marRight w:val="0"/>
      <w:marTop w:val="0"/>
      <w:marBottom w:val="0"/>
      <w:divBdr>
        <w:top w:val="none" w:sz="0" w:space="0" w:color="auto"/>
        <w:left w:val="none" w:sz="0" w:space="0" w:color="auto"/>
        <w:bottom w:val="none" w:sz="0" w:space="0" w:color="auto"/>
        <w:right w:val="none" w:sz="0" w:space="0" w:color="auto"/>
      </w:divBdr>
    </w:div>
    <w:div w:id="1424718387">
      <w:bodyDiv w:val="1"/>
      <w:marLeft w:val="0"/>
      <w:marRight w:val="0"/>
      <w:marTop w:val="0"/>
      <w:marBottom w:val="0"/>
      <w:divBdr>
        <w:top w:val="none" w:sz="0" w:space="0" w:color="auto"/>
        <w:left w:val="none" w:sz="0" w:space="0" w:color="auto"/>
        <w:bottom w:val="none" w:sz="0" w:space="0" w:color="auto"/>
        <w:right w:val="none" w:sz="0" w:space="0" w:color="auto"/>
      </w:divBdr>
    </w:div>
    <w:div w:id="1428455023">
      <w:bodyDiv w:val="1"/>
      <w:marLeft w:val="0"/>
      <w:marRight w:val="0"/>
      <w:marTop w:val="0"/>
      <w:marBottom w:val="0"/>
      <w:divBdr>
        <w:top w:val="none" w:sz="0" w:space="0" w:color="auto"/>
        <w:left w:val="none" w:sz="0" w:space="0" w:color="auto"/>
        <w:bottom w:val="none" w:sz="0" w:space="0" w:color="auto"/>
        <w:right w:val="none" w:sz="0" w:space="0" w:color="auto"/>
      </w:divBdr>
    </w:div>
    <w:div w:id="1450467292">
      <w:bodyDiv w:val="1"/>
      <w:marLeft w:val="0"/>
      <w:marRight w:val="0"/>
      <w:marTop w:val="0"/>
      <w:marBottom w:val="0"/>
      <w:divBdr>
        <w:top w:val="none" w:sz="0" w:space="0" w:color="auto"/>
        <w:left w:val="none" w:sz="0" w:space="0" w:color="auto"/>
        <w:bottom w:val="none" w:sz="0" w:space="0" w:color="auto"/>
        <w:right w:val="none" w:sz="0" w:space="0" w:color="auto"/>
      </w:divBdr>
    </w:div>
    <w:div w:id="1456287639">
      <w:bodyDiv w:val="1"/>
      <w:marLeft w:val="0"/>
      <w:marRight w:val="0"/>
      <w:marTop w:val="0"/>
      <w:marBottom w:val="0"/>
      <w:divBdr>
        <w:top w:val="none" w:sz="0" w:space="0" w:color="auto"/>
        <w:left w:val="none" w:sz="0" w:space="0" w:color="auto"/>
        <w:bottom w:val="none" w:sz="0" w:space="0" w:color="auto"/>
        <w:right w:val="none" w:sz="0" w:space="0" w:color="auto"/>
      </w:divBdr>
    </w:div>
    <w:div w:id="1462380320">
      <w:bodyDiv w:val="1"/>
      <w:marLeft w:val="0"/>
      <w:marRight w:val="0"/>
      <w:marTop w:val="0"/>
      <w:marBottom w:val="0"/>
      <w:divBdr>
        <w:top w:val="none" w:sz="0" w:space="0" w:color="auto"/>
        <w:left w:val="none" w:sz="0" w:space="0" w:color="auto"/>
        <w:bottom w:val="none" w:sz="0" w:space="0" w:color="auto"/>
        <w:right w:val="none" w:sz="0" w:space="0" w:color="auto"/>
      </w:divBdr>
    </w:div>
    <w:div w:id="1475564860">
      <w:bodyDiv w:val="1"/>
      <w:marLeft w:val="0"/>
      <w:marRight w:val="0"/>
      <w:marTop w:val="0"/>
      <w:marBottom w:val="0"/>
      <w:divBdr>
        <w:top w:val="none" w:sz="0" w:space="0" w:color="auto"/>
        <w:left w:val="none" w:sz="0" w:space="0" w:color="auto"/>
        <w:bottom w:val="none" w:sz="0" w:space="0" w:color="auto"/>
        <w:right w:val="none" w:sz="0" w:space="0" w:color="auto"/>
      </w:divBdr>
    </w:div>
    <w:div w:id="1494569209">
      <w:bodyDiv w:val="1"/>
      <w:marLeft w:val="0"/>
      <w:marRight w:val="0"/>
      <w:marTop w:val="0"/>
      <w:marBottom w:val="0"/>
      <w:divBdr>
        <w:top w:val="none" w:sz="0" w:space="0" w:color="auto"/>
        <w:left w:val="none" w:sz="0" w:space="0" w:color="auto"/>
        <w:bottom w:val="none" w:sz="0" w:space="0" w:color="auto"/>
        <w:right w:val="none" w:sz="0" w:space="0" w:color="auto"/>
      </w:divBdr>
    </w:div>
    <w:div w:id="1495296436">
      <w:bodyDiv w:val="1"/>
      <w:marLeft w:val="0"/>
      <w:marRight w:val="0"/>
      <w:marTop w:val="0"/>
      <w:marBottom w:val="0"/>
      <w:divBdr>
        <w:top w:val="none" w:sz="0" w:space="0" w:color="auto"/>
        <w:left w:val="none" w:sz="0" w:space="0" w:color="auto"/>
        <w:bottom w:val="none" w:sz="0" w:space="0" w:color="auto"/>
        <w:right w:val="none" w:sz="0" w:space="0" w:color="auto"/>
      </w:divBdr>
    </w:div>
    <w:div w:id="1518809963">
      <w:bodyDiv w:val="1"/>
      <w:marLeft w:val="0"/>
      <w:marRight w:val="0"/>
      <w:marTop w:val="0"/>
      <w:marBottom w:val="0"/>
      <w:divBdr>
        <w:top w:val="none" w:sz="0" w:space="0" w:color="auto"/>
        <w:left w:val="none" w:sz="0" w:space="0" w:color="auto"/>
        <w:bottom w:val="none" w:sz="0" w:space="0" w:color="auto"/>
        <w:right w:val="none" w:sz="0" w:space="0" w:color="auto"/>
      </w:divBdr>
    </w:div>
    <w:div w:id="1556508904">
      <w:bodyDiv w:val="1"/>
      <w:marLeft w:val="0"/>
      <w:marRight w:val="0"/>
      <w:marTop w:val="0"/>
      <w:marBottom w:val="0"/>
      <w:divBdr>
        <w:top w:val="none" w:sz="0" w:space="0" w:color="auto"/>
        <w:left w:val="none" w:sz="0" w:space="0" w:color="auto"/>
        <w:bottom w:val="none" w:sz="0" w:space="0" w:color="auto"/>
        <w:right w:val="none" w:sz="0" w:space="0" w:color="auto"/>
      </w:divBdr>
    </w:div>
    <w:div w:id="1588464520">
      <w:bodyDiv w:val="1"/>
      <w:marLeft w:val="0"/>
      <w:marRight w:val="0"/>
      <w:marTop w:val="0"/>
      <w:marBottom w:val="0"/>
      <w:divBdr>
        <w:top w:val="none" w:sz="0" w:space="0" w:color="auto"/>
        <w:left w:val="none" w:sz="0" w:space="0" w:color="auto"/>
        <w:bottom w:val="none" w:sz="0" w:space="0" w:color="auto"/>
        <w:right w:val="none" w:sz="0" w:space="0" w:color="auto"/>
      </w:divBdr>
    </w:div>
    <w:div w:id="1612085540">
      <w:bodyDiv w:val="1"/>
      <w:marLeft w:val="0"/>
      <w:marRight w:val="0"/>
      <w:marTop w:val="0"/>
      <w:marBottom w:val="0"/>
      <w:divBdr>
        <w:top w:val="none" w:sz="0" w:space="0" w:color="auto"/>
        <w:left w:val="none" w:sz="0" w:space="0" w:color="auto"/>
        <w:bottom w:val="none" w:sz="0" w:space="0" w:color="auto"/>
        <w:right w:val="none" w:sz="0" w:space="0" w:color="auto"/>
      </w:divBdr>
    </w:div>
    <w:div w:id="1641689031">
      <w:bodyDiv w:val="1"/>
      <w:marLeft w:val="0"/>
      <w:marRight w:val="0"/>
      <w:marTop w:val="0"/>
      <w:marBottom w:val="0"/>
      <w:divBdr>
        <w:top w:val="none" w:sz="0" w:space="0" w:color="auto"/>
        <w:left w:val="none" w:sz="0" w:space="0" w:color="auto"/>
        <w:bottom w:val="none" w:sz="0" w:space="0" w:color="auto"/>
        <w:right w:val="none" w:sz="0" w:space="0" w:color="auto"/>
      </w:divBdr>
    </w:div>
    <w:div w:id="1642151907">
      <w:bodyDiv w:val="1"/>
      <w:marLeft w:val="0"/>
      <w:marRight w:val="0"/>
      <w:marTop w:val="0"/>
      <w:marBottom w:val="0"/>
      <w:divBdr>
        <w:top w:val="none" w:sz="0" w:space="0" w:color="auto"/>
        <w:left w:val="none" w:sz="0" w:space="0" w:color="auto"/>
        <w:bottom w:val="none" w:sz="0" w:space="0" w:color="auto"/>
        <w:right w:val="none" w:sz="0" w:space="0" w:color="auto"/>
      </w:divBdr>
    </w:div>
    <w:div w:id="1680084957">
      <w:bodyDiv w:val="1"/>
      <w:marLeft w:val="0"/>
      <w:marRight w:val="0"/>
      <w:marTop w:val="0"/>
      <w:marBottom w:val="0"/>
      <w:divBdr>
        <w:top w:val="none" w:sz="0" w:space="0" w:color="auto"/>
        <w:left w:val="none" w:sz="0" w:space="0" w:color="auto"/>
        <w:bottom w:val="none" w:sz="0" w:space="0" w:color="auto"/>
        <w:right w:val="none" w:sz="0" w:space="0" w:color="auto"/>
      </w:divBdr>
    </w:div>
    <w:div w:id="1773276841">
      <w:bodyDiv w:val="1"/>
      <w:marLeft w:val="0"/>
      <w:marRight w:val="0"/>
      <w:marTop w:val="0"/>
      <w:marBottom w:val="0"/>
      <w:divBdr>
        <w:top w:val="none" w:sz="0" w:space="0" w:color="auto"/>
        <w:left w:val="none" w:sz="0" w:space="0" w:color="auto"/>
        <w:bottom w:val="none" w:sz="0" w:space="0" w:color="auto"/>
        <w:right w:val="none" w:sz="0" w:space="0" w:color="auto"/>
      </w:divBdr>
    </w:div>
    <w:div w:id="1781029914">
      <w:bodyDiv w:val="1"/>
      <w:marLeft w:val="0"/>
      <w:marRight w:val="0"/>
      <w:marTop w:val="0"/>
      <w:marBottom w:val="0"/>
      <w:divBdr>
        <w:top w:val="none" w:sz="0" w:space="0" w:color="auto"/>
        <w:left w:val="none" w:sz="0" w:space="0" w:color="auto"/>
        <w:bottom w:val="none" w:sz="0" w:space="0" w:color="auto"/>
        <w:right w:val="none" w:sz="0" w:space="0" w:color="auto"/>
      </w:divBdr>
    </w:div>
    <w:div w:id="1832940997">
      <w:bodyDiv w:val="1"/>
      <w:marLeft w:val="0"/>
      <w:marRight w:val="0"/>
      <w:marTop w:val="0"/>
      <w:marBottom w:val="0"/>
      <w:divBdr>
        <w:top w:val="none" w:sz="0" w:space="0" w:color="auto"/>
        <w:left w:val="none" w:sz="0" w:space="0" w:color="auto"/>
        <w:bottom w:val="none" w:sz="0" w:space="0" w:color="auto"/>
        <w:right w:val="none" w:sz="0" w:space="0" w:color="auto"/>
      </w:divBdr>
    </w:div>
    <w:div w:id="1841847964">
      <w:bodyDiv w:val="1"/>
      <w:marLeft w:val="0"/>
      <w:marRight w:val="0"/>
      <w:marTop w:val="0"/>
      <w:marBottom w:val="0"/>
      <w:divBdr>
        <w:top w:val="none" w:sz="0" w:space="0" w:color="auto"/>
        <w:left w:val="none" w:sz="0" w:space="0" w:color="auto"/>
        <w:bottom w:val="none" w:sz="0" w:space="0" w:color="auto"/>
        <w:right w:val="none" w:sz="0" w:space="0" w:color="auto"/>
      </w:divBdr>
    </w:div>
    <w:div w:id="1872526201">
      <w:bodyDiv w:val="1"/>
      <w:marLeft w:val="0"/>
      <w:marRight w:val="0"/>
      <w:marTop w:val="0"/>
      <w:marBottom w:val="0"/>
      <w:divBdr>
        <w:top w:val="none" w:sz="0" w:space="0" w:color="auto"/>
        <w:left w:val="none" w:sz="0" w:space="0" w:color="auto"/>
        <w:bottom w:val="none" w:sz="0" w:space="0" w:color="auto"/>
        <w:right w:val="none" w:sz="0" w:space="0" w:color="auto"/>
      </w:divBdr>
    </w:div>
    <w:div w:id="1883131777">
      <w:bodyDiv w:val="1"/>
      <w:marLeft w:val="0"/>
      <w:marRight w:val="0"/>
      <w:marTop w:val="0"/>
      <w:marBottom w:val="0"/>
      <w:divBdr>
        <w:top w:val="none" w:sz="0" w:space="0" w:color="auto"/>
        <w:left w:val="none" w:sz="0" w:space="0" w:color="auto"/>
        <w:bottom w:val="none" w:sz="0" w:space="0" w:color="auto"/>
        <w:right w:val="none" w:sz="0" w:space="0" w:color="auto"/>
      </w:divBdr>
    </w:div>
    <w:div w:id="1914467768">
      <w:bodyDiv w:val="1"/>
      <w:marLeft w:val="0"/>
      <w:marRight w:val="0"/>
      <w:marTop w:val="0"/>
      <w:marBottom w:val="0"/>
      <w:divBdr>
        <w:top w:val="none" w:sz="0" w:space="0" w:color="auto"/>
        <w:left w:val="none" w:sz="0" w:space="0" w:color="auto"/>
        <w:bottom w:val="none" w:sz="0" w:space="0" w:color="auto"/>
        <w:right w:val="none" w:sz="0" w:space="0" w:color="auto"/>
      </w:divBdr>
    </w:div>
    <w:div w:id="1936553706">
      <w:bodyDiv w:val="1"/>
      <w:marLeft w:val="0"/>
      <w:marRight w:val="0"/>
      <w:marTop w:val="0"/>
      <w:marBottom w:val="0"/>
      <w:divBdr>
        <w:top w:val="none" w:sz="0" w:space="0" w:color="auto"/>
        <w:left w:val="none" w:sz="0" w:space="0" w:color="auto"/>
        <w:bottom w:val="none" w:sz="0" w:space="0" w:color="auto"/>
        <w:right w:val="none" w:sz="0" w:space="0" w:color="auto"/>
      </w:divBdr>
    </w:div>
    <w:div w:id="1943564841">
      <w:bodyDiv w:val="1"/>
      <w:marLeft w:val="0"/>
      <w:marRight w:val="0"/>
      <w:marTop w:val="0"/>
      <w:marBottom w:val="0"/>
      <w:divBdr>
        <w:top w:val="none" w:sz="0" w:space="0" w:color="auto"/>
        <w:left w:val="none" w:sz="0" w:space="0" w:color="auto"/>
        <w:bottom w:val="none" w:sz="0" w:space="0" w:color="auto"/>
        <w:right w:val="none" w:sz="0" w:space="0" w:color="auto"/>
      </w:divBdr>
    </w:div>
    <w:div w:id="1973362763">
      <w:bodyDiv w:val="1"/>
      <w:marLeft w:val="0"/>
      <w:marRight w:val="0"/>
      <w:marTop w:val="0"/>
      <w:marBottom w:val="0"/>
      <w:divBdr>
        <w:top w:val="none" w:sz="0" w:space="0" w:color="auto"/>
        <w:left w:val="none" w:sz="0" w:space="0" w:color="auto"/>
        <w:bottom w:val="none" w:sz="0" w:space="0" w:color="auto"/>
        <w:right w:val="none" w:sz="0" w:space="0" w:color="auto"/>
      </w:divBdr>
    </w:div>
    <w:div w:id="2001811381">
      <w:bodyDiv w:val="1"/>
      <w:marLeft w:val="0"/>
      <w:marRight w:val="0"/>
      <w:marTop w:val="0"/>
      <w:marBottom w:val="0"/>
      <w:divBdr>
        <w:top w:val="none" w:sz="0" w:space="0" w:color="auto"/>
        <w:left w:val="none" w:sz="0" w:space="0" w:color="auto"/>
        <w:bottom w:val="none" w:sz="0" w:space="0" w:color="auto"/>
        <w:right w:val="none" w:sz="0" w:space="0" w:color="auto"/>
      </w:divBdr>
    </w:div>
    <w:div w:id="2021883258">
      <w:bodyDiv w:val="1"/>
      <w:marLeft w:val="0"/>
      <w:marRight w:val="0"/>
      <w:marTop w:val="0"/>
      <w:marBottom w:val="0"/>
      <w:divBdr>
        <w:top w:val="none" w:sz="0" w:space="0" w:color="auto"/>
        <w:left w:val="none" w:sz="0" w:space="0" w:color="auto"/>
        <w:bottom w:val="none" w:sz="0" w:space="0" w:color="auto"/>
        <w:right w:val="none" w:sz="0" w:space="0" w:color="auto"/>
      </w:divBdr>
    </w:div>
    <w:div w:id="2029990904">
      <w:bodyDiv w:val="1"/>
      <w:marLeft w:val="0"/>
      <w:marRight w:val="0"/>
      <w:marTop w:val="0"/>
      <w:marBottom w:val="0"/>
      <w:divBdr>
        <w:top w:val="none" w:sz="0" w:space="0" w:color="auto"/>
        <w:left w:val="none" w:sz="0" w:space="0" w:color="auto"/>
        <w:bottom w:val="none" w:sz="0" w:space="0" w:color="auto"/>
        <w:right w:val="none" w:sz="0" w:space="0" w:color="auto"/>
      </w:divBdr>
    </w:div>
    <w:div w:id="2077628787">
      <w:bodyDiv w:val="1"/>
      <w:marLeft w:val="0"/>
      <w:marRight w:val="0"/>
      <w:marTop w:val="0"/>
      <w:marBottom w:val="0"/>
      <w:divBdr>
        <w:top w:val="none" w:sz="0" w:space="0" w:color="auto"/>
        <w:left w:val="none" w:sz="0" w:space="0" w:color="auto"/>
        <w:bottom w:val="none" w:sz="0" w:space="0" w:color="auto"/>
        <w:right w:val="none" w:sz="0" w:space="0" w:color="auto"/>
      </w:divBdr>
    </w:div>
    <w:div w:id="20798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ergycommunity.org/dam/jcr.c755f9db-f6e7-448c-9cf5%200a5f02113ae2/19thMCDecision%2014%20CEPII_3011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davidhi@infrastruktura.gov.al" TargetMode="External"/><Relationship Id="rId5" Type="http://schemas.openxmlformats.org/officeDocument/2006/relationships/webSettings" Target="webSettings.xml"/><Relationship Id="rId10" Type="http://schemas.openxmlformats.org/officeDocument/2006/relationships/hyperlink" Target="https://konsultimipublik.gov.al/Konsultime/Detaje/808" TargetMode="External"/><Relationship Id="rId4" Type="http://schemas.openxmlformats.org/officeDocument/2006/relationships/settings" Target="settings.xml"/><Relationship Id="rId9" Type="http://schemas.openxmlformats.org/officeDocument/2006/relationships/hyperlink" Target="https://konsultimipublik.gov.al/Konsultime/Detaje/8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65FD-8BBC-4FE7-88C8-33024934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Vilma Davidhi</cp:lastModifiedBy>
  <cp:revision>24</cp:revision>
  <dcterms:created xsi:type="dcterms:W3CDTF">2025-02-21T11:58:00Z</dcterms:created>
  <dcterms:modified xsi:type="dcterms:W3CDTF">2025-02-21T12:09:00Z</dcterms:modified>
</cp:coreProperties>
</file>