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7BF" w14:textId="77777777" w:rsidR="00902467" w:rsidRDefault="00902467" w:rsidP="00B82C4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77F51403" w:rsidR="008675CA" w:rsidRDefault="00D61801" w:rsidP="00B82C4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7817F3" w:rsidRDefault="007817F3" w:rsidP="00B82C4C">
      <w:pPr>
        <w:spacing w:line="276" w:lineRule="auto"/>
        <w:rPr>
          <w:lang w:val="sq-AL"/>
        </w:rPr>
      </w:pPr>
    </w:p>
    <w:p w14:paraId="679FD58F" w14:textId="31507579" w:rsidR="00163AAF" w:rsidRPr="00E1578C" w:rsidRDefault="00457BA0" w:rsidP="00B82C4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1578C">
        <w:rPr>
          <w:rFonts w:ascii="Times New Roman" w:hAnsi="Times New Roman"/>
          <w:b/>
          <w:sz w:val="24"/>
          <w:szCs w:val="24"/>
        </w:rPr>
        <w:t xml:space="preserve">Për </w:t>
      </w:r>
      <w:r w:rsidR="00E1578C" w:rsidRPr="00E1578C">
        <w:rPr>
          <w:rFonts w:ascii="Times New Roman" w:hAnsi="Times New Roman"/>
          <w:b/>
          <w:sz w:val="24"/>
          <w:szCs w:val="24"/>
        </w:rPr>
        <w:t>projektvendimin “</w:t>
      </w:r>
      <w:r w:rsidR="00E1578C" w:rsidRPr="00E1578C">
        <w:rPr>
          <w:rFonts w:ascii="Times New Roman" w:eastAsia="Calibri" w:hAnsi="Times New Roman"/>
          <w:b/>
          <w:sz w:val="24"/>
          <w:szCs w:val="22"/>
          <w:lang w:val="de-DE"/>
        </w:rPr>
        <w:t>Për miratimin e strategjisë afatgjatë të rinovimit të stokut të ndërtesave</w:t>
      </w:r>
      <w:r w:rsidR="00E1578C" w:rsidRPr="00E1578C">
        <w:rPr>
          <w:rFonts w:ascii="Times New Roman" w:eastAsia="Aptos" w:hAnsi="Times New Roman"/>
          <w:b/>
          <w:kern w:val="2"/>
          <w:sz w:val="24"/>
          <w:szCs w:val="24"/>
          <w:lang w:val="en-US"/>
          <w14:ligatures w14:val="standardContextual"/>
        </w:rPr>
        <w:t>”</w:t>
      </w:r>
    </w:p>
    <w:p w14:paraId="364F00E7" w14:textId="77777777" w:rsidR="009C2E02" w:rsidRPr="00BF2355" w:rsidRDefault="009C2E02" w:rsidP="00B82C4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107036DC" w14:textId="510C9461" w:rsidR="00163AAF" w:rsidRPr="00705364" w:rsidRDefault="00B87EE9" w:rsidP="00B82C4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të projekt</w:t>
            </w:r>
            <w:r w:rsidR="00E1578C">
              <w:rPr>
                <w:rFonts w:ascii="Times New Roman" w:hAnsi="Times New Roman"/>
                <w:sz w:val="24"/>
                <w:szCs w:val="24"/>
              </w:rPr>
              <w:t>vendimin</w:t>
            </w:r>
            <w:r w:rsidR="00663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AF" w:rsidRPr="003E10BC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E1578C" w:rsidRPr="003E10B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Për miratimin e strategjisë afatgjatë të rinovimit të stokut të ndërtesave</w:t>
            </w:r>
            <w:r w:rsidR="00D55724" w:rsidRPr="003E10BC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F05E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04780779" w:rsidR="001E4573" w:rsidRPr="00BF2355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C7603F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AE72D7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C760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="00AE72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87972" w:rsidRPr="00375A36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D75573" w:rsidRPr="00375A36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87972" w:rsidRPr="00375A3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3A57C8B9" w14:textId="77777777" w:rsidR="00433F2F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DE87944" w:rsidR="00433F2F" w:rsidRPr="000B4ADF" w:rsidRDefault="00383D55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r w:rsidR="00000000">
              <w:fldChar w:fldCharType="begin"/>
            </w:r>
            <w:r w:rsidR="00000000">
              <w:instrText>HYPERLINK "http://www.konsultimipublik.gov.al"</w:instrText>
            </w:r>
            <w:r w:rsidR="00000000">
              <w:fldChar w:fldCharType="separate"/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http://w</w:t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ww</w:t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.konsultimipublik.gov.al</w:t>
            </w:r>
            <w:r w:rsidR="00000000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  <w:r w:rsidR="00B0093C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433F2F" w:rsidRDefault="00433F2F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14160BD1" w:rsidR="00433F2F" w:rsidRDefault="00433F2F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B82C4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adresën e 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5" w:history="1">
              <w:r w:rsidR="00383D55" w:rsidRPr="007A281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F246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9D266A9" w14:textId="77777777" w:rsidR="00383D55" w:rsidRPr="00F2467C" w:rsidRDefault="00383D55" w:rsidP="00B82C4C">
            <w:pPr>
              <w:pStyle w:val="BodyText"/>
              <w:tabs>
                <w:tab w:val="clear" w:pos="567"/>
                <w:tab w:val="left" w:pos="510"/>
              </w:tabs>
              <w:spacing w:after="0" w:line="276" w:lineRule="auto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433F2F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4E53F89C" w:rsidR="00203C7D" w:rsidRPr="00203C7D" w:rsidRDefault="00203C7D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r w:rsidR="00000000">
              <w:fldChar w:fldCharType="begin"/>
            </w:r>
            <w:r w:rsidR="00000000">
              <w:instrText>HYPERLINK "mailto:vilma.davidhi@infrastruktura.gov.al"</w:instrText>
            </w:r>
            <w:r w:rsidR="00000000">
              <w:fldChar w:fldCharType="separate"/>
            </w:r>
            <w:r w:rsidRPr="00F80F39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vilma.davidhi@infrastruktura.gov.al</w:t>
            </w:r>
            <w:r w:rsidR="00000000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5D44D821" w14:textId="77777777" w:rsidR="008675CA" w:rsidRPr="00B11C82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6AF01AEA" w:rsidR="00AD4479" w:rsidRPr="00BF2355" w:rsidRDefault="00AD4479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B048F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2B048F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2B04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8535A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8535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8535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AE72D7" w:rsidRPr="00AE72D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985F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8 </w:t>
            </w:r>
            <w:r w:rsidR="00AE72D7" w:rsidRPr="00AE72D7">
              <w:rPr>
                <w:rFonts w:ascii="Times New Roman" w:hAnsi="Times New Roman"/>
                <w:sz w:val="24"/>
                <w:szCs w:val="24"/>
                <w:lang w:val="sq-AL"/>
              </w:rPr>
              <w:t>Dhjetor 2024.</w:t>
            </w:r>
          </w:p>
        </w:tc>
      </w:tr>
    </w:tbl>
    <w:p w14:paraId="29B33FD3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2F52FF42" w14:textId="77777777" w:rsidR="006B5C5F" w:rsidRDefault="006B5C5F" w:rsidP="00B82C4C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1C5E0C8" w14:textId="5BABAECA" w:rsidR="00E41742" w:rsidRPr="00E41742" w:rsidRDefault="003E10BC" w:rsidP="00E41742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Pr="003E10B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rojektvendimi</w:t>
            </w:r>
            <w:proofErr w:type="spellEnd"/>
            <w:r w:rsidRPr="003E10B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“</w:t>
            </w:r>
            <w:r w:rsidRPr="003E10B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de-DE"/>
              </w:rPr>
              <w:t>Për miratimin e strategjisë afatgjatë të rinovimit të stokut të ndërtesave</w:t>
            </w:r>
            <w:r w:rsidRPr="003E10B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E41742" w:rsidRPr="00E41742">
              <w:rPr>
                <w:rFonts w:ascii="Times New Roman" w:hAnsi="Times New Roman"/>
                <w:sz w:val="24"/>
                <w:szCs w:val="24"/>
                <w:lang w:val="sq-AL"/>
              </w:rPr>
              <w:t>përcakton kornizën për mobilizimin e investimeve për rinovime të stokut kombëtar të ndërtesave rezidenciale, të atyre publike dhe të shërbimeve, qofshin këto publike dhe private, me qëllim të:</w:t>
            </w:r>
          </w:p>
          <w:tbl>
            <w:tblPr>
              <w:tblW w:w="4749" w:type="pct"/>
              <w:tblLook w:val="04A0" w:firstRow="1" w:lastRow="0" w:firstColumn="1" w:lastColumn="0" w:noHBand="0" w:noVBand="1"/>
            </w:tblPr>
            <w:tblGrid>
              <w:gridCol w:w="533"/>
              <w:gridCol w:w="7863"/>
            </w:tblGrid>
            <w:tr w:rsidR="00E41742" w:rsidRPr="00E41742" w14:paraId="5F4F630B" w14:textId="77777777" w:rsidTr="009603E4">
              <w:tc>
                <w:tcPr>
                  <w:tcW w:w="317" w:type="pct"/>
                  <w:shd w:val="clear" w:color="auto" w:fill="auto"/>
                </w:tcPr>
                <w:p w14:paraId="3F4D1B91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4683" w:type="pct"/>
                  <w:shd w:val="clear" w:color="auto" w:fill="auto"/>
                </w:tcPr>
                <w:p w14:paraId="0C276B63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Rritjes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efiçiencës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energjisë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;</w:t>
                  </w:r>
                </w:p>
              </w:tc>
            </w:tr>
            <w:tr w:rsidR="00E41742" w:rsidRPr="00E41742" w14:paraId="2FFEFF36" w14:textId="77777777" w:rsidTr="009603E4">
              <w:tc>
                <w:tcPr>
                  <w:tcW w:w="317" w:type="pct"/>
                  <w:shd w:val="clear" w:color="auto" w:fill="auto"/>
                </w:tcPr>
                <w:p w14:paraId="0397920A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4683" w:type="pct"/>
                  <w:shd w:val="clear" w:color="auto" w:fill="auto"/>
                </w:tcPr>
                <w:p w14:paraId="68CA3277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Reduktimit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shkarkimeve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gazeve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me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efekt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serrë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;</w:t>
                  </w:r>
                </w:p>
              </w:tc>
            </w:tr>
            <w:tr w:rsidR="00E41742" w:rsidRPr="00E41742" w14:paraId="304F0029" w14:textId="77777777" w:rsidTr="009603E4">
              <w:tc>
                <w:tcPr>
                  <w:tcW w:w="317" w:type="pct"/>
                  <w:shd w:val="clear" w:color="auto" w:fill="auto"/>
                </w:tcPr>
                <w:p w14:paraId="64917762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c)</w:t>
                  </w:r>
                </w:p>
              </w:tc>
              <w:tc>
                <w:tcPr>
                  <w:tcW w:w="4683" w:type="pct"/>
                  <w:shd w:val="clear" w:color="auto" w:fill="auto"/>
                </w:tcPr>
                <w:p w14:paraId="3B9DD05B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Përmirësimit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cilësisë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jetës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;</w:t>
                  </w:r>
                </w:p>
              </w:tc>
            </w:tr>
            <w:tr w:rsidR="00E41742" w:rsidRPr="00E41742" w14:paraId="42B0E99F" w14:textId="77777777" w:rsidTr="009603E4">
              <w:trPr>
                <w:trHeight w:val="6543"/>
              </w:trPr>
              <w:tc>
                <w:tcPr>
                  <w:tcW w:w="317" w:type="pct"/>
                  <w:shd w:val="clear" w:color="auto" w:fill="auto"/>
                </w:tcPr>
                <w:p w14:paraId="61C5FB36" w14:textId="77777777" w:rsidR="00E41742" w:rsidRP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ç)</w:t>
                  </w:r>
                </w:p>
              </w:tc>
              <w:tc>
                <w:tcPr>
                  <w:tcW w:w="4683" w:type="pct"/>
                  <w:shd w:val="clear" w:color="auto" w:fill="auto"/>
                </w:tcPr>
                <w:p w14:paraId="6F7AF0C2" w14:textId="77777777" w:rsid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de-CH"/>
                    </w:rPr>
                  </w:pP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de-CH"/>
                    </w:rPr>
                    <w:t>Përmirësimit të infrastrukturës publike dhe private.</w:t>
                  </w:r>
                </w:p>
                <w:p w14:paraId="126783D2" w14:textId="77777777" w:rsidR="00E41742" w:rsidRDefault="00E41742" w:rsidP="00E41742">
                  <w:pPr>
                    <w:widowControl w:val="0"/>
                    <w:tabs>
                      <w:tab w:val="left" w:pos="384"/>
                    </w:tabs>
                    <w:autoSpaceDE w:val="0"/>
                    <w:autoSpaceDN w:val="0"/>
                    <w:spacing w:line="276" w:lineRule="auto"/>
                    <w:ind w:right="1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de-CH"/>
                    </w:rPr>
                  </w:pPr>
                </w:p>
                <w:p w14:paraId="74D089ED" w14:textId="77777777" w:rsidR="00E41742" w:rsidRPr="00851EE5" w:rsidRDefault="00E41742" w:rsidP="009603E4">
                  <w:pPr>
                    <w:pStyle w:val="ListParagraph"/>
                    <w:spacing w:after="0"/>
                    <w:ind w:left="-31" w:firstLine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51EE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Përparësitë</w:t>
                  </w:r>
                  <w:proofErr w:type="spellEnd"/>
                  <w:r w:rsidRPr="00851EE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14:paraId="7F4831C5" w14:textId="77777777" w:rsidR="00E41742" w:rsidRPr="00851EE5" w:rsidRDefault="00E41742" w:rsidP="009603E4">
                  <w:pPr>
                    <w:pStyle w:val="ListParagraph"/>
                    <w:spacing w:after="0"/>
                    <w:ind w:left="-31" w:firstLine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FAA4955" w14:textId="77777777" w:rsidR="00E41742" w:rsidRPr="00E41742" w:rsidRDefault="00E41742" w:rsidP="009603E4">
                  <w:pPr>
                    <w:spacing w:line="276" w:lineRule="auto"/>
                    <w:ind w:left="-3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Reduktimi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kostove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energjisë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qytetarët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institucionet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Implementimi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masave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rritjen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efiçencës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energj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sië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n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ë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ndërtesa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çojë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uljen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ndjeshme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konsumit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energjisë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elektrike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termike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Kjo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përkthehet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ulje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faturave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energjisë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familjet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bizneset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institucionet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publike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duke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kontribuar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një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ekonomi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qëndrueshme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qytetarët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12CBF19C" w14:textId="77777777" w:rsidR="00E41742" w:rsidRPr="00E41742" w:rsidRDefault="00E41742" w:rsidP="009603E4">
                  <w:pPr>
                    <w:spacing w:line="276" w:lineRule="auto"/>
                    <w:ind w:left="-3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Përmirësimi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komfortit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cilësisë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jetës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Rinovimi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ndërtesave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përfshin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ndërhyrje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cilat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rrisin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komfortin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termik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përmirësojnë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cilësinë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ajrit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brendshëm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duke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ndikuar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përmirës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e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shëndeti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banorëve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500BC33" w14:textId="77777777" w:rsidR="00E41742" w:rsidRPr="00E41742" w:rsidRDefault="00E41742" w:rsidP="009603E4">
                  <w:pPr>
                    <w:spacing w:line="276" w:lineRule="auto"/>
                    <w:ind w:left="-3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Reduktimi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emetimeve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gazrave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serrë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Masat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rinovimin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stokut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ndërtesave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kontribuojnë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uljen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ndjeshme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emetimeve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gazeve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me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efekt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serrë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duke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ndihmuar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Shqipërinë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përmbushë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angazhimet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saj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ndërkombëtare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kuadër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Marrëveshjes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Parisit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strategjive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BE-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ndryshimet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klimatike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840B1C9" w14:textId="77777777" w:rsidR="00E41742" w:rsidRPr="00E41742" w:rsidRDefault="00E41742" w:rsidP="009603E4">
                  <w:pPr>
                    <w:spacing w:line="276" w:lineRule="auto"/>
                    <w:ind w:left="-3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Nxitja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ekonomisë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lokale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krijimi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vendeve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punës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Procesi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rinovimit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ndërtesave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kërkon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angazhimin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një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numri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madh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profesionistësh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nga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fusha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ndryshme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Kjo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pritet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krijojë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mundësi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reja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punësimi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nxisë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zhvillimin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sektorëve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përkatës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ekonomikë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03432A0D" w14:textId="01FAF98F" w:rsidR="00E41742" w:rsidRPr="00E41742" w:rsidRDefault="00E41742" w:rsidP="009603E4">
                  <w:pPr>
                    <w:spacing w:line="276" w:lineRule="auto"/>
                    <w:ind w:left="-3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Zhvillimi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teknologjive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reja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inovacionit</w:t>
                  </w:r>
                  <w:proofErr w:type="spellEnd"/>
                  <w:r w:rsidRPr="00E4174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Zbatimi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këtij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plani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nxisë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kërkimin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zhvillimin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teknologjive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më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efi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ç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ente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dhe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qëndrueshme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ndërtesat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duke e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pozicionuar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vendin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si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një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aktor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aktiv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në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tranzicionin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drejt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energjisë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pastër</w:t>
                  </w:r>
                  <w:proofErr w:type="spellEnd"/>
                  <w:r w:rsidRPr="00E417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590D3B8" w14:textId="5891CAF8" w:rsidR="0052547A" w:rsidRPr="0052547A" w:rsidRDefault="0052547A" w:rsidP="004806C6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0620F618" w14:textId="77777777" w:rsidR="00BF6669" w:rsidRDefault="00BF6669" w:rsidP="00B82C4C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Hlk147409453"/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Pro</w:t>
            </w:r>
          </w:p>
          <w:bookmarkEnd w:id="0"/>
          <w:p w14:paraId="7A58657E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pikën e parë të projektvendimit përcaktohet se, miratimi i </w:t>
            </w:r>
            <w:r w:rsidRPr="00A20D0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strategjisë afatgjatë të rinovimit të stokut të ndërtesave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, sipas tekstit, që i bashkëlidhet këtij vendimi dhe është pjesë përbërëse e tij.</w:t>
            </w:r>
          </w:p>
          <w:p w14:paraId="2C3A94ED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700F34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pikën e dytë të projektvendimit përcaktohet se, </w:t>
            </w:r>
            <w:r w:rsidRPr="00A20D0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strategjia afatgjatë e rinovimit të stokut të ndërtesave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rishikohet çdo 3 (tre) vjet. </w:t>
            </w:r>
          </w:p>
          <w:p w14:paraId="0C042632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39F9A6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pikën e tretë të projektvendimit përcaktohet se, duke filluar nga data 25 mars 2025 e në vijim, çdo 2 (dy) vjet, ministria përgjegjëse për energjinë të përgatisë një raport për statusin e zbatimit të </w:t>
            </w:r>
            <w:r w:rsidRPr="00A20D0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strategjisë afatgjatë të rinovimit të stokut të ndërtesave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, si pjesë përbërëse e raport progresit të integruar të Planit Kombëtar të Energjisë dhe Klimës.</w:t>
            </w:r>
          </w:p>
          <w:p w14:paraId="492B1299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Në pikën e fundit përcaktohen institucionet që ngasrkohen për zbatimin e këtij vendimi.</w:t>
            </w:r>
          </w:p>
          <w:p w14:paraId="14754164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15A4994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Qëllimi i strategjisë synon të krijojë një kornizë gjithëpërfshirëse për mobilizimin e burimeve financiare dhe zbatimin e masave të rinovimit, me fokus në:</w:t>
            </w:r>
          </w:p>
          <w:p w14:paraId="2FC5B212" w14:textId="77777777" w:rsidR="00A20D02" w:rsidRPr="00A20D02" w:rsidRDefault="00A20D02" w:rsidP="00A20D02">
            <w:pPr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një vlerësim të përgjithshëm për konsumin e energjisë së stokut të ndërtesave në nivel kombëtar, bazuar në të dhënat statistikore kombëtare të sipërfaqeve të banueshme;</w:t>
            </w:r>
          </w:p>
          <w:p w14:paraId="4E4D2764" w14:textId="77777777" w:rsidR="00A20D02" w:rsidRPr="00834EF7" w:rsidRDefault="00A20D02" w:rsidP="00A20D02">
            <w:pPr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identifikimin e qasjeve me kosto efektive për rinovimet që lidhen me tipologjinë dhe </w:t>
            </w:r>
            <w:r w:rsidRPr="00834EF7">
              <w:rPr>
                <w:rFonts w:ascii="Times New Roman" w:hAnsi="Times New Roman"/>
                <w:sz w:val="24"/>
                <w:szCs w:val="24"/>
                <w:lang w:val="sq-AL"/>
              </w:rPr>
              <w:t>funksionalitetin e ndërtesës sipas zonave klimatike;</w:t>
            </w:r>
          </w:p>
          <w:p w14:paraId="00ED12C8" w14:textId="77777777" w:rsidR="00A20D02" w:rsidRPr="00834EF7" w:rsidRDefault="00A20D02" w:rsidP="00A20D02">
            <w:pPr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4EF7">
              <w:rPr>
                <w:rFonts w:ascii="Times New Roman" w:hAnsi="Times New Roman"/>
                <w:sz w:val="24"/>
                <w:szCs w:val="24"/>
                <w:lang w:val="sq-AL"/>
              </w:rPr>
              <w:t>prezantimin e politikave dhe masave lehtësuese fiskale për nxitjen e rinovimeve me kosto efektive të ndërtesave në nivel kombëtar;</w:t>
            </w:r>
          </w:p>
          <w:p w14:paraId="7A7F6AF0" w14:textId="77777777" w:rsidR="00A20D02" w:rsidRPr="00A20D02" w:rsidRDefault="00A20D02" w:rsidP="00A20D02">
            <w:pPr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it-IT"/>
              </w:rPr>
              <w:t>një vlerësim të bazuar në studimet për minimizimin e konsumit të energjisë për stokun kombëtar të ndërtesave dhe identifikimin e kursimeve të pritshme të energjisë.</w:t>
            </w:r>
          </w:p>
          <w:p w14:paraId="05368498" w14:textId="77777777" w:rsidR="00A20D02" w:rsidRPr="00A20D02" w:rsidRDefault="00A20D02" w:rsidP="00A20D02">
            <w:pPr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it-IT"/>
              </w:rPr>
              <w:t>përfshirjen në rinovimin e ndërtesave të stokut kombëtar të sistemeve të prodhimit të energjisë nga burime të rinovueshme për vetëkonsum, sipas parashikimeve të legjislacionit për nxitjen e përdorimit të energjisë nga burimet e rinovueshme.</w:t>
            </w:r>
          </w:p>
          <w:p w14:paraId="17897FC8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10F7D6DA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Gjithashtu, synon të përmirësojë efiçencën e energjisë dhe të reduktojë konsumimin e energjisë në ndërtesat e banimit, ato publike dhe të shërbimeve. Ky projekt-vendim ka për qëllim dekarbonizimin e stokut të ndërtesave, duke reduktuar ndjeshëm emetimet e gazeve me efekt serrë dhe duke kontribuar në arritjen e objektivave të Marrëveshjes së Parisit. </w:t>
            </w:r>
          </w:p>
          <w:p w14:paraId="0EFA2FB5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F04E34F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Projekt-vendimi përfshin masa të tilla si krijimi i klasifikimeve të ndërtesave bazuar në performancën e tyre energjetike, me qëllim identifikimin e ndërtesave me performance më të keqe nga ana energjetike. </w:t>
            </w:r>
          </w:p>
          <w:p w14:paraId="69911C26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EF1BE75" w14:textId="5402A45B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Në këtë kontekst, projekt-vendimi përfshin një analizë gjithëpërfshirëse të sektorit të energjisë dhe ndërtesave në Shqipëri, siç përshkruhet në përmbajtjen</w:t>
            </w:r>
            <w:r w:rsidR="002D7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D7705" w:rsidRPr="00A20D0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strategjisë afatgjatë të rinovimit të stokut të ndërtesave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. Konkretisht:</w:t>
            </w:r>
          </w:p>
          <w:p w14:paraId="1B249AD9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Një prezantim të vizionit për rinovimin e ndërtesave në përputhje me angazhimet kombëtare dhe ndërkombëtare.</w:t>
            </w:r>
          </w:p>
          <w:p w14:paraId="6655328C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Një vlerësim të gjendjes aktuale të burimeve energjetike dhe sfidave kryesore të sektorit.</w:t>
            </w:r>
          </w:p>
          <w:p w14:paraId="6D811C25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Analizë të strukturës dhe gjendjes së ndërtesave rezidenciale, publike dhe komerciale.</w:t>
            </w:r>
          </w:p>
          <w:p w14:paraId="0D2197E1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Vlerësim të përqindjes aktuale të rinovimeve dhe krijimi i mekanizmave për monitorimin, raportimin dhe verifikimin e kursimeve të arritura.</w:t>
            </w:r>
          </w:p>
          <w:p w14:paraId="5CCC3D85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Përcaktim të kërkesave për energji dhe ndikimeve të pritshme të masave në reduktimin e konsumit të energjisë, emetimeve dhe përmbushjen e objektivave të energjisë së rinovueshme.</w:t>
            </w:r>
          </w:p>
          <w:p w14:paraId="22610CA8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Identifikim të pengesave në treg dhe propozimin e zgjidhjeve për kapërcimin e tyre, duke përcaktuar përgjegjësitë e institucioneve.</w:t>
            </w:r>
          </w:p>
          <w:p w14:paraId="002F4DBF" w14:textId="77777777" w:rsidR="00A20D02" w:rsidRPr="00A20D02" w:rsidRDefault="00A20D02" w:rsidP="00A20D02">
            <w:pPr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>Zhvillim të strategjive financiare për të arritur kursime energjetike, rritjen e burimeve të rinovueshme dhe reduktimin e gazeve serrë.</w:t>
            </w:r>
          </w:p>
          <w:p w14:paraId="1CD82BCD" w14:textId="77777777" w:rsidR="00A20D02" w:rsidRPr="00A20D02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7AF454" w14:textId="13111121" w:rsidR="00A6137F" w:rsidRPr="00FF33A6" w:rsidRDefault="00A20D02" w:rsidP="00A20D0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0D02"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  <w:t>Pritshmëritë nga Zbatimi i Projekt-Vendimit:</w:t>
            </w:r>
            <w:r w:rsidRPr="00A20D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Zbatimi i projekt-vendimit pritet të ketë përfitime të rëndësishme ekonomike, mjedisore dhe sociale. Në aspektin ekonomik, ulja e konsumit të energjisë do të reduktojë kostot për qytetarët dhe bizneset, ndërsa do të krijohen vende pune dhe do të nxitet zhvillimi i teknologjive të gjelbra. Në aspektin mjedisor, masat pritet të reduktojnë ndotjen dhe emetimet e gazeve me efekt serrë. Në aspektin social, përmirësimi i kushteve të jetesës dhe mbështetja për grupet më të cenueshme do të ndihmojnë në uljen e pabarazive dhe në rritjen e mirëqenies së përgjithshme.</w:t>
            </w:r>
          </w:p>
        </w:tc>
      </w:tr>
    </w:tbl>
    <w:p w14:paraId="3A320FF0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410B064F" w14:textId="2CCBFFF9" w:rsidR="00092682" w:rsidRPr="00B11652" w:rsidRDefault="00092682" w:rsidP="00B82C4C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652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17E9EFC3" w14:textId="21D53903" w:rsidR="002C3679" w:rsidRPr="00B11652" w:rsidRDefault="00FD4B47" w:rsidP="00C714E1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B11652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B1165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45FB4" w:rsidRPr="00B11652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A20D02"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vendimit </w:t>
            </w:r>
            <w:r w:rsidR="00A20D02" w:rsidRPr="00B1165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A20D02" w:rsidRPr="00B1165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Për miratimin e strategjisë afatgjatë të rinovimit të stokut të ndërtesave“,</w:t>
            </w:r>
            <w:r w:rsidR="00A20D02" w:rsidRPr="00B116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analizon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stokun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ekzistues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ndërtesave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ndërtesat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lastRenderedPageBreak/>
              <w:t>rezidenciale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komerciale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investimet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veprimet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rregullatore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EE/RES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synojnë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stokun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ndërtesave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dekarbonizuar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481" w:rsidRPr="00510B2B"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 w:rsidR="00C76481" w:rsidRPr="00510B2B">
              <w:rPr>
                <w:rFonts w:ascii="Times New Roman" w:hAnsi="Times New Roman"/>
                <w:sz w:val="24"/>
                <w:szCs w:val="24"/>
              </w:rPr>
              <w:t xml:space="preserve"> 2050</w:t>
            </w:r>
            <w:r w:rsidR="00C76481">
              <w:rPr>
                <w:rFonts w:ascii="Times New Roman" w:hAnsi="Times New Roman"/>
                <w:sz w:val="24"/>
                <w:szCs w:val="24"/>
              </w:rPr>
              <w:t>?</w:t>
            </w:r>
            <w:r w:rsidR="00B11652" w:rsidRPr="00B1165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04EB468E" w14:textId="00C96B62" w:rsidR="00454C25" w:rsidRPr="004A5FFE" w:rsidRDefault="00206A93" w:rsidP="00B82C4C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652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A20D02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BF2355" w:rsidRDefault="00E4497D" w:rsidP="00B82C4C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Default="00203E98" w:rsidP="00B82C4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BF2355" w:rsidRDefault="00203E98" w:rsidP="00B82C4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BF2355" w:rsidSect="004D630F">
      <w:pgSz w:w="11900" w:h="16840"/>
      <w:pgMar w:top="45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6D40"/>
    <w:multiLevelType w:val="hybridMultilevel"/>
    <w:tmpl w:val="81B8F5D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83650E0"/>
    <w:multiLevelType w:val="hybridMultilevel"/>
    <w:tmpl w:val="DF7080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B1B5588"/>
    <w:multiLevelType w:val="hybridMultilevel"/>
    <w:tmpl w:val="76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0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5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2259D"/>
    <w:multiLevelType w:val="hybridMultilevel"/>
    <w:tmpl w:val="27CAD9E4"/>
    <w:lvl w:ilvl="0" w:tplc="A5D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9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5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7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F9A48B9"/>
    <w:multiLevelType w:val="hybridMultilevel"/>
    <w:tmpl w:val="8D2A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1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2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3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4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4590776A"/>
    <w:multiLevelType w:val="multilevel"/>
    <w:tmpl w:val="FE90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9F6D9A"/>
    <w:multiLevelType w:val="hybridMultilevel"/>
    <w:tmpl w:val="0F7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2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54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8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9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25B24B6"/>
    <w:multiLevelType w:val="hybridMultilevel"/>
    <w:tmpl w:val="2AA09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44F203A"/>
    <w:multiLevelType w:val="hybridMultilevel"/>
    <w:tmpl w:val="42029E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7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62E7084C"/>
    <w:multiLevelType w:val="hybridMultilevel"/>
    <w:tmpl w:val="D2D48D5E"/>
    <w:lvl w:ilvl="0" w:tplc="C42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8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8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30004BB"/>
    <w:multiLevelType w:val="multilevel"/>
    <w:tmpl w:val="63BEC6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88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4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95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6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97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90"/>
  </w:num>
  <w:num w:numId="2" w16cid:durableId="1163156478">
    <w:abstractNumId w:val="69"/>
  </w:num>
  <w:num w:numId="3" w16cid:durableId="642657563">
    <w:abstractNumId w:val="93"/>
  </w:num>
  <w:num w:numId="4" w16cid:durableId="1088117976">
    <w:abstractNumId w:val="76"/>
  </w:num>
  <w:num w:numId="5" w16cid:durableId="276838422">
    <w:abstractNumId w:val="52"/>
  </w:num>
  <w:num w:numId="6" w16cid:durableId="1054355389">
    <w:abstractNumId w:val="8"/>
  </w:num>
  <w:num w:numId="7" w16cid:durableId="1515656129">
    <w:abstractNumId w:val="5"/>
  </w:num>
  <w:num w:numId="8" w16cid:durableId="36780633">
    <w:abstractNumId w:val="15"/>
  </w:num>
  <w:num w:numId="9" w16cid:durableId="164174179">
    <w:abstractNumId w:val="83"/>
  </w:num>
  <w:num w:numId="10" w16cid:durableId="1711103504">
    <w:abstractNumId w:val="60"/>
  </w:num>
  <w:num w:numId="11" w16cid:durableId="1234730934">
    <w:abstractNumId w:val="94"/>
  </w:num>
  <w:num w:numId="12" w16cid:durableId="728765139">
    <w:abstractNumId w:val="85"/>
  </w:num>
  <w:num w:numId="13" w16cid:durableId="2054648857">
    <w:abstractNumId w:val="6"/>
  </w:num>
  <w:num w:numId="14" w16cid:durableId="1907296630">
    <w:abstractNumId w:val="81"/>
  </w:num>
  <w:num w:numId="15" w16cid:durableId="878712683">
    <w:abstractNumId w:val="82"/>
  </w:num>
  <w:num w:numId="16" w16cid:durableId="714278966">
    <w:abstractNumId w:val="22"/>
  </w:num>
  <w:num w:numId="17" w16cid:durableId="2050450511">
    <w:abstractNumId w:val="30"/>
  </w:num>
  <w:num w:numId="18" w16cid:durableId="1789620237">
    <w:abstractNumId w:val="36"/>
  </w:num>
  <w:num w:numId="19" w16cid:durableId="19598120">
    <w:abstractNumId w:val="2"/>
  </w:num>
  <w:num w:numId="20" w16cid:durableId="1654262244">
    <w:abstractNumId w:val="19"/>
  </w:num>
  <w:num w:numId="21" w16cid:durableId="1032417087">
    <w:abstractNumId w:val="37"/>
  </w:num>
  <w:num w:numId="22" w16cid:durableId="404643391">
    <w:abstractNumId w:val="87"/>
  </w:num>
  <w:num w:numId="23" w16cid:durableId="432552695">
    <w:abstractNumId w:val="51"/>
  </w:num>
  <w:num w:numId="24" w16cid:durableId="146365310">
    <w:abstractNumId w:val="29"/>
  </w:num>
  <w:num w:numId="25" w16cid:durableId="571740666">
    <w:abstractNumId w:val="24"/>
  </w:num>
  <w:num w:numId="26" w16cid:durableId="1896307365">
    <w:abstractNumId w:val="53"/>
  </w:num>
  <w:num w:numId="27" w16cid:durableId="1942057833">
    <w:abstractNumId w:val="12"/>
  </w:num>
  <w:num w:numId="28" w16cid:durableId="597253856">
    <w:abstractNumId w:val="45"/>
  </w:num>
  <w:num w:numId="29" w16cid:durableId="961694504">
    <w:abstractNumId w:val="18"/>
  </w:num>
  <w:num w:numId="30" w16cid:durableId="355664256">
    <w:abstractNumId w:val="74"/>
  </w:num>
  <w:num w:numId="31" w16cid:durableId="1879510793">
    <w:abstractNumId w:val="80"/>
  </w:num>
  <w:num w:numId="32" w16cid:durableId="780497511">
    <w:abstractNumId w:val="41"/>
  </w:num>
  <w:num w:numId="33" w16cid:durableId="1628855354">
    <w:abstractNumId w:val="79"/>
  </w:num>
  <w:num w:numId="34" w16cid:durableId="1029914434">
    <w:abstractNumId w:val="3"/>
  </w:num>
  <w:num w:numId="35" w16cid:durableId="1179078609">
    <w:abstractNumId w:val="13"/>
  </w:num>
  <w:num w:numId="36" w16cid:durableId="601303369">
    <w:abstractNumId w:val="43"/>
  </w:num>
  <w:num w:numId="37" w16cid:durableId="772170035">
    <w:abstractNumId w:val="27"/>
  </w:num>
  <w:num w:numId="38" w16cid:durableId="1466391823">
    <w:abstractNumId w:val="20"/>
  </w:num>
  <w:num w:numId="39" w16cid:durableId="916090852">
    <w:abstractNumId w:val="57"/>
  </w:num>
  <w:num w:numId="40" w16cid:durableId="1012495034">
    <w:abstractNumId w:val="34"/>
  </w:num>
  <w:num w:numId="41" w16cid:durableId="1379819958">
    <w:abstractNumId w:val="40"/>
  </w:num>
  <w:num w:numId="42" w16cid:durableId="315842132">
    <w:abstractNumId w:val="64"/>
  </w:num>
  <w:num w:numId="43" w16cid:durableId="1229682186">
    <w:abstractNumId w:val="95"/>
  </w:num>
  <w:num w:numId="44" w16cid:durableId="1621108744">
    <w:abstractNumId w:val="71"/>
  </w:num>
  <w:num w:numId="45" w16cid:durableId="636296862">
    <w:abstractNumId w:val="73"/>
  </w:num>
  <w:num w:numId="46" w16cid:durableId="1434938260">
    <w:abstractNumId w:val="99"/>
  </w:num>
  <w:num w:numId="47" w16cid:durableId="442727046">
    <w:abstractNumId w:val="92"/>
  </w:num>
  <w:num w:numId="48" w16cid:durableId="1979871563">
    <w:abstractNumId w:val="10"/>
  </w:num>
  <w:num w:numId="49" w16cid:durableId="137458970">
    <w:abstractNumId w:val="21"/>
  </w:num>
  <w:num w:numId="50" w16cid:durableId="1709407154">
    <w:abstractNumId w:val="56"/>
  </w:num>
  <w:num w:numId="51" w16cid:durableId="39936579">
    <w:abstractNumId w:val="75"/>
  </w:num>
  <w:num w:numId="52" w16cid:durableId="1077282429">
    <w:abstractNumId w:val="97"/>
  </w:num>
  <w:num w:numId="53" w16cid:durableId="227769126">
    <w:abstractNumId w:val="68"/>
  </w:num>
  <w:num w:numId="54" w16cid:durableId="1756852124">
    <w:abstractNumId w:val="59"/>
  </w:num>
  <w:num w:numId="55" w16cid:durableId="1084567429">
    <w:abstractNumId w:val="62"/>
  </w:num>
  <w:num w:numId="56" w16cid:durableId="870461644">
    <w:abstractNumId w:val="84"/>
  </w:num>
  <w:num w:numId="57" w16cid:durableId="196548703">
    <w:abstractNumId w:val="66"/>
  </w:num>
  <w:num w:numId="58" w16cid:durableId="182018888">
    <w:abstractNumId w:val="88"/>
  </w:num>
  <w:num w:numId="59" w16cid:durableId="1569994277">
    <w:abstractNumId w:val="7"/>
  </w:num>
  <w:num w:numId="60" w16cid:durableId="1166900872">
    <w:abstractNumId w:val="98"/>
  </w:num>
  <w:num w:numId="61" w16cid:durableId="199128849">
    <w:abstractNumId w:val="49"/>
  </w:num>
  <w:num w:numId="62" w16cid:durableId="1164659741">
    <w:abstractNumId w:val="54"/>
  </w:num>
  <w:num w:numId="63" w16cid:durableId="192234445">
    <w:abstractNumId w:val="89"/>
  </w:num>
  <w:num w:numId="64" w16cid:durableId="1970672271">
    <w:abstractNumId w:val="63"/>
  </w:num>
  <w:num w:numId="65" w16cid:durableId="729617577">
    <w:abstractNumId w:val="72"/>
  </w:num>
  <w:num w:numId="66" w16cid:durableId="438571003">
    <w:abstractNumId w:val="25"/>
  </w:num>
  <w:num w:numId="67" w16cid:durableId="1633248089">
    <w:abstractNumId w:val="58"/>
  </w:num>
  <w:num w:numId="68" w16cid:durableId="1776552785">
    <w:abstractNumId w:val="0"/>
  </w:num>
  <w:num w:numId="69" w16cid:durableId="1694383987">
    <w:abstractNumId w:val="16"/>
  </w:num>
  <w:num w:numId="70" w16cid:durableId="841432006">
    <w:abstractNumId w:val="1"/>
  </w:num>
  <w:num w:numId="71" w16cid:durableId="1520316975">
    <w:abstractNumId w:val="70"/>
  </w:num>
  <w:num w:numId="72" w16cid:durableId="9114951">
    <w:abstractNumId w:val="9"/>
  </w:num>
  <w:num w:numId="73" w16cid:durableId="1213688812">
    <w:abstractNumId w:val="35"/>
  </w:num>
  <w:num w:numId="74" w16cid:durableId="1473063396">
    <w:abstractNumId w:val="44"/>
  </w:num>
  <w:num w:numId="75" w16cid:durableId="52583184">
    <w:abstractNumId w:val="91"/>
  </w:num>
  <w:num w:numId="76" w16cid:durableId="1527324323">
    <w:abstractNumId w:val="78"/>
  </w:num>
  <w:num w:numId="77" w16cid:durableId="1966035237">
    <w:abstractNumId w:val="32"/>
  </w:num>
  <w:num w:numId="78" w16cid:durableId="1410495102">
    <w:abstractNumId w:val="23"/>
  </w:num>
  <w:num w:numId="79" w16cid:durableId="1910574966">
    <w:abstractNumId w:val="96"/>
  </w:num>
  <w:num w:numId="80" w16cid:durableId="1797990659">
    <w:abstractNumId w:val="31"/>
  </w:num>
  <w:num w:numId="81" w16cid:durableId="976955746">
    <w:abstractNumId w:val="67"/>
  </w:num>
  <w:num w:numId="82" w16cid:durableId="1766731788">
    <w:abstractNumId w:val="42"/>
  </w:num>
  <w:num w:numId="83" w16cid:durableId="93980004">
    <w:abstractNumId w:val="46"/>
  </w:num>
  <w:num w:numId="84" w16cid:durableId="2090342077">
    <w:abstractNumId w:val="4"/>
  </w:num>
  <w:num w:numId="85" w16cid:durableId="1476794164">
    <w:abstractNumId w:val="28"/>
  </w:num>
  <w:num w:numId="86" w16cid:durableId="493378588">
    <w:abstractNumId w:val="55"/>
  </w:num>
  <w:num w:numId="87" w16cid:durableId="14770130">
    <w:abstractNumId w:val="50"/>
  </w:num>
  <w:num w:numId="88" w16cid:durableId="1687291963">
    <w:abstractNumId w:val="39"/>
  </w:num>
  <w:num w:numId="89" w16cid:durableId="3674560">
    <w:abstractNumId w:val="33"/>
  </w:num>
  <w:num w:numId="90" w16cid:durableId="383985174">
    <w:abstractNumId w:val="17"/>
  </w:num>
  <w:num w:numId="91" w16cid:durableId="1212812120">
    <w:abstractNumId w:val="65"/>
  </w:num>
  <w:num w:numId="92" w16cid:durableId="1828009568">
    <w:abstractNumId w:val="38"/>
  </w:num>
  <w:num w:numId="93" w16cid:durableId="949043192">
    <w:abstractNumId w:val="26"/>
  </w:num>
  <w:num w:numId="94" w16cid:durableId="1184712813">
    <w:abstractNumId w:val="48"/>
  </w:num>
  <w:num w:numId="95" w16cid:durableId="1098600884">
    <w:abstractNumId w:val="77"/>
  </w:num>
  <w:num w:numId="96" w16cid:durableId="893345415">
    <w:abstractNumId w:val="11"/>
  </w:num>
  <w:num w:numId="97" w16cid:durableId="527526273">
    <w:abstractNumId w:val="14"/>
  </w:num>
  <w:num w:numId="98" w16cid:durableId="589393696">
    <w:abstractNumId w:val="47"/>
  </w:num>
  <w:num w:numId="99" w16cid:durableId="1589729071">
    <w:abstractNumId w:val="61"/>
  </w:num>
  <w:num w:numId="100" w16cid:durableId="2034990929">
    <w:abstractNumId w:val="8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3493C"/>
    <w:rsid w:val="00044810"/>
    <w:rsid w:val="00052752"/>
    <w:rsid w:val="00055DE8"/>
    <w:rsid w:val="00061727"/>
    <w:rsid w:val="0007347E"/>
    <w:rsid w:val="00087972"/>
    <w:rsid w:val="00092682"/>
    <w:rsid w:val="000B4ADF"/>
    <w:rsid w:val="000E284B"/>
    <w:rsid w:val="00101F09"/>
    <w:rsid w:val="00103C86"/>
    <w:rsid w:val="001077A7"/>
    <w:rsid w:val="00144A90"/>
    <w:rsid w:val="001603EE"/>
    <w:rsid w:val="00163AAF"/>
    <w:rsid w:val="00185354"/>
    <w:rsid w:val="001A7984"/>
    <w:rsid w:val="001E4573"/>
    <w:rsid w:val="001F2C78"/>
    <w:rsid w:val="00203C7D"/>
    <w:rsid w:val="00203E98"/>
    <w:rsid w:val="00206A93"/>
    <w:rsid w:val="002170AC"/>
    <w:rsid w:val="002310D5"/>
    <w:rsid w:val="0023335B"/>
    <w:rsid w:val="00233776"/>
    <w:rsid w:val="002477BC"/>
    <w:rsid w:val="002508BD"/>
    <w:rsid w:val="002726E3"/>
    <w:rsid w:val="00277A31"/>
    <w:rsid w:val="00284BB2"/>
    <w:rsid w:val="002B048F"/>
    <w:rsid w:val="002C3679"/>
    <w:rsid w:val="002D3F25"/>
    <w:rsid w:val="002D7705"/>
    <w:rsid w:val="002E7E3C"/>
    <w:rsid w:val="002F0D44"/>
    <w:rsid w:val="003315E9"/>
    <w:rsid w:val="00334CD0"/>
    <w:rsid w:val="003435BD"/>
    <w:rsid w:val="00343EA7"/>
    <w:rsid w:val="003613BF"/>
    <w:rsid w:val="00361D15"/>
    <w:rsid w:val="003708D4"/>
    <w:rsid w:val="00375A36"/>
    <w:rsid w:val="00383384"/>
    <w:rsid w:val="00383D55"/>
    <w:rsid w:val="00383F0A"/>
    <w:rsid w:val="00384D29"/>
    <w:rsid w:val="00392518"/>
    <w:rsid w:val="003A291A"/>
    <w:rsid w:val="003E10BC"/>
    <w:rsid w:val="003F4071"/>
    <w:rsid w:val="004046E2"/>
    <w:rsid w:val="00417891"/>
    <w:rsid w:val="004318B1"/>
    <w:rsid w:val="00433F2F"/>
    <w:rsid w:val="00453FEB"/>
    <w:rsid w:val="00454C25"/>
    <w:rsid w:val="00457BA0"/>
    <w:rsid w:val="00463C25"/>
    <w:rsid w:val="004806C6"/>
    <w:rsid w:val="004955FD"/>
    <w:rsid w:val="004A34AE"/>
    <w:rsid w:val="004A562E"/>
    <w:rsid w:val="004A5FFE"/>
    <w:rsid w:val="004C5AE2"/>
    <w:rsid w:val="004C63CC"/>
    <w:rsid w:val="004D630F"/>
    <w:rsid w:val="004E24EE"/>
    <w:rsid w:val="00505509"/>
    <w:rsid w:val="00515A22"/>
    <w:rsid w:val="00524E31"/>
    <w:rsid w:val="0052547A"/>
    <w:rsid w:val="00546100"/>
    <w:rsid w:val="00561566"/>
    <w:rsid w:val="00574E6C"/>
    <w:rsid w:val="00596E1F"/>
    <w:rsid w:val="00597D72"/>
    <w:rsid w:val="005C53DA"/>
    <w:rsid w:val="005D01F9"/>
    <w:rsid w:val="005D67CE"/>
    <w:rsid w:val="0060245B"/>
    <w:rsid w:val="0061742F"/>
    <w:rsid w:val="006231E6"/>
    <w:rsid w:val="00645549"/>
    <w:rsid w:val="00647695"/>
    <w:rsid w:val="00655E00"/>
    <w:rsid w:val="006632E2"/>
    <w:rsid w:val="00666B0D"/>
    <w:rsid w:val="006736D6"/>
    <w:rsid w:val="006926B6"/>
    <w:rsid w:val="00696F40"/>
    <w:rsid w:val="006B08CA"/>
    <w:rsid w:val="006B2424"/>
    <w:rsid w:val="006B5C5F"/>
    <w:rsid w:val="006B71DE"/>
    <w:rsid w:val="0070191D"/>
    <w:rsid w:val="00705364"/>
    <w:rsid w:val="00720851"/>
    <w:rsid w:val="00731B03"/>
    <w:rsid w:val="00745FB4"/>
    <w:rsid w:val="00760432"/>
    <w:rsid w:val="0076075D"/>
    <w:rsid w:val="007765B7"/>
    <w:rsid w:val="007817F3"/>
    <w:rsid w:val="00785430"/>
    <w:rsid w:val="007A3520"/>
    <w:rsid w:val="007B4AD9"/>
    <w:rsid w:val="007C18CB"/>
    <w:rsid w:val="007D0CC9"/>
    <w:rsid w:val="007F3499"/>
    <w:rsid w:val="00803493"/>
    <w:rsid w:val="00805C10"/>
    <w:rsid w:val="008130DA"/>
    <w:rsid w:val="00826133"/>
    <w:rsid w:val="00834EF7"/>
    <w:rsid w:val="008535A2"/>
    <w:rsid w:val="008675CA"/>
    <w:rsid w:val="0089476B"/>
    <w:rsid w:val="008C4FD5"/>
    <w:rsid w:val="008C64CB"/>
    <w:rsid w:val="008F0DBA"/>
    <w:rsid w:val="00902467"/>
    <w:rsid w:val="0091009B"/>
    <w:rsid w:val="00930D14"/>
    <w:rsid w:val="009318AF"/>
    <w:rsid w:val="00957E1F"/>
    <w:rsid w:val="009603E4"/>
    <w:rsid w:val="00985F59"/>
    <w:rsid w:val="00991965"/>
    <w:rsid w:val="009C2E02"/>
    <w:rsid w:val="009C5F77"/>
    <w:rsid w:val="009F0195"/>
    <w:rsid w:val="009F0CCD"/>
    <w:rsid w:val="00A05359"/>
    <w:rsid w:val="00A07789"/>
    <w:rsid w:val="00A20D02"/>
    <w:rsid w:val="00A46EDE"/>
    <w:rsid w:val="00A6137F"/>
    <w:rsid w:val="00A73EFE"/>
    <w:rsid w:val="00A86E98"/>
    <w:rsid w:val="00A9244E"/>
    <w:rsid w:val="00AC4D67"/>
    <w:rsid w:val="00AD4479"/>
    <w:rsid w:val="00AE72D7"/>
    <w:rsid w:val="00AF5895"/>
    <w:rsid w:val="00B0093C"/>
    <w:rsid w:val="00B05910"/>
    <w:rsid w:val="00B11652"/>
    <w:rsid w:val="00B11C82"/>
    <w:rsid w:val="00B12D47"/>
    <w:rsid w:val="00B16A46"/>
    <w:rsid w:val="00B21675"/>
    <w:rsid w:val="00B76E89"/>
    <w:rsid w:val="00B82C4C"/>
    <w:rsid w:val="00B87EE9"/>
    <w:rsid w:val="00B93DDC"/>
    <w:rsid w:val="00BB066B"/>
    <w:rsid w:val="00BB2BFF"/>
    <w:rsid w:val="00BD2CC2"/>
    <w:rsid w:val="00BF2355"/>
    <w:rsid w:val="00BF6669"/>
    <w:rsid w:val="00BF7C94"/>
    <w:rsid w:val="00C216BA"/>
    <w:rsid w:val="00C52325"/>
    <w:rsid w:val="00C64006"/>
    <w:rsid w:val="00C70AE0"/>
    <w:rsid w:val="00C7603F"/>
    <w:rsid w:val="00C76481"/>
    <w:rsid w:val="00CA71FF"/>
    <w:rsid w:val="00CB062B"/>
    <w:rsid w:val="00CB0BE7"/>
    <w:rsid w:val="00CC3D10"/>
    <w:rsid w:val="00CC56CF"/>
    <w:rsid w:val="00D051C6"/>
    <w:rsid w:val="00D0544D"/>
    <w:rsid w:val="00D06CBA"/>
    <w:rsid w:val="00D11EF8"/>
    <w:rsid w:val="00D14CB7"/>
    <w:rsid w:val="00D3153E"/>
    <w:rsid w:val="00D45127"/>
    <w:rsid w:val="00D55724"/>
    <w:rsid w:val="00D61801"/>
    <w:rsid w:val="00D75573"/>
    <w:rsid w:val="00DA7378"/>
    <w:rsid w:val="00DC24E3"/>
    <w:rsid w:val="00DE1DCB"/>
    <w:rsid w:val="00E069FA"/>
    <w:rsid w:val="00E1578C"/>
    <w:rsid w:val="00E27A78"/>
    <w:rsid w:val="00E41742"/>
    <w:rsid w:val="00E42CA5"/>
    <w:rsid w:val="00E4497D"/>
    <w:rsid w:val="00E46FDB"/>
    <w:rsid w:val="00E54C97"/>
    <w:rsid w:val="00EB47AB"/>
    <w:rsid w:val="00EC1CFE"/>
    <w:rsid w:val="00ED16BC"/>
    <w:rsid w:val="00ED6166"/>
    <w:rsid w:val="00EE585C"/>
    <w:rsid w:val="00EF567E"/>
    <w:rsid w:val="00EF5B88"/>
    <w:rsid w:val="00F020DD"/>
    <w:rsid w:val="00F04DE4"/>
    <w:rsid w:val="00F05EC4"/>
    <w:rsid w:val="00F2467C"/>
    <w:rsid w:val="00F34765"/>
    <w:rsid w:val="00F378E5"/>
    <w:rsid w:val="00F45F0A"/>
    <w:rsid w:val="00F8037C"/>
    <w:rsid w:val="00F84ECB"/>
    <w:rsid w:val="00F960CC"/>
    <w:rsid w:val="00F97BAB"/>
    <w:rsid w:val="00FA3DFD"/>
    <w:rsid w:val="00FB3326"/>
    <w:rsid w:val="00FC3DD2"/>
    <w:rsid w:val="00FD4B47"/>
    <w:rsid w:val="00FE0711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546100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6100"/>
    <w:pPr>
      <w:widowControl w:val="0"/>
      <w:shd w:val="clear" w:color="auto" w:fill="FFFFFF"/>
      <w:spacing w:before="120" w:line="269" w:lineRule="exact"/>
      <w:jc w:val="both"/>
    </w:pPr>
    <w:rPr>
      <w:rFonts w:ascii="Garamond" w:eastAsia="Garamond" w:hAnsi="Garamond" w:cs="Garamond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52</cp:revision>
  <cp:lastPrinted>2024-04-04T08:22:00Z</cp:lastPrinted>
  <dcterms:created xsi:type="dcterms:W3CDTF">2024-04-02T08:46:00Z</dcterms:created>
  <dcterms:modified xsi:type="dcterms:W3CDTF">2024-12-19T10:06:00Z</dcterms:modified>
</cp:coreProperties>
</file>