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C742D0" w14:paraId="4F49D838" w14:textId="77777777" w:rsidTr="1044839F">
        <w:trPr>
          <w:trHeight w:val="56"/>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6596A25" w14:textId="77777777" w:rsidR="000D5974" w:rsidRPr="000D5974" w:rsidRDefault="000D5974" w:rsidP="00B17990">
            <w:pPr>
              <w:spacing w:line="276" w:lineRule="auto"/>
              <w:rPr>
                <w:b/>
                <w:szCs w:val="24"/>
                <w:lang w:val="sq-AL"/>
              </w:rPr>
            </w:pPr>
            <w:r w:rsidRPr="000D5974">
              <w:rPr>
                <w:b/>
                <w:szCs w:val="24"/>
                <w:lang w:val="sq-AL"/>
              </w:rPr>
              <w:t>RAPORTI I VLERËSIMIT TË NDIKIMIT</w:t>
            </w:r>
          </w:p>
        </w:tc>
      </w:tr>
      <w:tr w:rsidR="00C84F64" w:rsidRPr="005C00CA" w14:paraId="08BC0741" w14:textId="77777777" w:rsidTr="1044839F">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F8C0D2" w14:textId="77777777"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0A2863" w14:textId="6592AEF2" w:rsidR="00CA40EE" w:rsidRPr="00325A1F" w:rsidRDefault="00CA40EE" w:rsidP="00CD4469">
            <w:pPr>
              <w:spacing w:line="276" w:lineRule="auto"/>
              <w:jc w:val="both"/>
              <w:rPr>
                <w:b/>
                <w:szCs w:val="24"/>
                <w:lang w:val="sq-AL"/>
              </w:rPr>
            </w:pPr>
            <w:r w:rsidRPr="00325A1F">
              <w:rPr>
                <w:szCs w:val="24"/>
                <w:lang w:val="sq-AL"/>
              </w:rPr>
              <w:t>Projekt</w:t>
            </w:r>
            <w:r w:rsidR="008B0B81">
              <w:rPr>
                <w:rStyle w:val="IASOIChar"/>
                <w:rFonts w:ascii="Times New Roman" w:hAnsi="Times New Roman"/>
                <w:b w:val="0"/>
                <w:sz w:val="24"/>
                <w:szCs w:val="24"/>
              </w:rPr>
              <w:fldChar w:fldCharType="begin">
                <w:ffData>
                  <w:name w:val=""/>
                  <w:enabled/>
                  <w:calcOnExit w:val="0"/>
                  <w:ddList>
                    <w:listEntry w:val="ligj"/>
                    <w:listEntry w:val="akt"/>
                    <w:listEntry w:val="vendim"/>
                    <w:listEntry w:val="akt/ligj/vendim"/>
                  </w:ddList>
                </w:ffData>
              </w:fldChar>
            </w:r>
            <w:r w:rsidR="008B0B81" w:rsidRPr="00FB3897">
              <w:rPr>
                <w:rStyle w:val="IASOIChar"/>
                <w:rFonts w:ascii="Times New Roman" w:hAnsi="Times New Roman"/>
                <w:b w:val="0"/>
                <w:sz w:val="24"/>
                <w:szCs w:val="24"/>
                <w:lang w:val="sq-AL"/>
              </w:rPr>
              <w:instrText xml:space="preserve"> FORMDROPDOWN </w:instrText>
            </w:r>
            <w:r w:rsidR="00BD42D9">
              <w:rPr>
                <w:rStyle w:val="IASOIChar"/>
                <w:rFonts w:ascii="Times New Roman" w:hAnsi="Times New Roman"/>
                <w:b w:val="0"/>
                <w:sz w:val="24"/>
                <w:szCs w:val="24"/>
              </w:rPr>
            </w:r>
            <w:r w:rsidR="00BD42D9">
              <w:rPr>
                <w:rStyle w:val="IASOIChar"/>
                <w:rFonts w:ascii="Times New Roman" w:hAnsi="Times New Roman"/>
                <w:b w:val="0"/>
                <w:sz w:val="24"/>
                <w:szCs w:val="24"/>
              </w:rPr>
              <w:fldChar w:fldCharType="separate"/>
            </w:r>
            <w:r w:rsidR="008B0B81">
              <w:rPr>
                <w:rStyle w:val="IASOIChar"/>
                <w:rFonts w:ascii="Times New Roman" w:hAnsi="Times New Roman"/>
                <w:b w:val="0"/>
                <w:sz w:val="24"/>
                <w:szCs w:val="24"/>
              </w:rPr>
              <w:fldChar w:fldCharType="end"/>
            </w:r>
            <w:r w:rsidR="002A33A0" w:rsidRPr="00325A1F">
              <w:rPr>
                <w:szCs w:val="24"/>
                <w:lang w:val="sq-AL"/>
              </w:rPr>
              <w:t xml:space="preserve"> </w:t>
            </w:r>
            <w:r w:rsidR="000F5100" w:rsidRPr="00325A1F">
              <w:rPr>
                <w:szCs w:val="24"/>
                <w:lang w:val="sq-AL"/>
              </w:rPr>
              <w:t xml:space="preserve"> </w:t>
            </w:r>
            <w:r w:rsidR="008B0B81">
              <w:rPr>
                <w:szCs w:val="24"/>
                <w:lang w:val="sq-AL"/>
              </w:rPr>
              <w:t>“Për disa</w:t>
            </w:r>
            <w:bookmarkStart w:id="0" w:name="_GoBack"/>
            <w:bookmarkEnd w:id="0"/>
            <w:r w:rsidR="003644E6">
              <w:rPr>
                <w:szCs w:val="24"/>
                <w:lang w:val="sq-AL"/>
              </w:rPr>
              <w:t xml:space="preserve"> </w:t>
            </w:r>
            <w:r w:rsidR="008B0B81">
              <w:rPr>
                <w:szCs w:val="24"/>
                <w:lang w:val="sq-AL"/>
              </w:rPr>
              <w:t>ndryshime në ligjin nr.133/2015 “Për trajtimin e pronës dhe përfundimin e procesit të kompensimit të pronave”</w:t>
            </w:r>
            <w:r w:rsidR="00B402A8">
              <w:rPr>
                <w:szCs w:val="24"/>
                <w:lang w:val="sq-AL"/>
              </w:rPr>
              <w:t>, të ndryshuar</w:t>
            </w:r>
          </w:p>
        </w:tc>
      </w:tr>
      <w:tr w:rsidR="00C84F64" w:rsidRPr="00325A1F" w14:paraId="5B123F3B" w14:textId="77777777" w:rsidTr="1044839F">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6EFF50" w14:textId="77777777" w:rsidR="00CA40EE" w:rsidRPr="00325A1F" w:rsidRDefault="00CA40EE" w:rsidP="007B6556">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456A78" w14:textId="77777777" w:rsidR="00CA40EE" w:rsidRPr="00325A1F" w:rsidRDefault="00444DC8" w:rsidP="008B0B81">
            <w:pPr>
              <w:spacing w:line="276" w:lineRule="auto"/>
              <w:rPr>
                <w:szCs w:val="24"/>
                <w:lang w:val="sq-AL"/>
              </w:rPr>
            </w:pPr>
            <w:r>
              <w:rPr>
                <w:szCs w:val="24"/>
                <w:lang w:val="sq-AL"/>
              </w:rPr>
              <w:t xml:space="preserve">Ministria </w:t>
            </w:r>
            <w:r w:rsidR="002A66D3" w:rsidRPr="00325A1F">
              <w:rPr>
                <w:szCs w:val="24"/>
                <w:lang w:val="sq-AL"/>
              </w:rPr>
              <w:t xml:space="preserve"> </w:t>
            </w:r>
            <w:r w:rsidR="008B0B81">
              <w:rPr>
                <w:rStyle w:val="IASOIChar"/>
                <w:rFonts w:ascii="Times New Roman" w:hAnsi="Times New Roman"/>
                <w:b w:val="0"/>
                <w:sz w:val="24"/>
                <w:szCs w:val="24"/>
              </w:rPr>
              <w:fldChar w:fldCharType="begin">
                <w:ffData>
                  <w:name w:val="MInistria"/>
                  <w:enabled/>
                  <w:calcOnExit w:val="0"/>
                  <w:ddList>
                    <w:listEntry w:val="e Drejtësisë"/>
                    <w:listEntry w:val="e Brendshme"/>
                    <w:listEntry w:val="e Bujqësisë dhe Zhvillimit Rural"/>
                    <w:listEntry w:val="e Arsimit, Rinisë dhe Sporteve"/>
                    <w:listEntry w:val="..."/>
                    <w:listEntry w:val="e Energjisë dhe Infrastrukturës"/>
                    <w:listEntry w:val="e Financave dhe Ekonomisë"/>
                    <w:listEntry w:val="e Kulturës"/>
                    <w:listEntry w:val="e Mbrojtje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1" w:name="MInistria"/>
            <w:r w:rsidR="008B0B81">
              <w:rPr>
                <w:rStyle w:val="IASOIChar"/>
                <w:rFonts w:ascii="Times New Roman" w:hAnsi="Times New Roman"/>
                <w:b w:val="0"/>
                <w:sz w:val="24"/>
                <w:szCs w:val="24"/>
              </w:rPr>
              <w:instrText xml:space="preserve"> FORMDROPDOWN </w:instrText>
            </w:r>
            <w:r w:rsidR="00BD42D9">
              <w:rPr>
                <w:rStyle w:val="IASOIChar"/>
                <w:rFonts w:ascii="Times New Roman" w:hAnsi="Times New Roman"/>
                <w:b w:val="0"/>
                <w:sz w:val="24"/>
                <w:szCs w:val="24"/>
              </w:rPr>
            </w:r>
            <w:r w:rsidR="00BD42D9">
              <w:rPr>
                <w:rStyle w:val="IASOIChar"/>
                <w:rFonts w:ascii="Times New Roman" w:hAnsi="Times New Roman"/>
                <w:b w:val="0"/>
                <w:sz w:val="24"/>
                <w:szCs w:val="24"/>
              </w:rPr>
              <w:fldChar w:fldCharType="separate"/>
            </w:r>
            <w:r w:rsidR="008B0B81">
              <w:rPr>
                <w:rStyle w:val="IASOIChar"/>
                <w:rFonts w:ascii="Times New Roman" w:hAnsi="Times New Roman"/>
                <w:b w:val="0"/>
                <w:sz w:val="24"/>
                <w:szCs w:val="24"/>
              </w:rPr>
              <w:fldChar w:fldCharType="end"/>
            </w:r>
            <w:bookmarkEnd w:id="1"/>
            <w:r w:rsidR="00CA40EE" w:rsidRPr="00325A1F">
              <w:rPr>
                <w:szCs w:val="24"/>
                <w:lang w:val="sq-AL"/>
              </w:rPr>
              <w:t xml:space="preserve"> </w:t>
            </w:r>
          </w:p>
        </w:tc>
      </w:tr>
      <w:tr w:rsidR="00C84F64" w:rsidRPr="00325A1F" w14:paraId="0D0B7747" w14:textId="77777777" w:rsidTr="1044839F">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61098C4" w14:textId="77777777" w:rsidR="00CA40EE" w:rsidRPr="00325A1F" w:rsidRDefault="00CA40EE" w:rsidP="007B6556">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C18B58" w14:textId="1F5D1061" w:rsidR="00CA40EE" w:rsidRPr="00325A1F" w:rsidRDefault="00BD42D9"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B402A8">
                  <w:rPr>
                    <w:rStyle w:val="BodyTextChar"/>
                    <w:rFonts w:ascii="Times New Roman" w:hAnsi="Times New Roman"/>
                    <w:sz w:val="24"/>
                    <w:szCs w:val="24"/>
                  </w:rPr>
                  <w:t>Zhvillim</w:t>
                </w:r>
              </w:sdtContent>
            </w:sdt>
          </w:p>
        </w:tc>
      </w:tr>
      <w:tr w:rsidR="00C84F64" w:rsidRPr="00325A1F" w14:paraId="0D245033" w14:textId="77777777" w:rsidTr="1044839F">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EB9D23" w14:textId="77777777" w:rsidR="00CA40EE" w:rsidRPr="00325A1F" w:rsidRDefault="00CA40EE" w:rsidP="007B6556">
            <w:pPr>
              <w:spacing w:line="276" w:lineRule="auto"/>
              <w:rPr>
                <w:b/>
                <w:szCs w:val="24"/>
                <w:lang w:val="sq-AL"/>
              </w:rPr>
            </w:pPr>
            <w:r w:rsidRPr="00325A1F">
              <w:rPr>
                <w:b/>
                <w:szCs w:val="24"/>
                <w:lang w:val="sq-AL"/>
              </w:rPr>
              <w:t>BURIMI I PROPOZIMIT TË POLITIKËS</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F7FFFC" w14:textId="77777777" w:rsidR="00CA40EE" w:rsidRPr="00325A1F" w:rsidRDefault="008B0B81" w:rsidP="007B6556">
            <w:pPr>
              <w:spacing w:line="276" w:lineRule="auto"/>
              <w:jc w:val="both"/>
              <w:rPr>
                <w:szCs w:val="24"/>
                <w:lang w:val="sq-AL"/>
              </w:rPr>
            </w:pPr>
            <w:r>
              <w:rPr>
                <w:rStyle w:val="IASOIChar"/>
                <w:rFonts w:ascii="Times New Roman" w:hAnsi="Times New Roman"/>
                <w:b w:val="0"/>
                <w:sz w:val="24"/>
                <w:szCs w:val="24"/>
              </w:rPr>
              <w:fldChar w:fldCharType="begin">
                <w:ffData>
                  <w:name w:val=""/>
                  <w:enabled/>
                  <w:calcOnExit w:val="0"/>
                  <w:ddList>
                    <w:listEntry w:val="I brendshëm"/>
                    <w:listEntry w:val="Transpozim  i BE-së"/>
                    <w:listEntry w:val="I brendshëm/transpozim i  BE-së/ndërkombëtar"/>
                    <w:listEntry w:val="Ndërkombëtar"/>
                  </w:ddList>
                </w:ffData>
              </w:fldChar>
            </w:r>
            <w:r>
              <w:rPr>
                <w:rStyle w:val="IASOIChar"/>
                <w:rFonts w:ascii="Times New Roman" w:hAnsi="Times New Roman"/>
                <w:b w:val="0"/>
                <w:sz w:val="24"/>
                <w:szCs w:val="24"/>
              </w:rPr>
              <w:instrText xml:space="preserve"> FORMDROPDOWN </w:instrText>
            </w:r>
            <w:r w:rsidR="00BD42D9">
              <w:rPr>
                <w:rStyle w:val="IASOIChar"/>
                <w:rFonts w:ascii="Times New Roman" w:hAnsi="Times New Roman"/>
                <w:b w:val="0"/>
                <w:sz w:val="24"/>
                <w:szCs w:val="24"/>
              </w:rPr>
            </w:r>
            <w:r w:rsidR="00BD42D9">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p>
        </w:tc>
      </w:tr>
      <w:tr w:rsidR="00C84F64" w:rsidRPr="00325A1F" w14:paraId="6D463761" w14:textId="77777777" w:rsidTr="1044839F">
        <w:trPr>
          <w:trHeight w:val="557"/>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256C59" w14:textId="77777777" w:rsidR="00CA40EE" w:rsidRPr="00325A1F" w:rsidRDefault="00CA40EE" w:rsidP="007B6556">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BA7889" w14:textId="77777777" w:rsidR="00B51927" w:rsidRDefault="008B0B81"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fldChar w:fldCharType="begin">
                <w:ffData>
                  <w:name w:val=""/>
                  <w:enabled/>
                  <w:calcOnExit w:val="0"/>
                  <w:ddList>
                    <w:listEntry w:val="Jo e zbatueshme"/>
                    <w:listEntry w:val="Direktiva / Jo e zbatueshme"/>
                    <w:listEntry w:val="Direktiva"/>
                  </w:ddList>
                </w:ffData>
              </w:fldChar>
            </w:r>
            <w:r>
              <w:rPr>
                <w:rStyle w:val="IASOIChar"/>
                <w:rFonts w:ascii="Times New Roman" w:hAnsi="Times New Roman"/>
                <w:b w:val="0"/>
                <w:sz w:val="24"/>
                <w:szCs w:val="24"/>
              </w:rPr>
              <w:instrText xml:space="preserve"> FORMDROPDOWN </w:instrText>
            </w:r>
            <w:r w:rsidR="00BD42D9">
              <w:rPr>
                <w:rStyle w:val="IASOIChar"/>
                <w:rFonts w:ascii="Times New Roman" w:hAnsi="Times New Roman"/>
                <w:b w:val="0"/>
                <w:sz w:val="24"/>
                <w:szCs w:val="24"/>
              </w:rPr>
            </w:r>
            <w:r w:rsidR="00BD42D9">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r w:rsidR="00584C71" w:rsidRPr="00325A1F">
              <w:rPr>
                <w:rStyle w:val="IASOIChar"/>
                <w:rFonts w:ascii="Times New Roman" w:hAnsi="Times New Roman"/>
                <w:b w:val="0"/>
                <w:sz w:val="24"/>
                <w:szCs w:val="24"/>
              </w:rPr>
              <w:t xml:space="preserve">   </w:t>
            </w:r>
          </w:p>
          <w:p w14:paraId="57AEF051" w14:textId="77777777" w:rsidR="00584C71" w:rsidRPr="00325A1F" w:rsidRDefault="002E753B" w:rsidP="002E753B">
            <w:pPr>
              <w:spacing w:line="276" w:lineRule="auto"/>
              <w:rPr>
                <w:b/>
                <w:szCs w:val="24"/>
                <w:lang w:val="sq-AL"/>
              </w:rPr>
            </w:pPr>
            <w:r>
              <w:rPr>
                <w:szCs w:val="24"/>
              </w:rPr>
              <w:fldChar w:fldCharType="begin">
                <w:ffData>
                  <w:name w:val=""/>
                  <w:enabled/>
                  <w:calcOnExit w:val="0"/>
                  <w:textInput>
                    <w:maxLength w:val="5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sidR="00584C71" w:rsidRPr="00325A1F">
              <w:rPr>
                <w:rStyle w:val="IASOIChar"/>
                <w:rFonts w:ascii="Times New Roman" w:hAnsi="Times New Roman"/>
                <w:b w:val="0"/>
                <w:sz w:val="24"/>
                <w:szCs w:val="24"/>
              </w:rPr>
              <w:t xml:space="preserve">  </w:t>
            </w:r>
          </w:p>
        </w:tc>
      </w:tr>
      <w:tr w:rsidR="00C84F64" w:rsidRPr="00325A1F" w14:paraId="0836692D" w14:textId="77777777" w:rsidTr="1044839F">
        <w:trPr>
          <w:trHeight w:val="980"/>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39C769EB" w14:textId="77777777" w:rsidR="00CA40EE" w:rsidRPr="00325A1F" w:rsidRDefault="00CA40EE" w:rsidP="007B6556">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372294" w14:textId="77777777" w:rsidR="00CA40EE" w:rsidRPr="00325A1F" w:rsidRDefault="003B659F" w:rsidP="00B17990">
            <w:pPr>
              <w:spacing w:line="276" w:lineRule="auto"/>
              <w:jc w:val="both"/>
              <w:rPr>
                <w:szCs w:val="24"/>
                <w:lang w:val="sq-AL"/>
              </w:rPr>
            </w:pPr>
            <w:r>
              <w:rPr>
                <w:szCs w:val="24"/>
                <w:lang w:val="sq-AL"/>
              </w:rPr>
              <w:t>Nuk ka.</w:t>
            </w:r>
          </w:p>
        </w:tc>
      </w:tr>
      <w:tr w:rsidR="00C84F64" w:rsidRPr="00325A1F" w14:paraId="7F5AE01A" w14:textId="77777777" w:rsidTr="1044839F">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6D9BEC" w14:textId="77777777" w:rsidR="00CA40EE" w:rsidRPr="00325A1F" w:rsidRDefault="00CA40EE" w:rsidP="007B6556">
            <w:pPr>
              <w:spacing w:line="276" w:lineRule="auto"/>
              <w:rPr>
                <w:b/>
                <w:szCs w:val="24"/>
                <w:lang w:val="sq-AL"/>
              </w:rPr>
            </w:pPr>
            <w:r w:rsidRPr="00325A1F">
              <w:rPr>
                <w:b/>
                <w:szCs w:val="24"/>
                <w:lang w:val="sq-AL"/>
              </w:rPr>
              <w:t>DATA E KONSULTIMIT PUBLIK</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036588" w14:textId="656DC434" w:rsidR="00CA40EE" w:rsidRPr="00325A1F" w:rsidRDefault="00BD42D9" w:rsidP="00D7478D">
            <w:pPr>
              <w:spacing w:line="276" w:lineRule="auto"/>
              <w:rPr>
                <w:szCs w:val="24"/>
                <w:lang w:val="sq-AL"/>
              </w:rPr>
            </w:pPr>
            <w:sdt>
              <w:sdtPr>
                <w:rPr>
                  <w:szCs w:val="24"/>
                  <w:lang w:val="en-US"/>
                </w:rPr>
                <w:alias w:val="Data/Asnjë konsultim publik"/>
                <w:tag w:val="Data/Asnjë konsultim publik"/>
                <w:id w:val="2012326733"/>
                <w:placeholder>
                  <w:docPart w:val="FD861CBE38474042B6487F314DCD3331"/>
                </w:placeholder>
                <w:date w:fullDate="2024-12-02T00:00:00Z">
                  <w:dateFormat w:val="dd/MM/yyyy"/>
                  <w:lid w:val="en-US"/>
                  <w:storeMappedDataAs w:val="dateTime"/>
                  <w:calendar w:val="gregorian"/>
                </w:date>
              </w:sdtPr>
              <w:sdtEndPr/>
              <w:sdtContent>
                <w:r w:rsidR="00B402A8">
                  <w:rPr>
                    <w:szCs w:val="24"/>
                    <w:lang w:val="en-US"/>
                  </w:rPr>
                  <w:t>02/12/2024</w:t>
                </w:r>
              </w:sdtContent>
            </w:sdt>
          </w:p>
        </w:tc>
      </w:tr>
      <w:tr w:rsidR="00C84F64" w:rsidRPr="00325A1F" w14:paraId="71274FFB" w14:textId="77777777" w:rsidTr="1044839F">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545382" w14:textId="77777777" w:rsidR="00CA40EE" w:rsidRPr="00325A1F" w:rsidRDefault="00CA40EE" w:rsidP="007B6556">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A148B0E" w14:textId="15946F09" w:rsidR="00CA40EE" w:rsidRPr="00325A1F" w:rsidRDefault="00BD42D9" w:rsidP="003B5CBC">
            <w:pPr>
              <w:spacing w:line="276" w:lineRule="auto"/>
              <w:jc w:val="both"/>
              <w:rPr>
                <w:szCs w:val="24"/>
                <w:lang w:val="sq-AL"/>
              </w:rPr>
            </w:pPr>
            <w:sdt>
              <w:sdtPr>
                <w:rPr>
                  <w:szCs w:val="24"/>
                  <w:lang w:val="en-US"/>
                </w:rPr>
                <w:alias w:val="përfundimi  vlerësimit të ndikimit/versioni i fundit i vlerësimi"/>
                <w:tag w:val="Data e përfundimit të vlerësimit të ndikimit/Data kur është përgatitur versioni i fundit të vlerësimit të ndikimit"/>
                <w:id w:val="339123984"/>
                <w:placeholder>
                  <w:docPart w:val="902FE64B29424F659DBB099D6CE88D80"/>
                </w:placeholder>
                <w:date w:fullDate="2024-12-02T00:00:00Z">
                  <w:dateFormat w:val="dd/MM/yyyy"/>
                  <w:lid w:val="en-US"/>
                  <w:storeMappedDataAs w:val="dateTime"/>
                  <w:calendar w:val="gregorian"/>
                </w:date>
              </w:sdtPr>
              <w:sdtEndPr/>
              <w:sdtContent>
                <w:r w:rsidR="00B402A8">
                  <w:rPr>
                    <w:szCs w:val="24"/>
                    <w:lang w:val="en-US"/>
                  </w:rPr>
                  <w:t>02/12/2024</w:t>
                </w:r>
              </w:sdtContent>
            </w:sdt>
          </w:p>
        </w:tc>
      </w:tr>
      <w:tr w:rsidR="00C84F64" w:rsidRPr="00325A1F" w14:paraId="18F86501" w14:textId="77777777" w:rsidTr="1044839F">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C343D5C" w14:textId="77777777" w:rsidR="00CA40EE" w:rsidRPr="00325A1F" w:rsidRDefault="00CA40EE" w:rsidP="007B6556">
            <w:pPr>
              <w:spacing w:line="276" w:lineRule="auto"/>
              <w:rPr>
                <w:b/>
                <w:szCs w:val="24"/>
                <w:lang w:val="sq-AL"/>
              </w:rPr>
            </w:pPr>
            <w:r w:rsidRPr="00325A1F">
              <w:rPr>
                <w:b/>
                <w:szCs w:val="24"/>
                <w:lang w:val="sq-AL"/>
              </w:rPr>
              <w:t xml:space="preserve">A E KA SHQYRTUAR KRYEMINISTRIA VLERËSIMIN E NDIKIMIT? </w:t>
            </w:r>
          </w:p>
          <w:p w14:paraId="4B22988F" w14:textId="77777777" w:rsidR="00CA40EE" w:rsidRPr="00325A1F" w:rsidRDefault="00CA40EE" w:rsidP="007B6556">
            <w:pPr>
              <w:spacing w:line="276" w:lineRule="auto"/>
              <w:rPr>
                <w:b/>
                <w:szCs w:val="24"/>
                <w:lang w:val="sq-AL"/>
              </w:rPr>
            </w:pPr>
            <w:r w:rsidRPr="00325A1F">
              <w:rPr>
                <w:b/>
                <w:szCs w:val="24"/>
                <w:lang w:val="sq-AL"/>
              </w:rPr>
              <w:t>NËSE PO, JEPNI DATËN E SHQYRTIMIT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439140" w14:textId="78183370" w:rsidR="006B131C" w:rsidRPr="00325A1F" w:rsidRDefault="00B402A8"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fldChar w:fldCharType="begin">
                <w:ffData>
                  <w:name w:val="ShqyrtuarKM"/>
                  <w:enabled/>
                  <w:calcOnExit w:val="0"/>
                  <w:ddList>
                    <w:listEntry w:val="Jo"/>
                    <w:listEntry w:val="Po"/>
                    <w:listEntry w:val="Po/Jo"/>
                  </w:ddList>
                </w:ffData>
              </w:fldChar>
            </w:r>
            <w:bookmarkStart w:id="2" w:name="ShqyrtuarKM"/>
            <w:r>
              <w:rPr>
                <w:rStyle w:val="IASOIChar"/>
                <w:rFonts w:ascii="Times New Roman" w:hAnsi="Times New Roman"/>
                <w:b w:val="0"/>
                <w:sz w:val="24"/>
                <w:szCs w:val="24"/>
              </w:rPr>
              <w:instrText xml:space="preserve"> FORMDROPDOWN </w:instrText>
            </w:r>
            <w:r w:rsidR="00BD42D9">
              <w:rPr>
                <w:rStyle w:val="IASOIChar"/>
                <w:rFonts w:ascii="Times New Roman" w:hAnsi="Times New Roman"/>
                <w:b w:val="0"/>
                <w:sz w:val="24"/>
                <w:szCs w:val="24"/>
              </w:rPr>
            </w:r>
            <w:r w:rsidR="00BD42D9">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bookmarkEnd w:id="2"/>
          </w:p>
          <w:p w14:paraId="0027FBED" w14:textId="02E36E52" w:rsidR="008326DB" w:rsidRPr="00325A1F" w:rsidRDefault="00BD42D9" w:rsidP="003B5CBC">
            <w:pPr>
              <w:tabs>
                <w:tab w:val="left" w:pos="795"/>
              </w:tabs>
              <w:spacing w:line="276" w:lineRule="auto"/>
              <w:jc w:val="both"/>
              <w:rPr>
                <w:szCs w:val="24"/>
                <w:lang w:val="sq-AL"/>
              </w:rPr>
            </w:pPr>
            <w:sdt>
              <w:sdtPr>
                <w:rPr>
                  <w:szCs w:val="24"/>
                  <w:lang w:val="en-US"/>
                </w:rPr>
                <w:alias w:val="Data e shqyrtimit nga Kryeministria"/>
                <w:tag w:val="Data e shqyrtimit nga Kryeministria"/>
                <w:id w:val="-1285451"/>
                <w:placeholder>
                  <w:docPart w:val="1AD1A34C84384DA5B2C88EB652FCD115"/>
                </w:placeholder>
                <w:showingPlcHdr/>
                <w:date w:fullDate="2022-06-17T00:00:00Z">
                  <w:dateFormat w:val="dd/MM/yyyy"/>
                  <w:lid w:val="en-US"/>
                  <w:storeMappedDataAs w:val="dateTime"/>
                  <w:calendar w:val="gregorian"/>
                </w:date>
              </w:sdtPr>
              <w:sdtEndPr/>
              <w:sdtContent>
                <w:r w:rsidR="00B402A8" w:rsidRPr="003B5CBC">
                  <w:rPr>
                    <w:rStyle w:val="PlaceholderText"/>
                    <w:rFonts w:eastAsiaTheme="majorEastAsia"/>
                  </w:rPr>
                  <w:t>Data e shqyrtimit</w:t>
                </w:r>
              </w:sdtContent>
            </w:sdt>
          </w:p>
        </w:tc>
      </w:tr>
      <w:tr w:rsidR="00C84F64" w:rsidRPr="00325A1F" w14:paraId="0F37AF6B" w14:textId="77777777" w:rsidTr="1044839F">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C4789CC" w14:textId="77777777" w:rsidR="00CA40EE" w:rsidRPr="00325A1F" w:rsidRDefault="00CA40EE" w:rsidP="007B6556">
            <w:pPr>
              <w:spacing w:line="276" w:lineRule="auto"/>
              <w:rPr>
                <w:b/>
                <w:szCs w:val="24"/>
                <w:lang w:val="sq-AL"/>
              </w:rPr>
            </w:pPr>
            <w:r w:rsidRPr="00325A1F">
              <w:rPr>
                <w:b/>
                <w:szCs w:val="24"/>
                <w:lang w:val="sq-AL"/>
              </w:rPr>
              <w:t>NUMRI I VLERËSIMIT TË NDIKIMIT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7DFBF5" w14:textId="349004AC" w:rsidR="00CA40EE" w:rsidRPr="00325A1F" w:rsidRDefault="00B402A8" w:rsidP="00283F88">
            <w:pPr>
              <w:spacing w:line="276" w:lineRule="auto"/>
              <w:rPr>
                <w:szCs w:val="24"/>
                <w:lang w:val="sq-AL"/>
              </w:rPr>
            </w:pPr>
            <w:r>
              <w:rPr>
                <w:szCs w:val="24"/>
              </w:rPr>
              <w:fldChar w:fldCharType="begin">
                <w:ffData>
                  <w:name w:val=""/>
                  <w:enabled/>
                  <w:calcOnExit/>
                  <w:textInput>
                    <w:type w:val="number"/>
                    <w:default w:val="2024"/>
                  </w:textInput>
                </w:ffData>
              </w:fldChar>
            </w:r>
            <w:r>
              <w:rPr>
                <w:szCs w:val="24"/>
              </w:rPr>
              <w:instrText xml:space="preserve"> FORMTEXT </w:instrText>
            </w:r>
            <w:r>
              <w:rPr>
                <w:szCs w:val="24"/>
              </w:rPr>
            </w:r>
            <w:r>
              <w:rPr>
                <w:szCs w:val="24"/>
              </w:rPr>
              <w:fldChar w:fldCharType="separate"/>
            </w:r>
            <w:r>
              <w:rPr>
                <w:noProof/>
                <w:szCs w:val="24"/>
              </w:rPr>
              <w:t>2024</w:t>
            </w:r>
            <w:r>
              <w:rPr>
                <w:szCs w:val="24"/>
              </w:rPr>
              <w:fldChar w:fldCharType="end"/>
            </w:r>
            <w:r w:rsidR="00FF0F21" w:rsidRPr="00325A1F">
              <w:rPr>
                <w:szCs w:val="24"/>
                <w:lang w:val="sq-AL"/>
              </w:rPr>
              <w:t xml:space="preserve">– </w:t>
            </w:r>
            <w:r w:rsidR="00C17B5A">
              <w:rPr>
                <w:szCs w:val="24"/>
              </w:rPr>
              <w:fldChar w:fldCharType="begin">
                <w:ffData>
                  <w:name w:val=""/>
                  <w:enabled/>
                  <w:calcOnExit w:val="0"/>
                  <w:textInput>
                    <w:default w:val="MD"/>
                    <w:maxLength w:val="4"/>
                  </w:textInput>
                </w:ffData>
              </w:fldChar>
            </w:r>
            <w:r w:rsidR="00C17B5A">
              <w:rPr>
                <w:szCs w:val="24"/>
              </w:rPr>
              <w:instrText xml:space="preserve"> FORMTEXT </w:instrText>
            </w:r>
            <w:r w:rsidR="00C17B5A">
              <w:rPr>
                <w:szCs w:val="24"/>
              </w:rPr>
            </w:r>
            <w:r w:rsidR="00C17B5A">
              <w:rPr>
                <w:szCs w:val="24"/>
              </w:rPr>
              <w:fldChar w:fldCharType="separate"/>
            </w:r>
            <w:r w:rsidR="00C17B5A">
              <w:rPr>
                <w:noProof/>
                <w:szCs w:val="24"/>
              </w:rPr>
              <w:t>MD</w:t>
            </w:r>
            <w:r w:rsidR="00C17B5A">
              <w:rPr>
                <w:szCs w:val="24"/>
              </w:rPr>
              <w:fldChar w:fldCharType="end"/>
            </w:r>
            <w:r w:rsidR="00B51927" w:rsidRPr="00325A1F">
              <w:rPr>
                <w:rStyle w:val="IASOIChar"/>
                <w:rFonts w:ascii="Times New Roman" w:hAnsi="Times New Roman"/>
                <w:b w:val="0"/>
                <w:sz w:val="24"/>
                <w:szCs w:val="24"/>
              </w:rPr>
              <w:t xml:space="preserve">  </w:t>
            </w:r>
            <w:r w:rsidR="00FF0F21" w:rsidRPr="00325A1F">
              <w:rPr>
                <w:szCs w:val="24"/>
                <w:lang w:val="sq-AL"/>
              </w:rPr>
              <w:t xml:space="preserve">–  </w:t>
            </w:r>
            <w:r w:rsidR="00B51927">
              <w:rPr>
                <w:szCs w:val="24"/>
                <w:lang w:val="sq-AL"/>
              </w:rPr>
              <w:t>Nr.</w:t>
            </w:r>
            <w:r w:rsidR="00B51927" w:rsidRPr="00325A1F">
              <w:rPr>
                <w:rStyle w:val="IASOIChar"/>
                <w:rFonts w:ascii="Times New Roman" w:hAnsi="Times New Roman"/>
                <w:b w:val="0"/>
                <w:sz w:val="24"/>
                <w:szCs w:val="24"/>
              </w:rPr>
              <w:t xml:space="preserve">  </w:t>
            </w:r>
          </w:p>
        </w:tc>
      </w:tr>
      <w:tr w:rsidR="00C84F64" w:rsidRPr="00325A1F" w14:paraId="27F04334" w14:textId="77777777" w:rsidTr="1044839F">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6515783" w14:textId="77777777" w:rsidR="00CA40EE" w:rsidRPr="00325A1F" w:rsidRDefault="00CA40EE" w:rsidP="007B6556">
            <w:pPr>
              <w:spacing w:line="276" w:lineRule="auto"/>
              <w:rPr>
                <w:b/>
                <w:szCs w:val="24"/>
                <w:lang w:val="sq-AL"/>
              </w:rPr>
            </w:pPr>
            <w:r w:rsidRPr="00325A1F">
              <w:rPr>
                <w:b/>
                <w:szCs w:val="24"/>
                <w:lang w:val="sq-AL"/>
              </w:rPr>
              <w:t xml:space="preserve">TE DHËNA KONTAKTI </w:t>
            </w:r>
          </w:p>
          <w:p w14:paraId="59972CE8" w14:textId="77777777" w:rsidR="00CA40EE" w:rsidRPr="00325A1F" w:rsidRDefault="00CA40EE" w:rsidP="007B6556">
            <w:pPr>
              <w:spacing w:line="276" w:lineRule="auto"/>
              <w:rPr>
                <w:b/>
                <w:szCs w:val="24"/>
                <w:lang w:val="sq-AL"/>
              </w:rPr>
            </w:pPr>
            <w:r w:rsidRPr="00325A1F">
              <w:rPr>
                <w:b/>
                <w:szCs w:val="24"/>
                <w:lang w:val="sq-AL"/>
              </w:rPr>
              <w:t>(EMRI, E-MAIL, NUMRI I TELEFONIT TË PERSONIT TË KONTAKTIT)</w:t>
            </w:r>
          </w:p>
        </w:tc>
        <w:sdt>
          <w:sdtPr>
            <w:rPr>
              <w:szCs w:val="24"/>
              <w:lang w:val="sq-AL"/>
            </w:rPr>
            <w:id w:val="1361013490"/>
            <w:placeholder>
              <w:docPart w:val="DefaultPlaceholder_1081868574"/>
            </w:placeholder>
          </w:sdtPr>
          <w:sdtEnd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A2A4D6" w14:textId="77777777" w:rsidR="008B0B81" w:rsidRDefault="008B0B81" w:rsidP="00B17990">
                <w:pPr>
                  <w:spacing w:line="276" w:lineRule="auto"/>
                  <w:jc w:val="both"/>
                  <w:rPr>
                    <w:szCs w:val="24"/>
                    <w:lang w:val="sq-AL"/>
                  </w:rPr>
                </w:pPr>
                <w:r>
                  <w:rPr>
                    <w:szCs w:val="24"/>
                    <w:lang w:val="sq-AL"/>
                  </w:rPr>
                  <w:t>Enis Bregu</w:t>
                </w:r>
              </w:p>
              <w:p w14:paraId="559A7670" w14:textId="77777777" w:rsidR="00B03B2C" w:rsidRDefault="00BD42D9" w:rsidP="00B17990">
                <w:pPr>
                  <w:spacing w:line="276" w:lineRule="auto"/>
                  <w:jc w:val="both"/>
                  <w:rPr>
                    <w:szCs w:val="24"/>
                    <w:lang w:val="sq-AL"/>
                  </w:rPr>
                </w:pPr>
                <w:hyperlink r:id="rId8" w:history="1">
                  <w:r w:rsidR="00B03B2C" w:rsidRPr="004F53EE">
                    <w:rPr>
                      <w:rStyle w:val="Hyperlink"/>
                      <w:szCs w:val="24"/>
                      <w:lang w:val="sq-AL"/>
                    </w:rPr>
                    <w:t>Enis.Bregu@drejtesia.gov.al</w:t>
                  </w:r>
                </w:hyperlink>
                <w:r w:rsidR="00B03B2C">
                  <w:rPr>
                    <w:szCs w:val="24"/>
                    <w:lang w:val="sq-AL"/>
                  </w:rPr>
                  <w:t xml:space="preserve">, </w:t>
                </w:r>
              </w:p>
              <w:p w14:paraId="21BE9895" w14:textId="77777777" w:rsidR="00CA40EE" w:rsidRPr="00325A1F" w:rsidRDefault="00B03B2C" w:rsidP="00B03B2C">
                <w:pPr>
                  <w:spacing w:line="276" w:lineRule="auto"/>
                  <w:jc w:val="both"/>
                  <w:rPr>
                    <w:szCs w:val="24"/>
                    <w:lang w:val="sq-AL"/>
                  </w:rPr>
                </w:pPr>
                <w:r>
                  <w:rPr>
                    <w:szCs w:val="24"/>
                    <w:lang w:val="sq-AL"/>
                  </w:rPr>
                  <w:t xml:space="preserve">   </w:t>
                </w:r>
              </w:p>
            </w:tc>
          </w:sdtContent>
        </w:sdt>
      </w:tr>
      <w:tr w:rsidR="00CA40EE" w:rsidRPr="00325A1F" w14:paraId="3944C753" w14:textId="77777777" w:rsidTr="1044839F">
        <w:trPr>
          <w:trHeight w:val="162"/>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EE8C6" w14:textId="77777777" w:rsidR="00CA40EE" w:rsidRPr="00325A1F" w:rsidRDefault="00CA40EE" w:rsidP="007B6556">
            <w:pPr>
              <w:spacing w:line="276" w:lineRule="auto"/>
              <w:jc w:val="both"/>
              <w:rPr>
                <w:b/>
                <w:szCs w:val="24"/>
                <w:lang w:val="sq-AL"/>
              </w:rPr>
            </w:pPr>
          </w:p>
        </w:tc>
      </w:tr>
      <w:tr w:rsidR="00CA40EE" w:rsidRPr="00325A1F" w14:paraId="6C17FAF3" w14:textId="77777777" w:rsidTr="1044839F">
        <w:trPr>
          <w:trHeight w:val="353"/>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E9F9B5D" w14:textId="77777777" w:rsidR="00540F1B" w:rsidRPr="00325A1F" w:rsidRDefault="00CA40EE" w:rsidP="009E2075">
            <w:pPr>
              <w:spacing w:line="276" w:lineRule="auto"/>
              <w:jc w:val="both"/>
              <w:rPr>
                <w:b/>
                <w:szCs w:val="24"/>
                <w:lang w:val="sq-AL"/>
              </w:rPr>
            </w:pPr>
            <w:r w:rsidRPr="00325A1F">
              <w:rPr>
                <w:b/>
                <w:szCs w:val="24"/>
                <w:lang w:val="sq-AL"/>
              </w:rPr>
              <w:t xml:space="preserve">PJESA 1: PËRMBLEDHJE EKZEKUTIVE </w:t>
            </w:r>
            <w:r w:rsidR="00C133FC">
              <w:rPr>
                <w:b/>
                <w:szCs w:val="24"/>
                <w:lang w:val="sq-AL"/>
              </w:rPr>
              <w:t>(maksimumi 2 faqe)</w:t>
            </w:r>
          </w:p>
        </w:tc>
      </w:tr>
      <w:tr w:rsidR="00CA40EE" w:rsidRPr="005C00CA" w14:paraId="78B4F586" w14:textId="77777777" w:rsidTr="1044839F">
        <w:trPr>
          <w:trHeight w:val="552"/>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33702" w14:textId="6CDE7698" w:rsidR="00CA40EE" w:rsidRPr="00325A1F" w:rsidRDefault="00CA40EE" w:rsidP="007B6556">
            <w:pPr>
              <w:spacing w:line="276" w:lineRule="auto"/>
              <w:jc w:val="both"/>
              <w:rPr>
                <w:b/>
                <w:szCs w:val="24"/>
                <w:lang w:val="sq-AL"/>
              </w:rPr>
            </w:pPr>
            <w:r w:rsidRPr="00325A1F">
              <w:rPr>
                <w:b/>
                <w:szCs w:val="24"/>
                <w:lang w:val="sq-AL"/>
              </w:rPr>
              <w:t>PËRKUFIZIMI I PROBLEMIT</w:t>
            </w:r>
          </w:p>
          <w:p w14:paraId="696235F2" w14:textId="77777777" w:rsidR="00071110" w:rsidRPr="00A42898" w:rsidRDefault="001E0D36" w:rsidP="00027038">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3" w:name="PerkufizimProblemi"/>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3"/>
          </w:p>
          <w:p w14:paraId="373BD37E" w14:textId="77777777" w:rsidR="009E2075" w:rsidRDefault="00B402A8" w:rsidP="00B402A8">
            <w:pPr>
              <w:pStyle w:val="NoSpacing"/>
              <w:jc w:val="both"/>
              <w:rPr>
                <w:rFonts w:ascii="Times New Roman" w:hAnsi="Times New Roman"/>
                <w:sz w:val="24"/>
                <w:szCs w:val="24"/>
              </w:rPr>
            </w:pPr>
            <w:r w:rsidRPr="00DB1189">
              <w:rPr>
                <w:rFonts w:ascii="Times New Roman" w:hAnsi="Times New Roman"/>
                <w:sz w:val="24"/>
                <w:szCs w:val="24"/>
              </w:rPr>
              <w:t>Në përputhje me ndryshimet ligjore të vitit 2022 në ligjin nr.133/2015, procesi i shqyrtimit të dosjeve, që janë aplikuar përpara hyrjes në fuqi të këtij ligji dhe që janë në proces shqyrtimi pranë Agjencisë, përfundon brenda datës 31.12.2024. Me hyrjen në fuqi të këtij ligji dhe akteve nënligjore, Agjencia e Trajtimit të Pronave filloi hetimin administrativ për shqyrtimin e 7000 dosjeve të patrajtuara për njohje pronësie, për të cilat ka kryer procedurat e njoftimit të subjekteve për plotësim dokumentacioni. Aktualisht, rezulton se ATP ka në proces shqyrtimi 5862 dosje dhe 1197 praktika, në total 7059, nga të cilat 705 dosje/praktika të rikthyera për trajtim.</w:t>
            </w:r>
          </w:p>
          <w:p w14:paraId="7AA3CB23" w14:textId="56C97866" w:rsidR="00B402A8" w:rsidRPr="000B4AF8" w:rsidRDefault="00B402A8" w:rsidP="000B4AF8">
            <w:pPr>
              <w:spacing w:after="240" w:line="276" w:lineRule="auto"/>
              <w:jc w:val="both"/>
              <w:rPr>
                <w:szCs w:val="24"/>
                <w:lang w:val="sq-AL" w:eastAsia="sq-AL"/>
              </w:rPr>
            </w:pPr>
            <w:r w:rsidRPr="00B402A8">
              <w:rPr>
                <w:szCs w:val="24"/>
                <w:lang w:val="sq-AL" w:eastAsia="sq-AL"/>
              </w:rPr>
              <w:t xml:space="preserve">Kohëzgjatja e trajtimit të një dosje/praktike dhe nxjerrja e një vendimi kushtëzohet nga faktorë të brendshëm siç janë eksperienca dhe eficenca e inspektorit që ka në trajtim dosjen/praktikën, volumi i dokumentacionit të administruar, kompleksiteti dhe natyra e dokumentacionit. Ky proces kushtëzohet dhe nga faktorë të jashtëm siç janë procedurat e njoftimit, plotësimi i dokumentacionit nga subjekti, konfirmimi i informacionit nga institucionet e treta dhe nevojat e hetimit administrativ të cilat rast pas rasti diktojnë edhe nevojën për këqyrjen në vend të provës pranë palëve të treta, përfshirë këtu edhe verifikimin fizik në terren. Duke marrë në konsideratë këto rrethana, si dhe parashikimet ligjore lidhur me afatet e përfundimit të procedimit administrativ, vlerësohet se koha për marrjen e një vendimi është nga 3 deri në 6 muaj për dosje. Ky afat nuk merr në konsideratë ato </w:t>
            </w:r>
            <w:r w:rsidRPr="00B402A8">
              <w:rPr>
                <w:szCs w:val="24"/>
                <w:lang w:val="sq-AL" w:eastAsia="sq-AL"/>
              </w:rPr>
              <w:lastRenderedPageBreak/>
              <w:t>situata, kur plotësimi i dokumentacionit nga ana e subjektit do të kryhet në rrugë gjyqësore, pasi në këto raste procedimi administrativ pezullohet deri në zgjidhjen e çështjes paraprake nga ana e gjykatës, ku në mjaft raste, koha e gjykimit ka tejkaluar edhe afatin e juridiksionit administrativ të ATP-së.</w:t>
            </w:r>
            <w:r>
              <w:rPr>
                <w:szCs w:val="24"/>
                <w:lang w:val="sq-AL" w:eastAsia="sq-AL"/>
              </w:rPr>
              <w:t xml:space="preserve"> </w:t>
            </w:r>
            <w:r w:rsidRPr="00B402A8">
              <w:rPr>
                <w:szCs w:val="24"/>
                <w:lang w:val="sq-AL" w:eastAsia="sq-AL"/>
              </w:rPr>
              <w:t>Duke marrë në konsideratë kohën e mbetur në dispozicion, referuar treguesve të performancës, kapaciteteve të burimeve njerëzore, kompleksitetit të procedimit si dhe kërkesave ligjore për përfundimin e procedimit administrativ, paraprakisht vlerësohet se objektivi ligjor për trajtimin e plotë të dosjeve të patrajtuara brenda datës 31.12.2024, nuk mund të realizohet. Këto përfundime, mbështeten në faktorë të jashtëm dhe të brendshëm, të cilët kanë kushtëzuar vendimarrjen e ATP-së, duke projektuar si objektiv të arritshëm maksimalisht rreth 700 vendime deri në fund të vitit 2024, ose 10% të dosjeve të patrajtuara.</w:t>
            </w:r>
          </w:p>
        </w:tc>
      </w:tr>
      <w:tr w:rsidR="00CA40EE" w:rsidRPr="005C00CA" w14:paraId="74DDF5E5" w14:textId="77777777" w:rsidTr="1044839F">
        <w:trPr>
          <w:trHeight w:val="543"/>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C009A" w14:textId="77777777" w:rsidR="00CA40EE" w:rsidRPr="00325A1F" w:rsidRDefault="00CA40EE" w:rsidP="007B6556">
            <w:pPr>
              <w:spacing w:line="276" w:lineRule="auto"/>
              <w:jc w:val="both"/>
              <w:rPr>
                <w:b/>
                <w:i/>
                <w:szCs w:val="24"/>
                <w:lang w:val="sq-AL"/>
              </w:rPr>
            </w:pPr>
            <w:r w:rsidRPr="00325A1F">
              <w:rPr>
                <w:b/>
                <w:szCs w:val="24"/>
                <w:lang w:val="sq-AL"/>
              </w:rPr>
              <w:lastRenderedPageBreak/>
              <w:t>OBJEKTIVAT</w:t>
            </w:r>
          </w:p>
          <w:p w14:paraId="05EFF595" w14:textId="77777777" w:rsidR="008576E4" w:rsidRPr="00FB3897" w:rsidRDefault="006E7CFB" w:rsidP="00C05B46">
            <w:pPr>
              <w:spacing w:line="276" w:lineRule="auto"/>
              <w:jc w:val="both"/>
              <w:rPr>
                <w:i/>
                <w:szCs w:val="24"/>
                <w:lang w:val="sq-AL"/>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4" w:name="Objektivat"/>
            <w:r w:rsidRPr="00FB3897">
              <w:rPr>
                <w:i/>
                <w:szCs w:val="24"/>
                <w:lang w:val="sq-AL"/>
              </w:rPr>
              <w:instrText xml:space="preserve"> FORMTEXT </w:instrText>
            </w:r>
            <w:r>
              <w:rPr>
                <w:i/>
                <w:szCs w:val="24"/>
              </w:rPr>
            </w:r>
            <w:r>
              <w:rPr>
                <w:i/>
                <w:szCs w:val="24"/>
              </w:rPr>
              <w:fldChar w:fldCharType="separate"/>
            </w:r>
            <w:r w:rsidRPr="00FB3897">
              <w:rPr>
                <w:i/>
                <w:noProof/>
                <w:szCs w:val="24"/>
                <w:lang w:val="sq-AL"/>
              </w:rPr>
              <w:t>Cilat janë objektivat dhe rezultatet e synuara të propozimit? (jo më shumë se 7  rreshta)</w:t>
            </w:r>
            <w:r>
              <w:rPr>
                <w:i/>
                <w:szCs w:val="24"/>
              </w:rPr>
              <w:fldChar w:fldCharType="end"/>
            </w:r>
            <w:bookmarkEnd w:id="4"/>
          </w:p>
          <w:p w14:paraId="61ACFC3D" w14:textId="77777777" w:rsidR="00B917D0" w:rsidRPr="00FB3897" w:rsidRDefault="00B917D0" w:rsidP="00C05B46">
            <w:pPr>
              <w:spacing w:line="276" w:lineRule="auto"/>
              <w:jc w:val="both"/>
              <w:rPr>
                <w:i/>
                <w:szCs w:val="24"/>
                <w:lang w:val="sq-AL"/>
              </w:rPr>
            </w:pPr>
          </w:p>
          <w:p w14:paraId="4455A952" w14:textId="37EDA08C" w:rsidR="00B97145" w:rsidRPr="00FB3897" w:rsidRDefault="009B33A6" w:rsidP="00B24DBD">
            <w:pPr>
              <w:spacing w:after="240" w:line="276" w:lineRule="auto"/>
              <w:jc w:val="both"/>
              <w:rPr>
                <w:szCs w:val="24"/>
                <w:lang w:val="sq-AL"/>
              </w:rPr>
            </w:pPr>
            <w:r>
              <w:rPr>
                <w:szCs w:val="24"/>
                <w:lang w:val="sq-AL"/>
              </w:rPr>
              <w:t>Objektivat dhe rezultatet e synuara jan</w:t>
            </w:r>
            <w:r w:rsidR="00BE1224">
              <w:rPr>
                <w:szCs w:val="24"/>
                <w:lang w:val="sq-AL"/>
              </w:rPr>
              <w:t>ë</w:t>
            </w:r>
            <w:r>
              <w:rPr>
                <w:szCs w:val="24"/>
                <w:lang w:val="sq-AL"/>
              </w:rPr>
              <w:t>:</w:t>
            </w:r>
          </w:p>
          <w:p w14:paraId="36B761AD" w14:textId="45E12D54" w:rsidR="000B4AF8" w:rsidRDefault="000B4AF8">
            <w:pPr>
              <w:pStyle w:val="ListParagraph"/>
              <w:numPr>
                <w:ilvl w:val="0"/>
                <w:numId w:val="11"/>
              </w:numPr>
              <w:spacing w:line="276" w:lineRule="auto"/>
              <w:ind w:left="605" w:hanging="245"/>
              <w:jc w:val="both"/>
              <w:rPr>
                <w:rFonts w:ascii="Times New Roman" w:hAnsi="Times New Roman"/>
                <w:sz w:val="24"/>
                <w:szCs w:val="24"/>
                <w:lang w:val="sq-AL"/>
              </w:rPr>
            </w:pPr>
            <w:bookmarkStart w:id="5" w:name="_Hlk184030988"/>
            <w:r>
              <w:rPr>
                <w:rFonts w:ascii="Times New Roman" w:hAnsi="Times New Roman"/>
                <w:sz w:val="24"/>
                <w:szCs w:val="24"/>
                <w:lang w:val="sq-AL"/>
              </w:rPr>
              <w:t>Shtyrja e afatit p</w:t>
            </w:r>
            <w:r w:rsidR="00A90D65">
              <w:rPr>
                <w:rFonts w:ascii="Times New Roman" w:hAnsi="Times New Roman"/>
                <w:sz w:val="24"/>
                <w:szCs w:val="24"/>
                <w:lang w:val="sq-AL"/>
              </w:rPr>
              <w:t>ë</w:t>
            </w:r>
            <w:r>
              <w:rPr>
                <w:rFonts w:ascii="Times New Roman" w:hAnsi="Times New Roman"/>
                <w:sz w:val="24"/>
                <w:szCs w:val="24"/>
                <w:lang w:val="sq-AL"/>
              </w:rPr>
              <w:t>r trajtimin e dosjeve t</w:t>
            </w:r>
            <w:r w:rsidR="00A90D65">
              <w:rPr>
                <w:rFonts w:ascii="Times New Roman" w:hAnsi="Times New Roman"/>
                <w:sz w:val="24"/>
                <w:szCs w:val="24"/>
                <w:lang w:val="sq-AL"/>
              </w:rPr>
              <w:t>ë</w:t>
            </w:r>
            <w:r>
              <w:rPr>
                <w:rFonts w:ascii="Times New Roman" w:hAnsi="Times New Roman"/>
                <w:sz w:val="24"/>
                <w:szCs w:val="24"/>
                <w:lang w:val="sq-AL"/>
              </w:rPr>
              <w:t xml:space="preserve"> pa trajtuara dhe vler</w:t>
            </w:r>
            <w:r w:rsidR="00A90D65">
              <w:rPr>
                <w:rFonts w:ascii="Times New Roman" w:hAnsi="Times New Roman"/>
                <w:sz w:val="24"/>
                <w:szCs w:val="24"/>
                <w:lang w:val="sq-AL"/>
              </w:rPr>
              <w:t>ë</w:t>
            </w:r>
            <w:r>
              <w:rPr>
                <w:rFonts w:ascii="Times New Roman" w:hAnsi="Times New Roman"/>
                <w:sz w:val="24"/>
                <w:szCs w:val="24"/>
                <w:lang w:val="sq-AL"/>
              </w:rPr>
              <w:t>simin financiar p</w:t>
            </w:r>
            <w:r w:rsidR="00A90D65">
              <w:rPr>
                <w:rFonts w:ascii="Times New Roman" w:hAnsi="Times New Roman"/>
                <w:sz w:val="24"/>
                <w:szCs w:val="24"/>
                <w:lang w:val="sq-AL"/>
              </w:rPr>
              <w:t>ë</w:t>
            </w:r>
            <w:r>
              <w:rPr>
                <w:rFonts w:ascii="Times New Roman" w:hAnsi="Times New Roman"/>
                <w:sz w:val="24"/>
                <w:szCs w:val="24"/>
                <w:lang w:val="sq-AL"/>
              </w:rPr>
              <w:t>r ato vendime t</w:t>
            </w:r>
            <w:r w:rsidR="00A90D65">
              <w:rPr>
                <w:rFonts w:ascii="Times New Roman" w:hAnsi="Times New Roman"/>
                <w:sz w:val="24"/>
                <w:szCs w:val="24"/>
                <w:lang w:val="sq-AL"/>
              </w:rPr>
              <w:t>ë</w:t>
            </w:r>
            <w:r>
              <w:rPr>
                <w:rFonts w:ascii="Times New Roman" w:hAnsi="Times New Roman"/>
                <w:sz w:val="24"/>
                <w:szCs w:val="24"/>
                <w:lang w:val="sq-AL"/>
              </w:rPr>
              <w:t xml:space="preserve"> pa vler</w:t>
            </w:r>
            <w:r w:rsidR="00A90D65">
              <w:rPr>
                <w:rFonts w:ascii="Times New Roman" w:hAnsi="Times New Roman"/>
                <w:sz w:val="24"/>
                <w:szCs w:val="24"/>
                <w:lang w:val="sq-AL"/>
              </w:rPr>
              <w:t>ë</w:t>
            </w:r>
            <w:r>
              <w:rPr>
                <w:rFonts w:ascii="Times New Roman" w:hAnsi="Times New Roman"/>
                <w:sz w:val="24"/>
                <w:szCs w:val="24"/>
                <w:lang w:val="sq-AL"/>
              </w:rPr>
              <w:t>suara brenda 31.12.2024;</w:t>
            </w:r>
          </w:p>
          <w:p w14:paraId="0A8A3DCD" w14:textId="463D9D9B" w:rsidR="000B4AF8" w:rsidRDefault="000B4AF8">
            <w:pPr>
              <w:pStyle w:val="ListParagraph"/>
              <w:numPr>
                <w:ilvl w:val="0"/>
                <w:numId w:val="11"/>
              </w:numPr>
              <w:spacing w:line="276" w:lineRule="auto"/>
              <w:ind w:left="605" w:hanging="245"/>
              <w:jc w:val="both"/>
              <w:rPr>
                <w:rFonts w:ascii="Times New Roman" w:hAnsi="Times New Roman"/>
                <w:sz w:val="24"/>
                <w:szCs w:val="24"/>
                <w:lang w:val="sq-AL"/>
              </w:rPr>
            </w:pPr>
            <w:bookmarkStart w:id="6" w:name="_Hlk184031077"/>
            <w:r w:rsidRPr="000B4AF8">
              <w:rPr>
                <w:rFonts w:ascii="Times New Roman" w:hAnsi="Times New Roman"/>
                <w:sz w:val="24"/>
                <w:szCs w:val="24"/>
                <w:lang w:val="en-US"/>
              </w:rPr>
              <w:t>Dhënia e mundësisë së qytetarëve që kërkesat e tyre të shqyrtohen në rrugë administrative nga ATP në një kohë më të shkurtër, krahasuar me kohën që do të shpenzohej në rast të shqyrtimit të tyre nga juridiksioni gjyqësor</w:t>
            </w:r>
            <w:r w:rsidR="00BC09C0">
              <w:rPr>
                <w:rFonts w:ascii="Times New Roman" w:hAnsi="Times New Roman"/>
                <w:sz w:val="24"/>
                <w:szCs w:val="24"/>
                <w:lang w:val="en-US"/>
              </w:rPr>
              <w:t>;</w:t>
            </w:r>
          </w:p>
          <w:bookmarkEnd w:id="6"/>
          <w:p w14:paraId="646D461F" w14:textId="3229C793" w:rsidR="009B33A6" w:rsidRDefault="000B4AF8">
            <w:pPr>
              <w:pStyle w:val="ListParagraph"/>
              <w:numPr>
                <w:ilvl w:val="0"/>
                <w:numId w:val="11"/>
              </w:numPr>
              <w:spacing w:after="240" w:line="276" w:lineRule="auto"/>
              <w:ind w:left="605" w:hanging="245"/>
              <w:jc w:val="both"/>
              <w:rPr>
                <w:rFonts w:ascii="Times New Roman" w:hAnsi="Times New Roman"/>
                <w:sz w:val="24"/>
                <w:szCs w:val="24"/>
                <w:lang w:val="sq-AL"/>
              </w:rPr>
            </w:pPr>
            <w:r>
              <w:rPr>
                <w:rFonts w:ascii="Times New Roman" w:hAnsi="Times New Roman"/>
                <w:sz w:val="24"/>
                <w:szCs w:val="24"/>
                <w:lang w:val="sq-AL"/>
              </w:rPr>
              <w:t>P</w:t>
            </w:r>
            <w:r w:rsidR="00A90D65">
              <w:rPr>
                <w:rFonts w:ascii="Times New Roman" w:hAnsi="Times New Roman"/>
                <w:sz w:val="24"/>
                <w:szCs w:val="24"/>
                <w:lang w:val="sq-AL"/>
              </w:rPr>
              <w:t>ë</w:t>
            </w:r>
            <w:r>
              <w:rPr>
                <w:rFonts w:ascii="Times New Roman" w:hAnsi="Times New Roman"/>
                <w:sz w:val="24"/>
                <w:szCs w:val="24"/>
                <w:lang w:val="sq-AL"/>
              </w:rPr>
              <w:t>rfundimi i procesit t</w:t>
            </w:r>
            <w:r w:rsidR="00A90D65">
              <w:rPr>
                <w:rFonts w:ascii="Times New Roman" w:hAnsi="Times New Roman"/>
                <w:sz w:val="24"/>
                <w:szCs w:val="24"/>
                <w:lang w:val="sq-AL"/>
              </w:rPr>
              <w:t>ë</w:t>
            </w:r>
            <w:r>
              <w:rPr>
                <w:rFonts w:ascii="Times New Roman" w:hAnsi="Times New Roman"/>
                <w:sz w:val="24"/>
                <w:szCs w:val="24"/>
                <w:lang w:val="sq-AL"/>
              </w:rPr>
              <w:t xml:space="preserve"> shqyrtimit t</w:t>
            </w:r>
            <w:r w:rsidR="00A90D65">
              <w:rPr>
                <w:rFonts w:ascii="Times New Roman" w:hAnsi="Times New Roman"/>
                <w:sz w:val="24"/>
                <w:szCs w:val="24"/>
                <w:lang w:val="sq-AL"/>
              </w:rPr>
              <w:t>ë</w:t>
            </w:r>
            <w:r>
              <w:rPr>
                <w:rFonts w:ascii="Times New Roman" w:hAnsi="Times New Roman"/>
                <w:sz w:val="24"/>
                <w:szCs w:val="24"/>
                <w:lang w:val="sq-AL"/>
              </w:rPr>
              <w:t xml:space="preserve"> dosjeve brenda afatit t</w:t>
            </w:r>
            <w:r w:rsidR="00A90D65">
              <w:rPr>
                <w:rFonts w:ascii="Times New Roman" w:hAnsi="Times New Roman"/>
                <w:sz w:val="24"/>
                <w:szCs w:val="24"/>
                <w:lang w:val="sq-AL"/>
              </w:rPr>
              <w:t>ë</w:t>
            </w:r>
            <w:r>
              <w:rPr>
                <w:rFonts w:ascii="Times New Roman" w:hAnsi="Times New Roman"/>
                <w:sz w:val="24"/>
                <w:szCs w:val="24"/>
                <w:lang w:val="sq-AL"/>
              </w:rPr>
              <w:t xml:space="preserve"> p</w:t>
            </w:r>
            <w:r w:rsidR="00A90D65">
              <w:rPr>
                <w:rFonts w:ascii="Times New Roman" w:hAnsi="Times New Roman"/>
                <w:sz w:val="24"/>
                <w:szCs w:val="24"/>
                <w:lang w:val="sq-AL"/>
              </w:rPr>
              <w:t>ë</w:t>
            </w:r>
            <w:r>
              <w:rPr>
                <w:rFonts w:ascii="Times New Roman" w:hAnsi="Times New Roman"/>
                <w:sz w:val="24"/>
                <w:szCs w:val="24"/>
                <w:lang w:val="sq-AL"/>
              </w:rPr>
              <w:t>rcaktuar me politik</w:t>
            </w:r>
            <w:r w:rsidR="00A90D65">
              <w:rPr>
                <w:rFonts w:ascii="Times New Roman" w:hAnsi="Times New Roman"/>
                <w:sz w:val="24"/>
                <w:szCs w:val="24"/>
                <w:lang w:val="sq-AL"/>
              </w:rPr>
              <w:t>ë</w:t>
            </w:r>
            <w:r>
              <w:rPr>
                <w:rFonts w:ascii="Times New Roman" w:hAnsi="Times New Roman"/>
                <w:sz w:val="24"/>
                <w:szCs w:val="24"/>
                <w:lang w:val="sq-AL"/>
              </w:rPr>
              <w:t>n e propozuar</w:t>
            </w:r>
            <w:r w:rsidR="00BC09C0">
              <w:rPr>
                <w:rFonts w:ascii="Times New Roman" w:hAnsi="Times New Roman"/>
                <w:sz w:val="24"/>
                <w:szCs w:val="24"/>
                <w:lang w:val="sq-AL"/>
              </w:rPr>
              <w:t>;</w:t>
            </w:r>
          </w:p>
          <w:p w14:paraId="674FA0F0" w14:textId="2CD26945" w:rsidR="000B4AF8" w:rsidRPr="00FB3897" w:rsidRDefault="000B4AF8">
            <w:pPr>
              <w:pStyle w:val="ListParagraph"/>
              <w:numPr>
                <w:ilvl w:val="0"/>
                <w:numId w:val="11"/>
              </w:numPr>
              <w:spacing w:after="240" w:line="276" w:lineRule="auto"/>
              <w:ind w:left="605" w:hanging="245"/>
              <w:jc w:val="both"/>
              <w:rPr>
                <w:rFonts w:ascii="Times New Roman" w:hAnsi="Times New Roman"/>
                <w:sz w:val="24"/>
                <w:szCs w:val="24"/>
                <w:lang w:val="sq-AL"/>
              </w:rPr>
            </w:pPr>
            <w:r>
              <w:rPr>
                <w:rFonts w:ascii="Times New Roman" w:hAnsi="Times New Roman"/>
                <w:sz w:val="24"/>
                <w:szCs w:val="24"/>
                <w:lang w:val="sq-AL"/>
              </w:rPr>
              <w:t>P</w:t>
            </w:r>
            <w:r w:rsidR="00A90D65">
              <w:rPr>
                <w:rFonts w:ascii="Times New Roman" w:hAnsi="Times New Roman"/>
                <w:sz w:val="24"/>
                <w:szCs w:val="24"/>
                <w:lang w:val="sq-AL"/>
              </w:rPr>
              <w:t>ë</w:t>
            </w:r>
            <w:r>
              <w:rPr>
                <w:rFonts w:ascii="Times New Roman" w:hAnsi="Times New Roman"/>
                <w:sz w:val="24"/>
                <w:szCs w:val="24"/>
                <w:lang w:val="sq-AL"/>
              </w:rPr>
              <w:t>rfundimi i procesit t</w:t>
            </w:r>
            <w:r w:rsidR="00A90D65">
              <w:rPr>
                <w:rFonts w:ascii="Times New Roman" w:hAnsi="Times New Roman"/>
                <w:sz w:val="24"/>
                <w:szCs w:val="24"/>
                <w:lang w:val="sq-AL"/>
              </w:rPr>
              <w:t>ë</w:t>
            </w:r>
            <w:r>
              <w:rPr>
                <w:rFonts w:ascii="Times New Roman" w:hAnsi="Times New Roman"/>
                <w:sz w:val="24"/>
                <w:szCs w:val="24"/>
                <w:lang w:val="sq-AL"/>
              </w:rPr>
              <w:t xml:space="preserve"> kompensimit t</w:t>
            </w:r>
            <w:r w:rsidR="00A90D65">
              <w:rPr>
                <w:rFonts w:ascii="Times New Roman" w:hAnsi="Times New Roman"/>
                <w:sz w:val="24"/>
                <w:szCs w:val="24"/>
                <w:lang w:val="sq-AL"/>
              </w:rPr>
              <w:t>ë</w:t>
            </w:r>
            <w:r>
              <w:rPr>
                <w:rFonts w:ascii="Times New Roman" w:hAnsi="Times New Roman"/>
                <w:sz w:val="24"/>
                <w:szCs w:val="24"/>
                <w:lang w:val="sq-AL"/>
              </w:rPr>
              <w:t xml:space="preserve"> pronave</w:t>
            </w:r>
            <w:r w:rsidR="00BC09C0">
              <w:rPr>
                <w:rFonts w:ascii="Times New Roman" w:hAnsi="Times New Roman"/>
                <w:sz w:val="24"/>
                <w:szCs w:val="24"/>
                <w:lang w:val="sq-AL"/>
              </w:rPr>
              <w:t xml:space="preserve"> brenda afateve objektive, sipas politik</w:t>
            </w:r>
            <w:r w:rsidR="00A90D65">
              <w:rPr>
                <w:rFonts w:ascii="Times New Roman" w:hAnsi="Times New Roman"/>
                <w:sz w:val="24"/>
                <w:szCs w:val="24"/>
                <w:lang w:val="sq-AL"/>
              </w:rPr>
              <w:t>ë</w:t>
            </w:r>
            <w:r w:rsidR="00BC09C0">
              <w:rPr>
                <w:rFonts w:ascii="Times New Roman" w:hAnsi="Times New Roman"/>
                <w:sz w:val="24"/>
                <w:szCs w:val="24"/>
                <w:lang w:val="sq-AL"/>
              </w:rPr>
              <w:t>s s</w:t>
            </w:r>
            <w:r w:rsidR="00A90D65">
              <w:rPr>
                <w:rFonts w:ascii="Times New Roman" w:hAnsi="Times New Roman"/>
                <w:sz w:val="24"/>
                <w:szCs w:val="24"/>
                <w:lang w:val="sq-AL"/>
              </w:rPr>
              <w:t>ë</w:t>
            </w:r>
            <w:r w:rsidR="00BC09C0">
              <w:rPr>
                <w:rFonts w:ascii="Times New Roman" w:hAnsi="Times New Roman"/>
                <w:sz w:val="24"/>
                <w:szCs w:val="24"/>
                <w:lang w:val="sq-AL"/>
              </w:rPr>
              <w:t xml:space="preserve"> propozuar.</w:t>
            </w:r>
            <w:bookmarkEnd w:id="5"/>
          </w:p>
        </w:tc>
      </w:tr>
      <w:tr w:rsidR="00CA40EE" w:rsidRPr="005C00CA" w14:paraId="3F610FA8" w14:textId="77777777" w:rsidTr="1044839F">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F42D0" w14:textId="77777777" w:rsidR="00CA40EE" w:rsidRPr="00325A1F" w:rsidRDefault="008576E4" w:rsidP="007B6556">
            <w:pPr>
              <w:spacing w:line="276" w:lineRule="auto"/>
              <w:jc w:val="both"/>
              <w:rPr>
                <w:b/>
                <w:szCs w:val="24"/>
                <w:lang w:val="sq-AL"/>
              </w:rPr>
            </w:pPr>
            <w:r w:rsidRPr="00325A1F">
              <w:rPr>
                <w:b/>
                <w:szCs w:val="24"/>
                <w:lang w:val="sq-AL"/>
              </w:rPr>
              <w:t>OPSIONET E POLITIKAVE</w:t>
            </w:r>
          </w:p>
          <w:p w14:paraId="6A22D956" w14:textId="77777777" w:rsidR="008576E4" w:rsidRDefault="006E7CFB" w:rsidP="00027038">
            <w:pPr>
              <w:spacing w:line="276" w:lineRule="auto"/>
              <w:jc w:val="both"/>
              <w:rPr>
                <w:i/>
                <w:szCs w:val="24"/>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FB3897">
              <w:rPr>
                <w:i/>
                <w:szCs w:val="24"/>
                <w:lang w:val="it-IT"/>
              </w:rPr>
              <w:instrText xml:space="preserve"> FORMTEXT </w:instrText>
            </w:r>
            <w:r>
              <w:rPr>
                <w:i/>
                <w:szCs w:val="24"/>
              </w:rPr>
            </w:r>
            <w:r>
              <w:rPr>
                <w:i/>
                <w:szCs w:val="24"/>
              </w:rPr>
              <w:fldChar w:fldCharType="separate"/>
            </w:r>
            <w:r w:rsidRPr="00FB3897">
              <w:rPr>
                <w:i/>
                <w:noProof/>
                <w:szCs w:val="24"/>
                <w:lang w:val="it-IT"/>
              </w:rPr>
              <w:t xml:space="preserve">Cilat janë opsionet kryesore të politikave? Duhet të bëni krahasimin e avantazheve/përfitimeve kryesore dhe të dizavantazheve/kostove të opsioneve të mundshme.  </w:t>
            </w:r>
            <w:r>
              <w:rPr>
                <w:i/>
                <w:noProof/>
                <w:szCs w:val="24"/>
              </w:rPr>
              <w:t>(jo më shumë se 7 rreshta)</w:t>
            </w:r>
            <w:r>
              <w:rPr>
                <w:i/>
                <w:szCs w:val="24"/>
              </w:rPr>
              <w:fldChar w:fldCharType="end"/>
            </w:r>
          </w:p>
          <w:p w14:paraId="55F8A5CA" w14:textId="77777777" w:rsidR="001E0D36" w:rsidRDefault="001E0D36" w:rsidP="001E0D36">
            <w:pPr>
              <w:jc w:val="both"/>
            </w:pPr>
            <w:r>
              <w:fldChar w:fldCharType="begin">
                <w:ffData>
                  <w:name w:val=""/>
                  <w:enabled/>
                  <w:calcOnExit w:val="0"/>
                  <w:textInput>
                    <w:maxLength w:val="5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FD164B" w14:textId="3FF40153" w:rsidR="00B01DF9" w:rsidRPr="008336CB" w:rsidRDefault="009B33A6" w:rsidP="00B01DF9">
            <w:pPr>
              <w:jc w:val="both"/>
              <w:rPr>
                <w:color w:val="000000" w:themeColor="text1"/>
                <w:szCs w:val="24"/>
                <w:lang w:val="en-US"/>
              </w:rPr>
            </w:pPr>
            <w:r>
              <w:rPr>
                <w:color w:val="000000" w:themeColor="text1"/>
                <w:szCs w:val="24"/>
              </w:rPr>
              <w:t>Nisur nga p</w:t>
            </w:r>
            <w:r w:rsidR="00BE1224">
              <w:rPr>
                <w:color w:val="000000" w:themeColor="text1"/>
                <w:szCs w:val="24"/>
              </w:rPr>
              <w:t>ë</w:t>
            </w:r>
            <w:r>
              <w:rPr>
                <w:color w:val="000000" w:themeColor="text1"/>
                <w:szCs w:val="24"/>
              </w:rPr>
              <w:t>rkufizimi i problemit t</w:t>
            </w:r>
            <w:r w:rsidR="00BE1224">
              <w:rPr>
                <w:color w:val="000000" w:themeColor="text1"/>
                <w:szCs w:val="24"/>
              </w:rPr>
              <w:t>ë</w:t>
            </w:r>
            <w:r>
              <w:rPr>
                <w:color w:val="000000" w:themeColor="text1"/>
                <w:szCs w:val="24"/>
              </w:rPr>
              <w:t xml:space="preserve"> paraqitur m</w:t>
            </w:r>
            <w:r w:rsidR="00BE1224">
              <w:rPr>
                <w:color w:val="000000" w:themeColor="text1"/>
                <w:szCs w:val="24"/>
              </w:rPr>
              <w:t>ë</w:t>
            </w:r>
            <w:r>
              <w:rPr>
                <w:color w:val="000000" w:themeColor="text1"/>
                <w:szCs w:val="24"/>
              </w:rPr>
              <w:t xml:space="preserve"> sip</w:t>
            </w:r>
            <w:r w:rsidR="00BE1224">
              <w:rPr>
                <w:color w:val="000000" w:themeColor="text1"/>
                <w:szCs w:val="24"/>
              </w:rPr>
              <w:t>ë</w:t>
            </w:r>
            <w:r>
              <w:rPr>
                <w:color w:val="000000" w:themeColor="text1"/>
                <w:szCs w:val="24"/>
              </w:rPr>
              <w:t xml:space="preserve">r, </w:t>
            </w:r>
            <w:r w:rsidR="00B01DF9" w:rsidRPr="008336CB">
              <w:rPr>
                <w:color w:val="000000" w:themeColor="text1"/>
                <w:szCs w:val="24"/>
              </w:rPr>
              <w:t>paraqiten opsionet si vijon</w:t>
            </w:r>
            <w:r w:rsidR="00B01DF9" w:rsidRPr="008336CB">
              <w:rPr>
                <w:color w:val="000000" w:themeColor="text1"/>
                <w:szCs w:val="24"/>
                <w:lang w:val="en-US"/>
              </w:rPr>
              <w:t>:</w:t>
            </w:r>
          </w:p>
          <w:p w14:paraId="0E4D01E8" w14:textId="77777777" w:rsidR="00B01DF9" w:rsidRDefault="00B01DF9" w:rsidP="007D16E8">
            <w:pPr>
              <w:jc w:val="both"/>
              <w:rPr>
                <w:color w:val="000000" w:themeColor="text1"/>
                <w:szCs w:val="24"/>
              </w:rPr>
            </w:pPr>
          </w:p>
          <w:p w14:paraId="1958415B" w14:textId="3A433A35" w:rsidR="00BC09C0" w:rsidRDefault="72AAA341" w:rsidP="00CA3CF2">
            <w:pPr>
              <w:tabs>
                <w:tab w:val="left" w:pos="720"/>
                <w:tab w:val="left" w:pos="1080"/>
                <w:tab w:val="left" w:pos="1260"/>
              </w:tabs>
              <w:suppressAutoHyphens/>
              <w:spacing w:line="276" w:lineRule="auto"/>
              <w:jc w:val="both"/>
              <w:outlineLvl w:val="0"/>
              <w:rPr>
                <w:color w:val="000000" w:themeColor="text1"/>
              </w:rPr>
            </w:pPr>
            <w:r w:rsidRPr="72AAA341">
              <w:rPr>
                <w:b/>
                <w:bCs/>
                <w:color w:val="000000" w:themeColor="text1"/>
              </w:rPr>
              <w:t>Opsioni 0</w:t>
            </w:r>
            <w:r w:rsidRPr="72AAA341">
              <w:rPr>
                <w:color w:val="000000" w:themeColor="text1"/>
              </w:rPr>
              <w:t xml:space="preserve"> – Ruajtja e </w:t>
            </w:r>
            <w:r w:rsidRPr="72AAA341">
              <w:rPr>
                <w:i/>
                <w:iCs/>
                <w:color w:val="000000" w:themeColor="text1"/>
              </w:rPr>
              <w:t>status quo-së</w:t>
            </w:r>
            <w:r w:rsidRPr="72AAA341">
              <w:rPr>
                <w:color w:val="000000" w:themeColor="text1"/>
              </w:rPr>
              <w:t xml:space="preserve"> dhe mosbërja e ndryshimeve ligjore, duke pritur që situata të vetërregullohet, pa ndërhyrjen e pushtetit legjislativ. Kjo situatë nuk ka kosto financiare dhe nuk kërkon burime njerëzore, përveç fazës së monitorimit, por nga ana tjetër, nuk jep zgjidhje të </w:t>
            </w:r>
            <w:r w:rsidR="009B33A6">
              <w:rPr>
                <w:color w:val="000000" w:themeColor="text1"/>
              </w:rPr>
              <w:t>t</w:t>
            </w:r>
            <w:r w:rsidR="00BE1224">
              <w:rPr>
                <w:color w:val="000000" w:themeColor="text1"/>
              </w:rPr>
              <w:t>ë</w:t>
            </w:r>
            <w:r w:rsidR="009B33A6">
              <w:rPr>
                <w:color w:val="000000" w:themeColor="text1"/>
              </w:rPr>
              <w:t xml:space="preserve"> problemeve t</w:t>
            </w:r>
            <w:r w:rsidR="00BE1224">
              <w:rPr>
                <w:color w:val="000000" w:themeColor="text1"/>
              </w:rPr>
              <w:t>ë</w:t>
            </w:r>
            <w:r w:rsidR="009B33A6">
              <w:rPr>
                <w:color w:val="000000" w:themeColor="text1"/>
              </w:rPr>
              <w:t xml:space="preserve"> paraqitura m</w:t>
            </w:r>
            <w:r w:rsidR="00BE1224">
              <w:rPr>
                <w:color w:val="000000" w:themeColor="text1"/>
              </w:rPr>
              <w:t>ë</w:t>
            </w:r>
            <w:r w:rsidR="009B33A6">
              <w:rPr>
                <w:color w:val="000000" w:themeColor="text1"/>
              </w:rPr>
              <w:t xml:space="preserve"> sip</w:t>
            </w:r>
            <w:r w:rsidR="00BE1224">
              <w:rPr>
                <w:color w:val="000000" w:themeColor="text1"/>
              </w:rPr>
              <w:t>ë</w:t>
            </w:r>
            <w:r w:rsidR="009B33A6">
              <w:rPr>
                <w:color w:val="000000" w:themeColor="text1"/>
              </w:rPr>
              <w:t xml:space="preserve">r. </w:t>
            </w:r>
            <w:r w:rsidRPr="72AAA341">
              <w:rPr>
                <w:color w:val="000000" w:themeColor="text1"/>
              </w:rPr>
              <w:t xml:space="preserve">Të gjitha ato situata juridike që kërkojnë ndërhyrje nëpërmjet ndryshimeve ligjore, ngelen të parregulluara dhe të patrajtuara sipas nevojave të sotme praktike. Ky opsion nuk sjell ndryshime në kuadrin ligjor, por rrjedhimisht nuk </w:t>
            </w:r>
            <w:r w:rsidR="00BC09C0">
              <w:rPr>
                <w:color w:val="000000" w:themeColor="text1"/>
              </w:rPr>
              <w:t>kontribuon n</w:t>
            </w:r>
            <w:r w:rsidR="00A90D65">
              <w:rPr>
                <w:color w:val="000000" w:themeColor="text1"/>
              </w:rPr>
              <w:t>ë</w:t>
            </w:r>
            <w:r w:rsidR="00BC09C0">
              <w:rPr>
                <w:color w:val="000000" w:themeColor="text1"/>
              </w:rPr>
              <w:t xml:space="preserve"> zgjidhjen e problemeve t</w:t>
            </w:r>
            <w:r w:rsidR="00A90D65">
              <w:rPr>
                <w:color w:val="000000" w:themeColor="text1"/>
              </w:rPr>
              <w:t>ë</w:t>
            </w:r>
            <w:r w:rsidR="00BC09C0">
              <w:rPr>
                <w:color w:val="000000" w:themeColor="text1"/>
              </w:rPr>
              <w:t xml:space="preserve"> evidentuara nga praktika e ATP-s</w:t>
            </w:r>
            <w:r w:rsidR="00A90D65">
              <w:rPr>
                <w:color w:val="000000" w:themeColor="text1"/>
              </w:rPr>
              <w:t>ë</w:t>
            </w:r>
            <w:r w:rsidR="00BC09C0">
              <w:rPr>
                <w:color w:val="000000" w:themeColor="text1"/>
              </w:rPr>
              <w:t>. Mos shtyrja e afatit ligjor mbart rrezikun q</w:t>
            </w:r>
            <w:r w:rsidR="00A90D65">
              <w:rPr>
                <w:color w:val="000000" w:themeColor="text1"/>
              </w:rPr>
              <w:t>ë</w:t>
            </w:r>
            <w:r w:rsidR="00BC09C0">
              <w:rPr>
                <w:color w:val="000000" w:themeColor="text1"/>
              </w:rPr>
              <w:t xml:space="preserve"> qytetar</w:t>
            </w:r>
            <w:r w:rsidR="00A90D65">
              <w:rPr>
                <w:color w:val="000000" w:themeColor="text1"/>
              </w:rPr>
              <w:t>ë</w:t>
            </w:r>
            <w:r w:rsidR="00BC09C0">
              <w:rPr>
                <w:color w:val="000000" w:themeColor="text1"/>
              </w:rPr>
              <w:t>t do i drejtohen gjykatave p</w:t>
            </w:r>
            <w:r w:rsidR="00A90D65">
              <w:rPr>
                <w:color w:val="000000" w:themeColor="text1"/>
              </w:rPr>
              <w:t>ë</w:t>
            </w:r>
            <w:r w:rsidR="00BC09C0">
              <w:rPr>
                <w:color w:val="000000" w:themeColor="text1"/>
              </w:rPr>
              <w:t>r t</w:t>
            </w:r>
            <w:r w:rsidR="00A90D65">
              <w:rPr>
                <w:color w:val="000000" w:themeColor="text1"/>
              </w:rPr>
              <w:t>ë</w:t>
            </w:r>
            <w:r w:rsidR="00BC09C0">
              <w:rPr>
                <w:color w:val="000000" w:themeColor="text1"/>
              </w:rPr>
              <w:t xml:space="preserve"> k</w:t>
            </w:r>
            <w:r w:rsidR="00A90D65">
              <w:rPr>
                <w:color w:val="000000" w:themeColor="text1"/>
              </w:rPr>
              <w:t>ë</w:t>
            </w:r>
            <w:r w:rsidR="00BC09C0">
              <w:rPr>
                <w:color w:val="000000" w:themeColor="text1"/>
              </w:rPr>
              <w:t>rkuar t</w:t>
            </w:r>
            <w:r w:rsidR="00A90D65">
              <w:rPr>
                <w:color w:val="000000" w:themeColor="text1"/>
              </w:rPr>
              <w:t>ë</w:t>
            </w:r>
            <w:r w:rsidR="00BC09C0">
              <w:rPr>
                <w:color w:val="000000" w:themeColor="text1"/>
              </w:rPr>
              <w:t xml:space="preserve"> drejt</w:t>
            </w:r>
            <w:r w:rsidR="00A90D65">
              <w:rPr>
                <w:color w:val="000000" w:themeColor="text1"/>
              </w:rPr>
              <w:t>ë</w:t>
            </w:r>
            <w:r w:rsidR="00BC09C0">
              <w:rPr>
                <w:color w:val="000000" w:themeColor="text1"/>
              </w:rPr>
              <w:t>n e tyre, gj</w:t>
            </w:r>
            <w:r w:rsidR="00A90D65">
              <w:rPr>
                <w:color w:val="000000" w:themeColor="text1"/>
              </w:rPr>
              <w:t>ë</w:t>
            </w:r>
            <w:r w:rsidR="00BC09C0">
              <w:rPr>
                <w:color w:val="000000" w:themeColor="text1"/>
              </w:rPr>
              <w:t xml:space="preserve"> q</w:t>
            </w:r>
            <w:r w:rsidR="00A90D65">
              <w:rPr>
                <w:color w:val="000000" w:themeColor="text1"/>
              </w:rPr>
              <w:t>ë</w:t>
            </w:r>
            <w:r w:rsidR="00BC09C0">
              <w:rPr>
                <w:color w:val="000000" w:themeColor="text1"/>
              </w:rPr>
              <w:t xml:space="preserve"> do t</w:t>
            </w:r>
            <w:r w:rsidR="00A90D65">
              <w:rPr>
                <w:color w:val="000000" w:themeColor="text1"/>
              </w:rPr>
              <w:t>ë</w:t>
            </w:r>
            <w:r w:rsidR="00BC09C0">
              <w:rPr>
                <w:color w:val="000000" w:themeColor="text1"/>
              </w:rPr>
              <w:t xml:space="preserve"> sjell</w:t>
            </w:r>
            <w:r w:rsidR="00A90D65">
              <w:rPr>
                <w:color w:val="000000" w:themeColor="text1"/>
              </w:rPr>
              <w:t>ë</w:t>
            </w:r>
            <w:r w:rsidR="00BC09C0">
              <w:rPr>
                <w:color w:val="000000" w:themeColor="text1"/>
              </w:rPr>
              <w:t xml:space="preserve"> edhe shtimin e ngarkes</w:t>
            </w:r>
            <w:r w:rsidR="00A90D65">
              <w:rPr>
                <w:color w:val="000000" w:themeColor="text1"/>
              </w:rPr>
              <w:t>ë</w:t>
            </w:r>
            <w:r w:rsidR="00BC09C0">
              <w:rPr>
                <w:color w:val="000000" w:themeColor="text1"/>
              </w:rPr>
              <w:t>s s</w:t>
            </w:r>
            <w:r w:rsidR="00A90D65">
              <w:rPr>
                <w:color w:val="000000" w:themeColor="text1"/>
              </w:rPr>
              <w:t>ë</w:t>
            </w:r>
            <w:r w:rsidR="00BC09C0">
              <w:rPr>
                <w:color w:val="000000" w:themeColor="text1"/>
              </w:rPr>
              <w:t xml:space="preserve"> pun</w:t>
            </w:r>
            <w:r w:rsidR="00A90D65">
              <w:rPr>
                <w:color w:val="000000" w:themeColor="text1"/>
              </w:rPr>
              <w:t>ë</w:t>
            </w:r>
            <w:r w:rsidR="00BC09C0">
              <w:rPr>
                <w:color w:val="000000" w:themeColor="text1"/>
              </w:rPr>
              <w:t>s s</w:t>
            </w:r>
            <w:r w:rsidR="00A90D65">
              <w:rPr>
                <w:color w:val="000000" w:themeColor="text1"/>
              </w:rPr>
              <w:t>ë</w:t>
            </w:r>
            <w:r w:rsidR="00BC09C0">
              <w:rPr>
                <w:color w:val="000000" w:themeColor="text1"/>
              </w:rPr>
              <w:t xml:space="preserve"> tyre dhe t</w:t>
            </w:r>
            <w:r w:rsidR="00A90D65">
              <w:rPr>
                <w:color w:val="000000" w:themeColor="text1"/>
              </w:rPr>
              <w:t>ë</w:t>
            </w:r>
            <w:r w:rsidR="00BC09C0">
              <w:rPr>
                <w:color w:val="000000" w:themeColor="text1"/>
              </w:rPr>
              <w:t xml:space="preserve"> backlog.</w:t>
            </w:r>
          </w:p>
          <w:p w14:paraId="5BEB7523" w14:textId="77777777" w:rsidR="008712D5" w:rsidRPr="00FB3897" w:rsidRDefault="008712D5" w:rsidP="007D16E8">
            <w:pPr>
              <w:jc w:val="both"/>
              <w:rPr>
                <w:color w:val="000000" w:themeColor="text1"/>
                <w:szCs w:val="24"/>
                <w:lang w:val="sq-AL"/>
              </w:rPr>
            </w:pPr>
          </w:p>
          <w:p w14:paraId="72F9A11E" w14:textId="3E0C1ABB" w:rsidR="008712D5" w:rsidRPr="005628FC" w:rsidRDefault="72AAA341" w:rsidP="00CA3CF2">
            <w:pPr>
              <w:tabs>
                <w:tab w:val="left" w:pos="720"/>
                <w:tab w:val="left" w:pos="1080"/>
                <w:tab w:val="left" w:pos="1260"/>
              </w:tabs>
              <w:suppressAutoHyphens/>
              <w:spacing w:line="276" w:lineRule="auto"/>
              <w:jc w:val="both"/>
              <w:outlineLvl w:val="0"/>
              <w:rPr>
                <w:lang w:val="sq-AL"/>
              </w:rPr>
            </w:pPr>
            <w:r w:rsidRPr="00A42898">
              <w:rPr>
                <w:b/>
                <w:bCs/>
                <w:lang w:val="sq-AL"/>
              </w:rPr>
              <w:t>Opsioni 1 (rregullator):</w:t>
            </w:r>
            <w:r w:rsidRPr="00A42898">
              <w:rPr>
                <w:lang w:val="sq-AL"/>
              </w:rPr>
              <w:t xml:space="preserve"> – Ndryshimi i ligjit nr.133/2015 “</w:t>
            </w:r>
            <w:r w:rsidRPr="009B33A6">
              <w:rPr>
                <w:lang w:val="sq-AL"/>
              </w:rPr>
              <w:t>Për trajtimin e pronës dhe përfundimin e procesit të kompensimit të pronave”</w:t>
            </w:r>
            <w:r w:rsidR="00BC09C0">
              <w:rPr>
                <w:lang w:val="sq-AL"/>
              </w:rPr>
              <w:t>, t</w:t>
            </w:r>
            <w:r w:rsidR="00A90D65">
              <w:rPr>
                <w:lang w:val="sq-AL"/>
              </w:rPr>
              <w:t>ë</w:t>
            </w:r>
            <w:r w:rsidR="00BC09C0">
              <w:rPr>
                <w:lang w:val="sq-AL"/>
              </w:rPr>
              <w:t xml:space="preserve"> ndryshuar</w:t>
            </w:r>
            <w:r w:rsidRPr="009B33A6">
              <w:rPr>
                <w:lang w:val="sq-AL"/>
              </w:rPr>
              <w:t xml:space="preserve">. Ky opsion kërkon ndërhyrjen e pushtetit legjislativ dhe angazhimin e burimeve njerëzore në hartimin e projektligjit me ndryshimet përkatëse. Nga ana tjetër, përmes këtij opsioni mundësohet arritja e të gjithë objektivave dhe synimeve të </w:t>
            </w:r>
            <w:r w:rsidRPr="009B33A6">
              <w:rPr>
                <w:lang w:val="sq-AL"/>
              </w:rPr>
              <w:lastRenderedPageBreak/>
              <w:t>vendosura</w:t>
            </w:r>
            <w:r w:rsidRPr="005628FC">
              <w:rPr>
                <w:lang w:val="sq-AL"/>
              </w:rPr>
              <w:t xml:space="preserve">. Përmes këtij opsioni, ndërhyrja do të bëhet </w:t>
            </w:r>
            <w:r w:rsidR="00691AAC" w:rsidRPr="005628FC">
              <w:rPr>
                <w:lang w:val="sq-AL"/>
              </w:rPr>
              <w:t>duke p</w:t>
            </w:r>
            <w:r w:rsidR="00BE1224">
              <w:rPr>
                <w:lang w:val="sq-AL"/>
              </w:rPr>
              <w:t>ë</w:t>
            </w:r>
            <w:r w:rsidR="00691AAC" w:rsidRPr="005628FC">
              <w:rPr>
                <w:lang w:val="sq-AL"/>
              </w:rPr>
              <w:t xml:space="preserve">rcaktuar </w:t>
            </w:r>
            <w:r w:rsidR="00BC09C0">
              <w:rPr>
                <w:lang w:val="sq-AL"/>
              </w:rPr>
              <w:t>nj</w:t>
            </w:r>
            <w:r w:rsidR="00A90D65">
              <w:rPr>
                <w:lang w:val="sq-AL"/>
              </w:rPr>
              <w:t>ë</w:t>
            </w:r>
            <w:r w:rsidR="00BC09C0">
              <w:rPr>
                <w:lang w:val="sq-AL"/>
              </w:rPr>
              <w:t xml:space="preserve"> afat objektiv</w:t>
            </w:r>
            <w:r w:rsidR="00217EF0">
              <w:rPr>
                <w:lang w:val="sq-AL"/>
              </w:rPr>
              <w:t xml:space="preserve"> dhe t</w:t>
            </w:r>
            <w:r w:rsidR="00A90D65">
              <w:rPr>
                <w:lang w:val="sq-AL"/>
              </w:rPr>
              <w:t>ë</w:t>
            </w:r>
            <w:r w:rsidR="00217EF0">
              <w:rPr>
                <w:lang w:val="sq-AL"/>
              </w:rPr>
              <w:t xml:space="preserve"> mundsh</w:t>
            </w:r>
            <w:r w:rsidR="00A90D65">
              <w:rPr>
                <w:lang w:val="sq-AL"/>
              </w:rPr>
              <w:t>ë</w:t>
            </w:r>
            <w:r w:rsidR="00217EF0">
              <w:rPr>
                <w:lang w:val="sq-AL"/>
              </w:rPr>
              <w:t>m p</w:t>
            </w:r>
            <w:r w:rsidR="00A90D65">
              <w:rPr>
                <w:lang w:val="sq-AL"/>
              </w:rPr>
              <w:t>ë</w:t>
            </w:r>
            <w:r w:rsidR="00217EF0">
              <w:rPr>
                <w:lang w:val="sq-AL"/>
              </w:rPr>
              <w:t>r t’u arritur me q</w:t>
            </w:r>
            <w:r w:rsidR="00A90D65">
              <w:rPr>
                <w:lang w:val="sq-AL"/>
              </w:rPr>
              <w:t>ë</w:t>
            </w:r>
            <w:r w:rsidR="00217EF0">
              <w:rPr>
                <w:lang w:val="sq-AL"/>
              </w:rPr>
              <w:t>llim p</w:t>
            </w:r>
            <w:r w:rsidR="00A90D65">
              <w:rPr>
                <w:lang w:val="sq-AL"/>
              </w:rPr>
              <w:t>ë</w:t>
            </w:r>
            <w:r w:rsidR="00217EF0">
              <w:rPr>
                <w:lang w:val="sq-AL"/>
              </w:rPr>
              <w:t>rmbylljen e procesit t</w:t>
            </w:r>
            <w:r w:rsidR="00A90D65">
              <w:rPr>
                <w:lang w:val="sq-AL"/>
              </w:rPr>
              <w:t>ë</w:t>
            </w:r>
            <w:r w:rsidR="00217EF0">
              <w:rPr>
                <w:lang w:val="sq-AL"/>
              </w:rPr>
              <w:t xml:space="preserve"> kompensimit t</w:t>
            </w:r>
            <w:r w:rsidR="00A90D65">
              <w:rPr>
                <w:lang w:val="sq-AL"/>
              </w:rPr>
              <w:t>ë</w:t>
            </w:r>
            <w:r w:rsidR="00217EF0">
              <w:rPr>
                <w:lang w:val="sq-AL"/>
              </w:rPr>
              <w:t xml:space="preserve"> pronave. </w:t>
            </w:r>
          </w:p>
          <w:p w14:paraId="6DA70132" w14:textId="77777777" w:rsidR="008712D5" w:rsidRDefault="008712D5" w:rsidP="007D16E8">
            <w:pPr>
              <w:jc w:val="both"/>
              <w:rPr>
                <w:szCs w:val="24"/>
                <w:lang w:val="sq-AL"/>
              </w:rPr>
            </w:pPr>
          </w:p>
          <w:p w14:paraId="1A2CAFCD" w14:textId="2CC946AE" w:rsidR="009800FB" w:rsidRPr="00797812" w:rsidRDefault="72AAA341" w:rsidP="00135332">
            <w:pPr>
              <w:jc w:val="both"/>
              <w:rPr>
                <w:color w:val="000000" w:themeColor="text1"/>
                <w:lang w:val="sq-AL"/>
              </w:rPr>
            </w:pPr>
            <w:r w:rsidRPr="00FB3897">
              <w:rPr>
                <w:b/>
                <w:bCs/>
                <w:color w:val="000000" w:themeColor="text1"/>
                <w:lang w:val="sq-AL"/>
              </w:rPr>
              <w:t>Opsioni 2</w:t>
            </w:r>
            <w:r w:rsidRPr="00FB3897">
              <w:rPr>
                <w:color w:val="000000" w:themeColor="text1"/>
                <w:lang w:val="sq-AL"/>
              </w:rPr>
              <w:t xml:space="preserve"> – Miratimi i një ligji të ri,</w:t>
            </w:r>
            <w:r w:rsidR="005628FC">
              <w:rPr>
                <w:color w:val="000000" w:themeColor="text1"/>
                <w:lang w:val="sq-AL"/>
              </w:rPr>
              <w:t xml:space="preserve"> n</w:t>
            </w:r>
            <w:r w:rsidR="00BE1224">
              <w:rPr>
                <w:color w:val="000000" w:themeColor="text1"/>
                <w:lang w:val="sq-AL"/>
              </w:rPr>
              <w:t>ë</w:t>
            </w:r>
            <w:r w:rsidR="005628FC">
              <w:rPr>
                <w:color w:val="000000" w:themeColor="text1"/>
                <w:lang w:val="sq-AL"/>
              </w:rPr>
              <w:t xml:space="preserve"> vler</w:t>
            </w:r>
            <w:r w:rsidR="00BE1224">
              <w:rPr>
                <w:color w:val="000000" w:themeColor="text1"/>
                <w:lang w:val="sq-AL"/>
              </w:rPr>
              <w:t>ë</w:t>
            </w:r>
            <w:r w:rsidR="005628FC">
              <w:rPr>
                <w:color w:val="000000" w:themeColor="text1"/>
                <w:lang w:val="sq-AL"/>
              </w:rPr>
              <w:t>simin ton</w:t>
            </w:r>
            <w:r w:rsidR="00BE1224">
              <w:rPr>
                <w:color w:val="000000" w:themeColor="text1"/>
                <w:lang w:val="sq-AL"/>
              </w:rPr>
              <w:t>ë</w:t>
            </w:r>
            <w:r w:rsidR="005628FC">
              <w:rPr>
                <w:color w:val="000000" w:themeColor="text1"/>
                <w:lang w:val="sq-AL"/>
              </w:rPr>
              <w:t xml:space="preserve"> nuk duket t</w:t>
            </w:r>
            <w:r w:rsidR="00BE1224">
              <w:rPr>
                <w:color w:val="000000" w:themeColor="text1"/>
                <w:lang w:val="sq-AL"/>
              </w:rPr>
              <w:t>ë</w:t>
            </w:r>
            <w:r w:rsidR="005628FC">
              <w:rPr>
                <w:color w:val="000000" w:themeColor="text1"/>
                <w:lang w:val="sq-AL"/>
              </w:rPr>
              <w:t xml:space="preserve"> jet</w:t>
            </w:r>
            <w:r w:rsidR="00BE1224">
              <w:rPr>
                <w:color w:val="000000" w:themeColor="text1"/>
                <w:lang w:val="sq-AL"/>
              </w:rPr>
              <w:t>ë</w:t>
            </w:r>
            <w:r w:rsidR="005628FC">
              <w:rPr>
                <w:color w:val="000000" w:themeColor="text1"/>
                <w:lang w:val="sq-AL"/>
              </w:rPr>
              <w:t xml:space="preserve"> opsioni m</w:t>
            </w:r>
            <w:r w:rsidR="00BE1224">
              <w:rPr>
                <w:color w:val="000000" w:themeColor="text1"/>
                <w:lang w:val="sq-AL"/>
              </w:rPr>
              <w:t>ë</w:t>
            </w:r>
            <w:r w:rsidR="005628FC">
              <w:rPr>
                <w:color w:val="000000" w:themeColor="text1"/>
                <w:lang w:val="sq-AL"/>
              </w:rPr>
              <w:t xml:space="preserve"> i mir</w:t>
            </w:r>
            <w:r w:rsidR="00A90D65">
              <w:rPr>
                <w:color w:val="000000" w:themeColor="text1"/>
                <w:lang w:val="sq-AL"/>
              </w:rPr>
              <w:t>ë</w:t>
            </w:r>
            <w:r w:rsidR="005628FC">
              <w:rPr>
                <w:color w:val="000000" w:themeColor="text1"/>
                <w:lang w:val="sq-AL"/>
              </w:rPr>
              <w:t>, i cili jo vet</w:t>
            </w:r>
            <w:r w:rsidR="00BE1224">
              <w:rPr>
                <w:color w:val="000000" w:themeColor="text1"/>
                <w:lang w:val="sq-AL"/>
              </w:rPr>
              <w:t>ë</w:t>
            </w:r>
            <w:r w:rsidR="005628FC">
              <w:rPr>
                <w:color w:val="000000" w:themeColor="text1"/>
                <w:lang w:val="sq-AL"/>
              </w:rPr>
              <w:t>n do t</w:t>
            </w:r>
            <w:r w:rsidR="00BE1224">
              <w:rPr>
                <w:color w:val="000000" w:themeColor="text1"/>
                <w:lang w:val="sq-AL"/>
              </w:rPr>
              <w:t>ë</w:t>
            </w:r>
            <w:r w:rsidR="005628FC">
              <w:rPr>
                <w:color w:val="000000" w:themeColor="text1"/>
                <w:lang w:val="sq-AL"/>
              </w:rPr>
              <w:t xml:space="preserve"> c</w:t>
            </w:r>
            <w:r w:rsidR="00BE1224">
              <w:rPr>
                <w:color w:val="000000" w:themeColor="text1"/>
                <w:lang w:val="sq-AL"/>
              </w:rPr>
              <w:t>ë</w:t>
            </w:r>
            <w:r w:rsidR="005628FC">
              <w:rPr>
                <w:color w:val="000000" w:themeColor="text1"/>
                <w:lang w:val="sq-AL"/>
              </w:rPr>
              <w:t>nonte primin e siguris</w:t>
            </w:r>
            <w:r w:rsidR="00BE1224">
              <w:rPr>
                <w:color w:val="000000" w:themeColor="text1"/>
                <w:lang w:val="sq-AL"/>
              </w:rPr>
              <w:t>ë</w:t>
            </w:r>
            <w:r w:rsidR="005628FC">
              <w:rPr>
                <w:color w:val="000000" w:themeColor="text1"/>
                <w:lang w:val="sq-AL"/>
              </w:rPr>
              <w:t xml:space="preserve"> juridike</w:t>
            </w:r>
            <w:r w:rsidRPr="00FB3897">
              <w:rPr>
                <w:color w:val="000000" w:themeColor="text1"/>
                <w:lang w:val="sq-AL"/>
              </w:rPr>
              <w:t xml:space="preserve"> por </w:t>
            </w:r>
            <w:r w:rsidR="005628FC">
              <w:rPr>
                <w:color w:val="000000" w:themeColor="text1"/>
                <w:lang w:val="sq-AL"/>
              </w:rPr>
              <w:t>do t</w:t>
            </w:r>
            <w:r w:rsidR="00BE1224">
              <w:rPr>
                <w:color w:val="000000" w:themeColor="text1"/>
                <w:lang w:val="sq-AL"/>
              </w:rPr>
              <w:t>ë</w:t>
            </w:r>
            <w:r w:rsidR="005628FC">
              <w:rPr>
                <w:color w:val="000000" w:themeColor="text1"/>
                <w:lang w:val="sq-AL"/>
              </w:rPr>
              <w:t xml:space="preserve"> k</w:t>
            </w:r>
            <w:r w:rsidR="00BE1224">
              <w:rPr>
                <w:color w:val="000000" w:themeColor="text1"/>
                <w:lang w:val="sq-AL"/>
              </w:rPr>
              <w:t>ë</w:t>
            </w:r>
            <w:r w:rsidR="005628FC">
              <w:rPr>
                <w:color w:val="000000" w:themeColor="text1"/>
                <w:lang w:val="sq-AL"/>
              </w:rPr>
              <w:t>rkonte koh</w:t>
            </w:r>
            <w:r w:rsidR="00BE1224">
              <w:rPr>
                <w:color w:val="000000" w:themeColor="text1"/>
                <w:lang w:val="sq-AL"/>
              </w:rPr>
              <w:t>ë</w:t>
            </w:r>
            <w:r w:rsidR="005628FC">
              <w:rPr>
                <w:color w:val="000000" w:themeColor="text1"/>
                <w:lang w:val="sq-AL"/>
              </w:rPr>
              <w:t xml:space="preserve"> dhe </w:t>
            </w:r>
            <w:r w:rsidRPr="00FB3897">
              <w:rPr>
                <w:color w:val="000000" w:themeColor="text1"/>
                <w:lang w:val="sq-AL"/>
              </w:rPr>
              <w:t xml:space="preserve">angazhimin e shumë burimeve financiare. </w:t>
            </w:r>
            <w:r w:rsidR="00797812">
              <w:rPr>
                <w:color w:val="000000" w:themeColor="text1"/>
                <w:lang w:val="sq-AL"/>
              </w:rPr>
              <w:t>Metodologjia e kompensimit t</w:t>
            </w:r>
            <w:r w:rsidR="00A90D65">
              <w:rPr>
                <w:color w:val="000000" w:themeColor="text1"/>
                <w:lang w:val="sq-AL"/>
              </w:rPr>
              <w:t>ë</w:t>
            </w:r>
            <w:r w:rsidR="00797812">
              <w:rPr>
                <w:color w:val="000000" w:themeColor="text1"/>
                <w:lang w:val="sq-AL"/>
              </w:rPr>
              <w:t xml:space="preserve"> pronave dhe formula p</w:t>
            </w:r>
            <w:r w:rsidR="00A90D65">
              <w:rPr>
                <w:color w:val="000000" w:themeColor="text1"/>
                <w:lang w:val="sq-AL"/>
              </w:rPr>
              <w:t>ë</w:t>
            </w:r>
            <w:r w:rsidR="00797812">
              <w:rPr>
                <w:color w:val="000000" w:themeColor="text1"/>
                <w:lang w:val="sq-AL"/>
              </w:rPr>
              <w:t>rkat</w:t>
            </w:r>
            <w:r w:rsidR="00A90D65">
              <w:rPr>
                <w:color w:val="000000" w:themeColor="text1"/>
                <w:lang w:val="sq-AL"/>
              </w:rPr>
              <w:t>ë</w:t>
            </w:r>
            <w:r w:rsidR="00797812">
              <w:rPr>
                <w:color w:val="000000" w:themeColor="text1"/>
                <w:lang w:val="sq-AL"/>
              </w:rPr>
              <w:t>se jan</w:t>
            </w:r>
            <w:r w:rsidR="00A90D65">
              <w:rPr>
                <w:color w:val="000000" w:themeColor="text1"/>
                <w:lang w:val="sq-AL"/>
              </w:rPr>
              <w:t>ë</w:t>
            </w:r>
            <w:r w:rsidR="00797812">
              <w:rPr>
                <w:color w:val="000000" w:themeColor="text1"/>
                <w:lang w:val="sq-AL"/>
              </w:rPr>
              <w:t xml:space="preserve"> shqyrtuar nga Gjykata Kushtetuese, e cila në jurisprudenc</w:t>
            </w:r>
            <w:r w:rsidR="00A90D65">
              <w:rPr>
                <w:color w:val="000000" w:themeColor="text1"/>
                <w:lang w:val="sq-AL"/>
              </w:rPr>
              <w:t>ë</w:t>
            </w:r>
            <w:r w:rsidR="00797812">
              <w:rPr>
                <w:color w:val="000000" w:themeColor="text1"/>
                <w:lang w:val="sq-AL"/>
              </w:rPr>
              <w:t>n e saj ka afirmuar kushtetutshm</w:t>
            </w:r>
            <w:r w:rsidR="00A90D65">
              <w:rPr>
                <w:color w:val="000000" w:themeColor="text1"/>
                <w:lang w:val="sq-AL"/>
              </w:rPr>
              <w:t>ë</w:t>
            </w:r>
            <w:r w:rsidR="00797812">
              <w:rPr>
                <w:color w:val="000000" w:themeColor="text1"/>
                <w:lang w:val="sq-AL"/>
              </w:rPr>
              <w:t>rin</w:t>
            </w:r>
            <w:r w:rsidR="00A90D65">
              <w:rPr>
                <w:color w:val="000000" w:themeColor="text1"/>
                <w:lang w:val="sq-AL"/>
              </w:rPr>
              <w:t>ë</w:t>
            </w:r>
            <w:r w:rsidR="00797812">
              <w:rPr>
                <w:color w:val="000000" w:themeColor="text1"/>
                <w:lang w:val="sq-AL"/>
              </w:rPr>
              <w:t xml:space="preserve"> e tyre, ndaj nuk vler</w:t>
            </w:r>
            <w:r w:rsidR="00A90D65">
              <w:rPr>
                <w:color w:val="000000" w:themeColor="text1"/>
                <w:lang w:val="sq-AL"/>
              </w:rPr>
              <w:t>ë</w:t>
            </w:r>
            <w:r w:rsidR="00797812">
              <w:rPr>
                <w:color w:val="000000" w:themeColor="text1"/>
                <w:lang w:val="sq-AL"/>
              </w:rPr>
              <w:t>sohet e nevojshme ndryshimi në k</w:t>
            </w:r>
            <w:r w:rsidR="00A90D65">
              <w:rPr>
                <w:color w:val="000000" w:themeColor="text1"/>
                <w:lang w:val="sq-AL"/>
              </w:rPr>
              <w:t>ë</w:t>
            </w:r>
            <w:r w:rsidR="00797812">
              <w:rPr>
                <w:color w:val="000000" w:themeColor="text1"/>
                <w:lang w:val="sq-AL"/>
              </w:rPr>
              <w:t>t</w:t>
            </w:r>
            <w:r w:rsidR="00A90D65">
              <w:rPr>
                <w:color w:val="000000" w:themeColor="text1"/>
                <w:lang w:val="sq-AL"/>
              </w:rPr>
              <w:t>ë</w:t>
            </w:r>
            <w:r w:rsidR="00797812">
              <w:rPr>
                <w:color w:val="000000" w:themeColor="text1"/>
                <w:lang w:val="sq-AL"/>
              </w:rPr>
              <w:t xml:space="preserve"> aspekt. Po ashtu, hartimi i nj</w:t>
            </w:r>
            <w:r w:rsidR="00A90D65">
              <w:rPr>
                <w:color w:val="000000" w:themeColor="text1"/>
                <w:lang w:val="sq-AL"/>
              </w:rPr>
              <w:t>ë</w:t>
            </w:r>
            <w:r w:rsidR="00797812">
              <w:rPr>
                <w:color w:val="000000" w:themeColor="text1"/>
                <w:lang w:val="sq-AL"/>
              </w:rPr>
              <w:t xml:space="preserve"> ligji t</w:t>
            </w:r>
            <w:r w:rsidR="00A90D65">
              <w:rPr>
                <w:color w:val="000000" w:themeColor="text1"/>
                <w:lang w:val="sq-AL"/>
              </w:rPr>
              <w:t>ë</w:t>
            </w:r>
            <w:r w:rsidR="00797812">
              <w:rPr>
                <w:color w:val="000000" w:themeColor="text1"/>
                <w:lang w:val="sq-AL"/>
              </w:rPr>
              <w:t xml:space="preserve"> ri k</w:t>
            </w:r>
            <w:r w:rsidR="00A90D65">
              <w:rPr>
                <w:color w:val="000000" w:themeColor="text1"/>
                <w:lang w:val="sq-AL"/>
              </w:rPr>
              <w:t>ë</w:t>
            </w:r>
            <w:r w:rsidR="00797812">
              <w:rPr>
                <w:color w:val="000000" w:themeColor="text1"/>
                <w:lang w:val="sq-AL"/>
              </w:rPr>
              <w:t>rkon angazhimin e shum</w:t>
            </w:r>
            <w:r w:rsidR="00A90D65">
              <w:rPr>
                <w:color w:val="000000" w:themeColor="text1"/>
                <w:lang w:val="sq-AL"/>
              </w:rPr>
              <w:t>ë</w:t>
            </w:r>
            <w:r w:rsidR="00797812">
              <w:rPr>
                <w:color w:val="000000" w:themeColor="text1"/>
                <w:lang w:val="sq-AL"/>
              </w:rPr>
              <w:t xml:space="preserve"> burimeve financiare, shum</w:t>
            </w:r>
            <w:r w:rsidR="00A90D65">
              <w:rPr>
                <w:color w:val="000000" w:themeColor="text1"/>
                <w:lang w:val="sq-AL"/>
              </w:rPr>
              <w:t>ë</w:t>
            </w:r>
            <w:r w:rsidR="00797812">
              <w:rPr>
                <w:color w:val="000000" w:themeColor="text1"/>
                <w:lang w:val="sq-AL"/>
              </w:rPr>
              <w:t xml:space="preserve"> koh</w:t>
            </w:r>
            <w:r w:rsidR="00A90D65">
              <w:rPr>
                <w:color w:val="000000" w:themeColor="text1"/>
                <w:lang w:val="sq-AL"/>
              </w:rPr>
              <w:t>ë</w:t>
            </w:r>
            <w:r w:rsidR="00797812">
              <w:rPr>
                <w:color w:val="000000" w:themeColor="text1"/>
                <w:lang w:val="sq-AL"/>
              </w:rPr>
              <w:t xml:space="preserve"> p</w:t>
            </w:r>
            <w:r w:rsidR="00A90D65">
              <w:rPr>
                <w:color w:val="000000" w:themeColor="text1"/>
                <w:lang w:val="sq-AL"/>
              </w:rPr>
              <w:t>ë</w:t>
            </w:r>
            <w:r w:rsidR="00797812">
              <w:rPr>
                <w:color w:val="000000" w:themeColor="text1"/>
                <w:lang w:val="sq-AL"/>
              </w:rPr>
              <w:t>r t</w:t>
            </w:r>
            <w:r w:rsidR="00A90D65">
              <w:rPr>
                <w:color w:val="000000" w:themeColor="text1"/>
                <w:lang w:val="sq-AL"/>
              </w:rPr>
              <w:t>ë</w:t>
            </w:r>
            <w:r w:rsidR="00797812">
              <w:rPr>
                <w:color w:val="000000" w:themeColor="text1"/>
                <w:lang w:val="sq-AL"/>
              </w:rPr>
              <w:t xml:space="preserve"> studiuar dhe analizuar shembuj t</w:t>
            </w:r>
            <w:r w:rsidR="00A90D65">
              <w:rPr>
                <w:color w:val="000000" w:themeColor="text1"/>
                <w:lang w:val="sq-AL"/>
              </w:rPr>
              <w:t>ë</w:t>
            </w:r>
            <w:r w:rsidR="00797812">
              <w:rPr>
                <w:color w:val="000000" w:themeColor="text1"/>
                <w:lang w:val="sq-AL"/>
              </w:rPr>
              <w:t xml:space="preserve"> legjislacioneve t</w:t>
            </w:r>
            <w:r w:rsidR="00A90D65">
              <w:rPr>
                <w:color w:val="000000" w:themeColor="text1"/>
                <w:lang w:val="sq-AL"/>
              </w:rPr>
              <w:t>ë</w:t>
            </w:r>
            <w:r w:rsidR="00797812">
              <w:rPr>
                <w:color w:val="000000" w:themeColor="text1"/>
                <w:lang w:val="sq-AL"/>
              </w:rPr>
              <w:t xml:space="preserve"> vendeve t</w:t>
            </w:r>
            <w:r w:rsidR="00A90D65">
              <w:rPr>
                <w:color w:val="000000" w:themeColor="text1"/>
                <w:lang w:val="sq-AL"/>
              </w:rPr>
              <w:t>ë</w:t>
            </w:r>
            <w:r w:rsidR="00797812">
              <w:rPr>
                <w:color w:val="000000" w:themeColor="text1"/>
                <w:lang w:val="sq-AL"/>
              </w:rPr>
              <w:t xml:space="preserve"> tjera, si dhe p</w:t>
            </w:r>
            <w:r w:rsidR="00A90D65">
              <w:rPr>
                <w:color w:val="000000" w:themeColor="text1"/>
                <w:lang w:val="sq-AL"/>
              </w:rPr>
              <w:t>ë</w:t>
            </w:r>
            <w:r w:rsidR="00797812">
              <w:rPr>
                <w:color w:val="000000" w:themeColor="text1"/>
                <w:lang w:val="sq-AL"/>
              </w:rPr>
              <w:t>r konsultimin. Po ashtu, nuk jan</w:t>
            </w:r>
            <w:r w:rsidR="00A90D65">
              <w:rPr>
                <w:color w:val="000000" w:themeColor="text1"/>
                <w:lang w:val="sq-AL"/>
              </w:rPr>
              <w:t>ë</w:t>
            </w:r>
            <w:r w:rsidR="00797812">
              <w:rPr>
                <w:color w:val="000000" w:themeColor="text1"/>
                <w:lang w:val="sq-AL"/>
              </w:rPr>
              <w:t xml:space="preserve"> evidentuar problematika në praktik</w:t>
            </w:r>
            <w:r w:rsidR="00A90D65">
              <w:rPr>
                <w:color w:val="000000" w:themeColor="text1"/>
                <w:lang w:val="sq-AL"/>
              </w:rPr>
              <w:t>ë</w:t>
            </w:r>
            <w:r w:rsidR="00797812">
              <w:rPr>
                <w:color w:val="000000" w:themeColor="text1"/>
                <w:lang w:val="sq-AL"/>
              </w:rPr>
              <w:t xml:space="preserve"> nga ATP apo grupet e interesit p</w:t>
            </w:r>
            <w:r w:rsidR="00A90D65">
              <w:rPr>
                <w:color w:val="000000" w:themeColor="text1"/>
                <w:lang w:val="sq-AL"/>
              </w:rPr>
              <w:t>ë</w:t>
            </w:r>
            <w:r w:rsidR="00797812">
              <w:rPr>
                <w:color w:val="000000" w:themeColor="text1"/>
                <w:lang w:val="sq-AL"/>
              </w:rPr>
              <w:t>r ç</w:t>
            </w:r>
            <w:r w:rsidR="00A90D65">
              <w:rPr>
                <w:color w:val="000000" w:themeColor="text1"/>
                <w:lang w:val="sq-AL"/>
              </w:rPr>
              <w:t>ë</w:t>
            </w:r>
            <w:r w:rsidR="00797812">
              <w:rPr>
                <w:color w:val="000000" w:themeColor="text1"/>
                <w:lang w:val="sq-AL"/>
              </w:rPr>
              <w:t>shtje t</w:t>
            </w:r>
            <w:r w:rsidR="00A90D65">
              <w:rPr>
                <w:color w:val="000000" w:themeColor="text1"/>
                <w:lang w:val="sq-AL"/>
              </w:rPr>
              <w:t>ë</w:t>
            </w:r>
            <w:r w:rsidR="00797812">
              <w:rPr>
                <w:color w:val="000000" w:themeColor="text1"/>
                <w:lang w:val="sq-AL"/>
              </w:rPr>
              <w:t xml:space="preserve"> tjera, p</w:t>
            </w:r>
            <w:r w:rsidR="00A90D65">
              <w:rPr>
                <w:color w:val="000000" w:themeColor="text1"/>
                <w:lang w:val="sq-AL"/>
              </w:rPr>
              <w:t>ë</w:t>
            </w:r>
            <w:r w:rsidR="00797812">
              <w:rPr>
                <w:color w:val="000000" w:themeColor="text1"/>
                <w:lang w:val="sq-AL"/>
              </w:rPr>
              <w:t>rveç atyre t</w:t>
            </w:r>
            <w:r w:rsidR="00A90D65">
              <w:rPr>
                <w:color w:val="000000" w:themeColor="text1"/>
                <w:lang w:val="sq-AL"/>
              </w:rPr>
              <w:t>ë</w:t>
            </w:r>
            <w:r w:rsidR="00797812">
              <w:rPr>
                <w:color w:val="000000" w:themeColor="text1"/>
                <w:lang w:val="sq-AL"/>
              </w:rPr>
              <w:t xml:space="preserve"> identifikuara m</w:t>
            </w:r>
            <w:r w:rsidR="00A90D65">
              <w:rPr>
                <w:color w:val="000000" w:themeColor="text1"/>
                <w:lang w:val="sq-AL"/>
              </w:rPr>
              <w:t>ë</w:t>
            </w:r>
            <w:r w:rsidR="00797812">
              <w:rPr>
                <w:color w:val="000000" w:themeColor="text1"/>
                <w:lang w:val="sq-AL"/>
              </w:rPr>
              <w:t xml:space="preserve"> lart.</w:t>
            </w:r>
          </w:p>
        </w:tc>
      </w:tr>
      <w:tr w:rsidR="00CA40EE" w:rsidRPr="00014853" w14:paraId="6FFE6926" w14:textId="77777777" w:rsidTr="1044839F">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2851D" w14:textId="23393692" w:rsidR="00CA40EE" w:rsidRPr="00325A1F" w:rsidRDefault="72AAA341" w:rsidP="72AAA341">
            <w:pPr>
              <w:spacing w:line="276" w:lineRule="auto"/>
              <w:jc w:val="both"/>
              <w:rPr>
                <w:b/>
                <w:bCs/>
                <w:lang w:val="sq-AL"/>
              </w:rPr>
            </w:pPr>
            <w:r w:rsidRPr="72AAA341">
              <w:rPr>
                <w:b/>
                <w:bCs/>
                <w:lang w:val="sq-AL"/>
              </w:rPr>
              <w:lastRenderedPageBreak/>
              <w:t>ANALIZA E NDIKIMEVE</w:t>
            </w:r>
          </w:p>
          <w:p w14:paraId="3AD95E49" w14:textId="77777777" w:rsidR="004045D6" w:rsidRPr="00FB3897" w:rsidRDefault="006E7CFB" w:rsidP="00027038">
            <w:pPr>
              <w:spacing w:line="276" w:lineRule="auto"/>
              <w:jc w:val="both"/>
              <w:rPr>
                <w:i/>
                <w:szCs w:val="24"/>
                <w:lang w:val="it-IT"/>
              </w:rPr>
            </w:pPr>
            <w:r>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FB3897">
              <w:rPr>
                <w:i/>
                <w:szCs w:val="24"/>
                <w:lang w:val="it-IT"/>
              </w:rPr>
              <w:instrText xml:space="preserve"> FORMTEXT </w:instrText>
            </w:r>
            <w:r>
              <w:rPr>
                <w:i/>
                <w:szCs w:val="24"/>
              </w:rPr>
            </w:r>
            <w:r>
              <w:rPr>
                <w:i/>
                <w:szCs w:val="24"/>
              </w:rPr>
              <w:fldChar w:fldCharType="separate"/>
            </w:r>
            <w:r w:rsidRPr="00FB3897">
              <w:rPr>
                <w:i/>
                <w:noProof/>
                <w:szCs w:val="24"/>
                <w:lang w:val="it-IT"/>
              </w:rPr>
              <w:t>Cilat janë ndikimet e opsionit të preferuar? Kjo duhet të përshkruajë ndikimet në mënyrë sasiore  (monetare) dhe cilësore (narrative) mbi buxhetin dhe grupet e tjera të prekura. (jo më shumë se 10 rreshta)</w:t>
            </w:r>
            <w:r>
              <w:rPr>
                <w:i/>
                <w:szCs w:val="24"/>
              </w:rPr>
              <w:fldChar w:fldCharType="end"/>
            </w:r>
          </w:p>
          <w:p w14:paraId="4002EB90" w14:textId="77777777" w:rsidR="003B0287" w:rsidRDefault="003B0287" w:rsidP="72AAA341">
            <w:pPr>
              <w:spacing w:line="276" w:lineRule="auto"/>
              <w:jc w:val="both"/>
              <w:rPr>
                <w:i/>
                <w:iCs/>
                <w:lang w:val="it-IT"/>
              </w:rPr>
            </w:pPr>
          </w:p>
          <w:p w14:paraId="0B2F0B1C" w14:textId="32579A56" w:rsidR="004A12C0" w:rsidRPr="00DB1189" w:rsidRDefault="004A12C0" w:rsidP="004A12C0">
            <w:pPr>
              <w:pStyle w:val="NoSpacing"/>
              <w:spacing w:after="200" w:line="276" w:lineRule="auto"/>
              <w:jc w:val="both"/>
              <w:rPr>
                <w:rFonts w:ascii="Times New Roman" w:hAnsi="Times New Roman"/>
                <w:sz w:val="24"/>
                <w:szCs w:val="24"/>
              </w:rPr>
            </w:pPr>
            <w:r w:rsidRPr="00DB1189">
              <w:rPr>
                <w:rFonts w:ascii="Times New Roman" w:hAnsi="Times New Roman"/>
                <w:sz w:val="24"/>
                <w:szCs w:val="24"/>
              </w:rPr>
              <w:t>Me hyrjen në fuqi të ndryshime</w:t>
            </w:r>
            <w:r>
              <w:rPr>
                <w:rFonts w:ascii="Times New Roman" w:hAnsi="Times New Roman"/>
                <w:sz w:val="24"/>
                <w:szCs w:val="24"/>
              </w:rPr>
              <w:t>ve</w:t>
            </w:r>
            <w:r w:rsidRPr="00DB1189">
              <w:rPr>
                <w:rFonts w:ascii="Times New Roman" w:hAnsi="Times New Roman"/>
                <w:sz w:val="24"/>
                <w:szCs w:val="24"/>
              </w:rPr>
              <w:t xml:space="preserve"> ligjore të vitit 2022 në ligjin nr.133/201</w:t>
            </w:r>
            <w:r>
              <w:rPr>
                <w:rFonts w:ascii="Times New Roman" w:hAnsi="Times New Roman"/>
                <w:sz w:val="24"/>
                <w:szCs w:val="24"/>
              </w:rPr>
              <w:t>, dhe a</w:t>
            </w:r>
            <w:r w:rsidRPr="00DB1189">
              <w:rPr>
                <w:rFonts w:ascii="Times New Roman" w:hAnsi="Times New Roman"/>
                <w:sz w:val="24"/>
                <w:szCs w:val="24"/>
              </w:rPr>
              <w:t>kteve nënligjore, Agjencia e Trajtimit të Pronave filloi hetimin administrativ për shqyrtimin e 7000 dosjeve të patrajtuara për njohje pronësie, për të cilat ka kryer procedurat e njoftimit të subjekteve për plotësim dokumentacioni. Aktualisht, rezulton se ATP ka në proces shqyrtimi 5862 dosje dhe 1197 praktika, në total 7059, nga të cilat 705 dosje/praktika të rikthyera për trajtim.</w:t>
            </w:r>
          </w:p>
          <w:p w14:paraId="2E521D2E" w14:textId="1F611C6F" w:rsidR="00B95636" w:rsidRDefault="004A12C0" w:rsidP="004A12C0">
            <w:pPr>
              <w:pStyle w:val="NoSpacing"/>
              <w:spacing w:after="240" w:line="276" w:lineRule="auto"/>
              <w:jc w:val="both"/>
              <w:rPr>
                <w:rFonts w:ascii="Times New Roman" w:hAnsi="Times New Roman"/>
                <w:sz w:val="24"/>
                <w:szCs w:val="24"/>
              </w:rPr>
            </w:pPr>
            <w:r w:rsidRPr="00DB1189">
              <w:rPr>
                <w:rFonts w:ascii="Times New Roman" w:hAnsi="Times New Roman"/>
                <w:sz w:val="24"/>
                <w:szCs w:val="24"/>
              </w:rPr>
              <w:t xml:space="preserve">Në lidhje me procesin e vendimmarrjes, ATP ka përmbyllur aktualisht procedimin administrativ, duke marrë vendim për 115 dosje ose 1.6% të kërkesave ende të patrajtuara, ndërsa ka filluar procedurat e njoftimit për plotësim dokumentacioni për rreth 2900 kërkesa për njohje pronësie ose 41.4% të dosjeve/praktikave. </w:t>
            </w:r>
          </w:p>
          <w:p w14:paraId="07C8047E" w14:textId="08856D24" w:rsidR="004A12C0" w:rsidRDefault="1044839F" w:rsidP="5D0E3F7D">
            <w:pPr>
              <w:jc w:val="both"/>
              <w:rPr>
                <w:b/>
                <w:bCs/>
                <w:color w:val="000000" w:themeColor="text1"/>
                <w:lang w:val="it-IT"/>
              </w:rPr>
            </w:pPr>
            <w:r w:rsidRPr="00FB3897">
              <w:rPr>
                <w:b/>
                <w:bCs/>
                <w:color w:val="000000" w:themeColor="text1"/>
                <w:lang w:val="it-IT"/>
              </w:rPr>
              <w:t xml:space="preserve">Kosto në buxhetin e shtetit: </w:t>
            </w:r>
            <w:r w:rsidR="00BC18A5">
              <w:t xml:space="preserve"> </w:t>
            </w:r>
            <w:r w:rsidR="00BC18A5" w:rsidRPr="00BC18A5">
              <w:rPr>
                <w:bCs/>
                <w:color w:val="000000" w:themeColor="text1"/>
                <w:lang w:val="it-IT"/>
              </w:rPr>
              <w:t>Shtyrja e afatit p</w:t>
            </w:r>
            <w:r w:rsidR="00A90D65">
              <w:rPr>
                <w:bCs/>
                <w:color w:val="000000" w:themeColor="text1"/>
                <w:lang w:val="it-IT"/>
              </w:rPr>
              <w:t>ë</w:t>
            </w:r>
            <w:r w:rsidR="00BC18A5" w:rsidRPr="00BC18A5">
              <w:rPr>
                <w:bCs/>
                <w:color w:val="000000" w:themeColor="text1"/>
                <w:lang w:val="it-IT"/>
              </w:rPr>
              <w:t>r shqyrtimin e dosjeve dhe vler</w:t>
            </w:r>
            <w:r w:rsidR="00A90D65">
              <w:rPr>
                <w:bCs/>
                <w:color w:val="000000" w:themeColor="text1"/>
                <w:lang w:val="it-IT"/>
              </w:rPr>
              <w:t>ë</w:t>
            </w:r>
            <w:r w:rsidR="00BC18A5" w:rsidRPr="00BC18A5">
              <w:rPr>
                <w:bCs/>
                <w:color w:val="000000" w:themeColor="text1"/>
                <w:lang w:val="it-IT"/>
              </w:rPr>
              <w:t>simin financiar t</w:t>
            </w:r>
            <w:r w:rsidR="00A90D65">
              <w:rPr>
                <w:bCs/>
                <w:color w:val="000000" w:themeColor="text1"/>
                <w:lang w:val="it-IT"/>
              </w:rPr>
              <w:t>ë</w:t>
            </w:r>
            <w:r w:rsidR="00BC18A5" w:rsidRPr="00BC18A5">
              <w:rPr>
                <w:bCs/>
                <w:color w:val="000000" w:themeColor="text1"/>
                <w:lang w:val="it-IT"/>
              </w:rPr>
              <w:t xml:space="preserve"> vendimeve nga ana e ATP-s</w:t>
            </w:r>
            <w:r w:rsidR="00A90D65">
              <w:rPr>
                <w:bCs/>
                <w:color w:val="000000" w:themeColor="text1"/>
                <w:lang w:val="it-IT"/>
              </w:rPr>
              <w:t>ë</w:t>
            </w:r>
            <w:r w:rsidR="00BC18A5" w:rsidRPr="00BC18A5">
              <w:rPr>
                <w:bCs/>
                <w:color w:val="000000" w:themeColor="text1"/>
                <w:lang w:val="it-IT"/>
              </w:rPr>
              <w:t xml:space="preserve"> nuk sjell kosto shtes</w:t>
            </w:r>
            <w:r w:rsidR="00A90D65">
              <w:rPr>
                <w:bCs/>
                <w:color w:val="000000" w:themeColor="text1"/>
                <w:lang w:val="it-IT"/>
              </w:rPr>
              <w:t>ë</w:t>
            </w:r>
            <w:r w:rsidR="00BC18A5" w:rsidRPr="00BC18A5">
              <w:rPr>
                <w:bCs/>
                <w:color w:val="000000" w:themeColor="text1"/>
                <w:lang w:val="it-IT"/>
              </w:rPr>
              <w:t xml:space="preserve"> p</w:t>
            </w:r>
            <w:r w:rsidR="00A90D65">
              <w:rPr>
                <w:bCs/>
                <w:color w:val="000000" w:themeColor="text1"/>
                <w:lang w:val="it-IT"/>
              </w:rPr>
              <w:t>ë</w:t>
            </w:r>
            <w:r w:rsidR="00BC18A5" w:rsidRPr="00BC18A5">
              <w:rPr>
                <w:bCs/>
                <w:color w:val="000000" w:themeColor="text1"/>
                <w:lang w:val="it-IT"/>
              </w:rPr>
              <w:t xml:space="preserve">r buxhetin e shtetit, pasi efekti financiar </w:t>
            </w:r>
            <w:r w:rsidR="00A90D65">
              <w:rPr>
                <w:bCs/>
                <w:color w:val="000000" w:themeColor="text1"/>
                <w:lang w:val="it-IT"/>
              </w:rPr>
              <w:t>ë</w:t>
            </w:r>
            <w:r w:rsidR="00BC18A5" w:rsidRPr="00BC18A5">
              <w:rPr>
                <w:bCs/>
                <w:color w:val="000000" w:themeColor="text1"/>
                <w:lang w:val="it-IT"/>
              </w:rPr>
              <w:t>sht</w:t>
            </w:r>
            <w:r w:rsidR="00A90D65">
              <w:rPr>
                <w:bCs/>
                <w:color w:val="000000" w:themeColor="text1"/>
                <w:lang w:val="it-IT"/>
              </w:rPr>
              <w:t>ë</w:t>
            </w:r>
            <w:r w:rsidR="00BC18A5" w:rsidRPr="00BC18A5">
              <w:rPr>
                <w:bCs/>
                <w:color w:val="000000" w:themeColor="text1"/>
                <w:lang w:val="it-IT"/>
              </w:rPr>
              <w:t xml:space="preserve"> brenda vlerës totale të vendosur në funksion të këtij procesi, parashikuar në shtojcën 2 të ligjit nr.133/2015, t</w:t>
            </w:r>
            <w:r w:rsidR="00A90D65">
              <w:rPr>
                <w:bCs/>
                <w:color w:val="000000" w:themeColor="text1"/>
                <w:lang w:val="it-IT"/>
              </w:rPr>
              <w:t>ë</w:t>
            </w:r>
            <w:r w:rsidR="00BC18A5" w:rsidRPr="00BC18A5">
              <w:rPr>
                <w:bCs/>
                <w:color w:val="000000" w:themeColor="text1"/>
                <w:lang w:val="it-IT"/>
              </w:rPr>
              <w:t xml:space="preserve"> ndryshuar. N</w:t>
            </w:r>
            <w:r w:rsidR="00A90D65">
              <w:rPr>
                <w:bCs/>
                <w:color w:val="000000" w:themeColor="text1"/>
                <w:lang w:val="it-IT"/>
              </w:rPr>
              <w:t>ë</w:t>
            </w:r>
            <w:r w:rsidR="00BC18A5" w:rsidRPr="00BC18A5">
              <w:rPr>
                <w:bCs/>
                <w:color w:val="000000" w:themeColor="text1"/>
                <w:lang w:val="it-IT"/>
              </w:rPr>
              <w:t xml:space="preserve"> p</w:t>
            </w:r>
            <w:r w:rsidR="00A90D65">
              <w:rPr>
                <w:bCs/>
                <w:color w:val="000000" w:themeColor="text1"/>
                <w:lang w:val="it-IT"/>
              </w:rPr>
              <w:t>ë</w:t>
            </w:r>
            <w:r w:rsidR="00BC18A5" w:rsidRPr="00BC18A5">
              <w:rPr>
                <w:bCs/>
                <w:color w:val="000000" w:themeColor="text1"/>
                <w:lang w:val="it-IT"/>
              </w:rPr>
              <w:t>rputhje edhe me t</w:t>
            </w:r>
            <w:r w:rsidR="00A90D65">
              <w:rPr>
                <w:bCs/>
                <w:color w:val="000000" w:themeColor="text1"/>
                <w:lang w:val="it-IT"/>
              </w:rPr>
              <w:t>ë</w:t>
            </w:r>
            <w:r w:rsidR="00BC18A5" w:rsidRPr="00BC18A5">
              <w:rPr>
                <w:bCs/>
                <w:color w:val="000000" w:themeColor="text1"/>
                <w:lang w:val="it-IT"/>
              </w:rPr>
              <w:t xml:space="preserve"> dh</w:t>
            </w:r>
            <w:r w:rsidR="00A90D65">
              <w:rPr>
                <w:bCs/>
                <w:color w:val="000000" w:themeColor="text1"/>
                <w:lang w:val="it-IT"/>
              </w:rPr>
              <w:t>ë</w:t>
            </w:r>
            <w:r w:rsidR="00BC18A5" w:rsidRPr="00BC18A5">
              <w:rPr>
                <w:bCs/>
                <w:color w:val="000000" w:themeColor="text1"/>
                <w:lang w:val="it-IT"/>
              </w:rPr>
              <w:t>nat zyrtare t</w:t>
            </w:r>
            <w:r w:rsidR="00A90D65">
              <w:rPr>
                <w:bCs/>
                <w:color w:val="000000" w:themeColor="text1"/>
                <w:lang w:val="it-IT"/>
              </w:rPr>
              <w:t>ë</w:t>
            </w:r>
            <w:r w:rsidR="00BC18A5" w:rsidRPr="00BC18A5">
              <w:rPr>
                <w:bCs/>
                <w:color w:val="000000" w:themeColor="text1"/>
                <w:lang w:val="it-IT"/>
              </w:rPr>
              <w:t xml:space="preserve"> vlerave t</w:t>
            </w:r>
            <w:r w:rsidR="00A90D65">
              <w:rPr>
                <w:bCs/>
                <w:color w:val="000000" w:themeColor="text1"/>
                <w:lang w:val="it-IT"/>
              </w:rPr>
              <w:t>ë</w:t>
            </w:r>
            <w:r w:rsidR="00BC18A5" w:rsidRPr="00BC18A5">
              <w:rPr>
                <w:bCs/>
                <w:color w:val="000000" w:themeColor="text1"/>
                <w:lang w:val="it-IT"/>
              </w:rPr>
              <w:t xml:space="preserve"> alokuara vit pas viti nga ana e Ministris</w:t>
            </w:r>
            <w:r w:rsidR="00A90D65">
              <w:rPr>
                <w:bCs/>
                <w:color w:val="000000" w:themeColor="text1"/>
                <w:lang w:val="it-IT"/>
              </w:rPr>
              <w:t>ë</w:t>
            </w:r>
            <w:r w:rsidR="00BC18A5" w:rsidRPr="00BC18A5">
              <w:rPr>
                <w:bCs/>
                <w:color w:val="000000" w:themeColor="text1"/>
                <w:lang w:val="it-IT"/>
              </w:rPr>
              <w:t xml:space="preserve"> s</w:t>
            </w:r>
            <w:r w:rsidR="00A90D65">
              <w:rPr>
                <w:bCs/>
                <w:color w:val="000000" w:themeColor="text1"/>
                <w:lang w:val="it-IT"/>
              </w:rPr>
              <w:t>ë</w:t>
            </w:r>
            <w:r w:rsidR="00BC18A5" w:rsidRPr="00BC18A5">
              <w:rPr>
                <w:bCs/>
                <w:color w:val="000000" w:themeColor="text1"/>
                <w:lang w:val="it-IT"/>
              </w:rPr>
              <w:t xml:space="preserve"> Financave, p</w:t>
            </w:r>
            <w:r w:rsidR="00A90D65">
              <w:rPr>
                <w:bCs/>
                <w:color w:val="000000" w:themeColor="text1"/>
                <w:lang w:val="it-IT"/>
              </w:rPr>
              <w:t>ë</w:t>
            </w:r>
            <w:r w:rsidR="00BC18A5" w:rsidRPr="00BC18A5">
              <w:rPr>
                <w:bCs/>
                <w:color w:val="000000" w:themeColor="text1"/>
                <w:lang w:val="it-IT"/>
              </w:rPr>
              <w:t>rmes politik</w:t>
            </w:r>
            <w:r w:rsidR="00A90D65">
              <w:rPr>
                <w:bCs/>
                <w:color w:val="000000" w:themeColor="text1"/>
                <w:lang w:val="it-IT"/>
              </w:rPr>
              <w:t>ë</w:t>
            </w:r>
            <w:r w:rsidR="00BC18A5" w:rsidRPr="00BC18A5">
              <w:rPr>
                <w:bCs/>
                <w:color w:val="000000" w:themeColor="text1"/>
                <w:lang w:val="it-IT"/>
              </w:rPr>
              <w:t>s s</w:t>
            </w:r>
            <w:r w:rsidR="00A90D65">
              <w:rPr>
                <w:bCs/>
                <w:color w:val="000000" w:themeColor="text1"/>
                <w:lang w:val="it-IT"/>
              </w:rPr>
              <w:t>ë</w:t>
            </w:r>
            <w:r w:rsidR="00BC18A5" w:rsidRPr="00BC18A5">
              <w:rPr>
                <w:bCs/>
                <w:color w:val="000000" w:themeColor="text1"/>
                <w:lang w:val="it-IT"/>
              </w:rPr>
              <w:t xml:space="preserve"> propozuar synohet t</w:t>
            </w:r>
            <w:r w:rsidR="00A90D65">
              <w:rPr>
                <w:bCs/>
                <w:color w:val="000000" w:themeColor="text1"/>
                <w:lang w:val="it-IT"/>
              </w:rPr>
              <w:t>ë</w:t>
            </w:r>
            <w:r w:rsidR="00BC18A5" w:rsidRPr="00BC18A5">
              <w:rPr>
                <w:bCs/>
                <w:color w:val="000000" w:themeColor="text1"/>
                <w:lang w:val="it-IT"/>
              </w:rPr>
              <w:t xml:space="preserve"> realizohet nj</w:t>
            </w:r>
            <w:r w:rsidR="00A90D65">
              <w:rPr>
                <w:bCs/>
                <w:color w:val="000000" w:themeColor="text1"/>
                <w:lang w:val="it-IT"/>
              </w:rPr>
              <w:t>ë</w:t>
            </w:r>
            <w:r w:rsidR="00BC18A5" w:rsidRPr="00BC18A5">
              <w:rPr>
                <w:bCs/>
                <w:color w:val="000000" w:themeColor="text1"/>
                <w:lang w:val="it-IT"/>
              </w:rPr>
              <w:t xml:space="preserve"> rishp</w:t>
            </w:r>
            <w:r w:rsidR="00A90D65">
              <w:rPr>
                <w:bCs/>
                <w:color w:val="000000" w:themeColor="text1"/>
                <w:lang w:val="it-IT"/>
              </w:rPr>
              <w:t>ë</w:t>
            </w:r>
            <w:r w:rsidR="00BC18A5" w:rsidRPr="00BC18A5">
              <w:rPr>
                <w:bCs/>
                <w:color w:val="000000" w:themeColor="text1"/>
                <w:lang w:val="it-IT"/>
              </w:rPr>
              <w:t>rndarje e fondit, por pa cenuar buxhetin total t</w:t>
            </w:r>
            <w:r w:rsidR="00A90D65">
              <w:rPr>
                <w:bCs/>
                <w:color w:val="000000" w:themeColor="text1"/>
                <w:lang w:val="it-IT"/>
              </w:rPr>
              <w:t>ë</w:t>
            </w:r>
            <w:r w:rsidR="00BC18A5" w:rsidRPr="00BC18A5">
              <w:rPr>
                <w:bCs/>
                <w:color w:val="000000" w:themeColor="text1"/>
                <w:lang w:val="it-IT"/>
              </w:rPr>
              <w:t xml:space="preserve"> parashikuar n</w:t>
            </w:r>
            <w:r w:rsidR="00A90D65">
              <w:rPr>
                <w:bCs/>
                <w:color w:val="000000" w:themeColor="text1"/>
                <w:lang w:val="it-IT"/>
              </w:rPr>
              <w:t>ë</w:t>
            </w:r>
            <w:r w:rsidR="00BC18A5" w:rsidRPr="00BC18A5">
              <w:rPr>
                <w:bCs/>
                <w:color w:val="000000" w:themeColor="text1"/>
                <w:lang w:val="it-IT"/>
              </w:rPr>
              <w:t xml:space="preserve"> ligj.</w:t>
            </w:r>
          </w:p>
          <w:p w14:paraId="59D911C2" w14:textId="77777777" w:rsidR="00F84BB5" w:rsidRPr="00FB3897" w:rsidRDefault="00F84BB5" w:rsidP="5D0E3F7D">
            <w:pPr>
              <w:jc w:val="both"/>
              <w:rPr>
                <w:color w:val="000000" w:themeColor="text1"/>
                <w:lang w:val="it-IT"/>
              </w:rPr>
            </w:pPr>
          </w:p>
          <w:p w14:paraId="59C8176E" w14:textId="77777777" w:rsidR="00BC18A5" w:rsidRDefault="003B0287" w:rsidP="00FB3897">
            <w:pPr>
              <w:jc w:val="both"/>
              <w:rPr>
                <w:color w:val="000000" w:themeColor="text1"/>
                <w:szCs w:val="24"/>
                <w:lang w:val="fr-FR"/>
              </w:rPr>
            </w:pPr>
            <w:r w:rsidRPr="0030351B">
              <w:rPr>
                <w:b/>
                <w:color w:val="000000" w:themeColor="text1"/>
                <w:szCs w:val="24"/>
                <w:lang w:val="fr-FR"/>
              </w:rPr>
              <w:t xml:space="preserve">Përfitime në buxhetin e </w:t>
            </w:r>
            <w:proofErr w:type="gramStart"/>
            <w:r w:rsidRPr="0030351B">
              <w:rPr>
                <w:b/>
                <w:color w:val="000000" w:themeColor="text1"/>
                <w:szCs w:val="24"/>
                <w:lang w:val="fr-FR"/>
              </w:rPr>
              <w:t>shtetit:</w:t>
            </w:r>
            <w:proofErr w:type="gramEnd"/>
            <w:r w:rsidR="009269DC" w:rsidRPr="0030351B">
              <w:rPr>
                <w:color w:val="000000" w:themeColor="text1"/>
                <w:szCs w:val="24"/>
                <w:lang w:val="fr-FR"/>
              </w:rPr>
              <w:t xml:space="preserve"> </w:t>
            </w:r>
            <w:r w:rsidR="00BC18A5">
              <w:rPr>
                <w:color w:val="000000" w:themeColor="text1"/>
                <w:szCs w:val="24"/>
                <w:lang w:val="fr-FR"/>
              </w:rPr>
              <w:t>Jo.</w:t>
            </w:r>
          </w:p>
          <w:p w14:paraId="52E60A8A" w14:textId="1272D0FC" w:rsidR="003B0287" w:rsidRPr="0030351B" w:rsidRDefault="00BC18A5" w:rsidP="00FB3897">
            <w:pPr>
              <w:jc w:val="both"/>
              <w:rPr>
                <w:color w:val="000000" w:themeColor="text1"/>
                <w:szCs w:val="24"/>
                <w:lang w:val="fr-FR"/>
              </w:rPr>
            </w:pPr>
            <w:r>
              <w:rPr>
                <w:color w:val="000000" w:themeColor="text1"/>
                <w:szCs w:val="24"/>
                <w:lang w:val="fr-FR"/>
              </w:rPr>
              <w:t xml:space="preserve"> </w:t>
            </w:r>
          </w:p>
          <w:p w14:paraId="5E2F3715" w14:textId="77777777" w:rsidR="003B0287" w:rsidRPr="0030351B" w:rsidRDefault="003B0287" w:rsidP="003B0287">
            <w:pPr>
              <w:spacing w:after="240"/>
              <w:jc w:val="both"/>
              <w:rPr>
                <w:b/>
                <w:color w:val="000000"/>
                <w:szCs w:val="24"/>
                <w:lang w:val="fr-FR"/>
              </w:rPr>
            </w:pPr>
            <w:r w:rsidRPr="0030351B">
              <w:rPr>
                <w:b/>
                <w:color w:val="000000"/>
                <w:szCs w:val="24"/>
                <w:lang w:val="fr-FR"/>
              </w:rPr>
              <w:t xml:space="preserve">Ndikimet </w:t>
            </w:r>
            <w:proofErr w:type="gramStart"/>
            <w:r w:rsidRPr="0030351B">
              <w:rPr>
                <w:b/>
                <w:color w:val="000000"/>
                <w:szCs w:val="24"/>
                <w:lang w:val="fr-FR"/>
              </w:rPr>
              <w:t>sociale:</w:t>
            </w:r>
            <w:proofErr w:type="gramEnd"/>
            <w:r w:rsidR="00247C97" w:rsidRPr="0030351B">
              <w:rPr>
                <w:b/>
                <w:color w:val="000000"/>
                <w:szCs w:val="24"/>
                <w:lang w:val="fr-FR"/>
              </w:rPr>
              <w:t xml:space="preserve"> </w:t>
            </w:r>
          </w:p>
          <w:p w14:paraId="1A2265FD" w14:textId="6259707B" w:rsidR="00BC18A5" w:rsidRDefault="00247C97" w:rsidP="00247C97">
            <w:pPr>
              <w:jc w:val="both"/>
              <w:rPr>
                <w:color w:val="000000"/>
                <w:szCs w:val="24"/>
                <w:lang w:val="fr-FR"/>
              </w:rPr>
            </w:pPr>
            <w:bookmarkStart w:id="7" w:name="_Hlk184031671"/>
            <w:r w:rsidRPr="0030351B">
              <w:rPr>
                <w:color w:val="000000"/>
                <w:szCs w:val="24"/>
                <w:lang w:val="fr-FR"/>
              </w:rPr>
              <w:t xml:space="preserve">- </w:t>
            </w:r>
            <w:r w:rsidR="00BC18A5">
              <w:rPr>
                <w:color w:val="000000"/>
                <w:szCs w:val="24"/>
                <w:lang w:val="fr-FR"/>
              </w:rPr>
              <w:t>Shqyrtimi n</w:t>
            </w:r>
            <w:r w:rsidR="00A90D65">
              <w:rPr>
                <w:color w:val="000000"/>
                <w:szCs w:val="24"/>
                <w:lang w:val="fr-FR"/>
              </w:rPr>
              <w:t>ë</w:t>
            </w:r>
            <w:r w:rsidR="00BC18A5">
              <w:rPr>
                <w:color w:val="000000"/>
                <w:szCs w:val="24"/>
                <w:lang w:val="fr-FR"/>
              </w:rPr>
              <w:t xml:space="preserve"> rrug</w:t>
            </w:r>
            <w:r w:rsidR="00A90D65">
              <w:rPr>
                <w:color w:val="000000"/>
                <w:szCs w:val="24"/>
                <w:lang w:val="fr-FR"/>
              </w:rPr>
              <w:t>ë</w:t>
            </w:r>
            <w:r w:rsidR="00BC18A5">
              <w:rPr>
                <w:color w:val="000000"/>
                <w:szCs w:val="24"/>
                <w:lang w:val="fr-FR"/>
              </w:rPr>
              <w:t xml:space="preserve"> administrative i dosjeve, gj</w:t>
            </w:r>
            <w:r w:rsidR="00A90D65">
              <w:rPr>
                <w:color w:val="000000"/>
                <w:szCs w:val="24"/>
                <w:lang w:val="fr-FR"/>
              </w:rPr>
              <w:t>ë</w:t>
            </w:r>
            <w:r w:rsidR="00BC18A5">
              <w:rPr>
                <w:color w:val="000000"/>
                <w:szCs w:val="24"/>
                <w:lang w:val="fr-FR"/>
              </w:rPr>
              <w:t xml:space="preserve"> q</w:t>
            </w:r>
            <w:r w:rsidR="00A90D65">
              <w:rPr>
                <w:color w:val="000000"/>
                <w:szCs w:val="24"/>
                <w:lang w:val="fr-FR"/>
              </w:rPr>
              <w:t>ë</w:t>
            </w:r>
            <w:r w:rsidR="00BC18A5">
              <w:rPr>
                <w:color w:val="000000"/>
                <w:szCs w:val="24"/>
                <w:lang w:val="fr-FR"/>
              </w:rPr>
              <w:t xml:space="preserve"> kryhet n</w:t>
            </w:r>
            <w:r w:rsidR="00A90D65">
              <w:rPr>
                <w:color w:val="000000"/>
                <w:szCs w:val="24"/>
                <w:lang w:val="fr-FR"/>
              </w:rPr>
              <w:t>ë</w:t>
            </w:r>
            <w:r w:rsidR="00BC18A5">
              <w:rPr>
                <w:color w:val="000000"/>
                <w:szCs w:val="24"/>
                <w:lang w:val="fr-FR"/>
              </w:rPr>
              <w:t xml:space="preserve"> afat m</w:t>
            </w:r>
            <w:r w:rsidR="00A90D65">
              <w:rPr>
                <w:color w:val="000000"/>
                <w:szCs w:val="24"/>
                <w:lang w:val="fr-FR"/>
              </w:rPr>
              <w:t>ë</w:t>
            </w:r>
            <w:r w:rsidR="00BC18A5">
              <w:rPr>
                <w:color w:val="000000"/>
                <w:szCs w:val="24"/>
                <w:lang w:val="fr-FR"/>
              </w:rPr>
              <w:t xml:space="preserve"> t</w:t>
            </w:r>
            <w:r w:rsidR="00A90D65">
              <w:rPr>
                <w:color w:val="000000"/>
                <w:szCs w:val="24"/>
                <w:lang w:val="fr-FR"/>
              </w:rPr>
              <w:t>ë</w:t>
            </w:r>
            <w:r w:rsidR="00BC18A5">
              <w:rPr>
                <w:color w:val="000000"/>
                <w:szCs w:val="24"/>
                <w:lang w:val="fr-FR"/>
              </w:rPr>
              <w:t xml:space="preserve"> shkurt</w:t>
            </w:r>
            <w:r w:rsidR="00A90D65">
              <w:rPr>
                <w:color w:val="000000"/>
                <w:szCs w:val="24"/>
                <w:lang w:val="fr-FR"/>
              </w:rPr>
              <w:t>ë</w:t>
            </w:r>
            <w:r w:rsidR="00BC18A5">
              <w:rPr>
                <w:color w:val="000000"/>
                <w:szCs w:val="24"/>
                <w:lang w:val="fr-FR"/>
              </w:rPr>
              <w:t xml:space="preserve">r se rruga </w:t>
            </w:r>
            <w:proofErr w:type="gramStart"/>
            <w:r w:rsidR="00BC18A5">
              <w:rPr>
                <w:color w:val="000000"/>
                <w:szCs w:val="24"/>
                <w:lang w:val="fr-FR"/>
              </w:rPr>
              <w:t>gjyq</w:t>
            </w:r>
            <w:r w:rsidR="00A90D65">
              <w:rPr>
                <w:color w:val="000000"/>
                <w:szCs w:val="24"/>
                <w:lang w:val="fr-FR"/>
              </w:rPr>
              <w:t>ë</w:t>
            </w:r>
            <w:r w:rsidR="00BC18A5">
              <w:rPr>
                <w:color w:val="000000"/>
                <w:szCs w:val="24"/>
                <w:lang w:val="fr-FR"/>
              </w:rPr>
              <w:t>sore</w:t>
            </w:r>
            <w:r w:rsidR="005065DB">
              <w:rPr>
                <w:color w:val="000000"/>
                <w:szCs w:val="24"/>
                <w:lang w:val="fr-FR"/>
              </w:rPr>
              <w:t>;</w:t>
            </w:r>
            <w:proofErr w:type="gramEnd"/>
          </w:p>
          <w:p w14:paraId="0B4968F3" w14:textId="01C941A2" w:rsidR="00247C97" w:rsidRPr="00BC18A5" w:rsidRDefault="00BC18A5" w:rsidP="00247C97">
            <w:pPr>
              <w:jc w:val="both"/>
              <w:rPr>
                <w:color w:val="000000"/>
                <w:szCs w:val="24"/>
                <w:lang w:val="fr-FR"/>
              </w:rPr>
            </w:pPr>
            <w:r>
              <w:rPr>
                <w:color w:val="000000"/>
                <w:szCs w:val="24"/>
                <w:lang w:val="it-IT"/>
              </w:rPr>
              <w:t xml:space="preserve">- </w:t>
            </w:r>
            <w:r w:rsidR="00247C97" w:rsidRPr="00FB3897">
              <w:rPr>
                <w:color w:val="000000"/>
                <w:szCs w:val="24"/>
                <w:lang w:val="it-IT"/>
              </w:rPr>
              <w:t>Përfundimi sa më shpejt dhe brenda afateve i procesit të kompensimit të pronave;</w:t>
            </w:r>
          </w:p>
          <w:p w14:paraId="2CF987AD" w14:textId="10291ABC" w:rsidR="006E239F" w:rsidRPr="00FB3897" w:rsidRDefault="006E239F" w:rsidP="00247C97">
            <w:pPr>
              <w:jc w:val="both"/>
              <w:rPr>
                <w:color w:val="000000"/>
                <w:szCs w:val="24"/>
                <w:lang w:val="it-IT"/>
              </w:rPr>
            </w:pPr>
            <w:r>
              <w:rPr>
                <w:color w:val="000000"/>
                <w:szCs w:val="24"/>
                <w:lang w:val="it-IT"/>
              </w:rPr>
              <w:t>-</w:t>
            </w:r>
            <w:r w:rsidRPr="0051693C">
              <w:rPr>
                <w:szCs w:val="24"/>
                <w:lang w:val="sq-AL"/>
              </w:rPr>
              <w:t xml:space="preserve"> </w:t>
            </w:r>
            <w:r w:rsidR="00BC18A5">
              <w:rPr>
                <w:szCs w:val="24"/>
                <w:lang w:val="sq-AL"/>
              </w:rPr>
              <w:t>T</w:t>
            </w:r>
            <w:r>
              <w:rPr>
                <w:szCs w:val="24"/>
                <w:lang w:val="sq-AL"/>
              </w:rPr>
              <w:t>rajtimi</w:t>
            </w:r>
            <w:r w:rsidRPr="0051693C">
              <w:rPr>
                <w:szCs w:val="24"/>
                <w:lang w:val="sq-AL"/>
              </w:rPr>
              <w:t xml:space="preserve"> n</w:t>
            </w:r>
            <w:r w:rsidR="00BE1224">
              <w:rPr>
                <w:szCs w:val="24"/>
                <w:lang w:val="sq-AL"/>
              </w:rPr>
              <w:t>ë</w:t>
            </w:r>
            <w:r w:rsidRPr="0051693C">
              <w:rPr>
                <w:szCs w:val="24"/>
                <w:lang w:val="sq-AL"/>
              </w:rPr>
              <w:t xml:space="preserve"> m</w:t>
            </w:r>
            <w:r w:rsidR="00BE1224">
              <w:rPr>
                <w:szCs w:val="24"/>
                <w:lang w:val="sq-AL"/>
              </w:rPr>
              <w:t>ë</w:t>
            </w:r>
            <w:r w:rsidRPr="0051693C">
              <w:rPr>
                <w:szCs w:val="24"/>
                <w:lang w:val="sq-AL"/>
              </w:rPr>
              <w:t xml:space="preserve">nyre ezauruese </w:t>
            </w:r>
            <w:r>
              <w:rPr>
                <w:szCs w:val="24"/>
                <w:lang w:val="sq-AL"/>
              </w:rPr>
              <w:t>i</w:t>
            </w:r>
            <w:r w:rsidRPr="0051693C">
              <w:rPr>
                <w:szCs w:val="24"/>
                <w:lang w:val="sq-AL"/>
              </w:rPr>
              <w:t xml:space="preserve"> </w:t>
            </w:r>
            <w:r>
              <w:rPr>
                <w:szCs w:val="24"/>
                <w:lang w:val="sq-AL"/>
              </w:rPr>
              <w:t>shqyrtimit t</w:t>
            </w:r>
            <w:r w:rsidR="00BE1224">
              <w:rPr>
                <w:szCs w:val="24"/>
                <w:lang w:val="sq-AL"/>
              </w:rPr>
              <w:t>ë</w:t>
            </w:r>
            <w:r w:rsidRPr="0051693C">
              <w:rPr>
                <w:szCs w:val="24"/>
                <w:lang w:val="sq-AL"/>
              </w:rPr>
              <w:t xml:space="preserve"> dosjeve të pa trajtuara p</w:t>
            </w:r>
            <w:r w:rsidR="00BE1224">
              <w:rPr>
                <w:szCs w:val="24"/>
                <w:lang w:val="sq-AL"/>
              </w:rPr>
              <w:t>ë</w:t>
            </w:r>
            <w:r w:rsidRPr="0051693C">
              <w:rPr>
                <w:szCs w:val="24"/>
                <w:lang w:val="sq-AL"/>
              </w:rPr>
              <w:t>r njohjen e s</w:t>
            </w:r>
            <w:r w:rsidR="00BE1224">
              <w:rPr>
                <w:szCs w:val="24"/>
                <w:lang w:val="sq-AL"/>
              </w:rPr>
              <w:t>ë</w:t>
            </w:r>
            <w:r w:rsidRPr="0051693C">
              <w:rPr>
                <w:szCs w:val="24"/>
                <w:lang w:val="sq-AL"/>
              </w:rPr>
              <w:t xml:space="preserve"> drejt</w:t>
            </w:r>
            <w:r w:rsidR="00BE1224">
              <w:rPr>
                <w:szCs w:val="24"/>
                <w:lang w:val="sq-AL"/>
              </w:rPr>
              <w:t>ë</w:t>
            </w:r>
            <w:r w:rsidRPr="0051693C">
              <w:rPr>
                <w:szCs w:val="24"/>
                <w:lang w:val="sq-AL"/>
              </w:rPr>
              <w:t>s s</w:t>
            </w:r>
            <w:r w:rsidR="00BE1224">
              <w:rPr>
                <w:szCs w:val="24"/>
                <w:lang w:val="sq-AL"/>
              </w:rPr>
              <w:t>ë</w:t>
            </w:r>
            <w:r w:rsidRPr="0051693C">
              <w:rPr>
                <w:szCs w:val="24"/>
                <w:lang w:val="sq-AL"/>
              </w:rPr>
              <w:t xml:space="preserve"> pron</w:t>
            </w:r>
            <w:r w:rsidR="00BE1224">
              <w:rPr>
                <w:szCs w:val="24"/>
                <w:lang w:val="sq-AL"/>
              </w:rPr>
              <w:t>ë</w:t>
            </w:r>
            <w:r w:rsidRPr="0051693C">
              <w:rPr>
                <w:szCs w:val="24"/>
                <w:lang w:val="sq-AL"/>
              </w:rPr>
              <w:t>s</w:t>
            </w:r>
            <w:r>
              <w:rPr>
                <w:szCs w:val="24"/>
                <w:lang w:val="sq-AL"/>
              </w:rPr>
              <w:t xml:space="preserve"> si dhe vler</w:t>
            </w:r>
            <w:r w:rsidR="00BE1224">
              <w:rPr>
                <w:szCs w:val="24"/>
                <w:lang w:val="sq-AL"/>
              </w:rPr>
              <w:t>ë</w:t>
            </w:r>
            <w:r>
              <w:rPr>
                <w:szCs w:val="24"/>
                <w:lang w:val="sq-AL"/>
              </w:rPr>
              <w:t>simin financiar p</w:t>
            </w:r>
            <w:r w:rsidR="00BE1224">
              <w:rPr>
                <w:szCs w:val="24"/>
                <w:lang w:val="sq-AL"/>
              </w:rPr>
              <w:t>ë</w:t>
            </w:r>
            <w:r>
              <w:rPr>
                <w:szCs w:val="24"/>
                <w:lang w:val="sq-AL"/>
              </w:rPr>
              <w:t>r ato vendime t</w:t>
            </w:r>
            <w:r w:rsidR="00BE1224">
              <w:rPr>
                <w:szCs w:val="24"/>
                <w:lang w:val="sq-AL"/>
              </w:rPr>
              <w:t>ë</w:t>
            </w:r>
            <w:r>
              <w:rPr>
                <w:szCs w:val="24"/>
                <w:lang w:val="sq-AL"/>
              </w:rPr>
              <w:t xml:space="preserve"> pavler</w:t>
            </w:r>
            <w:r w:rsidR="00D7546E">
              <w:rPr>
                <w:szCs w:val="24"/>
                <w:lang w:val="sq-AL"/>
              </w:rPr>
              <w:t>ë</w:t>
            </w:r>
            <w:r>
              <w:rPr>
                <w:szCs w:val="24"/>
                <w:lang w:val="sq-AL"/>
              </w:rPr>
              <w:t>suara.</w:t>
            </w:r>
          </w:p>
          <w:bookmarkEnd w:id="7"/>
          <w:p w14:paraId="1A4BFB8F" w14:textId="77777777" w:rsidR="001E0D36" w:rsidRPr="00FB3897" w:rsidRDefault="001E0D36" w:rsidP="00F03F21">
            <w:pPr>
              <w:jc w:val="both"/>
              <w:rPr>
                <w:szCs w:val="24"/>
                <w:lang w:val="it-IT"/>
              </w:rPr>
            </w:pPr>
          </w:p>
        </w:tc>
      </w:tr>
      <w:tr w:rsidR="00CA40EE" w:rsidRPr="00325A1F" w14:paraId="45B1D8B9" w14:textId="77777777" w:rsidTr="1044839F">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4CC98" w14:textId="77777777" w:rsidR="00CA40EE" w:rsidRPr="00325A1F" w:rsidRDefault="00CA40EE" w:rsidP="007B6556">
            <w:pPr>
              <w:spacing w:line="276" w:lineRule="auto"/>
              <w:jc w:val="both"/>
              <w:rPr>
                <w:b/>
                <w:szCs w:val="24"/>
                <w:lang w:val="sq-AL"/>
              </w:rPr>
            </w:pPr>
            <w:r w:rsidRPr="00325A1F">
              <w:rPr>
                <w:b/>
                <w:szCs w:val="24"/>
                <w:lang w:val="sq-AL"/>
              </w:rPr>
              <w:t xml:space="preserve">ARSYETIMI I OPSIONIT TË PREFERUAR </w:t>
            </w:r>
          </w:p>
          <w:p w14:paraId="4EF9AB60" w14:textId="77777777" w:rsidR="006B4B0D" w:rsidRPr="00FB3897" w:rsidRDefault="006E7CFB" w:rsidP="00027038">
            <w:pPr>
              <w:spacing w:line="276" w:lineRule="auto"/>
              <w:jc w:val="both"/>
              <w:rPr>
                <w:i/>
                <w:szCs w:val="24"/>
                <w:lang w:val="it-IT"/>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FB3897">
              <w:rPr>
                <w:i/>
                <w:szCs w:val="24"/>
                <w:lang w:val="it-IT"/>
              </w:rPr>
              <w:instrText xml:space="preserve"> FORMTEXT </w:instrText>
            </w:r>
            <w:r>
              <w:rPr>
                <w:i/>
                <w:szCs w:val="24"/>
              </w:rPr>
            </w:r>
            <w:r>
              <w:rPr>
                <w:i/>
                <w:szCs w:val="24"/>
              </w:rPr>
              <w:fldChar w:fldCharType="separate"/>
            </w:r>
            <w:r w:rsidRPr="00FB3897">
              <w:rPr>
                <w:i/>
                <w:noProof/>
                <w:szCs w:val="24"/>
                <w:lang w:val="it-IT"/>
              </w:rPr>
              <w:t>Shpjegoni arsyet për zgjedhjen e opsionit të preferuar. Ju lutemi jepni nëse është e mundur koston dhe përfitimin me vlerë të përcaktuar monetare. (jo më shumë se 7 rreshta)</w:t>
            </w:r>
            <w:r>
              <w:rPr>
                <w:i/>
                <w:szCs w:val="24"/>
              </w:rPr>
              <w:fldChar w:fldCharType="end"/>
            </w:r>
          </w:p>
          <w:p w14:paraId="5B3058A4" w14:textId="77777777" w:rsidR="001E0D36" w:rsidRPr="00FB3897" w:rsidRDefault="001E0D36" w:rsidP="001E0D36">
            <w:pPr>
              <w:spacing w:line="276" w:lineRule="auto"/>
              <w:jc w:val="both"/>
              <w:rPr>
                <w:i/>
                <w:szCs w:val="24"/>
                <w:lang w:val="it-IT"/>
              </w:rPr>
            </w:pPr>
          </w:p>
          <w:p w14:paraId="68C57274" w14:textId="77777777" w:rsidR="001F5996" w:rsidRPr="00FB3897" w:rsidRDefault="001F5996" w:rsidP="001F5996">
            <w:pPr>
              <w:jc w:val="both"/>
              <w:rPr>
                <w:color w:val="000000"/>
                <w:szCs w:val="22"/>
                <w:lang w:val="it-IT"/>
              </w:rPr>
            </w:pPr>
            <w:r w:rsidRPr="00FB3897">
              <w:rPr>
                <w:color w:val="000000"/>
                <w:szCs w:val="22"/>
                <w:lang w:val="it-IT"/>
              </w:rPr>
              <w:t>Opsioni i rekomanduar/i preferuar është:</w:t>
            </w:r>
          </w:p>
          <w:p w14:paraId="79C4B509" w14:textId="77777777" w:rsidR="001F5996" w:rsidRPr="00FB3897" w:rsidRDefault="001F5996" w:rsidP="001E0D36">
            <w:pPr>
              <w:spacing w:line="276" w:lineRule="auto"/>
              <w:jc w:val="both"/>
              <w:rPr>
                <w:i/>
                <w:szCs w:val="24"/>
                <w:lang w:val="it-IT"/>
              </w:rPr>
            </w:pPr>
          </w:p>
          <w:p w14:paraId="0A6225DD" w14:textId="77777777" w:rsidR="001F5996" w:rsidRPr="00FB3897" w:rsidRDefault="001F5996" w:rsidP="001E0D36">
            <w:pPr>
              <w:spacing w:line="276" w:lineRule="auto"/>
              <w:jc w:val="both"/>
              <w:rPr>
                <w:b/>
                <w:szCs w:val="24"/>
                <w:lang w:val="it-IT"/>
              </w:rPr>
            </w:pPr>
            <w:r w:rsidRPr="00FB3897">
              <w:rPr>
                <w:b/>
                <w:szCs w:val="24"/>
                <w:lang w:val="it-IT"/>
              </w:rPr>
              <w:t>Opsioni 1 (rregullator)</w:t>
            </w:r>
          </w:p>
          <w:p w14:paraId="7253520B" w14:textId="77777777" w:rsidR="001F5996" w:rsidRPr="00FB3897" w:rsidRDefault="001F5996" w:rsidP="001E0D36">
            <w:pPr>
              <w:spacing w:line="276" w:lineRule="auto"/>
              <w:jc w:val="both"/>
              <w:rPr>
                <w:b/>
                <w:szCs w:val="24"/>
                <w:lang w:val="it-IT"/>
              </w:rPr>
            </w:pPr>
          </w:p>
          <w:p w14:paraId="017F6A22" w14:textId="6D94F621" w:rsidR="00DC2CE5" w:rsidRDefault="00024908" w:rsidP="00D744F3">
            <w:pPr>
              <w:spacing w:after="240" w:line="276" w:lineRule="auto"/>
              <w:jc w:val="both"/>
              <w:rPr>
                <w:szCs w:val="24"/>
                <w:lang w:val="sq-AL"/>
              </w:rPr>
            </w:pPr>
            <w:r>
              <w:rPr>
                <w:szCs w:val="24"/>
                <w:lang w:val="it-IT"/>
              </w:rPr>
              <w:t>Vet</w:t>
            </w:r>
            <w:r w:rsidR="00BE1224">
              <w:rPr>
                <w:szCs w:val="24"/>
                <w:lang w:val="it-IT"/>
              </w:rPr>
              <w:t>ë</w:t>
            </w:r>
            <w:r>
              <w:rPr>
                <w:szCs w:val="24"/>
                <w:lang w:val="it-IT"/>
              </w:rPr>
              <w:t>m n</w:t>
            </w:r>
            <w:r w:rsidR="00BE1224">
              <w:rPr>
                <w:szCs w:val="24"/>
                <w:lang w:val="it-IT"/>
              </w:rPr>
              <w:t>ë</w:t>
            </w:r>
            <w:r>
              <w:rPr>
                <w:szCs w:val="24"/>
                <w:lang w:val="it-IT"/>
              </w:rPr>
              <w:t>p</w:t>
            </w:r>
            <w:r w:rsidR="00BE1224">
              <w:rPr>
                <w:szCs w:val="24"/>
                <w:lang w:val="it-IT"/>
              </w:rPr>
              <w:t>ë</w:t>
            </w:r>
            <w:r>
              <w:rPr>
                <w:szCs w:val="24"/>
                <w:lang w:val="it-IT"/>
              </w:rPr>
              <w:t>rmjet ndryshimeve n</w:t>
            </w:r>
            <w:r w:rsidR="00BE1224">
              <w:rPr>
                <w:szCs w:val="24"/>
                <w:lang w:val="it-IT"/>
              </w:rPr>
              <w:t>ë</w:t>
            </w:r>
            <w:r>
              <w:rPr>
                <w:szCs w:val="24"/>
                <w:lang w:val="it-IT"/>
              </w:rPr>
              <w:t xml:space="preserve"> ligjin </w:t>
            </w:r>
            <w:r w:rsidR="00DC2CE5" w:rsidRPr="00FB3897">
              <w:rPr>
                <w:szCs w:val="24"/>
                <w:lang w:val="it-IT"/>
              </w:rPr>
              <w:t xml:space="preserve"> nr.133/2015 “</w:t>
            </w:r>
            <w:r w:rsidR="00DC2CE5" w:rsidRPr="00F71F8A">
              <w:rPr>
                <w:szCs w:val="24"/>
                <w:lang w:val="sq-AL"/>
              </w:rPr>
              <w:t>Për trajtimin e pronës dhe përfundimin e procesit të kompensimit të pronave”</w:t>
            </w:r>
            <w:r>
              <w:rPr>
                <w:szCs w:val="24"/>
                <w:lang w:val="sq-AL"/>
              </w:rPr>
              <w:t>,</w:t>
            </w:r>
            <w:r w:rsidR="005065DB">
              <w:rPr>
                <w:szCs w:val="24"/>
                <w:lang w:val="sq-AL"/>
              </w:rPr>
              <w:t xml:space="preserve"> t</w:t>
            </w:r>
            <w:r w:rsidR="00A90D65">
              <w:rPr>
                <w:szCs w:val="24"/>
                <w:lang w:val="sq-AL"/>
              </w:rPr>
              <w:t>ë</w:t>
            </w:r>
            <w:r w:rsidR="005065DB">
              <w:rPr>
                <w:szCs w:val="24"/>
                <w:lang w:val="sq-AL"/>
              </w:rPr>
              <w:t xml:space="preserve"> ndryshuar,</w:t>
            </w:r>
            <w:r>
              <w:rPr>
                <w:szCs w:val="24"/>
                <w:lang w:val="sq-AL"/>
              </w:rPr>
              <w:t xml:space="preserve"> mund t</w:t>
            </w:r>
            <w:r w:rsidR="00BE1224">
              <w:rPr>
                <w:szCs w:val="24"/>
                <w:lang w:val="sq-AL"/>
              </w:rPr>
              <w:t>ë</w:t>
            </w:r>
            <w:r>
              <w:rPr>
                <w:szCs w:val="24"/>
                <w:lang w:val="sq-AL"/>
              </w:rPr>
              <w:t xml:space="preserve"> arrihe</w:t>
            </w:r>
            <w:r w:rsidR="005065DB">
              <w:rPr>
                <w:szCs w:val="24"/>
                <w:lang w:val="sq-AL"/>
              </w:rPr>
              <w:t>n</w:t>
            </w:r>
            <w:r>
              <w:rPr>
                <w:szCs w:val="24"/>
                <w:lang w:val="sq-AL"/>
              </w:rPr>
              <w:t xml:space="preserve"> objektivat dhe rezultatet e synuara t</w:t>
            </w:r>
            <w:r w:rsidR="00BE1224">
              <w:rPr>
                <w:szCs w:val="24"/>
                <w:lang w:val="sq-AL"/>
              </w:rPr>
              <w:t>ë</w:t>
            </w:r>
            <w:r>
              <w:rPr>
                <w:szCs w:val="24"/>
                <w:lang w:val="sq-AL"/>
              </w:rPr>
              <w:t xml:space="preserve"> k</w:t>
            </w:r>
            <w:r w:rsidR="00BE1224">
              <w:rPr>
                <w:szCs w:val="24"/>
                <w:lang w:val="sq-AL"/>
              </w:rPr>
              <w:t>ë</w:t>
            </w:r>
            <w:r>
              <w:rPr>
                <w:szCs w:val="24"/>
                <w:lang w:val="sq-AL"/>
              </w:rPr>
              <w:t xml:space="preserve">tij propozimi.  </w:t>
            </w:r>
          </w:p>
          <w:p w14:paraId="353BBFAA" w14:textId="0002FECC" w:rsidR="005065DB" w:rsidRPr="005065DB" w:rsidRDefault="00FF73A7" w:rsidP="005065DB">
            <w:pPr>
              <w:tabs>
                <w:tab w:val="left" w:pos="720"/>
                <w:tab w:val="left" w:pos="1080"/>
                <w:tab w:val="left" w:pos="1260"/>
              </w:tabs>
              <w:suppressAutoHyphens/>
              <w:spacing w:after="240" w:line="276" w:lineRule="auto"/>
              <w:jc w:val="both"/>
              <w:outlineLvl w:val="0"/>
              <w:rPr>
                <w:szCs w:val="24"/>
                <w:lang w:val="sq-AL"/>
              </w:rPr>
            </w:pPr>
            <w:r>
              <w:rPr>
                <w:szCs w:val="24"/>
                <w:lang w:val="sq-AL"/>
              </w:rPr>
              <w:t>Sikurse thamë edhe me sipër</w:t>
            </w:r>
            <w:r w:rsidR="003A7A4A">
              <w:rPr>
                <w:szCs w:val="24"/>
                <w:lang w:val="sq-AL"/>
              </w:rPr>
              <w:t xml:space="preserve">, </w:t>
            </w:r>
            <w:r w:rsidR="007609E0">
              <w:rPr>
                <w:szCs w:val="24"/>
                <w:lang w:val="sq-AL"/>
              </w:rPr>
              <w:t>objektivat e propozimit mund t</w:t>
            </w:r>
            <w:r w:rsidR="00BE1224">
              <w:rPr>
                <w:szCs w:val="24"/>
                <w:lang w:val="sq-AL"/>
              </w:rPr>
              <w:t>ë</w:t>
            </w:r>
            <w:r w:rsidR="007609E0">
              <w:rPr>
                <w:szCs w:val="24"/>
                <w:lang w:val="sq-AL"/>
              </w:rPr>
              <w:t xml:space="preserve"> arrihen vet</w:t>
            </w:r>
            <w:r w:rsidR="00BE1224">
              <w:rPr>
                <w:szCs w:val="24"/>
                <w:lang w:val="sq-AL"/>
              </w:rPr>
              <w:t>ë</w:t>
            </w:r>
            <w:r w:rsidR="007609E0">
              <w:rPr>
                <w:szCs w:val="24"/>
                <w:lang w:val="sq-AL"/>
              </w:rPr>
              <w:t>m n</w:t>
            </w:r>
            <w:r w:rsidR="00BE1224">
              <w:rPr>
                <w:szCs w:val="24"/>
                <w:lang w:val="sq-AL"/>
              </w:rPr>
              <w:t>ë</w:t>
            </w:r>
            <w:r w:rsidR="007609E0">
              <w:rPr>
                <w:szCs w:val="24"/>
                <w:lang w:val="sq-AL"/>
              </w:rPr>
              <w:t>p</w:t>
            </w:r>
            <w:r w:rsidR="00BE1224">
              <w:rPr>
                <w:szCs w:val="24"/>
                <w:lang w:val="sq-AL"/>
              </w:rPr>
              <w:t>ë</w:t>
            </w:r>
            <w:r w:rsidR="007609E0">
              <w:rPr>
                <w:szCs w:val="24"/>
                <w:lang w:val="sq-AL"/>
              </w:rPr>
              <w:t>rmjet rregullimeve ligjore dhe si t</w:t>
            </w:r>
            <w:r w:rsidR="00BE1224">
              <w:rPr>
                <w:szCs w:val="24"/>
                <w:lang w:val="sq-AL"/>
              </w:rPr>
              <w:t>ë</w:t>
            </w:r>
            <w:r w:rsidR="007609E0">
              <w:rPr>
                <w:szCs w:val="24"/>
                <w:lang w:val="sq-AL"/>
              </w:rPr>
              <w:t xml:space="preserve"> tilla k</w:t>
            </w:r>
            <w:r w:rsidR="00BE1224">
              <w:rPr>
                <w:szCs w:val="24"/>
                <w:lang w:val="sq-AL"/>
              </w:rPr>
              <w:t>ë</w:t>
            </w:r>
            <w:r w:rsidR="007609E0">
              <w:rPr>
                <w:szCs w:val="24"/>
                <w:lang w:val="sq-AL"/>
              </w:rPr>
              <w:t>rkojn</w:t>
            </w:r>
            <w:r w:rsidR="00BE1224">
              <w:rPr>
                <w:szCs w:val="24"/>
                <w:lang w:val="sq-AL"/>
              </w:rPr>
              <w:t>ë</w:t>
            </w:r>
            <w:r w:rsidR="007609E0">
              <w:rPr>
                <w:szCs w:val="24"/>
                <w:lang w:val="sq-AL"/>
              </w:rPr>
              <w:t xml:space="preserve"> nd</w:t>
            </w:r>
            <w:r w:rsidR="00BE1224">
              <w:rPr>
                <w:szCs w:val="24"/>
                <w:lang w:val="sq-AL"/>
              </w:rPr>
              <w:t>ë</w:t>
            </w:r>
            <w:r w:rsidR="007609E0">
              <w:rPr>
                <w:szCs w:val="24"/>
                <w:lang w:val="sq-AL"/>
              </w:rPr>
              <w:t>rhyrjen n</w:t>
            </w:r>
            <w:r w:rsidR="00BE1224">
              <w:rPr>
                <w:szCs w:val="24"/>
                <w:lang w:val="sq-AL"/>
              </w:rPr>
              <w:t>ë</w:t>
            </w:r>
            <w:r w:rsidR="007609E0">
              <w:rPr>
                <w:szCs w:val="24"/>
                <w:lang w:val="sq-AL"/>
              </w:rPr>
              <w:t xml:space="preserve"> ligjin 133/201</w:t>
            </w:r>
            <w:r w:rsidR="005065DB">
              <w:rPr>
                <w:szCs w:val="24"/>
                <w:lang w:val="sq-AL"/>
              </w:rPr>
              <w:t>5, t</w:t>
            </w:r>
            <w:r w:rsidR="00A90D65">
              <w:rPr>
                <w:szCs w:val="24"/>
                <w:lang w:val="sq-AL"/>
              </w:rPr>
              <w:t>ë</w:t>
            </w:r>
            <w:r w:rsidR="005065DB">
              <w:rPr>
                <w:szCs w:val="24"/>
                <w:lang w:val="sq-AL"/>
              </w:rPr>
              <w:t xml:space="preserve"> ndryshuar,</w:t>
            </w:r>
            <w:r w:rsidR="007609E0">
              <w:rPr>
                <w:szCs w:val="24"/>
                <w:lang w:val="sq-AL"/>
              </w:rPr>
              <w:t xml:space="preserve"> e cila </w:t>
            </w:r>
            <w:r w:rsidR="003A7A4A" w:rsidRPr="005628FC">
              <w:rPr>
                <w:lang w:val="sq-AL"/>
              </w:rPr>
              <w:t>do të bëhet duke p</w:t>
            </w:r>
            <w:r w:rsidR="00BE1224">
              <w:rPr>
                <w:lang w:val="sq-AL"/>
              </w:rPr>
              <w:t>ë</w:t>
            </w:r>
            <w:r w:rsidR="003A7A4A" w:rsidRPr="005628FC">
              <w:rPr>
                <w:lang w:val="sq-AL"/>
              </w:rPr>
              <w:t>rcaktuar qart</w:t>
            </w:r>
            <w:r w:rsidR="00A90D65">
              <w:rPr>
                <w:lang w:val="sq-AL"/>
              </w:rPr>
              <w:t>ë</w:t>
            </w:r>
            <w:r w:rsidR="003A7A4A" w:rsidRPr="005628FC">
              <w:rPr>
                <w:lang w:val="sq-AL"/>
              </w:rPr>
              <w:t xml:space="preserve"> n</w:t>
            </w:r>
            <w:r w:rsidR="00BE1224">
              <w:rPr>
                <w:lang w:val="sq-AL"/>
              </w:rPr>
              <w:t>ë</w:t>
            </w:r>
            <w:r w:rsidR="003A7A4A" w:rsidRPr="005628FC">
              <w:rPr>
                <w:lang w:val="sq-AL"/>
              </w:rPr>
              <w:t xml:space="preserve"> p</w:t>
            </w:r>
            <w:r w:rsidR="00BE1224">
              <w:rPr>
                <w:lang w:val="sq-AL"/>
              </w:rPr>
              <w:t>ë</w:t>
            </w:r>
            <w:r w:rsidR="003A7A4A" w:rsidRPr="005628FC">
              <w:rPr>
                <w:lang w:val="sq-AL"/>
              </w:rPr>
              <w:t>rputhje me p</w:t>
            </w:r>
            <w:r w:rsidR="003A7A4A" w:rsidRPr="0082254D">
              <w:rPr>
                <w:szCs w:val="24"/>
                <w:lang w:val="sq-AL"/>
              </w:rPr>
              <w:t xml:space="preserve">arimin e sigurisë juridike, </w:t>
            </w:r>
            <w:r w:rsidR="005065DB">
              <w:rPr>
                <w:szCs w:val="24"/>
                <w:lang w:val="sq-AL"/>
              </w:rPr>
              <w:t>nj</w:t>
            </w:r>
            <w:r w:rsidR="00A90D65">
              <w:rPr>
                <w:szCs w:val="24"/>
                <w:lang w:val="sq-AL"/>
              </w:rPr>
              <w:t>ë</w:t>
            </w:r>
            <w:r w:rsidR="005065DB">
              <w:rPr>
                <w:szCs w:val="24"/>
                <w:lang w:val="sq-AL"/>
              </w:rPr>
              <w:t xml:space="preserve"> afat objektiv p</w:t>
            </w:r>
            <w:r w:rsidR="00A90D65">
              <w:rPr>
                <w:szCs w:val="24"/>
                <w:lang w:val="sq-AL"/>
              </w:rPr>
              <w:t>ë</w:t>
            </w:r>
            <w:r w:rsidR="005065DB">
              <w:rPr>
                <w:szCs w:val="24"/>
                <w:lang w:val="sq-AL"/>
              </w:rPr>
              <w:t>r shqyrtimin e dosjeve t</w:t>
            </w:r>
            <w:r w:rsidR="00A90D65">
              <w:rPr>
                <w:szCs w:val="24"/>
                <w:lang w:val="sq-AL"/>
              </w:rPr>
              <w:t>ë</w:t>
            </w:r>
            <w:r w:rsidR="005065DB">
              <w:rPr>
                <w:szCs w:val="24"/>
                <w:lang w:val="sq-AL"/>
              </w:rPr>
              <w:t xml:space="preserve"> pa shqyrtuara dhe vler</w:t>
            </w:r>
            <w:r w:rsidR="00A90D65">
              <w:rPr>
                <w:szCs w:val="24"/>
                <w:lang w:val="sq-AL"/>
              </w:rPr>
              <w:t>ë</w:t>
            </w:r>
            <w:r w:rsidR="005065DB">
              <w:rPr>
                <w:szCs w:val="24"/>
                <w:lang w:val="sq-AL"/>
              </w:rPr>
              <w:t>simin financiar t</w:t>
            </w:r>
            <w:r w:rsidR="00A90D65">
              <w:rPr>
                <w:szCs w:val="24"/>
                <w:lang w:val="sq-AL"/>
              </w:rPr>
              <w:t>ë</w:t>
            </w:r>
            <w:r w:rsidR="005065DB">
              <w:rPr>
                <w:szCs w:val="24"/>
                <w:lang w:val="sq-AL"/>
              </w:rPr>
              <w:t xml:space="preserve"> vendimeve t</w:t>
            </w:r>
            <w:r w:rsidR="00A90D65">
              <w:rPr>
                <w:szCs w:val="24"/>
                <w:lang w:val="sq-AL"/>
              </w:rPr>
              <w:t>ë</w:t>
            </w:r>
            <w:r w:rsidR="005065DB">
              <w:rPr>
                <w:szCs w:val="24"/>
                <w:lang w:val="sq-AL"/>
              </w:rPr>
              <w:t xml:space="preserve"> pa vler</w:t>
            </w:r>
            <w:r w:rsidR="00A90D65">
              <w:rPr>
                <w:szCs w:val="24"/>
                <w:lang w:val="sq-AL"/>
              </w:rPr>
              <w:t>ë</w:t>
            </w:r>
            <w:r w:rsidR="005065DB">
              <w:rPr>
                <w:szCs w:val="24"/>
                <w:lang w:val="sq-AL"/>
              </w:rPr>
              <w:t>suara. Ky afat i ri p</w:t>
            </w:r>
            <w:r w:rsidR="00A90D65">
              <w:rPr>
                <w:szCs w:val="24"/>
                <w:lang w:val="sq-AL"/>
              </w:rPr>
              <w:t>ë</w:t>
            </w:r>
            <w:r w:rsidR="005065DB">
              <w:rPr>
                <w:szCs w:val="24"/>
                <w:lang w:val="sq-AL"/>
              </w:rPr>
              <w:t>rcaktohet duke u bazuar në nj</w:t>
            </w:r>
            <w:r w:rsidR="00A90D65">
              <w:rPr>
                <w:szCs w:val="24"/>
                <w:lang w:val="sq-AL"/>
              </w:rPr>
              <w:t>ë</w:t>
            </w:r>
            <w:r w:rsidR="005065DB">
              <w:rPr>
                <w:szCs w:val="24"/>
                <w:lang w:val="sq-AL"/>
              </w:rPr>
              <w:t xml:space="preserve"> analiz</w:t>
            </w:r>
            <w:r w:rsidR="00A90D65">
              <w:rPr>
                <w:szCs w:val="24"/>
                <w:lang w:val="sq-AL"/>
              </w:rPr>
              <w:t>ë</w:t>
            </w:r>
            <w:r w:rsidR="005065DB">
              <w:rPr>
                <w:szCs w:val="24"/>
                <w:lang w:val="sq-AL"/>
              </w:rPr>
              <w:t xml:space="preserve"> t</w:t>
            </w:r>
            <w:r w:rsidR="00A90D65">
              <w:rPr>
                <w:szCs w:val="24"/>
                <w:lang w:val="sq-AL"/>
              </w:rPr>
              <w:t>ë</w:t>
            </w:r>
            <w:r w:rsidR="005065DB">
              <w:rPr>
                <w:szCs w:val="24"/>
                <w:lang w:val="sq-AL"/>
              </w:rPr>
              <w:t xml:space="preserve"> kryer nga ana e Agjencis</w:t>
            </w:r>
            <w:r w:rsidR="00A90D65">
              <w:rPr>
                <w:szCs w:val="24"/>
                <w:lang w:val="sq-AL"/>
              </w:rPr>
              <w:t>ë</w:t>
            </w:r>
            <w:r w:rsidR="005065DB">
              <w:rPr>
                <w:szCs w:val="24"/>
                <w:lang w:val="sq-AL"/>
              </w:rPr>
              <w:t xml:space="preserve"> s</w:t>
            </w:r>
            <w:r w:rsidR="00A90D65">
              <w:rPr>
                <w:szCs w:val="24"/>
                <w:lang w:val="sq-AL"/>
              </w:rPr>
              <w:t>ë</w:t>
            </w:r>
            <w:r w:rsidR="005065DB">
              <w:rPr>
                <w:szCs w:val="24"/>
                <w:lang w:val="sq-AL"/>
              </w:rPr>
              <w:t xml:space="preserve"> Trajtimit t</w:t>
            </w:r>
            <w:r w:rsidR="00A90D65">
              <w:rPr>
                <w:szCs w:val="24"/>
                <w:lang w:val="sq-AL"/>
              </w:rPr>
              <w:t>ë</w:t>
            </w:r>
            <w:r w:rsidR="005065DB">
              <w:rPr>
                <w:szCs w:val="24"/>
                <w:lang w:val="sq-AL"/>
              </w:rPr>
              <w:t xml:space="preserve"> Pronave, referuar t</w:t>
            </w:r>
            <w:r w:rsidR="00A90D65">
              <w:rPr>
                <w:szCs w:val="24"/>
                <w:lang w:val="sq-AL"/>
              </w:rPr>
              <w:t>ë</w:t>
            </w:r>
            <w:r w:rsidR="005065DB">
              <w:rPr>
                <w:szCs w:val="24"/>
                <w:lang w:val="sq-AL"/>
              </w:rPr>
              <w:t xml:space="preserve"> dh</w:t>
            </w:r>
            <w:r w:rsidR="00A90D65">
              <w:rPr>
                <w:szCs w:val="24"/>
                <w:lang w:val="sq-AL"/>
              </w:rPr>
              <w:t>ë</w:t>
            </w:r>
            <w:r w:rsidR="005065DB">
              <w:rPr>
                <w:szCs w:val="24"/>
                <w:lang w:val="sq-AL"/>
              </w:rPr>
              <w:t>nave statistikore dhe gjendjes s</w:t>
            </w:r>
            <w:r w:rsidR="00A90D65">
              <w:rPr>
                <w:szCs w:val="24"/>
                <w:lang w:val="sq-AL"/>
              </w:rPr>
              <w:t>ë</w:t>
            </w:r>
            <w:r w:rsidR="005065DB">
              <w:rPr>
                <w:szCs w:val="24"/>
                <w:lang w:val="sq-AL"/>
              </w:rPr>
              <w:t xml:space="preserve"> burimeve q</w:t>
            </w:r>
            <w:r w:rsidR="00A90D65">
              <w:rPr>
                <w:szCs w:val="24"/>
                <w:lang w:val="sq-AL"/>
              </w:rPr>
              <w:t>ë</w:t>
            </w:r>
            <w:r w:rsidR="005065DB">
              <w:rPr>
                <w:szCs w:val="24"/>
                <w:lang w:val="sq-AL"/>
              </w:rPr>
              <w:t xml:space="preserve"> ATP ka në dispozicion.</w:t>
            </w:r>
          </w:p>
          <w:p w14:paraId="7C69FC02" w14:textId="221252FC" w:rsidR="009D5310" w:rsidRPr="008712D5" w:rsidRDefault="009D5310" w:rsidP="009D5310">
            <w:pPr>
              <w:jc w:val="both"/>
              <w:rPr>
                <w:lang w:val="sq-AL"/>
              </w:rPr>
            </w:pPr>
            <w:r w:rsidRPr="0082254D">
              <w:rPr>
                <w:color w:val="000000" w:themeColor="text1"/>
                <w:lang w:val="sq-AL"/>
              </w:rPr>
              <w:t>Për më tepër, ligji aktual është vlerësuar për përmbajtjen e tij dhe sistemin e kompensimit që parashikon, si nga</w:t>
            </w:r>
            <w:r>
              <w:rPr>
                <w:color w:val="000000" w:themeColor="text1"/>
                <w:lang w:val="sq-AL"/>
              </w:rPr>
              <w:t xml:space="preserve"> GJEDNJ, ashtu edhe nga </w:t>
            </w:r>
            <w:r w:rsidRPr="0082254D">
              <w:rPr>
                <w:color w:val="000000" w:themeColor="text1"/>
                <w:lang w:val="sq-AL"/>
              </w:rPr>
              <w:t xml:space="preserve"> Gjykata Kushtetuese, </w:t>
            </w:r>
            <w:r>
              <w:rPr>
                <w:color w:val="000000" w:themeColor="text1"/>
                <w:lang w:val="sq-AL"/>
              </w:rPr>
              <w:t xml:space="preserve">e cila </w:t>
            </w:r>
            <w:r w:rsidRPr="0082254D">
              <w:rPr>
                <w:szCs w:val="24"/>
                <w:lang w:val="sq-AL"/>
              </w:rPr>
              <w:t xml:space="preserve"> ka vlerësuar se metodologjia dhe formula e parashikuar nga ligji nr. 133/2015</w:t>
            </w:r>
            <w:r w:rsidR="005065DB">
              <w:rPr>
                <w:szCs w:val="24"/>
                <w:lang w:val="sq-AL"/>
              </w:rPr>
              <w:t>, t</w:t>
            </w:r>
            <w:r w:rsidR="00A90D65">
              <w:rPr>
                <w:szCs w:val="24"/>
                <w:lang w:val="sq-AL"/>
              </w:rPr>
              <w:t>ë</w:t>
            </w:r>
            <w:r w:rsidR="005065DB">
              <w:rPr>
                <w:szCs w:val="24"/>
                <w:lang w:val="sq-AL"/>
              </w:rPr>
              <w:t xml:space="preserve"> ndryshuar, </w:t>
            </w:r>
            <w:r w:rsidRPr="0082254D">
              <w:rPr>
                <w:szCs w:val="24"/>
                <w:lang w:val="sq-AL"/>
              </w:rPr>
              <w:t>ndërhyjnë në të drejtën e pronës private të sanksionuar në nenin 41 të Kushtetutës, por kjo ndërhyrje respekton elementet e parashikuara në nenin 17 të Kushtetutës. S</w:t>
            </w:r>
            <w:r w:rsidRPr="0082254D">
              <w:rPr>
                <w:rFonts w:eastAsia="Arial"/>
                <w:szCs w:val="24"/>
                <w:lang w:val="sq-AL"/>
              </w:rPr>
              <w:t xml:space="preserve">kema </w:t>
            </w:r>
            <w:r w:rsidRPr="005628FC">
              <w:rPr>
                <w:rFonts w:eastAsia="Arial"/>
                <w:szCs w:val="24"/>
                <w:lang w:val="sq-AL"/>
              </w:rPr>
              <w:t xml:space="preserve"> </w:t>
            </w:r>
            <w:r w:rsidRPr="0082254D">
              <w:rPr>
                <w:rFonts w:eastAsia="Arial"/>
                <w:szCs w:val="24"/>
                <w:lang w:val="sq-AL"/>
              </w:rPr>
              <w:t>e kompensimit, e miratuar në ligjin nr. 133/2015,</w:t>
            </w:r>
            <w:r w:rsidR="005065DB">
              <w:rPr>
                <w:rFonts w:eastAsia="Arial"/>
                <w:szCs w:val="24"/>
                <w:lang w:val="sq-AL"/>
              </w:rPr>
              <w:t xml:space="preserve"> i ndryshuar,</w:t>
            </w:r>
            <w:r w:rsidRPr="0082254D">
              <w:rPr>
                <w:rFonts w:eastAsia="Arial"/>
                <w:szCs w:val="24"/>
                <w:lang w:val="sq-AL"/>
              </w:rPr>
              <w:t xml:space="preserve"> në tërësinë e saj respekton proporcionalitetin e ndërhyrjes në të drejtën e kompensimit të pronës ish-pronarëve dhe, si e tillë, është në respektim të nenit 1 të Protokollit 1 të KEDNJ-së. Po ashtu, të njejtin qendrim ka mbajtur edhe GJEDNJ-ja në jurisprudencën e saj. </w:t>
            </w:r>
          </w:p>
          <w:p w14:paraId="101750D4" w14:textId="3AA45903" w:rsidR="00C61AF4" w:rsidRDefault="00C61AF4" w:rsidP="00D744F3">
            <w:pPr>
              <w:spacing w:after="240" w:line="276" w:lineRule="auto"/>
              <w:jc w:val="both"/>
              <w:rPr>
                <w:szCs w:val="24"/>
                <w:lang w:val="sq-AL"/>
              </w:rPr>
            </w:pPr>
            <w:r>
              <w:rPr>
                <w:szCs w:val="24"/>
                <w:lang w:val="sq-AL"/>
              </w:rPr>
              <w:t>Po ashtu, efektiviteti i ligjit nr.133/2015 evidentohet edhe nga zbatimi n</w:t>
            </w:r>
            <w:r w:rsidR="00C2480E">
              <w:rPr>
                <w:szCs w:val="24"/>
                <w:lang w:val="sq-AL"/>
              </w:rPr>
              <w:t>ë</w:t>
            </w:r>
            <w:r>
              <w:rPr>
                <w:szCs w:val="24"/>
                <w:lang w:val="sq-AL"/>
              </w:rPr>
              <w:t xml:space="preserve"> praktik</w:t>
            </w:r>
            <w:r w:rsidR="00C2480E">
              <w:rPr>
                <w:szCs w:val="24"/>
                <w:lang w:val="sq-AL"/>
              </w:rPr>
              <w:t>ë</w:t>
            </w:r>
            <w:r>
              <w:rPr>
                <w:szCs w:val="24"/>
                <w:lang w:val="sq-AL"/>
              </w:rPr>
              <w:t xml:space="preserve"> nga Agjencia e Trajtimit t</w:t>
            </w:r>
            <w:r w:rsidR="00C2480E">
              <w:rPr>
                <w:szCs w:val="24"/>
                <w:lang w:val="sq-AL"/>
              </w:rPr>
              <w:t>ë</w:t>
            </w:r>
            <w:r>
              <w:rPr>
                <w:szCs w:val="24"/>
                <w:lang w:val="sq-AL"/>
              </w:rPr>
              <w:t xml:space="preserve"> Pronave dhe numri i ç</w:t>
            </w:r>
            <w:r w:rsidR="00C2480E">
              <w:rPr>
                <w:szCs w:val="24"/>
                <w:lang w:val="sq-AL"/>
              </w:rPr>
              <w:t>ë</w:t>
            </w:r>
            <w:r>
              <w:rPr>
                <w:szCs w:val="24"/>
                <w:lang w:val="sq-AL"/>
              </w:rPr>
              <w:t>shtjeve t</w:t>
            </w:r>
            <w:r w:rsidR="00C2480E">
              <w:rPr>
                <w:szCs w:val="24"/>
                <w:lang w:val="sq-AL"/>
              </w:rPr>
              <w:t>ë</w:t>
            </w:r>
            <w:r>
              <w:rPr>
                <w:szCs w:val="24"/>
                <w:lang w:val="sq-AL"/>
              </w:rPr>
              <w:t xml:space="preserve"> trajtuara prej tyre.</w:t>
            </w:r>
            <w:r w:rsidR="007F635D">
              <w:rPr>
                <w:rStyle w:val="FootnoteReference"/>
                <w:szCs w:val="24"/>
                <w:lang w:val="sq-AL"/>
              </w:rPr>
              <w:footnoteReference w:id="2"/>
            </w:r>
            <w:r w:rsidR="00A65902">
              <w:rPr>
                <w:szCs w:val="24"/>
                <w:lang w:val="sq-AL"/>
              </w:rPr>
              <w:t xml:space="preserve"> </w:t>
            </w:r>
          </w:p>
          <w:p w14:paraId="69848A83" w14:textId="77777777" w:rsidR="00A65902" w:rsidRDefault="00A65902" w:rsidP="001E0D36">
            <w:pPr>
              <w:spacing w:line="276" w:lineRule="auto"/>
              <w:jc w:val="both"/>
              <w:rPr>
                <w:szCs w:val="24"/>
                <w:lang w:val="sq-AL"/>
              </w:rPr>
            </w:pPr>
            <w:r>
              <w:rPr>
                <w:szCs w:val="24"/>
                <w:lang w:val="sq-AL"/>
              </w:rPr>
              <w:t>Ndryshimi i ligjit aktual p</w:t>
            </w:r>
            <w:r w:rsidR="00C2480E">
              <w:rPr>
                <w:szCs w:val="24"/>
                <w:lang w:val="sq-AL"/>
              </w:rPr>
              <w:t>ë</w:t>
            </w:r>
            <w:r>
              <w:rPr>
                <w:szCs w:val="24"/>
                <w:lang w:val="sq-AL"/>
              </w:rPr>
              <w:t>r trajtimin e pronave dhe p</w:t>
            </w:r>
            <w:r w:rsidR="00C2480E">
              <w:rPr>
                <w:szCs w:val="24"/>
                <w:lang w:val="sq-AL"/>
              </w:rPr>
              <w:t>ë</w:t>
            </w:r>
            <w:r>
              <w:rPr>
                <w:szCs w:val="24"/>
                <w:lang w:val="sq-AL"/>
              </w:rPr>
              <w:t>rfundimin e procesit t</w:t>
            </w:r>
            <w:r w:rsidR="00C2480E">
              <w:rPr>
                <w:szCs w:val="24"/>
                <w:lang w:val="sq-AL"/>
              </w:rPr>
              <w:t>ë</w:t>
            </w:r>
            <w:r>
              <w:rPr>
                <w:szCs w:val="24"/>
                <w:lang w:val="sq-AL"/>
              </w:rPr>
              <w:t xml:space="preserve"> kompensimit t</w:t>
            </w:r>
            <w:r w:rsidR="00C2480E">
              <w:rPr>
                <w:szCs w:val="24"/>
                <w:lang w:val="sq-AL"/>
              </w:rPr>
              <w:t>ë</w:t>
            </w:r>
            <w:r>
              <w:rPr>
                <w:szCs w:val="24"/>
                <w:lang w:val="sq-AL"/>
              </w:rPr>
              <w:t xml:space="preserve"> pronave paraqet disa avantazhe, nd</w:t>
            </w:r>
            <w:r w:rsidR="00C2480E">
              <w:rPr>
                <w:szCs w:val="24"/>
                <w:lang w:val="sq-AL"/>
              </w:rPr>
              <w:t>ë</w:t>
            </w:r>
            <w:r>
              <w:rPr>
                <w:szCs w:val="24"/>
                <w:lang w:val="sq-AL"/>
              </w:rPr>
              <w:t>r t</w:t>
            </w:r>
            <w:r w:rsidR="00C2480E">
              <w:rPr>
                <w:szCs w:val="24"/>
                <w:lang w:val="sq-AL"/>
              </w:rPr>
              <w:t>ë</w:t>
            </w:r>
            <w:r>
              <w:rPr>
                <w:szCs w:val="24"/>
                <w:lang w:val="sq-AL"/>
              </w:rPr>
              <w:t xml:space="preserve"> cilat p</w:t>
            </w:r>
            <w:r w:rsidR="00C2480E">
              <w:rPr>
                <w:szCs w:val="24"/>
                <w:lang w:val="sq-AL"/>
              </w:rPr>
              <w:t>ë</w:t>
            </w:r>
            <w:r>
              <w:rPr>
                <w:szCs w:val="24"/>
                <w:lang w:val="sq-AL"/>
              </w:rPr>
              <w:t>rmendim:</w:t>
            </w:r>
          </w:p>
          <w:p w14:paraId="1CC2C375" w14:textId="77777777" w:rsidR="00C61AF4" w:rsidRDefault="00C61AF4" w:rsidP="001E0D36">
            <w:pPr>
              <w:spacing w:line="276" w:lineRule="auto"/>
              <w:jc w:val="both"/>
              <w:rPr>
                <w:szCs w:val="24"/>
                <w:lang w:val="sq-AL"/>
              </w:rPr>
            </w:pPr>
          </w:p>
          <w:p w14:paraId="5A367C4D" w14:textId="2FF38E47" w:rsidR="0069239F" w:rsidRPr="00FB3897" w:rsidRDefault="0069239F" w:rsidP="005065DB">
            <w:pPr>
              <w:pStyle w:val="ListParagraph"/>
              <w:numPr>
                <w:ilvl w:val="0"/>
                <w:numId w:val="12"/>
              </w:numPr>
              <w:ind w:left="605" w:hanging="245"/>
              <w:jc w:val="both"/>
              <w:rPr>
                <w:rFonts w:ascii="Times New Roman" w:hAnsi="Times New Roman"/>
                <w:color w:val="000000" w:themeColor="text1"/>
                <w:sz w:val="24"/>
                <w:szCs w:val="24"/>
                <w:lang w:val="sq-AL"/>
              </w:rPr>
            </w:pPr>
            <w:r w:rsidRPr="00FB3897">
              <w:rPr>
                <w:rFonts w:ascii="Times New Roman" w:hAnsi="Times New Roman"/>
                <w:color w:val="000000" w:themeColor="text1"/>
                <w:sz w:val="24"/>
                <w:szCs w:val="24"/>
                <w:lang w:val="sq-AL"/>
              </w:rPr>
              <w:t>Trajtimin</w:t>
            </w:r>
            <w:r w:rsidR="00D21134" w:rsidRPr="0051693C">
              <w:rPr>
                <w:rFonts w:ascii="Times New Roman" w:hAnsi="Times New Roman"/>
                <w:sz w:val="24"/>
                <w:szCs w:val="24"/>
                <w:lang w:val="sq-AL"/>
              </w:rPr>
              <w:t xml:space="preserve"> n</w:t>
            </w:r>
            <w:r w:rsidR="00BE1224">
              <w:rPr>
                <w:rFonts w:ascii="Times New Roman" w:hAnsi="Times New Roman"/>
                <w:sz w:val="24"/>
                <w:szCs w:val="24"/>
                <w:lang w:val="sq-AL"/>
              </w:rPr>
              <w:t>ë</w:t>
            </w:r>
            <w:r w:rsidR="00D21134" w:rsidRPr="0051693C">
              <w:rPr>
                <w:rFonts w:ascii="Times New Roman" w:hAnsi="Times New Roman"/>
                <w:sz w:val="24"/>
                <w:szCs w:val="24"/>
                <w:lang w:val="sq-AL"/>
              </w:rPr>
              <w:t xml:space="preserve"> m</w:t>
            </w:r>
            <w:r w:rsidR="00BE1224">
              <w:rPr>
                <w:rFonts w:ascii="Times New Roman" w:hAnsi="Times New Roman"/>
                <w:sz w:val="24"/>
                <w:szCs w:val="24"/>
                <w:lang w:val="sq-AL"/>
              </w:rPr>
              <w:t>ë</w:t>
            </w:r>
            <w:r w:rsidR="00D21134" w:rsidRPr="0051693C">
              <w:rPr>
                <w:rFonts w:ascii="Times New Roman" w:hAnsi="Times New Roman"/>
                <w:sz w:val="24"/>
                <w:szCs w:val="24"/>
                <w:lang w:val="sq-AL"/>
              </w:rPr>
              <w:t>nyr</w:t>
            </w:r>
            <w:r w:rsidR="005671AF">
              <w:rPr>
                <w:rFonts w:ascii="Times New Roman" w:hAnsi="Times New Roman"/>
                <w:sz w:val="24"/>
                <w:szCs w:val="24"/>
                <w:lang w:val="sq-AL"/>
              </w:rPr>
              <w:t>ë</w:t>
            </w:r>
            <w:r w:rsidR="00D21134" w:rsidRPr="0051693C">
              <w:rPr>
                <w:rFonts w:ascii="Times New Roman" w:hAnsi="Times New Roman"/>
                <w:sz w:val="24"/>
                <w:szCs w:val="24"/>
                <w:lang w:val="sq-AL"/>
              </w:rPr>
              <w:t xml:space="preserve"> ezauruese</w:t>
            </w:r>
            <w:r w:rsidR="00D21134" w:rsidRPr="00D21134">
              <w:rPr>
                <w:rFonts w:ascii="Times New Roman" w:hAnsi="Times New Roman"/>
                <w:color w:val="000000" w:themeColor="text1"/>
                <w:sz w:val="24"/>
                <w:szCs w:val="24"/>
                <w:lang w:val="sq-AL"/>
              </w:rPr>
              <w:t xml:space="preserve"> </w:t>
            </w:r>
            <w:r w:rsidRPr="00FB3897">
              <w:rPr>
                <w:rFonts w:ascii="Times New Roman" w:hAnsi="Times New Roman"/>
                <w:color w:val="000000" w:themeColor="text1"/>
                <w:sz w:val="24"/>
                <w:szCs w:val="24"/>
                <w:lang w:val="sq-AL"/>
              </w:rPr>
              <w:t xml:space="preserve"> </w:t>
            </w:r>
            <w:r w:rsidR="006E239F">
              <w:rPr>
                <w:rFonts w:ascii="Times New Roman" w:hAnsi="Times New Roman"/>
                <w:sz w:val="24"/>
                <w:szCs w:val="24"/>
                <w:lang w:val="sq-AL"/>
              </w:rPr>
              <w:t>p</w:t>
            </w:r>
            <w:r w:rsidR="00BE1224">
              <w:rPr>
                <w:rFonts w:ascii="Times New Roman" w:hAnsi="Times New Roman"/>
                <w:sz w:val="24"/>
                <w:szCs w:val="24"/>
                <w:lang w:val="sq-AL"/>
              </w:rPr>
              <w:t>ë</w:t>
            </w:r>
            <w:r w:rsidR="006E239F">
              <w:rPr>
                <w:rFonts w:ascii="Times New Roman" w:hAnsi="Times New Roman"/>
                <w:sz w:val="24"/>
                <w:szCs w:val="24"/>
                <w:lang w:val="sq-AL"/>
              </w:rPr>
              <w:t>r</w:t>
            </w:r>
            <w:r w:rsidR="006E239F" w:rsidRPr="0051693C">
              <w:rPr>
                <w:rFonts w:ascii="Times New Roman" w:hAnsi="Times New Roman"/>
                <w:sz w:val="24"/>
                <w:szCs w:val="24"/>
                <w:lang w:val="sq-AL"/>
              </w:rPr>
              <w:t xml:space="preserve"> shqyrtimin e dosjeve të pa trajtuara p</w:t>
            </w:r>
            <w:r w:rsidR="00BE1224">
              <w:rPr>
                <w:rFonts w:ascii="Times New Roman" w:hAnsi="Times New Roman"/>
                <w:sz w:val="24"/>
                <w:szCs w:val="24"/>
                <w:lang w:val="sq-AL"/>
              </w:rPr>
              <w:t>ë</w:t>
            </w:r>
            <w:r w:rsidR="006E239F" w:rsidRPr="0051693C">
              <w:rPr>
                <w:rFonts w:ascii="Times New Roman" w:hAnsi="Times New Roman"/>
                <w:sz w:val="24"/>
                <w:szCs w:val="24"/>
                <w:lang w:val="sq-AL"/>
              </w:rPr>
              <w:t>r njohjen e s</w:t>
            </w:r>
            <w:r w:rsidR="00BE1224">
              <w:rPr>
                <w:rFonts w:ascii="Times New Roman" w:hAnsi="Times New Roman"/>
                <w:sz w:val="24"/>
                <w:szCs w:val="24"/>
                <w:lang w:val="sq-AL"/>
              </w:rPr>
              <w:t>ë</w:t>
            </w:r>
            <w:r w:rsidR="006E239F" w:rsidRPr="0051693C">
              <w:rPr>
                <w:rFonts w:ascii="Times New Roman" w:hAnsi="Times New Roman"/>
                <w:sz w:val="24"/>
                <w:szCs w:val="24"/>
                <w:lang w:val="sq-AL"/>
              </w:rPr>
              <w:t xml:space="preserve"> drejt</w:t>
            </w:r>
            <w:r w:rsidR="00BE1224">
              <w:rPr>
                <w:rFonts w:ascii="Times New Roman" w:hAnsi="Times New Roman"/>
                <w:sz w:val="24"/>
                <w:szCs w:val="24"/>
                <w:lang w:val="sq-AL"/>
              </w:rPr>
              <w:t>ë</w:t>
            </w:r>
            <w:r w:rsidR="006E239F" w:rsidRPr="0051693C">
              <w:rPr>
                <w:rFonts w:ascii="Times New Roman" w:hAnsi="Times New Roman"/>
                <w:sz w:val="24"/>
                <w:szCs w:val="24"/>
                <w:lang w:val="sq-AL"/>
              </w:rPr>
              <w:t>s s</w:t>
            </w:r>
            <w:r w:rsidR="00BE1224">
              <w:rPr>
                <w:rFonts w:ascii="Times New Roman" w:hAnsi="Times New Roman"/>
                <w:sz w:val="24"/>
                <w:szCs w:val="24"/>
                <w:lang w:val="sq-AL"/>
              </w:rPr>
              <w:t>ë</w:t>
            </w:r>
            <w:r w:rsidR="006E239F" w:rsidRPr="0051693C">
              <w:rPr>
                <w:rFonts w:ascii="Times New Roman" w:hAnsi="Times New Roman"/>
                <w:sz w:val="24"/>
                <w:szCs w:val="24"/>
                <w:lang w:val="sq-AL"/>
              </w:rPr>
              <w:t xml:space="preserve"> pron</w:t>
            </w:r>
            <w:r w:rsidR="00BE1224">
              <w:rPr>
                <w:rFonts w:ascii="Times New Roman" w:hAnsi="Times New Roman"/>
                <w:sz w:val="24"/>
                <w:szCs w:val="24"/>
                <w:lang w:val="sq-AL"/>
              </w:rPr>
              <w:t>ë</w:t>
            </w:r>
            <w:r w:rsidR="006E239F" w:rsidRPr="0051693C">
              <w:rPr>
                <w:rFonts w:ascii="Times New Roman" w:hAnsi="Times New Roman"/>
                <w:sz w:val="24"/>
                <w:szCs w:val="24"/>
                <w:lang w:val="sq-AL"/>
              </w:rPr>
              <w:t>s</w:t>
            </w:r>
            <w:r w:rsidR="006E239F">
              <w:rPr>
                <w:rFonts w:ascii="Times New Roman" w:hAnsi="Times New Roman"/>
                <w:sz w:val="24"/>
                <w:szCs w:val="24"/>
                <w:lang w:val="sq-AL"/>
              </w:rPr>
              <w:t xml:space="preserve"> si dhe vler</w:t>
            </w:r>
            <w:r w:rsidR="00BE1224">
              <w:rPr>
                <w:rFonts w:ascii="Times New Roman" w:hAnsi="Times New Roman"/>
                <w:sz w:val="24"/>
                <w:szCs w:val="24"/>
                <w:lang w:val="sq-AL"/>
              </w:rPr>
              <w:t>ë</w:t>
            </w:r>
            <w:r w:rsidR="006E239F">
              <w:rPr>
                <w:rFonts w:ascii="Times New Roman" w:hAnsi="Times New Roman"/>
                <w:sz w:val="24"/>
                <w:szCs w:val="24"/>
                <w:lang w:val="sq-AL"/>
              </w:rPr>
              <w:t>simin financiar p</w:t>
            </w:r>
            <w:r w:rsidR="00BE1224">
              <w:rPr>
                <w:rFonts w:ascii="Times New Roman" w:hAnsi="Times New Roman"/>
                <w:sz w:val="24"/>
                <w:szCs w:val="24"/>
                <w:lang w:val="sq-AL"/>
              </w:rPr>
              <w:t>ë</w:t>
            </w:r>
            <w:r w:rsidR="006E239F">
              <w:rPr>
                <w:rFonts w:ascii="Times New Roman" w:hAnsi="Times New Roman"/>
                <w:sz w:val="24"/>
                <w:szCs w:val="24"/>
                <w:lang w:val="sq-AL"/>
              </w:rPr>
              <w:t>r ato vendime t</w:t>
            </w:r>
            <w:r w:rsidR="00BE1224">
              <w:rPr>
                <w:rFonts w:ascii="Times New Roman" w:hAnsi="Times New Roman"/>
                <w:sz w:val="24"/>
                <w:szCs w:val="24"/>
                <w:lang w:val="sq-AL"/>
              </w:rPr>
              <w:t>ë</w:t>
            </w:r>
            <w:r w:rsidR="006E239F">
              <w:rPr>
                <w:rFonts w:ascii="Times New Roman" w:hAnsi="Times New Roman"/>
                <w:sz w:val="24"/>
                <w:szCs w:val="24"/>
                <w:lang w:val="sq-AL"/>
              </w:rPr>
              <w:t xml:space="preserve"> </w:t>
            </w:r>
            <w:r w:rsidR="00717466">
              <w:rPr>
                <w:rFonts w:ascii="Times New Roman" w:hAnsi="Times New Roman"/>
                <w:sz w:val="24"/>
                <w:szCs w:val="24"/>
                <w:lang w:val="sq-AL"/>
              </w:rPr>
              <w:t>pavlerësuar.</w:t>
            </w:r>
          </w:p>
          <w:p w14:paraId="5B8E72AC" w14:textId="6F6B0093" w:rsidR="00FB5AC9" w:rsidRPr="00FB3897" w:rsidRDefault="00FB5AC9">
            <w:pPr>
              <w:pStyle w:val="ListParagraph"/>
              <w:numPr>
                <w:ilvl w:val="0"/>
                <w:numId w:val="12"/>
              </w:numPr>
              <w:ind w:left="596" w:hanging="236"/>
              <w:jc w:val="both"/>
              <w:rPr>
                <w:rFonts w:ascii="Times New Roman" w:hAnsi="Times New Roman"/>
                <w:color w:val="000000" w:themeColor="text1"/>
                <w:sz w:val="24"/>
                <w:szCs w:val="24"/>
                <w:lang w:val="sq-AL"/>
              </w:rPr>
            </w:pPr>
            <w:r w:rsidRPr="00FB3897">
              <w:rPr>
                <w:rFonts w:ascii="Times New Roman" w:hAnsi="Times New Roman"/>
                <w:color w:val="000000" w:themeColor="text1"/>
                <w:sz w:val="24"/>
                <w:szCs w:val="24"/>
                <w:lang w:val="sq-AL"/>
              </w:rPr>
              <w:t>Koh</w:t>
            </w:r>
            <w:r w:rsidR="00C2480E" w:rsidRPr="00FB3897">
              <w:rPr>
                <w:rFonts w:ascii="Times New Roman" w:hAnsi="Times New Roman"/>
                <w:color w:val="000000" w:themeColor="text1"/>
                <w:sz w:val="24"/>
                <w:szCs w:val="24"/>
                <w:lang w:val="sq-AL"/>
              </w:rPr>
              <w:t>ë</w:t>
            </w:r>
            <w:r w:rsidRPr="00FB3897">
              <w:rPr>
                <w:rFonts w:ascii="Times New Roman" w:hAnsi="Times New Roman"/>
                <w:color w:val="000000" w:themeColor="text1"/>
                <w:sz w:val="24"/>
                <w:szCs w:val="24"/>
                <w:lang w:val="sq-AL"/>
              </w:rPr>
              <w:t xml:space="preserve"> m</w:t>
            </w:r>
            <w:r w:rsidR="00C2480E" w:rsidRPr="00FB3897">
              <w:rPr>
                <w:rFonts w:ascii="Times New Roman" w:hAnsi="Times New Roman"/>
                <w:color w:val="000000" w:themeColor="text1"/>
                <w:sz w:val="24"/>
                <w:szCs w:val="24"/>
                <w:lang w:val="sq-AL"/>
              </w:rPr>
              <w:t>ë</w:t>
            </w:r>
            <w:r w:rsidRPr="00FB3897">
              <w:rPr>
                <w:rFonts w:ascii="Times New Roman" w:hAnsi="Times New Roman"/>
                <w:color w:val="000000" w:themeColor="text1"/>
                <w:sz w:val="24"/>
                <w:szCs w:val="24"/>
                <w:lang w:val="sq-AL"/>
              </w:rPr>
              <w:t xml:space="preserve"> e shpejt</w:t>
            </w:r>
            <w:r w:rsidR="00C2480E" w:rsidRPr="00FB3897">
              <w:rPr>
                <w:rFonts w:ascii="Times New Roman" w:hAnsi="Times New Roman"/>
                <w:color w:val="000000" w:themeColor="text1"/>
                <w:sz w:val="24"/>
                <w:szCs w:val="24"/>
                <w:lang w:val="sq-AL"/>
              </w:rPr>
              <w:t>ë</w:t>
            </w:r>
            <w:r w:rsidRPr="00FB3897">
              <w:rPr>
                <w:rFonts w:ascii="Times New Roman" w:hAnsi="Times New Roman"/>
                <w:color w:val="000000" w:themeColor="text1"/>
                <w:sz w:val="24"/>
                <w:szCs w:val="24"/>
                <w:lang w:val="sq-AL"/>
              </w:rPr>
              <w:t xml:space="preserve"> p</w:t>
            </w:r>
            <w:r w:rsidR="00C2480E" w:rsidRPr="00FB3897">
              <w:rPr>
                <w:rFonts w:ascii="Times New Roman" w:hAnsi="Times New Roman"/>
                <w:color w:val="000000" w:themeColor="text1"/>
                <w:sz w:val="24"/>
                <w:szCs w:val="24"/>
                <w:lang w:val="sq-AL"/>
              </w:rPr>
              <w:t>ë</w:t>
            </w:r>
            <w:r w:rsidRPr="00FB3897">
              <w:rPr>
                <w:rFonts w:ascii="Times New Roman" w:hAnsi="Times New Roman"/>
                <w:color w:val="000000" w:themeColor="text1"/>
                <w:sz w:val="24"/>
                <w:szCs w:val="24"/>
                <w:lang w:val="sq-AL"/>
              </w:rPr>
              <w:t>r kryerjen e ndryshimeve, duke i mund</w:t>
            </w:r>
            <w:r w:rsidR="00C2480E" w:rsidRPr="00FB3897">
              <w:rPr>
                <w:rFonts w:ascii="Times New Roman" w:hAnsi="Times New Roman"/>
                <w:color w:val="000000" w:themeColor="text1"/>
                <w:sz w:val="24"/>
                <w:szCs w:val="24"/>
                <w:lang w:val="sq-AL"/>
              </w:rPr>
              <w:t>ë</w:t>
            </w:r>
            <w:r w:rsidRPr="00FB3897">
              <w:rPr>
                <w:rFonts w:ascii="Times New Roman" w:hAnsi="Times New Roman"/>
                <w:color w:val="000000" w:themeColor="text1"/>
                <w:sz w:val="24"/>
                <w:szCs w:val="24"/>
                <w:lang w:val="sq-AL"/>
              </w:rPr>
              <w:t>suar qytetar</w:t>
            </w:r>
            <w:r w:rsidR="00C2480E" w:rsidRPr="00FB3897">
              <w:rPr>
                <w:rFonts w:ascii="Times New Roman" w:hAnsi="Times New Roman"/>
                <w:color w:val="000000" w:themeColor="text1"/>
                <w:sz w:val="24"/>
                <w:szCs w:val="24"/>
                <w:lang w:val="sq-AL"/>
              </w:rPr>
              <w:t>ë</w:t>
            </w:r>
            <w:r w:rsidRPr="00FB3897">
              <w:rPr>
                <w:rFonts w:ascii="Times New Roman" w:hAnsi="Times New Roman"/>
                <w:color w:val="000000" w:themeColor="text1"/>
                <w:sz w:val="24"/>
                <w:szCs w:val="24"/>
                <w:lang w:val="sq-AL"/>
              </w:rPr>
              <w:t>ve t</w:t>
            </w:r>
            <w:r w:rsidR="00C2480E" w:rsidRPr="00FB3897">
              <w:rPr>
                <w:rFonts w:ascii="Times New Roman" w:hAnsi="Times New Roman"/>
                <w:color w:val="000000" w:themeColor="text1"/>
                <w:sz w:val="24"/>
                <w:szCs w:val="24"/>
                <w:lang w:val="sq-AL"/>
              </w:rPr>
              <w:t>ë</w:t>
            </w:r>
            <w:r w:rsidRPr="00FB3897">
              <w:rPr>
                <w:rFonts w:ascii="Times New Roman" w:hAnsi="Times New Roman"/>
                <w:color w:val="000000" w:themeColor="text1"/>
                <w:sz w:val="24"/>
                <w:szCs w:val="24"/>
                <w:lang w:val="sq-AL"/>
              </w:rPr>
              <w:t xml:space="preserve"> p</w:t>
            </w:r>
            <w:r w:rsidR="00C2480E" w:rsidRPr="00FB3897">
              <w:rPr>
                <w:rFonts w:ascii="Times New Roman" w:hAnsi="Times New Roman"/>
                <w:color w:val="000000" w:themeColor="text1"/>
                <w:sz w:val="24"/>
                <w:szCs w:val="24"/>
                <w:lang w:val="sq-AL"/>
              </w:rPr>
              <w:t>ë</w:t>
            </w:r>
            <w:r w:rsidRPr="00FB3897">
              <w:rPr>
                <w:rFonts w:ascii="Times New Roman" w:hAnsi="Times New Roman"/>
                <w:color w:val="000000" w:themeColor="text1"/>
                <w:sz w:val="24"/>
                <w:szCs w:val="24"/>
                <w:lang w:val="sq-AL"/>
              </w:rPr>
              <w:t>rfitojn</w:t>
            </w:r>
            <w:r w:rsidR="00C2480E" w:rsidRPr="00FB3897">
              <w:rPr>
                <w:rFonts w:ascii="Times New Roman" w:hAnsi="Times New Roman"/>
                <w:color w:val="000000" w:themeColor="text1"/>
                <w:sz w:val="24"/>
                <w:szCs w:val="24"/>
                <w:lang w:val="sq-AL"/>
              </w:rPr>
              <w:t>ë</w:t>
            </w:r>
            <w:r w:rsidRPr="00FB3897">
              <w:rPr>
                <w:rFonts w:ascii="Times New Roman" w:hAnsi="Times New Roman"/>
                <w:color w:val="000000" w:themeColor="text1"/>
                <w:sz w:val="24"/>
                <w:szCs w:val="24"/>
                <w:lang w:val="sq-AL"/>
              </w:rPr>
              <w:t xml:space="preserve"> nga avantazhet q</w:t>
            </w:r>
            <w:r w:rsidR="00C2480E" w:rsidRPr="00FB3897">
              <w:rPr>
                <w:rFonts w:ascii="Times New Roman" w:hAnsi="Times New Roman"/>
                <w:color w:val="000000" w:themeColor="text1"/>
                <w:sz w:val="24"/>
                <w:szCs w:val="24"/>
                <w:lang w:val="sq-AL"/>
              </w:rPr>
              <w:t>ë</w:t>
            </w:r>
            <w:r w:rsidRPr="00FB3897">
              <w:rPr>
                <w:rFonts w:ascii="Times New Roman" w:hAnsi="Times New Roman"/>
                <w:color w:val="000000" w:themeColor="text1"/>
                <w:sz w:val="24"/>
                <w:szCs w:val="24"/>
                <w:lang w:val="sq-AL"/>
              </w:rPr>
              <w:t xml:space="preserve"> sjell kjo nd</w:t>
            </w:r>
            <w:r w:rsidR="00C2480E" w:rsidRPr="00FB3897">
              <w:rPr>
                <w:rFonts w:ascii="Times New Roman" w:hAnsi="Times New Roman"/>
                <w:color w:val="000000" w:themeColor="text1"/>
                <w:sz w:val="24"/>
                <w:szCs w:val="24"/>
                <w:lang w:val="sq-AL"/>
              </w:rPr>
              <w:t>ë</w:t>
            </w:r>
            <w:r w:rsidRPr="00FB3897">
              <w:rPr>
                <w:rFonts w:ascii="Times New Roman" w:hAnsi="Times New Roman"/>
                <w:color w:val="000000" w:themeColor="text1"/>
                <w:sz w:val="24"/>
                <w:szCs w:val="24"/>
                <w:lang w:val="sq-AL"/>
              </w:rPr>
              <w:t>rhyrje.</w:t>
            </w:r>
          </w:p>
          <w:p w14:paraId="0E31FCD3" w14:textId="609C069D" w:rsidR="000F6D44" w:rsidRPr="00CA3CF2" w:rsidRDefault="00FD3D9D">
            <w:pPr>
              <w:pStyle w:val="ListParagraph"/>
              <w:numPr>
                <w:ilvl w:val="0"/>
                <w:numId w:val="12"/>
              </w:numPr>
              <w:ind w:left="596" w:hanging="236"/>
              <w:jc w:val="both"/>
              <w:rPr>
                <w:rFonts w:ascii="Times New Roman" w:hAnsi="Times New Roman"/>
                <w:color w:val="000000" w:themeColor="text1"/>
                <w:sz w:val="24"/>
                <w:szCs w:val="24"/>
                <w:lang w:val="sq-AL" w:eastAsia="it-IT"/>
              </w:rPr>
            </w:pPr>
            <w:r w:rsidRPr="00CA3CF2">
              <w:rPr>
                <w:rFonts w:ascii="Times New Roman" w:hAnsi="Times New Roman"/>
                <w:color w:val="000000" w:themeColor="text1"/>
                <w:sz w:val="24"/>
                <w:szCs w:val="24"/>
                <w:lang w:val="sq-AL"/>
              </w:rPr>
              <w:t>Mund</w:t>
            </w:r>
            <w:r w:rsidR="00BE1224" w:rsidRPr="00CA3CF2">
              <w:rPr>
                <w:rFonts w:ascii="Times New Roman" w:hAnsi="Times New Roman"/>
                <w:color w:val="000000" w:themeColor="text1"/>
                <w:sz w:val="24"/>
                <w:szCs w:val="24"/>
                <w:lang w:val="sq-AL"/>
              </w:rPr>
              <w:t>ë</w:t>
            </w:r>
            <w:r w:rsidRPr="00CA3CF2">
              <w:rPr>
                <w:rFonts w:ascii="Times New Roman" w:hAnsi="Times New Roman"/>
                <w:color w:val="000000" w:themeColor="text1"/>
                <w:sz w:val="24"/>
                <w:szCs w:val="24"/>
                <w:lang w:val="sq-AL"/>
              </w:rPr>
              <w:t>son vazhdimin e pun</w:t>
            </w:r>
            <w:r w:rsidR="00BE1224" w:rsidRPr="00CA3CF2">
              <w:rPr>
                <w:rFonts w:ascii="Times New Roman" w:hAnsi="Times New Roman"/>
                <w:color w:val="000000" w:themeColor="text1"/>
                <w:sz w:val="24"/>
                <w:szCs w:val="24"/>
                <w:lang w:val="sq-AL"/>
              </w:rPr>
              <w:t>ë</w:t>
            </w:r>
            <w:r w:rsidRPr="00CA3CF2">
              <w:rPr>
                <w:rFonts w:ascii="Times New Roman" w:hAnsi="Times New Roman"/>
                <w:color w:val="000000" w:themeColor="text1"/>
                <w:sz w:val="24"/>
                <w:szCs w:val="24"/>
                <w:lang w:val="sq-AL"/>
              </w:rPr>
              <w:t>s s</w:t>
            </w:r>
            <w:r w:rsidR="00BE1224" w:rsidRPr="00CA3CF2">
              <w:rPr>
                <w:rFonts w:ascii="Times New Roman" w:hAnsi="Times New Roman"/>
                <w:color w:val="000000" w:themeColor="text1"/>
                <w:sz w:val="24"/>
                <w:szCs w:val="24"/>
                <w:lang w:val="sq-AL"/>
              </w:rPr>
              <w:t>ë</w:t>
            </w:r>
            <w:r w:rsidRPr="00CA3CF2">
              <w:rPr>
                <w:rFonts w:ascii="Times New Roman" w:hAnsi="Times New Roman"/>
                <w:color w:val="000000" w:themeColor="text1"/>
                <w:sz w:val="24"/>
                <w:szCs w:val="24"/>
                <w:lang w:val="sq-AL"/>
              </w:rPr>
              <w:t xml:space="preserve"> institucioneve t</w:t>
            </w:r>
            <w:r w:rsidR="00BE1224" w:rsidRPr="00CA3CF2">
              <w:rPr>
                <w:rFonts w:ascii="Times New Roman" w:hAnsi="Times New Roman"/>
                <w:color w:val="000000" w:themeColor="text1"/>
                <w:sz w:val="24"/>
                <w:szCs w:val="24"/>
                <w:lang w:val="sq-AL"/>
              </w:rPr>
              <w:t>ë</w:t>
            </w:r>
            <w:r w:rsidRPr="00CA3CF2">
              <w:rPr>
                <w:rFonts w:ascii="Times New Roman" w:hAnsi="Times New Roman"/>
                <w:color w:val="000000" w:themeColor="text1"/>
                <w:sz w:val="24"/>
                <w:szCs w:val="24"/>
                <w:lang w:val="sq-AL"/>
              </w:rPr>
              <w:t xml:space="preserve"> ngarkuara m</w:t>
            </w:r>
            <w:r w:rsidR="00BE1224" w:rsidRPr="00CA3CF2">
              <w:rPr>
                <w:rFonts w:ascii="Times New Roman" w:hAnsi="Times New Roman"/>
                <w:color w:val="000000" w:themeColor="text1"/>
                <w:sz w:val="24"/>
                <w:szCs w:val="24"/>
                <w:lang w:val="sq-AL"/>
              </w:rPr>
              <w:t>ë</w:t>
            </w:r>
            <w:r w:rsidRPr="00CA3CF2">
              <w:rPr>
                <w:rFonts w:ascii="Times New Roman" w:hAnsi="Times New Roman"/>
                <w:color w:val="000000" w:themeColor="text1"/>
                <w:sz w:val="24"/>
                <w:szCs w:val="24"/>
                <w:lang w:val="sq-AL"/>
              </w:rPr>
              <w:t xml:space="preserve"> k</w:t>
            </w:r>
            <w:r w:rsidR="00BE1224" w:rsidRPr="00CA3CF2">
              <w:rPr>
                <w:rFonts w:ascii="Times New Roman" w:hAnsi="Times New Roman"/>
                <w:color w:val="000000" w:themeColor="text1"/>
                <w:sz w:val="24"/>
                <w:szCs w:val="24"/>
                <w:lang w:val="sq-AL"/>
              </w:rPr>
              <w:t>ë</w:t>
            </w:r>
            <w:r w:rsidRPr="00CA3CF2">
              <w:rPr>
                <w:rFonts w:ascii="Times New Roman" w:hAnsi="Times New Roman"/>
                <w:color w:val="000000" w:themeColor="text1"/>
                <w:sz w:val="24"/>
                <w:szCs w:val="24"/>
                <w:lang w:val="sq-AL"/>
              </w:rPr>
              <w:t>t</w:t>
            </w:r>
            <w:r w:rsidR="00BE1224" w:rsidRPr="00CA3CF2">
              <w:rPr>
                <w:rFonts w:ascii="Times New Roman" w:hAnsi="Times New Roman"/>
                <w:color w:val="000000" w:themeColor="text1"/>
                <w:sz w:val="24"/>
                <w:szCs w:val="24"/>
                <w:lang w:val="sq-AL"/>
              </w:rPr>
              <w:t>ë</w:t>
            </w:r>
            <w:r w:rsidRPr="00CA3CF2">
              <w:rPr>
                <w:rFonts w:ascii="Times New Roman" w:hAnsi="Times New Roman"/>
                <w:color w:val="000000" w:themeColor="text1"/>
                <w:sz w:val="24"/>
                <w:szCs w:val="24"/>
                <w:lang w:val="sq-AL"/>
              </w:rPr>
              <w:t xml:space="preserve"> proces, p</w:t>
            </w:r>
            <w:r w:rsidR="00BE1224" w:rsidRPr="00CA3CF2">
              <w:rPr>
                <w:rFonts w:ascii="Times New Roman" w:hAnsi="Times New Roman"/>
                <w:color w:val="000000" w:themeColor="text1"/>
                <w:sz w:val="24"/>
                <w:szCs w:val="24"/>
                <w:lang w:val="sq-AL"/>
              </w:rPr>
              <w:t>ë</w:t>
            </w:r>
            <w:r w:rsidRPr="00CA3CF2">
              <w:rPr>
                <w:rFonts w:ascii="Times New Roman" w:hAnsi="Times New Roman"/>
                <w:color w:val="000000" w:themeColor="text1"/>
                <w:sz w:val="24"/>
                <w:szCs w:val="24"/>
                <w:lang w:val="sq-AL"/>
              </w:rPr>
              <w:t>r p</w:t>
            </w:r>
            <w:r w:rsidR="00BE1224" w:rsidRPr="00CA3CF2">
              <w:rPr>
                <w:rFonts w:ascii="Times New Roman" w:hAnsi="Times New Roman"/>
                <w:color w:val="000000" w:themeColor="text1"/>
                <w:sz w:val="24"/>
                <w:szCs w:val="24"/>
                <w:lang w:val="sq-AL"/>
              </w:rPr>
              <w:t>ë</w:t>
            </w:r>
            <w:r w:rsidRPr="00CA3CF2">
              <w:rPr>
                <w:rFonts w:ascii="Times New Roman" w:hAnsi="Times New Roman"/>
                <w:color w:val="000000" w:themeColor="text1"/>
                <w:sz w:val="24"/>
                <w:szCs w:val="24"/>
                <w:lang w:val="sq-AL"/>
              </w:rPr>
              <w:t>rfundimin e tij br</w:t>
            </w:r>
            <w:r w:rsidR="005671AF">
              <w:rPr>
                <w:rFonts w:ascii="Times New Roman" w:hAnsi="Times New Roman"/>
                <w:color w:val="000000" w:themeColor="text1"/>
                <w:sz w:val="24"/>
                <w:szCs w:val="24"/>
                <w:lang w:val="sq-AL"/>
              </w:rPr>
              <w:t>e</w:t>
            </w:r>
            <w:r w:rsidRPr="00CA3CF2">
              <w:rPr>
                <w:rFonts w:ascii="Times New Roman" w:hAnsi="Times New Roman"/>
                <w:color w:val="000000" w:themeColor="text1"/>
                <w:sz w:val="24"/>
                <w:szCs w:val="24"/>
                <w:lang w:val="sq-AL"/>
              </w:rPr>
              <w:t xml:space="preserve">nda afatit </w:t>
            </w:r>
            <w:r w:rsidR="004073ED" w:rsidRPr="00CA3CF2">
              <w:rPr>
                <w:rFonts w:ascii="Times New Roman" w:hAnsi="Times New Roman"/>
                <w:color w:val="000000" w:themeColor="text1"/>
                <w:sz w:val="24"/>
                <w:szCs w:val="24"/>
                <w:lang w:val="sq-AL"/>
              </w:rPr>
              <w:t>t</w:t>
            </w:r>
            <w:r w:rsidR="00BE1224" w:rsidRPr="00CA3CF2">
              <w:rPr>
                <w:rFonts w:ascii="Times New Roman" w:hAnsi="Times New Roman"/>
                <w:color w:val="000000" w:themeColor="text1"/>
                <w:sz w:val="24"/>
                <w:szCs w:val="24"/>
                <w:lang w:val="sq-AL"/>
              </w:rPr>
              <w:t>ë</w:t>
            </w:r>
            <w:r w:rsidR="004073ED" w:rsidRPr="00CA3CF2">
              <w:rPr>
                <w:rFonts w:ascii="Times New Roman" w:hAnsi="Times New Roman"/>
                <w:color w:val="000000" w:themeColor="text1"/>
                <w:sz w:val="24"/>
                <w:szCs w:val="24"/>
                <w:lang w:val="sq-AL"/>
              </w:rPr>
              <w:t xml:space="preserve"> p</w:t>
            </w:r>
            <w:r w:rsidR="00BE1224" w:rsidRPr="00CA3CF2">
              <w:rPr>
                <w:rFonts w:ascii="Times New Roman" w:hAnsi="Times New Roman"/>
                <w:color w:val="000000" w:themeColor="text1"/>
                <w:sz w:val="24"/>
                <w:szCs w:val="24"/>
                <w:lang w:val="sq-AL"/>
              </w:rPr>
              <w:t>ë</w:t>
            </w:r>
            <w:r w:rsidR="004073ED" w:rsidRPr="00CA3CF2">
              <w:rPr>
                <w:rFonts w:ascii="Times New Roman" w:hAnsi="Times New Roman"/>
                <w:color w:val="000000" w:themeColor="text1"/>
                <w:sz w:val="24"/>
                <w:szCs w:val="24"/>
                <w:lang w:val="sq-AL"/>
              </w:rPr>
              <w:t>rcaktuar</w:t>
            </w:r>
            <w:r w:rsidR="003778CF">
              <w:rPr>
                <w:rFonts w:ascii="Times New Roman" w:hAnsi="Times New Roman"/>
                <w:color w:val="000000" w:themeColor="text1"/>
                <w:sz w:val="24"/>
                <w:szCs w:val="24"/>
                <w:lang w:val="sq-AL"/>
              </w:rPr>
              <w:t>.</w:t>
            </w:r>
            <w:r w:rsidR="004073ED" w:rsidRPr="00CA3CF2">
              <w:rPr>
                <w:rFonts w:ascii="Times New Roman" w:hAnsi="Times New Roman"/>
                <w:color w:val="000000" w:themeColor="text1"/>
                <w:sz w:val="24"/>
                <w:szCs w:val="24"/>
                <w:lang w:val="sq-AL"/>
              </w:rPr>
              <w:t xml:space="preserve"> </w:t>
            </w:r>
          </w:p>
          <w:p w14:paraId="5D5C057B" w14:textId="77777777" w:rsidR="00D112C4" w:rsidRPr="006E239F" w:rsidRDefault="00D112C4" w:rsidP="00A65902">
            <w:pPr>
              <w:jc w:val="both"/>
              <w:rPr>
                <w:color w:val="000000" w:themeColor="text1"/>
                <w:szCs w:val="24"/>
                <w:lang w:val="sq-AL"/>
              </w:rPr>
            </w:pPr>
          </w:p>
          <w:p w14:paraId="6B3AA65A" w14:textId="0D15FDFA" w:rsidR="001F5996" w:rsidRPr="00FB3897" w:rsidRDefault="001F5996" w:rsidP="001F5996">
            <w:pPr>
              <w:pStyle w:val="CommentText"/>
              <w:jc w:val="both"/>
              <w:rPr>
                <w:color w:val="000000" w:themeColor="text1"/>
                <w:sz w:val="24"/>
                <w:szCs w:val="24"/>
                <w:lang w:val="sq-AL"/>
              </w:rPr>
            </w:pPr>
            <w:r w:rsidRPr="006E239F">
              <w:rPr>
                <w:color w:val="000000" w:themeColor="text1"/>
                <w:sz w:val="24"/>
                <w:szCs w:val="24"/>
                <w:lang w:val="sq-AL"/>
              </w:rPr>
              <w:t>Në total, ky opsion sjell dobinë më të lartë krahasimisht</w:t>
            </w:r>
            <w:r w:rsidR="003766CA">
              <w:rPr>
                <w:color w:val="000000" w:themeColor="text1"/>
                <w:sz w:val="24"/>
                <w:szCs w:val="24"/>
                <w:lang w:val="sq-AL"/>
              </w:rPr>
              <w:t xml:space="preserve"> me opsionet e tjera</w:t>
            </w:r>
            <w:r w:rsidRPr="006E239F">
              <w:rPr>
                <w:color w:val="000000" w:themeColor="text1"/>
                <w:sz w:val="24"/>
                <w:szCs w:val="24"/>
                <w:lang w:val="sq-AL"/>
              </w:rPr>
              <w:t xml:space="preserve"> sepse, ofron bilancin më pozitiv të mundshëm, në përputhje edhe me kushtet që paraqet realiteti ligjor i sotëm</w:t>
            </w:r>
            <w:r w:rsidR="00E243FE">
              <w:rPr>
                <w:color w:val="000000" w:themeColor="text1"/>
                <w:sz w:val="24"/>
                <w:szCs w:val="24"/>
                <w:lang w:val="sq-AL"/>
              </w:rPr>
              <w:t xml:space="preserve"> </w:t>
            </w:r>
            <w:r w:rsidR="004D0082">
              <w:rPr>
                <w:color w:val="000000" w:themeColor="text1"/>
                <w:sz w:val="24"/>
                <w:szCs w:val="24"/>
                <w:lang w:val="sq-AL"/>
              </w:rPr>
              <w:t>sepse p</w:t>
            </w:r>
            <w:r w:rsidR="00BE1224">
              <w:rPr>
                <w:color w:val="000000" w:themeColor="text1"/>
                <w:sz w:val="24"/>
                <w:szCs w:val="24"/>
                <w:lang w:val="sq-AL"/>
              </w:rPr>
              <w:t>ë</w:t>
            </w:r>
            <w:r w:rsidR="004D0082">
              <w:rPr>
                <w:color w:val="000000" w:themeColor="text1"/>
                <w:sz w:val="24"/>
                <w:szCs w:val="24"/>
                <w:lang w:val="sq-AL"/>
              </w:rPr>
              <w:t>rmbush objektivat e synuara sipas k</w:t>
            </w:r>
            <w:r w:rsidR="00BE1224">
              <w:rPr>
                <w:color w:val="000000" w:themeColor="text1"/>
                <w:sz w:val="24"/>
                <w:szCs w:val="24"/>
                <w:lang w:val="sq-AL"/>
              </w:rPr>
              <w:t>ë</w:t>
            </w:r>
            <w:r w:rsidR="004D0082">
              <w:rPr>
                <w:color w:val="000000" w:themeColor="text1"/>
                <w:sz w:val="24"/>
                <w:szCs w:val="24"/>
                <w:lang w:val="sq-AL"/>
              </w:rPr>
              <w:t xml:space="preserve">tij propozimi, </w:t>
            </w:r>
            <w:r w:rsidR="00DC387F">
              <w:rPr>
                <w:color w:val="000000" w:themeColor="text1"/>
                <w:sz w:val="24"/>
                <w:szCs w:val="24"/>
                <w:lang w:val="sq-AL"/>
              </w:rPr>
              <w:t>br</w:t>
            </w:r>
            <w:r w:rsidR="00BE1224">
              <w:rPr>
                <w:color w:val="000000" w:themeColor="text1"/>
                <w:sz w:val="24"/>
                <w:szCs w:val="24"/>
                <w:lang w:val="sq-AL"/>
              </w:rPr>
              <w:t>ë</w:t>
            </w:r>
            <w:r w:rsidR="00DC387F">
              <w:rPr>
                <w:color w:val="000000" w:themeColor="text1"/>
                <w:sz w:val="24"/>
                <w:szCs w:val="24"/>
                <w:lang w:val="sq-AL"/>
              </w:rPr>
              <w:t>nda afateve kohore t</w:t>
            </w:r>
            <w:r w:rsidR="00BE1224">
              <w:rPr>
                <w:color w:val="000000" w:themeColor="text1"/>
                <w:sz w:val="24"/>
                <w:szCs w:val="24"/>
                <w:lang w:val="sq-AL"/>
              </w:rPr>
              <w:t>ë</w:t>
            </w:r>
            <w:r w:rsidR="00DC387F">
              <w:rPr>
                <w:color w:val="000000" w:themeColor="text1"/>
                <w:sz w:val="24"/>
                <w:szCs w:val="24"/>
                <w:lang w:val="sq-AL"/>
              </w:rPr>
              <w:t xml:space="preserve"> vendosura </w:t>
            </w:r>
            <w:r w:rsidR="005C51E7">
              <w:rPr>
                <w:color w:val="000000" w:themeColor="text1"/>
                <w:sz w:val="24"/>
                <w:szCs w:val="24"/>
                <w:lang w:val="sq-AL"/>
              </w:rPr>
              <w:t>per plot</w:t>
            </w:r>
            <w:r w:rsidR="00BE1224">
              <w:rPr>
                <w:color w:val="000000" w:themeColor="text1"/>
                <w:sz w:val="24"/>
                <w:szCs w:val="24"/>
                <w:lang w:val="sq-AL"/>
              </w:rPr>
              <w:t>ë</w:t>
            </w:r>
            <w:r w:rsidR="005C51E7">
              <w:rPr>
                <w:color w:val="000000" w:themeColor="text1"/>
                <w:sz w:val="24"/>
                <w:szCs w:val="24"/>
                <w:lang w:val="sq-AL"/>
              </w:rPr>
              <w:t>simin e norm</w:t>
            </w:r>
            <w:r w:rsidR="00BE1224">
              <w:rPr>
                <w:color w:val="000000" w:themeColor="text1"/>
                <w:sz w:val="24"/>
                <w:szCs w:val="24"/>
                <w:lang w:val="sq-AL"/>
              </w:rPr>
              <w:t>ë</w:t>
            </w:r>
            <w:r w:rsidR="005C51E7">
              <w:rPr>
                <w:color w:val="000000" w:themeColor="text1"/>
                <w:sz w:val="24"/>
                <w:szCs w:val="24"/>
                <w:lang w:val="sq-AL"/>
              </w:rPr>
              <w:t>s ligjore</w:t>
            </w:r>
            <w:r w:rsidR="008F2481">
              <w:rPr>
                <w:color w:val="000000" w:themeColor="text1"/>
                <w:sz w:val="24"/>
                <w:szCs w:val="24"/>
                <w:lang w:val="sq-AL"/>
              </w:rPr>
              <w:t xml:space="preserve"> nga </w:t>
            </w:r>
            <w:r w:rsidR="005C51E7">
              <w:rPr>
                <w:color w:val="000000" w:themeColor="text1"/>
                <w:sz w:val="24"/>
                <w:szCs w:val="24"/>
                <w:lang w:val="sq-AL"/>
              </w:rPr>
              <w:t xml:space="preserve">Gjykata kushtetuese, si dhe </w:t>
            </w:r>
            <w:r w:rsidR="004D0082">
              <w:rPr>
                <w:color w:val="000000" w:themeColor="text1"/>
                <w:sz w:val="24"/>
                <w:szCs w:val="24"/>
                <w:lang w:val="sq-AL"/>
              </w:rPr>
              <w:t>nuk sjell kost</w:t>
            </w:r>
            <w:r w:rsidR="004A2A48">
              <w:rPr>
                <w:color w:val="000000" w:themeColor="text1"/>
                <w:sz w:val="24"/>
                <w:szCs w:val="24"/>
                <w:lang w:val="sq-AL"/>
              </w:rPr>
              <w:t>o shtes</w:t>
            </w:r>
            <w:r w:rsidR="00BE1224">
              <w:rPr>
                <w:color w:val="000000" w:themeColor="text1"/>
                <w:sz w:val="24"/>
                <w:szCs w:val="24"/>
                <w:lang w:val="sq-AL"/>
              </w:rPr>
              <w:t>ë</w:t>
            </w:r>
            <w:r w:rsidR="004A2A48">
              <w:rPr>
                <w:color w:val="000000" w:themeColor="text1"/>
                <w:sz w:val="24"/>
                <w:szCs w:val="24"/>
                <w:lang w:val="sq-AL"/>
              </w:rPr>
              <w:t xml:space="preserve"> n</w:t>
            </w:r>
            <w:r w:rsidR="00BE1224">
              <w:rPr>
                <w:color w:val="000000" w:themeColor="text1"/>
                <w:sz w:val="24"/>
                <w:szCs w:val="24"/>
                <w:lang w:val="sq-AL"/>
              </w:rPr>
              <w:t>ë</w:t>
            </w:r>
            <w:r w:rsidR="004A2A48">
              <w:rPr>
                <w:color w:val="000000" w:themeColor="text1"/>
                <w:sz w:val="24"/>
                <w:szCs w:val="24"/>
                <w:lang w:val="sq-AL"/>
              </w:rPr>
              <w:t xml:space="preserve"> buxhetin e shtetit. </w:t>
            </w:r>
            <w:r w:rsidR="00412A59" w:rsidRPr="00FB3897">
              <w:rPr>
                <w:color w:val="000000" w:themeColor="text1"/>
                <w:sz w:val="24"/>
                <w:szCs w:val="24"/>
                <w:lang w:val="sq-AL"/>
              </w:rPr>
              <w:t>Ky rezultat vjen nga krahasimi i kostove dhe përfitimeve të argumentuara për secilin nga opsionet e mësipërme.</w:t>
            </w:r>
          </w:p>
          <w:p w14:paraId="440CB6AB" w14:textId="77777777" w:rsidR="00B20E67" w:rsidRPr="00FB3897" w:rsidRDefault="00B20E67" w:rsidP="001E0D36">
            <w:pPr>
              <w:spacing w:line="276" w:lineRule="auto"/>
              <w:jc w:val="both"/>
              <w:rPr>
                <w:szCs w:val="24"/>
                <w:lang w:val="sq-AL"/>
              </w:rPr>
            </w:pPr>
          </w:p>
          <w:p w14:paraId="36C88E38" w14:textId="77777777" w:rsidR="00CA40EE" w:rsidRPr="00325A1F" w:rsidRDefault="72AAA341" w:rsidP="72AAA341">
            <w:pPr>
              <w:spacing w:line="276" w:lineRule="auto"/>
              <w:jc w:val="both"/>
              <w:rPr>
                <w:b/>
                <w:bCs/>
                <w:lang w:val="sq-AL"/>
              </w:rPr>
            </w:pPr>
            <w:r w:rsidRPr="72AAA341">
              <w:rPr>
                <w:b/>
                <w:bCs/>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ayout w:type="fixed"/>
              <w:tblLook w:val="04A0" w:firstRow="1" w:lastRow="0" w:firstColumn="1" w:lastColumn="0" w:noHBand="0" w:noVBand="1"/>
            </w:tblPr>
            <w:tblGrid>
              <w:gridCol w:w="2928"/>
              <w:gridCol w:w="2928"/>
              <w:gridCol w:w="2929"/>
            </w:tblGrid>
            <w:tr w:rsidR="00CA40EE" w:rsidRPr="00325A1F" w14:paraId="3B4EFA91" w14:textId="77777777" w:rsidTr="006B4B0D">
              <w:tc>
                <w:tcPr>
                  <w:tcW w:w="2928" w:type="dxa"/>
                  <w:shd w:val="clear" w:color="auto" w:fill="D9D9D9" w:themeFill="background1" w:themeFillShade="D9"/>
                </w:tcPr>
                <w:p w14:paraId="4704DADA" w14:textId="77777777" w:rsidR="00CA40EE" w:rsidRPr="00325A1F" w:rsidRDefault="00CA40EE" w:rsidP="0065119B">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viti1"/>
                        <w:enabled/>
                        <w:calcOnExit w:val="0"/>
                        <w:textInput>
                          <w:type w:val="number"/>
                          <w:default w:val="1"/>
                          <w:maxLength w:val="4"/>
                        </w:textInput>
                      </w:ffData>
                    </w:fldChar>
                  </w:r>
                  <w:bookmarkStart w:id="8" w:name="viti1"/>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1</w:t>
                  </w:r>
                  <w:r w:rsidR="00315292" w:rsidRPr="00325A1F">
                    <w:rPr>
                      <w:b/>
                      <w:szCs w:val="24"/>
                      <w:u w:val="single"/>
                    </w:rPr>
                    <w:fldChar w:fldCharType="end"/>
                  </w:r>
                  <w:bookmarkEnd w:id="8"/>
                </w:p>
              </w:tc>
              <w:tc>
                <w:tcPr>
                  <w:tcW w:w="2928" w:type="dxa"/>
                  <w:shd w:val="clear" w:color="auto" w:fill="D9D9D9" w:themeFill="background1" w:themeFillShade="D9"/>
                </w:tcPr>
                <w:p w14:paraId="204CB53D" w14:textId="77777777" w:rsidR="00CA40EE" w:rsidRPr="00325A1F" w:rsidRDefault="00CA40EE" w:rsidP="0065119B">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2"/>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2</w:t>
                  </w:r>
                  <w:r w:rsidR="00315292" w:rsidRPr="00325A1F">
                    <w:rPr>
                      <w:b/>
                      <w:szCs w:val="24"/>
                      <w:u w:val="single"/>
                    </w:rPr>
                    <w:fldChar w:fldCharType="end"/>
                  </w:r>
                </w:p>
              </w:tc>
              <w:tc>
                <w:tcPr>
                  <w:tcW w:w="2929" w:type="dxa"/>
                  <w:shd w:val="clear" w:color="auto" w:fill="D9D9D9" w:themeFill="background1" w:themeFillShade="D9"/>
                </w:tcPr>
                <w:p w14:paraId="39D1A90C" w14:textId="77777777" w:rsidR="00CA40EE" w:rsidRPr="00325A1F" w:rsidRDefault="00CA40EE" w:rsidP="0065119B">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3"/>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3</w:t>
                  </w:r>
                  <w:r w:rsidR="00315292" w:rsidRPr="00325A1F">
                    <w:rPr>
                      <w:b/>
                      <w:szCs w:val="24"/>
                      <w:u w:val="single"/>
                    </w:rPr>
                    <w:fldChar w:fldCharType="end"/>
                  </w:r>
                </w:p>
              </w:tc>
            </w:tr>
            <w:tr w:rsidR="00CA40EE" w:rsidRPr="00325A1F" w14:paraId="61C33491" w14:textId="77777777" w:rsidTr="00027038">
              <w:trPr>
                <w:trHeight w:val="350"/>
              </w:trPr>
              <w:tc>
                <w:tcPr>
                  <w:tcW w:w="2928" w:type="dxa"/>
                </w:tcPr>
                <w:p w14:paraId="5FEF51E8" w14:textId="77777777" w:rsidR="00CA40EE" w:rsidRPr="009269DC" w:rsidRDefault="009269DC" w:rsidP="0065119B">
                  <w:pPr>
                    <w:framePr w:hSpace="187" w:wrap="around" w:vAnchor="page" w:hAnchor="margin" w:y="1758"/>
                    <w:tabs>
                      <w:tab w:val="center" w:pos="1356"/>
                      <w:tab w:val="right" w:pos="2712"/>
                    </w:tabs>
                    <w:spacing w:line="276" w:lineRule="auto"/>
                    <w:suppressOverlap/>
                    <w:jc w:val="center"/>
                    <w:rPr>
                      <w:b/>
                      <w:szCs w:val="24"/>
                      <w:lang w:val="sq-AL"/>
                    </w:rPr>
                  </w:pPr>
                  <w:r w:rsidRPr="009269DC">
                    <w:rPr>
                      <w:szCs w:val="24"/>
                    </w:rPr>
                    <w:t>0</w:t>
                  </w:r>
                </w:p>
              </w:tc>
              <w:tc>
                <w:tcPr>
                  <w:tcW w:w="2928" w:type="dxa"/>
                </w:tcPr>
                <w:p w14:paraId="7B262B30" w14:textId="77777777" w:rsidR="00CA40EE" w:rsidRPr="009269DC" w:rsidRDefault="0044034F" w:rsidP="0065119B">
                  <w:pPr>
                    <w:framePr w:hSpace="187" w:wrap="around" w:vAnchor="page" w:hAnchor="margin" w:y="1758"/>
                    <w:tabs>
                      <w:tab w:val="left" w:pos="600"/>
                      <w:tab w:val="right" w:pos="2712"/>
                    </w:tabs>
                    <w:spacing w:line="276" w:lineRule="auto"/>
                    <w:suppressOverlap/>
                    <w:jc w:val="center"/>
                    <w:rPr>
                      <w:b/>
                      <w:szCs w:val="24"/>
                      <w:lang w:val="sq-AL"/>
                    </w:rPr>
                  </w:pPr>
                  <w:r w:rsidRPr="009269DC">
                    <w:rPr>
                      <w:szCs w:val="24"/>
                    </w:rPr>
                    <w:fldChar w:fldCharType="begin">
                      <w:ffData>
                        <w:name w:val="VleraViti2"/>
                        <w:enabled/>
                        <w:calcOnExit/>
                        <w:textInput>
                          <w:type w:val="number"/>
                          <w:default w:val="0"/>
                          <w:maxLength w:val="20"/>
                        </w:textInput>
                      </w:ffData>
                    </w:fldChar>
                  </w:r>
                  <w:bookmarkStart w:id="9" w:name="VleraViti2"/>
                  <w:r w:rsidRPr="009269DC">
                    <w:rPr>
                      <w:szCs w:val="24"/>
                    </w:rPr>
                    <w:instrText xml:space="preserve"> FORMTEXT </w:instrText>
                  </w:r>
                  <w:r w:rsidRPr="009269DC">
                    <w:rPr>
                      <w:szCs w:val="24"/>
                    </w:rPr>
                  </w:r>
                  <w:r w:rsidRPr="009269DC">
                    <w:rPr>
                      <w:szCs w:val="24"/>
                    </w:rPr>
                    <w:fldChar w:fldCharType="separate"/>
                  </w:r>
                  <w:r w:rsidRPr="009269DC">
                    <w:rPr>
                      <w:noProof/>
                      <w:szCs w:val="24"/>
                    </w:rPr>
                    <w:t>0</w:t>
                  </w:r>
                  <w:r w:rsidRPr="009269DC">
                    <w:rPr>
                      <w:szCs w:val="24"/>
                    </w:rPr>
                    <w:fldChar w:fldCharType="end"/>
                  </w:r>
                  <w:bookmarkEnd w:id="9"/>
                </w:p>
              </w:tc>
              <w:tc>
                <w:tcPr>
                  <w:tcW w:w="2929" w:type="dxa"/>
                </w:tcPr>
                <w:p w14:paraId="0253BE96" w14:textId="77777777" w:rsidR="00CA40EE" w:rsidRPr="009269DC" w:rsidRDefault="001E0D36" w:rsidP="0065119B">
                  <w:pPr>
                    <w:framePr w:hSpace="187" w:wrap="around" w:vAnchor="page" w:hAnchor="margin" w:y="1758"/>
                    <w:tabs>
                      <w:tab w:val="center" w:pos="1356"/>
                      <w:tab w:val="right" w:pos="2713"/>
                    </w:tabs>
                    <w:spacing w:line="276" w:lineRule="auto"/>
                    <w:suppressOverlap/>
                    <w:rPr>
                      <w:b/>
                      <w:szCs w:val="24"/>
                      <w:lang w:val="sq-AL"/>
                    </w:rPr>
                  </w:pPr>
                  <w:r w:rsidRPr="009269DC">
                    <w:rPr>
                      <w:szCs w:val="24"/>
                    </w:rPr>
                    <w:tab/>
                  </w:r>
                  <w:r w:rsidR="0044034F" w:rsidRPr="009269DC">
                    <w:rPr>
                      <w:szCs w:val="24"/>
                    </w:rPr>
                    <w:fldChar w:fldCharType="begin">
                      <w:ffData>
                        <w:name w:val="VleraViti3"/>
                        <w:enabled/>
                        <w:calcOnExit/>
                        <w:textInput>
                          <w:type w:val="number"/>
                          <w:default w:val="0"/>
                          <w:maxLength w:val="20"/>
                        </w:textInput>
                      </w:ffData>
                    </w:fldChar>
                  </w:r>
                  <w:bookmarkStart w:id="10" w:name="VleraViti3"/>
                  <w:r w:rsidR="0044034F" w:rsidRPr="009269DC">
                    <w:rPr>
                      <w:szCs w:val="24"/>
                    </w:rPr>
                    <w:instrText xml:space="preserve"> FORMTEXT </w:instrText>
                  </w:r>
                  <w:r w:rsidR="0044034F" w:rsidRPr="009269DC">
                    <w:rPr>
                      <w:szCs w:val="24"/>
                    </w:rPr>
                  </w:r>
                  <w:r w:rsidR="0044034F" w:rsidRPr="009269DC">
                    <w:rPr>
                      <w:szCs w:val="24"/>
                    </w:rPr>
                    <w:fldChar w:fldCharType="separate"/>
                  </w:r>
                  <w:r w:rsidR="0044034F" w:rsidRPr="009269DC">
                    <w:rPr>
                      <w:noProof/>
                      <w:szCs w:val="24"/>
                    </w:rPr>
                    <w:t>0</w:t>
                  </w:r>
                  <w:r w:rsidR="0044034F" w:rsidRPr="009269DC">
                    <w:rPr>
                      <w:szCs w:val="24"/>
                    </w:rPr>
                    <w:fldChar w:fldCharType="end"/>
                  </w:r>
                  <w:bookmarkEnd w:id="10"/>
                  <w:r w:rsidRPr="009269DC">
                    <w:rPr>
                      <w:szCs w:val="24"/>
                    </w:rPr>
                    <w:tab/>
                  </w:r>
                </w:p>
              </w:tc>
            </w:tr>
          </w:tbl>
          <w:p w14:paraId="18C481BC" w14:textId="77777777" w:rsidR="00CA40EE" w:rsidRPr="00325A1F" w:rsidRDefault="00CA40EE" w:rsidP="007B6556">
            <w:pPr>
              <w:spacing w:line="276" w:lineRule="auto"/>
              <w:jc w:val="both"/>
              <w:rPr>
                <w:b/>
                <w:szCs w:val="24"/>
                <w:lang w:val="sq-AL"/>
              </w:rPr>
            </w:pPr>
          </w:p>
        </w:tc>
      </w:tr>
      <w:tr w:rsidR="00CA40EE" w:rsidRPr="005C00CA" w14:paraId="20CCD278" w14:textId="77777777" w:rsidTr="1044839F">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3F95D" w14:textId="77777777" w:rsidR="00CA40EE" w:rsidRPr="00CA3CF2" w:rsidRDefault="1044839F" w:rsidP="72AAA341">
            <w:pPr>
              <w:spacing w:line="276" w:lineRule="auto"/>
              <w:jc w:val="both"/>
              <w:rPr>
                <w:b/>
                <w:bCs/>
                <w:szCs w:val="24"/>
                <w:lang w:val="sq-AL"/>
              </w:rPr>
            </w:pPr>
            <w:r w:rsidRPr="00CA3CF2">
              <w:rPr>
                <w:b/>
                <w:bCs/>
                <w:szCs w:val="24"/>
                <w:lang w:val="sq-AL"/>
              </w:rPr>
              <w:lastRenderedPageBreak/>
              <w:t>KONSULTIMI</w:t>
            </w:r>
          </w:p>
          <w:p w14:paraId="29123B8E" w14:textId="77777777" w:rsidR="00071110" w:rsidRPr="00CA3CF2" w:rsidRDefault="001E0D36" w:rsidP="00027038">
            <w:pPr>
              <w:spacing w:line="276" w:lineRule="auto"/>
              <w:jc w:val="both"/>
              <w:rPr>
                <w:i/>
                <w:szCs w:val="24"/>
                <w:lang w:val="sq-AL"/>
              </w:rPr>
            </w:pPr>
            <w:r w:rsidRPr="00CA3CF2">
              <w:rPr>
                <w:i/>
                <w:szCs w:val="24"/>
              </w:rPr>
              <w:lastRenderedPageBreak/>
              <w:fldChar w:fldCharType="begin">
                <w:ffData>
                  <w:name w:val=""/>
                  <w:enabled/>
                  <w:calcOnExit w:val="0"/>
                  <w:textInput>
                    <w:default w:val="Jepni një përmbledhje të çdo konsultimi të kryer (me kë dhe si jeni konsultuar? (jo më shumë se 5 rreshta)"/>
                    <w:maxLength w:val="462"/>
                  </w:textInput>
                </w:ffData>
              </w:fldChar>
            </w:r>
            <w:r w:rsidRPr="00CA3CF2">
              <w:rPr>
                <w:i/>
                <w:szCs w:val="24"/>
                <w:lang w:val="sq-AL"/>
              </w:rPr>
              <w:instrText xml:space="preserve"> FORMTEXT </w:instrText>
            </w:r>
            <w:r w:rsidRPr="00CA3CF2">
              <w:rPr>
                <w:i/>
                <w:szCs w:val="24"/>
              </w:rPr>
            </w:r>
            <w:r w:rsidRPr="00CA3CF2">
              <w:rPr>
                <w:i/>
                <w:szCs w:val="24"/>
              </w:rPr>
              <w:fldChar w:fldCharType="separate"/>
            </w:r>
            <w:r w:rsidRPr="00CA3CF2">
              <w:rPr>
                <w:i/>
                <w:noProof/>
                <w:szCs w:val="24"/>
                <w:lang w:val="sq-AL"/>
              </w:rPr>
              <w:t>Jepni një përmbledhje të çdo konsultimi të kryer (me kë dhe si jeni konsultuar? (jo më shumë se 5 rreshta)</w:t>
            </w:r>
            <w:r w:rsidRPr="00CA3CF2">
              <w:rPr>
                <w:i/>
                <w:szCs w:val="24"/>
              </w:rPr>
              <w:fldChar w:fldCharType="end"/>
            </w:r>
          </w:p>
          <w:p w14:paraId="3B83771A" w14:textId="77777777" w:rsidR="001E0D36" w:rsidRPr="00CA3CF2" w:rsidRDefault="001E0D36" w:rsidP="00027038">
            <w:pPr>
              <w:spacing w:line="276" w:lineRule="auto"/>
              <w:jc w:val="both"/>
              <w:rPr>
                <w:szCs w:val="24"/>
                <w:lang w:val="sq-AL"/>
              </w:rPr>
            </w:pPr>
          </w:p>
          <w:p w14:paraId="35A264E0" w14:textId="546212FC" w:rsidR="005671AF" w:rsidRDefault="00D65698" w:rsidP="005671AF">
            <w:pPr>
              <w:spacing w:after="240"/>
              <w:jc w:val="both"/>
              <w:rPr>
                <w:szCs w:val="24"/>
                <w:lang w:val="sq-AL"/>
              </w:rPr>
            </w:pPr>
            <w:r w:rsidRPr="00CA3CF2">
              <w:rPr>
                <w:szCs w:val="24"/>
                <w:lang w:val="sq-AL"/>
              </w:rPr>
              <w:t>N</w:t>
            </w:r>
            <w:r w:rsidR="00275BA2" w:rsidRPr="00CA3CF2">
              <w:rPr>
                <w:szCs w:val="24"/>
                <w:lang w:val="sq-AL"/>
              </w:rPr>
              <w:t>ë</w:t>
            </w:r>
            <w:r w:rsidRPr="00CA3CF2">
              <w:rPr>
                <w:szCs w:val="24"/>
                <w:lang w:val="sq-AL"/>
              </w:rPr>
              <w:t xml:space="preserve"> p</w:t>
            </w:r>
            <w:r w:rsidR="00275BA2" w:rsidRPr="00CA3CF2">
              <w:rPr>
                <w:szCs w:val="24"/>
                <w:lang w:val="sq-AL"/>
              </w:rPr>
              <w:t>ë</w:t>
            </w:r>
            <w:r w:rsidRPr="00CA3CF2">
              <w:rPr>
                <w:szCs w:val="24"/>
                <w:lang w:val="sq-AL"/>
              </w:rPr>
              <w:t>rputhje me ligjin nr.146/2014 “P</w:t>
            </w:r>
            <w:r w:rsidR="00275BA2" w:rsidRPr="00CA3CF2">
              <w:rPr>
                <w:szCs w:val="24"/>
                <w:lang w:val="sq-AL"/>
              </w:rPr>
              <w:t>ë</w:t>
            </w:r>
            <w:r w:rsidRPr="00CA3CF2">
              <w:rPr>
                <w:szCs w:val="24"/>
                <w:lang w:val="sq-AL"/>
              </w:rPr>
              <w:t>r njoftimin dhe konsultimin publik”</w:t>
            </w:r>
            <w:r w:rsidR="00275BA2" w:rsidRPr="00CA3CF2">
              <w:rPr>
                <w:szCs w:val="24"/>
                <w:lang w:val="sq-AL"/>
              </w:rPr>
              <w:t xml:space="preserve">, nisma </w:t>
            </w:r>
            <w:r w:rsidR="005671AF">
              <w:rPr>
                <w:szCs w:val="24"/>
                <w:lang w:val="sq-AL"/>
              </w:rPr>
              <w:t>do t</w:t>
            </w:r>
            <w:r w:rsidR="00A90D65">
              <w:rPr>
                <w:szCs w:val="24"/>
                <w:lang w:val="sq-AL"/>
              </w:rPr>
              <w:t>ë</w:t>
            </w:r>
            <w:r w:rsidR="005671AF">
              <w:rPr>
                <w:szCs w:val="24"/>
                <w:lang w:val="sq-AL"/>
              </w:rPr>
              <w:t xml:space="preserve"> publikohet në Regjistrin </w:t>
            </w:r>
            <w:r w:rsidR="005671AF" w:rsidRPr="00CA3CF2">
              <w:rPr>
                <w:szCs w:val="24"/>
                <w:lang w:val="sq-AL"/>
              </w:rPr>
              <w:t xml:space="preserve"> Elektronik të Njoftimit dhe Konsultimit Publik</w:t>
            </w:r>
            <w:r w:rsidR="005671AF">
              <w:rPr>
                <w:szCs w:val="24"/>
                <w:lang w:val="sq-AL"/>
              </w:rPr>
              <w:t xml:space="preserve"> nga data 02.12.2024 sipas afatit ligjor prej 20 dit</w:t>
            </w:r>
            <w:r w:rsidR="00A90D65">
              <w:rPr>
                <w:szCs w:val="24"/>
                <w:lang w:val="sq-AL"/>
              </w:rPr>
              <w:t>ë</w:t>
            </w:r>
            <w:r w:rsidR="005671AF">
              <w:rPr>
                <w:szCs w:val="24"/>
                <w:lang w:val="sq-AL"/>
              </w:rPr>
              <w:t xml:space="preserve"> pune.</w:t>
            </w:r>
          </w:p>
          <w:p w14:paraId="54501F47" w14:textId="5455C43C" w:rsidR="00A248BB" w:rsidRPr="00CA3CF2" w:rsidRDefault="005671AF" w:rsidP="00383B6C">
            <w:pPr>
              <w:spacing w:after="240"/>
              <w:jc w:val="both"/>
              <w:rPr>
                <w:szCs w:val="24"/>
                <w:lang w:val="sq-AL"/>
              </w:rPr>
            </w:pPr>
            <w:r>
              <w:rPr>
                <w:szCs w:val="24"/>
                <w:lang w:val="sq-AL"/>
              </w:rPr>
              <w:t>Ministria e Drejt</w:t>
            </w:r>
            <w:r w:rsidR="00A90D65">
              <w:rPr>
                <w:szCs w:val="24"/>
                <w:lang w:val="sq-AL"/>
              </w:rPr>
              <w:t>ë</w:t>
            </w:r>
            <w:r>
              <w:rPr>
                <w:szCs w:val="24"/>
                <w:lang w:val="sq-AL"/>
              </w:rPr>
              <w:t>sis</w:t>
            </w:r>
            <w:r w:rsidR="00A90D65">
              <w:rPr>
                <w:szCs w:val="24"/>
                <w:lang w:val="sq-AL"/>
              </w:rPr>
              <w:t>ë</w:t>
            </w:r>
            <w:r>
              <w:rPr>
                <w:szCs w:val="24"/>
                <w:lang w:val="sq-AL"/>
              </w:rPr>
              <w:t xml:space="preserve"> dhe Agjencia e Trajtimit t</w:t>
            </w:r>
            <w:r w:rsidR="00A90D65">
              <w:rPr>
                <w:szCs w:val="24"/>
                <w:lang w:val="sq-AL"/>
              </w:rPr>
              <w:t>ë</w:t>
            </w:r>
            <w:r>
              <w:rPr>
                <w:szCs w:val="24"/>
                <w:lang w:val="sq-AL"/>
              </w:rPr>
              <w:t xml:space="preserve"> Pronave, me asistenc</w:t>
            </w:r>
            <w:r w:rsidR="00A90D65">
              <w:rPr>
                <w:szCs w:val="24"/>
                <w:lang w:val="sq-AL"/>
              </w:rPr>
              <w:t>ë</w:t>
            </w:r>
            <w:r>
              <w:rPr>
                <w:szCs w:val="24"/>
                <w:lang w:val="sq-AL"/>
              </w:rPr>
              <w:t>n e Zyr</w:t>
            </w:r>
            <w:r w:rsidR="00A90D65">
              <w:rPr>
                <w:szCs w:val="24"/>
                <w:lang w:val="sq-AL"/>
              </w:rPr>
              <w:t>ë</w:t>
            </w:r>
            <w:r>
              <w:rPr>
                <w:szCs w:val="24"/>
                <w:lang w:val="sq-AL"/>
              </w:rPr>
              <w:t>s s</w:t>
            </w:r>
            <w:r w:rsidR="00A90D65">
              <w:rPr>
                <w:szCs w:val="24"/>
                <w:lang w:val="sq-AL"/>
              </w:rPr>
              <w:t>ë</w:t>
            </w:r>
            <w:r>
              <w:rPr>
                <w:szCs w:val="24"/>
                <w:lang w:val="sq-AL"/>
              </w:rPr>
              <w:t xml:space="preserve"> K</w:t>
            </w:r>
            <w:r w:rsidR="00A90D65">
              <w:rPr>
                <w:szCs w:val="24"/>
                <w:lang w:val="sq-AL"/>
              </w:rPr>
              <w:t>ë</w:t>
            </w:r>
            <w:r>
              <w:rPr>
                <w:szCs w:val="24"/>
                <w:lang w:val="sq-AL"/>
              </w:rPr>
              <w:t>shillit t</w:t>
            </w:r>
            <w:r w:rsidR="00A90D65">
              <w:rPr>
                <w:szCs w:val="24"/>
                <w:lang w:val="sq-AL"/>
              </w:rPr>
              <w:t>ë</w:t>
            </w:r>
            <w:r>
              <w:rPr>
                <w:szCs w:val="24"/>
                <w:lang w:val="sq-AL"/>
              </w:rPr>
              <w:t xml:space="preserve"> Evrop</w:t>
            </w:r>
            <w:r w:rsidR="00A90D65">
              <w:rPr>
                <w:szCs w:val="24"/>
                <w:lang w:val="sq-AL"/>
              </w:rPr>
              <w:t>ë</w:t>
            </w:r>
            <w:r>
              <w:rPr>
                <w:szCs w:val="24"/>
                <w:lang w:val="sq-AL"/>
              </w:rPr>
              <w:t>s në Shqip</w:t>
            </w:r>
            <w:r w:rsidR="00A90D65">
              <w:rPr>
                <w:szCs w:val="24"/>
                <w:lang w:val="sq-AL"/>
              </w:rPr>
              <w:t>ë</w:t>
            </w:r>
            <w:r>
              <w:rPr>
                <w:szCs w:val="24"/>
                <w:lang w:val="sq-AL"/>
              </w:rPr>
              <w:t>ri, kan</w:t>
            </w:r>
            <w:r w:rsidR="00A90D65">
              <w:rPr>
                <w:szCs w:val="24"/>
                <w:lang w:val="sq-AL"/>
              </w:rPr>
              <w:t>ë</w:t>
            </w:r>
            <w:r>
              <w:rPr>
                <w:szCs w:val="24"/>
                <w:lang w:val="sq-AL"/>
              </w:rPr>
              <w:t xml:space="preserve"> kryer disa takime me grupet e interesit, gjyqtar</w:t>
            </w:r>
            <w:r w:rsidR="00A90D65">
              <w:rPr>
                <w:szCs w:val="24"/>
                <w:lang w:val="sq-AL"/>
              </w:rPr>
              <w:t>ë</w:t>
            </w:r>
            <w:r>
              <w:rPr>
                <w:szCs w:val="24"/>
                <w:lang w:val="sq-AL"/>
              </w:rPr>
              <w:t>, avokat</w:t>
            </w:r>
            <w:r w:rsidR="00A90D65">
              <w:rPr>
                <w:szCs w:val="24"/>
                <w:lang w:val="sq-AL"/>
              </w:rPr>
              <w:t>ë</w:t>
            </w:r>
            <w:r>
              <w:rPr>
                <w:szCs w:val="24"/>
                <w:lang w:val="sq-AL"/>
              </w:rPr>
              <w:t>, p</w:t>
            </w:r>
            <w:r w:rsidR="00A90D65">
              <w:rPr>
                <w:szCs w:val="24"/>
                <w:lang w:val="sq-AL"/>
              </w:rPr>
              <w:t>ë</w:t>
            </w:r>
            <w:r>
              <w:rPr>
                <w:szCs w:val="24"/>
                <w:lang w:val="sq-AL"/>
              </w:rPr>
              <w:t>rfaq</w:t>
            </w:r>
            <w:r w:rsidR="00A90D65">
              <w:rPr>
                <w:szCs w:val="24"/>
                <w:lang w:val="sq-AL"/>
              </w:rPr>
              <w:t>ë</w:t>
            </w:r>
            <w:r>
              <w:rPr>
                <w:szCs w:val="24"/>
                <w:lang w:val="sq-AL"/>
              </w:rPr>
              <w:t>sues t</w:t>
            </w:r>
            <w:r w:rsidR="00A90D65">
              <w:rPr>
                <w:szCs w:val="24"/>
                <w:lang w:val="sq-AL"/>
              </w:rPr>
              <w:t>ë</w:t>
            </w:r>
            <w:r>
              <w:rPr>
                <w:szCs w:val="24"/>
                <w:lang w:val="sq-AL"/>
              </w:rPr>
              <w:t xml:space="preserve"> institucioneve shtet</w:t>
            </w:r>
            <w:r w:rsidR="00A90D65">
              <w:rPr>
                <w:szCs w:val="24"/>
                <w:lang w:val="sq-AL"/>
              </w:rPr>
              <w:t>ë</w:t>
            </w:r>
            <w:r>
              <w:rPr>
                <w:szCs w:val="24"/>
                <w:lang w:val="sq-AL"/>
              </w:rPr>
              <w:t>rore, si dhe Ministrin</w:t>
            </w:r>
            <w:r w:rsidR="00A90D65">
              <w:rPr>
                <w:szCs w:val="24"/>
                <w:lang w:val="sq-AL"/>
              </w:rPr>
              <w:t>ë</w:t>
            </w:r>
            <w:r>
              <w:rPr>
                <w:szCs w:val="24"/>
                <w:lang w:val="sq-AL"/>
              </w:rPr>
              <w:t xml:space="preserve"> e Financave, në datat 30.10.2024, 13.11.2024 dhe 14.11.2024</w:t>
            </w:r>
            <w:r w:rsidR="00383B6C">
              <w:rPr>
                <w:szCs w:val="24"/>
                <w:lang w:val="sq-AL"/>
              </w:rPr>
              <w:t xml:space="preserve">. </w:t>
            </w:r>
            <w:r>
              <w:rPr>
                <w:szCs w:val="24"/>
                <w:lang w:val="sq-AL"/>
              </w:rPr>
              <w:t>Në k</w:t>
            </w:r>
            <w:r w:rsidR="00A90D65">
              <w:rPr>
                <w:szCs w:val="24"/>
                <w:lang w:val="sq-AL"/>
              </w:rPr>
              <w:t>ë</w:t>
            </w:r>
            <w:r>
              <w:rPr>
                <w:szCs w:val="24"/>
                <w:lang w:val="sq-AL"/>
              </w:rPr>
              <w:t>to ta</w:t>
            </w:r>
            <w:r w:rsidR="00383B6C">
              <w:rPr>
                <w:szCs w:val="24"/>
                <w:lang w:val="sq-AL"/>
              </w:rPr>
              <w:t>kime pjes</w:t>
            </w:r>
            <w:r w:rsidR="00A90D65">
              <w:rPr>
                <w:szCs w:val="24"/>
                <w:lang w:val="sq-AL"/>
              </w:rPr>
              <w:t>ë</w:t>
            </w:r>
            <w:r w:rsidR="00383B6C">
              <w:rPr>
                <w:szCs w:val="24"/>
                <w:lang w:val="sq-AL"/>
              </w:rPr>
              <w:t>marr</w:t>
            </w:r>
            <w:r w:rsidR="00A90D65">
              <w:rPr>
                <w:szCs w:val="24"/>
                <w:lang w:val="sq-AL"/>
              </w:rPr>
              <w:t>ë</w:t>
            </w:r>
            <w:r w:rsidR="00383B6C">
              <w:rPr>
                <w:szCs w:val="24"/>
                <w:lang w:val="sq-AL"/>
              </w:rPr>
              <w:t>sit u shpreh</w:t>
            </w:r>
            <w:r w:rsidR="00A90D65">
              <w:rPr>
                <w:szCs w:val="24"/>
                <w:lang w:val="sq-AL"/>
              </w:rPr>
              <w:t>ë</w:t>
            </w:r>
            <w:r w:rsidR="00383B6C">
              <w:rPr>
                <w:szCs w:val="24"/>
                <w:lang w:val="sq-AL"/>
              </w:rPr>
              <w:t xml:space="preserve">n se shtyrja e afatit </w:t>
            </w:r>
            <w:r w:rsidR="00A90D65">
              <w:rPr>
                <w:szCs w:val="24"/>
                <w:lang w:val="sq-AL"/>
              </w:rPr>
              <w:t>ë</w:t>
            </w:r>
            <w:r w:rsidR="00383B6C">
              <w:rPr>
                <w:szCs w:val="24"/>
                <w:lang w:val="sq-AL"/>
              </w:rPr>
              <w:t>sht</w:t>
            </w:r>
            <w:r w:rsidR="00A90D65">
              <w:rPr>
                <w:szCs w:val="24"/>
                <w:lang w:val="sq-AL"/>
              </w:rPr>
              <w:t>ë</w:t>
            </w:r>
            <w:r w:rsidR="00383B6C">
              <w:rPr>
                <w:szCs w:val="24"/>
                <w:lang w:val="sq-AL"/>
              </w:rPr>
              <w:t xml:space="preserve"> nj</w:t>
            </w:r>
            <w:r w:rsidR="00A90D65">
              <w:rPr>
                <w:szCs w:val="24"/>
                <w:lang w:val="sq-AL"/>
              </w:rPr>
              <w:t>ë</w:t>
            </w:r>
            <w:r w:rsidR="00383B6C">
              <w:rPr>
                <w:szCs w:val="24"/>
                <w:lang w:val="sq-AL"/>
              </w:rPr>
              <w:t xml:space="preserve"> domosdoshm</w:t>
            </w:r>
            <w:r w:rsidR="00A90D65">
              <w:rPr>
                <w:szCs w:val="24"/>
                <w:lang w:val="sq-AL"/>
              </w:rPr>
              <w:t>ë</w:t>
            </w:r>
            <w:r w:rsidR="00383B6C">
              <w:rPr>
                <w:szCs w:val="24"/>
                <w:lang w:val="sq-AL"/>
              </w:rPr>
              <w:t>ri e cila ndihmon subjektet p</w:t>
            </w:r>
            <w:r w:rsidR="00A90D65">
              <w:rPr>
                <w:szCs w:val="24"/>
                <w:lang w:val="sq-AL"/>
              </w:rPr>
              <w:t>ë</w:t>
            </w:r>
            <w:r w:rsidR="00383B6C">
              <w:rPr>
                <w:szCs w:val="24"/>
                <w:lang w:val="sq-AL"/>
              </w:rPr>
              <w:t>rfituese.</w:t>
            </w:r>
          </w:p>
        </w:tc>
      </w:tr>
      <w:tr w:rsidR="00CA40EE" w:rsidRPr="005C00CA" w14:paraId="65D5E09A" w14:textId="77777777" w:rsidTr="1044839F">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2F9BE" w14:textId="10F280AD" w:rsidR="00CA40EE" w:rsidRPr="00AA4E0F" w:rsidRDefault="00CA40EE" w:rsidP="007B6556">
            <w:pPr>
              <w:spacing w:line="276" w:lineRule="auto"/>
              <w:jc w:val="both"/>
              <w:rPr>
                <w:b/>
                <w:szCs w:val="24"/>
                <w:lang w:val="sq-AL"/>
              </w:rPr>
            </w:pPr>
            <w:r w:rsidRPr="00AA4E0F">
              <w:rPr>
                <w:b/>
                <w:szCs w:val="24"/>
                <w:lang w:val="sq-AL"/>
              </w:rPr>
              <w:lastRenderedPageBreak/>
              <w:t>ZBATIMI DHE MONITORIMI</w:t>
            </w:r>
          </w:p>
          <w:p w14:paraId="2923D80C" w14:textId="77777777" w:rsidR="008576E4" w:rsidRPr="00FB3897" w:rsidRDefault="00CC4D9E" w:rsidP="00027038">
            <w:pPr>
              <w:spacing w:line="276" w:lineRule="auto"/>
              <w:jc w:val="both"/>
              <w:rPr>
                <w:szCs w:val="24"/>
                <w:lang w:val="it-IT"/>
              </w:rPr>
            </w:pPr>
            <w:r w:rsidRPr="00FB3897">
              <w:rPr>
                <w:szCs w:val="24"/>
              </w:rPr>
              <w:fldChar w:fldCharType="begin">
                <w:ffData>
                  <w:name w:val="ZbatimiMonitorimi"/>
                  <w:enabled w:val="0"/>
                  <w:calcOnExit w:val="0"/>
                  <w:textInput>
                    <w:default w:val="Si do të organizohen zbatimi dhe monitorimi?(jo më shumë se 5 rreshta)"/>
                    <w:maxLength w:val="462"/>
                  </w:textInput>
                </w:ffData>
              </w:fldChar>
            </w:r>
            <w:bookmarkStart w:id="11" w:name="ZbatimiMonitorimi"/>
            <w:r w:rsidRPr="00FB3897">
              <w:rPr>
                <w:szCs w:val="24"/>
                <w:lang w:val="it-IT"/>
              </w:rPr>
              <w:instrText xml:space="preserve"> FORMTEXT </w:instrText>
            </w:r>
            <w:r w:rsidRPr="00FB3897">
              <w:rPr>
                <w:szCs w:val="24"/>
              </w:rPr>
            </w:r>
            <w:r w:rsidRPr="00FB3897">
              <w:rPr>
                <w:szCs w:val="24"/>
              </w:rPr>
              <w:fldChar w:fldCharType="separate"/>
            </w:r>
            <w:r w:rsidRPr="00FB3897">
              <w:rPr>
                <w:noProof/>
                <w:szCs w:val="24"/>
                <w:lang w:val="it-IT"/>
              </w:rPr>
              <w:t>Si do të organizohen zbatimi dhe monitorimi?(jo më shumë se 5 rreshta)</w:t>
            </w:r>
            <w:r w:rsidRPr="00FB3897">
              <w:rPr>
                <w:szCs w:val="24"/>
              </w:rPr>
              <w:fldChar w:fldCharType="end"/>
            </w:r>
            <w:bookmarkEnd w:id="11"/>
          </w:p>
          <w:p w14:paraId="5F241F19" w14:textId="77777777" w:rsidR="00CC4D9E" w:rsidRPr="00FB3897" w:rsidRDefault="00CC4D9E" w:rsidP="00027038">
            <w:pPr>
              <w:spacing w:line="276" w:lineRule="auto"/>
              <w:jc w:val="both"/>
              <w:rPr>
                <w:szCs w:val="24"/>
                <w:lang w:val="it-IT"/>
              </w:rPr>
            </w:pPr>
          </w:p>
          <w:p w14:paraId="69005829" w14:textId="48DB4768" w:rsidR="00383B6C" w:rsidRDefault="72AAA341" w:rsidP="00FB3897">
            <w:pPr>
              <w:spacing w:line="276" w:lineRule="auto"/>
              <w:jc w:val="both"/>
              <w:rPr>
                <w:szCs w:val="24"/>
                <w:lang w:val="sq-AL"/>
              </w:rPr>
            </w:pPr>
            <w:r w:rsidRPr="00AA4E0F">
              <w:rPr>
                <w:color w:val="000000" w:themeColor="text1"/>
                <w:szCs w:val="24"/>
                <w:lang w:val="sq-AL"/>
              </w:rPr>
              <w:t xml:space="preserve">Monitorimi </w:t>
            </w:r>
            <w:r w:rsidRPr="00CA3CF2">
              <w:rPr>
                <w:szCs w:val="24"/>
                <w:lang w:val="sq-AL"/>
              </w:rPr>
              <w:t>në nivel të përgjithshëm do të realiz</w:t>
            </w:r>
            <w:r w:rsidR="001E6522" w:rsidRPr="00CA3CF2">
              <w:rPr>
                <w:szCs w:val="24"/>
                <w:lang w:val="sq-AL"/>
              </w:rPr>
              <w:t xml:space="preserve">ohet nga Ministria e Drejtësisë, ndërsa zbatimi do të kryhet nga </w:t>
            </w:r>
            <w:r w:rsidR="00596F3F" w:rsidRPr="00CA3CF2">
              <w:rPr>
                <w:szCs w:val="24"/>
                <w:lang w:val="sq-AL"/>
              </w:rPr>
              <w:t>Agjencia e Trajtimit të Pronave</w:t>
            </w:r>
            <w:r w:rsidR="00383B6C">
              <w:rPr>
                <w:szCs w:val="24"/>
                <w:lang w:val="sq-AL"/>
              </w:rPr>
              <w:t>. ATP publikon çdo muaj dhe buletinin e saj ku raporton p</w:t>
            </w:r>
            <w:r w:rsidR="00A90D65">
              <w:rPr>
                <w:szCs w:val="24"/>
                <w:lang w:val="sq-AL"/>
              </w:rPr>
              <w:t>ë</w:t>
            </w:r>
            <w:r w:rsidR="00383B6C">
              <w:rPr>
                <w:szCs w:val="24"/>
                <w:lang w:val="sq-AL"/>
              </w:rPr>
              <w:t>r veprimtarin</w:t>
            </w:r>
            <w:r w:rsidR="00A90D65">
              <w:rPr>
                <w:szCs w:val="24"/>
                <w:lang w:val="sq-AL"/>
              </w:rPr>
              <w:t>ë</w:t>
            </w:r>
            <w:r w:rsidR="00383B6C">
              <w:rPr>
                <w:szCs w:val="24"/>
                <w:lang w:val="sq-AL"/>
              </w:rPr>
              <w:t xml:space="preserve"> e saj.</w:t>
            </w:r>
          </w:p>
          <w:p w14:paraId="07C9DAA7" w14:textId="2E659FD5" w:rsidR="000424B2" w:rsidRPr="00AA4E0F" w:rsidRDefault="00383B6C" w:rsidP="00CD3DAB">
            <w:pPr>
              <w:spacing w:line="0" w:lineRule="atLeast"/>
              <w:jc w:val="both"/>
              <w:rPr>
                <w:color w:val="000000" w:themeColor="text1"/>
                <w:szCs w:val="24"/>
                <w:lang w:val="sq-AL"/>
              </w:rPr>
            </w:pPr>
            <w:r>
              <w:rPr>
                <w:szCs w:val="24"/>
                <w:lang w:val="sq-AL"/>
              </w:rPr>
              <w:t>Me q</w:t>
            </w:r>
            <w:r w:rsidR="00A90D65">
              <w:rPr>
                <w:szCs w:val="24"/>
                <w:lang w:val="sq-AL"/>
              </w:rPr>
              <w:t>ë</w:t>
            </w:r>
            <w:r>
              <w:rPr>
                <w:szCs w:val="24"/>
                <w:lang w:val="sq-AL"/>
              </w:rPr>
              <w:t>llim monitorimi t</w:t>
            </w:r>
            <w:r w:rsidR="00A90D65">
              <w:rPr>
                <w:szCs w:val="24"/>
                <w:lang w:val="sq-AL"/>
              </w:rPr>
              <w:t>ë</w:t>
            </w:r>
            <w:r>
              <w:rPr>
                <w:szCs w:val="24"/>
                <w:lang w:val="sq-AL"/>
              </w:rPr>
              <w:t xml:space="preserve"> politik</w:t>
            </w:r>
            <w:r w:rsidR="00A90D65">
              <w:rPr>
                <w:szCs w:val="24"/>
                <w:lang w:val="sq-AL"/>
              </w:rPr>
              <w:t>ë</w:t>
            </w:r>
            <w:r>
              <w:rPr>
                <w:szCs w:val="24"/>
                <w:lang w:val="sq-AL"/>
              </w:rPr>
              <w:t>s, do t</w:t>
            </w:r>
            <w:r w:rsidR="00A90D65">
              <w:rPr>
                <w:szCs w:val="24"/>
                <w:lang w:val="sq-AL"/>
              </w:rPr>
              <w:t>ë</w:t>
            </w:r>
            <w:r>
              <w:rPr>
                <w:szCs w:val="24"/>
                <w:lang w:val="sq-AL"/>
              </w:rPr>
              <w:t xml:space="preserve"> analizohet në vijim</w:t>
            </w:r>
            <w:r w:rsidR="72AAA341" w:rsidRPr="00FB3897">
              <w:rPr>
                <w:color w:val="000000" w:themeColor="text1"/>
                <w:szCs w:val="24"/>
                <w:lang w:val="sq-AL"/>
              </w:rPr>
              <w:t xml:space="preserve"> ecuria e </w:t>
            </w:r>
            <w:r w:rsidR="72AAA341" w:rsidRPr="00FB3897">
              <w:rPr>
                <w:szCs w:val="24"/>
                <w:lang w:val="sq-AL"/>
              </w:rPr>
              <w:t>Agjencisë së Trajtimit të Pronave</w:t>
            </w:r>
            <w:r w:rsidR="72AAA341" w:rsidRPr="00FB3897">
              <w:rPr>
                <w:color w:val="000000" w:themeColor="text1"/>
                <w:szCs w:val="24"/>
                <w:lang w:val="sq-AL"/>
              </w:rPr>
              <w:t>,</w:t>
            </w:r>
            <w:r>
              <w:rPr>
                <w:color w:val="000000" w:themeColor="text1"/>
                <w:szCs w:val="24"/>
                <w:lang w:val="sq-AL"/>
              </w:rPr>
              <w:t xml:space="preserve"> si dhe do t</w:t>
            </w:r>
            <w:r w:rsidR="00A90D65">
              <w:rPr>
                <w:color w:val="000000" w:themeColor="text1"/>
                <w:szCs w:val="24"/>
                <w:lang w:val="sq-AL"/>
              </w:rPr>
              <w:t>ë</w:t>
            </w:r>
            <w:r>
              <w:rPr>
                <w:color w:val="000000" w:themeColor="text1"/>
                <w:szCs w:val="24"/>
                <w:lang w:val="sq-AL"/>
              </w:rPr>
              <w:t xml:space="preserve"> sh</w:t>
            </w:r>
            <w:r w:rsidR="00A90D65">
              <w:rPr>
                <w:color w:val="000000" w:themeColor="text1"/>
                <w:szCs w:val="24"/>
                <w:lang w:val="sq-AL"/>
              </w:rPr>
              <w:t>ë</w:t>
            </w:r>
            <w:r>
              <w:rPr>
                <w:color w:val="000000" w:themeColor="text1"/>
                <w:szCs w:val="24"/>
                <w:lang w:val="sq-AL"/>
              </w:rPr>
              <w:t>rbejn</w:t>
            </w:r>
            <w:r w:rsidR="00A90D65">
              <w:rPr>
                <w:color w:val="000000" w:themeColor="text1"/>
                <w:szCs w:val="24"/>
                <w:lang w:val="sq-AL"/>
              </w:rPr>
              <w:t>ë</w:t>
            </w:r>
            <w:r>
              <w:rPr>
                <w:color w:val="000000" w:themeColor="text1"/>
                <w:szCs w:val="24"/>
                <w:lang w:val="sq-AL"/>
              </w:rPr>
              <w:t xml:space="preserve"> </w:t>
            </w:r>
            <w:r w:rsidR="72AAA341" w:rsidRPr="00FB3897">
              <w:rPr>
                <w:color w:val="000000" w:themeColor="text1"/>
                <w:szCs w:val="24"/>
                <w:lang w:val="sq-AL"/>
              </w:rPr>
              <w:t>raportet e organizatave të shoqërisë civile ose organizatave jofitimprurëse lidhur me situatën e zbatimit të ligjit</w:t>
            </w:r>
            <w:r>
              <w:rPr>
                <w:color w:val="000000" w:themeColor="text1"/>
                <w:szCs w:val="24"/>
                <w:lang w:val="sq-AL"/>
              </w:rPr>
              <w:t>.</w:t>
            </w:r>
          </w:p>
        </w:tc>
      </w:tr>
    </w:tbl>
    <w:p w14:paraId="59166D07" w14:textId="77777777" w:rsidR="00C133FC" w:rsidRDefault="00C133FC" w:rsidP="009D13F4">
      <w:pPr>
        <w:pStyle w:val="Heading1"/>
        <w:spacing w:line="276" w:lineRule="auto"/>
        <w:rPr>
          <w:rFonts w:ascii="Times New Roman" w:hAnsi="Times New Roman" w:cs="Times New Roman"/>
          <w:sz w:val="24"/>
          <w:szCs w:val="24"/>
          <w:lang w:val="sq-AL"/>
        </w:rPr>
      </w:pPr>
      <w:bookmarkStart w:id="12" w:name="_Toc5069197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85"/>
      </w:tblGrid>
      <w:tr w:rsidR="00A73353" w:rsidRPr="00C742D0" w14:paraId="566E8119" w14:textId="77777777" w:rsidTr="0030351B">
        <w:trPr>
          <w:trHeight w:val="295"/>
        </w:trPr>
        <w:tc>
          <w:tcPr>
            <w:tcW w:w="90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6193C3" w14:textId="77777777" w:rsidR="00C133FC" w:rsidRPr="009C75E3" w:rsidRDefault="00C133FC" w:rsidP="00C133FC">
            <w:pPr>
              <w:jc w:val="both"/>
              <w:rPr>
                <w:b/>
                <w:lang w:val="sq-AL"/>
              </w:rPr>
            </w:pPr>
            <w:r w:rsidRPr="009C75E3">
              <w:rPr>
                <w:b/>
                <w:lang w:val="sq-AL"/>
              </w:rPr>
              <w:t xml:space="preserve">PJESA 2: BAZA KRYESORE E ANALIZËS DHE E PROVAVE </w:t>
            </w:r>
          </w:p>
        </w:tc>
      </w:tr>
    </w:tbl>
    <w:p w14:paraId="685B6D14" w14:textId="77777777" w:rsidR="00C133FC" w:rsidRPr="00C133FC" w:rsidRDefault="00C133FC" w:rsidP="00B17990">
      <w:pPr>
        <w:rPr>
          <w:lang w:val="sq-AL"/>
        </w:rPr>
      </w:pPr>
    </w:p>
    <w:p w14:paraId="16747FAB" w14:textId="77777777" w:rsidR="002125B7" w:rsidRPr="00325A1F" w:rsidRDefault="72AAA341" w:rsidP="009D13F4">
      <w:pPr>
        <w:pStyle w:val="Heading1"/>
        <w:spacing w:line="276" w:lineRule="auto"/>
        <w:rPr>
          <w:rFonts w:ascii="Times New Roman" w:hAnsi="Times New Roman" w:cs="Times New Roman"/>
          <w:sz w:val="24"/>
          <w:szCs w:val="24"/>
          <w:lang w:val="sq-AL"/>
        </w:rPr>
      </w:pPr>
      <w:r w:rsidRPr="72AAA341">
        <w:rPr>
          <w:rFonts w:ascii="Times New Roman" w:hAnsi="Times New Roman" w:cs="Times New Roman"/>
          <w:sz w:val="24"/>
          <w:szCs w:val="24"/>
          <w:lang w:val="sq-AL"/>
        </w:rPr>
        <w:t>Historik</w:t>
      </w:r>
      <w:bookmarkEnd w:id="12"/>
    </w:p>
    <w:sdt>
      <w:sdtPr>
        <w:rPr>
          <w:i/>
          <w:szCs w:val="24"/>
          <w:lang w:val="sq-AL"/>
        </w:rPr>
        <w:id w:val="-1879696236"/>
        <w:lock w:val="contentLocked"/>
        <w:placeholder>
          <w:docPart w:val="DefaultPlaceholder_-1854013440"/>
        </w:placeholder>
      </w:sdtPr>
      <w:sdtEndPr/>
      <w:sdtContent>
        <w:p w14:paraId="0E529013" w14:textId="77777777" w:rsidR="002125B7" w:rsidRPr="00BC6D7D" w:rsidRDefault="007F435A" w:rsidP="009D13F4">
          <w:pPr>
            <w:spacing w:line="276" w:lineRule="auto"/>
            <w:rPr>
              <w:i/>
              <w:szCs w:val="24"/>
              <w:lang w:val="sq-AL"/>
            </w:rPr>
          </w:pPr>
          <w:r w:rsidRPr="00BC6D7D">
            <w:rPr>
              <w:i/>
              <w:szCs w:val="24"/>
              <w:lang w:val="sq-AL"/>
            </w:rPr>
            <w:t>Jepni kontekstin e politikës</w:t>
          </w:r>
          <w:r w:rsidR="00FA63FD">
            <w:rPr>
              <w:i/>
              <w:szCs w:val="24"/>
              <w:lang w:val="sq-AL"/>
            </w:rPr>
            <w:t>.</w:t>
          </w:r>
        </w:p>
      </w:sdtContent>
    </w:sdt>
    <w:sdt>
      <w:sdtPr>
        <w:rPr>
          <w:rFonts w:ascii="Calibri" w:hAnsi="Calibri"/>
          <w:sz w:val="22"/>
          <w:lang w:val="sq-AL"/>
        </w:rPr>
        <w:id w:val="1083723407"/>
        <w:placeholder>
          <w:docPart w:val="DefaultPlaceholder_1081868574"/>
        </w:placeholder>
      </w:sdtPr>
      <w:sdtEndPr>
        <w:rPr>
          <w:rFonts w:ascii="Times New Roman" w:hAnsi="Times New Roman"/>
          <w:sz w:val="24"/>
        </w:rPr>
      </w:sdtEndPr>
      <w:sdtContent>
        <w:p w14:paraId="106DF149" w14:textId="77777777" w:rsidR="00FD7EE2" w:rsidRPr="00FB3897" w:rsidRDefault="00FD7EE2" w:rsidP="00CF2ADA">
          <w:pPr>
            <w:spacing w:before="240"/>
            <w:jc w:val="both"/>
            <w:rPr>
              <w:lang w:val="sq-AL"/>
            </w:rPr>
          </w:pPr>
          <w:r w:rsidRPr="00FB3897">
            <w:rPr>
              <w:lang w:val="sq-AL"/>
            </w:rPr>
            <w:t>Për herë të parë, në shkallë të gjerë, rregullimi ligjor për të drejtën e pronës, u mbështet fillimisht nga ligji nr. 7491/1991 “Për Dispozitat Kryesore Kushtetuese”, i cili sanksionoi si subjekte të pronësisë, me të drejta të barabarta me shtetin, edhe personat juridikë dhe fizikë. Dispozitat Kryesore Kushtetuese krijuan strukturën ligjore bazë, e cila do të regullonte në vazhdimësi marrëdhëniet e pronësisë. Me anë të tyre u hodhën bazat ligjore për miratimin e një sërë ligjesh të tjera, që në thelb të tyre kishin tjetërsimin apo kalimin e pronësisë nga shteti tek individët. N</w:t>
          </w:r>
          <w:r w:rsidR="00D22EF6" w:rsidRPr="00FB3897">
            <w:rPr>
              <w:lang w:val="sq-AL"/>
            </w:rPr>
            <w:t>jë ndër hapat e parë ishte l</w:t>
          </w:r>
          <w:r w:rsidRPr="00FB3897">
            <w:rPr>
              <w:lang w:val="sq-AL"/>
            </w:rPr>
            <w:t>igji</w:t>
          </w:r>
          <w:r w:rsidR="00D22EF6" w:rsidRPr="00FB3897">
            <w:rPr>
              <w:lang w:val="sq-AL"/>
            </w:rPr>
            <w:t xml:space="preserve"> nr.7501, datë 19.07.1991 “Për t</w:t>
          </w:r>
          <w:r w:rsidRPr="00FB3897">
            <w:rPr>
              <w:lang w:val="sq-AL"/>
            </w:rPr>
            <w:t>okën”, që më vonë do të rezultonte edhe një ndër pengesat kryesore për legjislacionin e kthimit dhe kompensimit</w:t>
          </w:r>
          <w:r w:rsidR="00D22EF6" w:rsidRPr="00FB3897">
            <w:rPr>
              <w:lang w:val="sq-AL"/>
            </w:rPr>
            <w:t xml:space="preserve"> të pronave. Në thelb të këtij l</w:t>
          </w:r>
          <w:r w:rsidRPr="00FB3897">
            <w:rPr>
              <w:lang w:val="sq-AL"/>
            </w:rPr>
            <w:t>igji ishte dhënia e tokës bujqësore në pronësi apo përdorim të familjeve bujqësore, pa kundërshpërblim.</w:t>
          </w:r>
        </w:p>
        <w:p w14:paraId="64CE42D4" w14:textId="77777777" w:rsidR="00D22EF6" w:rsidRPr="00FB3897" w:rsidRDefault="00FD7EE2" w:rsidP="00CF2ADA">
          <w:pPr>
            <w:spacing w:before="240"/>
            <w:jc w:val="both"/>
            <w:rPr>
              <w:lang w:val="sq-AL"/>
            </w:rPr>
          </w:pPr>
          <w:r w:rsidRPr="00FB3897">
            <w:rPr>
              <w:lang w:val="sq-AL"/>
            </w:rPr>
            <w:t>Në vitin 1993, shteti shqiptar njohu për herë të parë të drejtën për të kthyer dhe kompensuar pronën ish-pronarëve, të marrë padrejtësisht nga regjimi komunist, duke miratuar ligjin nr.7698, datë 15.04.1993 “Për kthimin dhe kompen</w:t>
          </w:r>
          <w:r w:rsidR="00D22EF6" w:rsidRPr="00FB3897">
            <w:rPr>
              <w:lang w:val="sq-AL"/>
            </w:rPr>
            <w:t>simin e pronave ish-pronarëve”</w:t>
          </w:r>
          <w:r w:rsidRPr="00FB3897">
            <w:rPr>
              <w:lang w:val="sq-AL"/>
            </w:rPr>
            <w:t>. Ligji “Për kthimin dhe kompensimin e pronave ish-pronarëve”, u njohu të drejtën ish-pronarëve dhe trashëgimtarëve të tyre, për të kërkuar nga autoritetet e përcaktuara me ligj, njohjen dhe kthimin e pronës së shpronësuar, dhe në pamundësi të kthimit fizik, të drejtën për kompensim në natyrë, fillimisht e kufizuar për një sipërfaqe deri në 10.000 metra/katrorë apo për vlerë financiare</w:t>
          </w:r>
          <w:r w:rsidR="00D22EF6" w:rsidRPr="00FB3897">
            <w:rPr>
              <w:lang w:val="sq-AL"/>
            </w:rPr>
            <w:t>, me plot</w:t>
          </w:r>
          <w:r w:rsidR="00CD4469" w:rsidRPr="00FB3897">
            <w:rPr>
              <w:lang w:val="sq-AL"/>
            </w:rPr>
            <w:t>ë</w:t>
          </w:r>
          <w:r w:rsidR="00D22EF6" w:rsidRPr="00FB3897">
            <w:rPr>
              <w:lang w:val="sq-AL"/>
            </w:rPr>
            <w:t>simin e kushteve t</w:t>
          </w:r>
          <w:r w:rsidR="00CD4469" w:rsidRPr="00FB3897">
            <w:rPr>
              <w:lang w:val="sq-AL"/>
            </w:rPr>
            <w:t>ë</w:t>
          </w:r>
          <w:r w:rsidR="00D22EF6" w:rsidRPr="00FB3897">
            <w:rPr>
              <w:lang w:val="sq-AL"/>
            </w:rPr>
            <w:t xml:space="preserve"> p</w:t>
          </w:r>
          <w:r w:rsidR="00CD4469" w:rsidRPr="00FB3897">
            <w:rPr>
              <w:lang w:val="sq-AL"/>
            </w:rPr>
            <w:t>ë</w:t>
          </w:r>
          <w:r w:rsidR="00D22EF6" w:rsidRPr="00FB3897">
            <w:rPr>
              <w:lang w:val="sq-AL"/>
            </w:rPr>
            <w:t xml:space="preserve">rcaktuara ligjore. Gjithashtu, parashikohej edhe krijimi i Komisionit të Kthimit dhe Kompensimit të Pronave, si organi administrativ kompetent për të vendosur mbi pretendimet e pronësisë së ish-pronarëve apo trashëgimtarëve të tyre. </w:t>
          </w:r>
        </w:p>
        <w:p w14:paraId="57E69987" w14:textId="77777777" w:rsidR="00FD7EE2" w:rsidRPr="00FB3897" w:rsidRDefault="00D22EF6" w:rsidP="00CF2ADA">
          <w:pPr>
            <w:spacing w:before="240"/>
            <w:jc w:val="both"/>
            <w:rPr>
              <w:lang w:val="sq-AL"/>
            </w:rPr>
          </w:pPr>
          <w:r w:rsidRPr="00FB3897">
            <w:rPr>
              <w:lang w:val="sq-AL"/>
            </w:rPr>
            <w:t xml:space="preserve">Ajo që vërehet në ligj dhe që më vonë do të gjeneronte problematika në zbatimin e tij ishte mosparashikimi i afateve, brenda të cilave mund të kundërshtoheshin vendimet e KKKP. Në vite, ligji nr. 7698/1993 pësoi disa ndryshime dhe u shfuqizua më pas, me hyrjen në fuqi të ligjit nr. 9235, datë 29.07.2004 “Për kthimin </w:t>
          </w:r>
          <w:r w:rsidRPr="00FB3897">
            <w:rPr>
              <w:lang w:val="sq-AL"/>
            </w:rPr>
            <w:lastRenderedPageBreak/>
            <w:t xml:space="preserve">dhe kompensimin e pronës”. Ky ligj solli si risi, kompensimin e pronës në në rastet kur nuk kishte mundësi që prona t’u kthehej pronarëve në natyrë. Gjithashtu, nëse ligji nr.7698, datë 15.04.1993 vinte kufizime për sipërfaqen e pronës që do të kthehej, ligji i ri parashikonte kufizime për pronën që do të kthehej në natyrë vetëm për një kategori të caktuar pronash siç ishte p.sh. toka bujqësore, e cila mund të kthehej ose kompensohej deri në 60 hektarë. Ligji krijoi Komitetin Shtetëror për Kthimin dhe Kompensimin e Pronave, të përbërë prej pesë anëtarësh të zgjedhur nga Parlamenti. Roli i tij ishte të vendoste lidhur me ligjshmërinë e vendimeve të dhëna mbi pretendimet për kthimin dhe kompensimin e pronave të komisioneve vendore. </w:t>
          </w:r>
        </w:p>
        <w:p w14:paraId="449CBA11" w14:textId="77777777" w:rsidR="00D22EF6" w:rsidRPr="00FB3897" w:rsidRDefault="00D22EF6" w:rsidP="00CF2ADA">
          <w:pPr>
            <w:spacing w:before="240"/>
            <w:jc w:val="both"/>
            <w:rPr>
              <w:lang w:val="sq-AL"/>
            </w:rPr>
          </w:pPr>
          <w:r w:rsidRPr="00FB3897">
            <w:rPr>
              <w:lang w:val="sq-AL"/>
            </w:rPr>
            <w:t xml:space="preserve">Në ndryshimet e vitit 2005 u parashikuan me ligj edhe mënyrat e vlerësimit të pronës së paluajtshme, që do të kompensohej, nëpërmjet hartave të vlerësimit të pronave. Zbatimi do të realizohej nga Komiteti Shtetëror për Kthimin dhe Kompensimin e Pronave, të cilit ligji i kishte ngarkuar dhe detyrën e hartimit të hartave për vlerësimin e pronës. Me ndryshimet që iu bënë ligjit në vitin 2006, Komiteti Shtetëror i Kthimit dhe Kompensimit të Pronës u zëvendësua nga Agjencia e Kthimit dhe Kompensimit të Pronave. </w:t>
          </w:r>
        </w:p>
        <w:p w14:paraId="4B9AF8D7" w14:textId="77777777" w:rsidR="00D22EF6" w:rsidRPr="00FB3897" w:rsidRDefault="00D22EF6" w:rsidP="00CF2ADA">
          <w:pPr>
            <w:spacing w:before="240"/>
            <w:jc w:val="both"/>
            <w:rPr>
              <w:lang w:val="sq-AL"/>
            </w:rPr>
          </w:pPr>
          <w:r w:rsidRPr="00FB3897">
            <w:rPr>
              <w:lang w:val="sq-AL"/>
            </w:rPr>
            <w:t xml:space="preserve">Deri në vitin 2015, prona trajtohej me dy mekanizma të ndryshëm ligjorë, me atë ndarjes së tokës bujqësore nëpërmjet ligjit nr. 7501/1991 i cili nuk i referohej të drejtës së ish-pronarëve, dhe me ligjin “Për kthimin dhe kompensimin e pronës” për pronarin apo trashëgimtarin e tij. Prona gjithashtu trajtohej nga organe të ndryshme të zbatimit të këtyre ligjeve. Kjo situatë ligjore dhe institucionale solli nga njëra anë ngushtim të plotësimit të kërkesave të ish-pronarëve për t’iu kthyer prona dhe, nga ana tjetër krijoi një konflikt juridiksioni i cili gjeneroi mosmarrëveshje në zgjidhjen e çështjeve konkrete. Legjislacioni jo i plotë, praktika gjyqësore e pastabilizuar dhe me mungesa të shumta koherence bëri që ky proces jo vetëm të zgjaste në kohë, por edhe të mos jepte rezultatet e kërkuara. </w:t>
          </w:r>
        </w:p>
        <w:p w14:paraId="134921B5" w14:textId="0B8AD9A0" w:rsidR="008249E1" w:rsidRPr="00FB3897" w:rsidRDefault="00D22EF6" w:rsidP="00CB5D76">
          <w:pPr>
            <w:spacing w:before="240"/>
            <w:jc w:val="both"/>
            <w:rPr>
              <w:lang w:val="sq-AL"/>
            </w:rPr>
          </w:pPr>
          <w:r w:rsidRPr="00FB3897">
            <w:rPr>
              <w:lang w:val="sq-AL"/>
            </w:rPr>
            <w:t>Nevoja për t’i dhënë një zgjidhje përfundimtare raportit të pronarit me pronën e shpronësuar, çoi në hartimin dhe miratimin e ligjit 133/2015, i cili merr përsipër t’i japë zgjidhje përfundimtare, sipas afateve të përcaktuara në këtë ligj, çështjes së kompensimit të ish-pronarëve. Gjithashtu, sikurse vërehet nga parashtrimi i mësipërm, ndryshimi i shpeshtë i legjislacionit si dhe boshllëqet që u krijuan nga mosnxjerrja në kohë, dhe në disa raste mungesa totale, e vendimeve të Këshillit të Ministrave në zbatim të ligjit, e bën atë të pazbatueshëm në praktikë. Pikërisht, ndryshimi i shpeshtë i legjislacionit dhe moszbatimi i tij në praktikë, u bënë shkak si për konstatimet e shkeljeve të Konventës Evropiane për të Drejtat e Njeriut, Nenit 1 të Protokollit 1 të saj, në lidhje me të drejtën e pronës ashtu edhe për mos ekzekutimin e vendimeve të brendshme, administrative dhe gjyqësore.</w:t>
          </w:r>
          <w:r>
            <w:rPr>
              <w:rStyle w:val="FootnoteReference"/>
            </w:rPr>
            <w:footnoteReference w:id="3"/>
          </w:r>
          <w:r w:rsidR="008249E1" w:rsidRPr="00FB3897">
            <w:rPr>
              <w:lang w:val="sq-AL"/>
            </w:rPr>
            <w:t xml:space="preserve"> </w:t>
          </w:r>
          <w:r w:rsidR="00432C83" w:rsidRPr="00432C83">
            <w:rPr>
              <w:iCs/>
              <w:szCs w:val="24"/>
              <w:lang w:val="sq-AL" w:eastAsia="fr-FR"/>
            </w:rPr>
            <w:t xml:space="preserve"> </w:t>
          </w:r>
          <w:r w:rsidR="00432C83" w:rsidRPr="0051693C">
            <w:rPr>
              <w:iCs/>
              <w:szCs w:val="24"/>
              <w:lang w:val="sq-AL" w:eastAsia="fr-FR"/>
            </w:rPr>
            <w:t>Në rastin konkret,</w:t>
          </w:r>
          <w:r w:rsidR="0085735E" w:rsidRPr="72AAA341">
            <w:rPr>
              <w:lang w:val="sq-AL"/>
            </w:rPr>
            <w:t xml:space="preserve"> ndërhyrj</w:t>
          </w:r>
          <w:r w:rsidR="0085735E">
            <w:rPr>
              <w:lang w:val="sq-AL"/>
            </w:rPr>
            <w:t>a  është diktuar</w:t>
          </w:r>
          <w:r w:rsidR="0085735E" w:rsidRPr="72AAA341">
            <w:rPr>
              <w:lang w:val="sq-AL"/>
            </w:rPr>
            <w:t xml:space="preserve"> nga vendimi i Gjykatës, </w:t>
          </w:r>
          <w:r w:rsidR="00EE0673">
            <w:rPr>
              <w:lang w:val="sq-AL"/>
            </w:rPr>
            <w:t>q</w:t>
          </w:r>
          <w:r w:rsidR="0085735E" w:rsidRPr="72AAA341">
            <w:rPr>
              <w:lang w:val="sq-AL"/>
            </w:rPr>
            <w:t>e ka vendosur detyrimin për plotësimin e ligjit nr.133/2015 në ato çështje për të cilat është konstatuar se ka boshllëk ligjor apo papajtueshmëri kushtetuese</w:t>
          </w:r>
          <w:r w:rsidR="00432C83" w:rsidRPr="0051693C">
            <w:rPr>
              <w:iCs/>
              <w:szCs w:val="24"/>
              <w:lang w:val="sq-AL" w:eastAsia="fr-FR"/>
            </w:rPr>
            <w:t xml:space="preserve"> </w:t>
          </w:r>
          <w:r w:rsidR="0085735E">
            <w:rPr>
              <w:iCs/>
              <w:szCs w:val="24"/>
              <w:lang w:val="sq-AL" w:eastAsia="fr-FR"/>
            </w:rPr>
            <w:t>me q</w:t>
          </w:r>
          <w:r w:rsidR="00BE1224">
            <w:rPr>
              <w:iCs/>
              <w:szCs w:val="24"/>
              <w:lang w:val="sq-AL" w:eastAsia="fr-FR"/>
            </w:rPr>
            <w:t>ë</w:t>
          </w:r>
          <w:r w:rsidR="0085735E">
            <w:rPr>
              <w:iCs/>
              <w:szCs w:val="24"/>
              <w:lang w:val="sq-AL" w:eastAsia="fr-FR"/>
            </w:rPr>
            <w:t xml:space="preserve">llim </w:t>
          </w:r>
          <w:r w:rsidR="00CB5D76" w:rsidRPr="0051693C">
            <w:rPr>
              <w:szCs w:val="24"/>
              <w:lang w:val="sq-AL"/>
            </w:rPr>
            <w:t>rregullim</w:t>
          </w:r>
          <w:r w:rsidR="0085735E">
            <w:rPr>
              <w:szCs w:val="24"/>
              <w:lang w:val="sq-AL"/>
            </w:rPr>
            <w:t>in e sakt</w:t>
          </w:r>
          <w:r w:rsidR="00BE1224">
            <w:rPr>
              <w:szCs w:val="24"/>
              <w:lang w:val="sq-AL"/>
            </w:rPr>
            <w:t>ë</w:t>
          </w:r>
          <w:r w:rsidR="0085735E">
            <w:rPr>
              <w:szCs w:val="24"/>
              <w:lang w:val="sq-AL"/>
            </w:rPr>
            <w:t xml:space="preserve"> t</w:t>
          </w:r>
          <w:r w:rsidR="00BE1224">
            <w:rPr>
              <w:szCs w:val="24"/>
              <w:lang w:val="sq-AL"/>
            </w:rPr>
            <w:t>ë</w:t>
          </w:r>
          <w:r w:rsidR="0085735E">
            <w:rPr>
              <w:szCs w:val="24"/>
              <w:lang w:val="sq-AL"/>
            </w:rPr>
            <w:t xml:space="preserve"> </w:t>
          </w:r>
          <w:r w:rsidR="00AF32B4">
            <w:rPr>
              <w:szCs w:val="24"/>
              <w:lang w:val="sq-AL"/>
            </w:rPr>
            <w:t>normës ligjore dhe b</w:t>
          </w:r>
          <w:r w:rsidR="00BE1224">
            <w:rPr>
              <w:szCs w:val="24"/>
              <w:lang w:val="sq-AL"/>
            </w:rPr>
            <w:t>ë</w:t>
          </w:r>
          <w:r w:rsidR="00AF32B4">
            <w:rPr>
              <w:szCs w:val="24"/>
              <w:lang w:val="sq-AL"/>
            </w:rPr>
            <w:t>rjen efktive t</w:t>
          </w:r>
          <w:r w:rsidR="00BE1224">
            <w:rPr>
              <w:szCs w:val="24"/>
              <w:lang w:val="sq-AL"/>
            </w:rPr>
            <w:t>ë</w:t>
          </w:r>
          <w:r w:rsidR="00AF32B4">
            <w:rPr>
              <w:szCs w:val="24"/>
              <w:lang w:val="sq-AL"/>
            </w:rPr>
            <w:t xml:space="preserve"> zbatimit t</w:t>
          </w:r>
          <w:r w:rsidR="00BE1224">
            <w:rPr>
              <w:szCs w:val="24"/>
              <w:lang w:val="sq-AL"/>
            </w:rPr>
            <w:t>ë</w:t>
          </w:r>
          <w:r w:rsidR="00AF32B4">
            <w:rPr>
              <w:szCs w:val="24"/>
              <w:lang w:val="sq-AL"/>
            </w:rPr>
            <w:t xml:space="preserve"> saj.</w:t>
          </w:r>
        </w:p>
        <w:p w14:paraId="779EC8CF" w14:textId="77777777" w:rsidR="00BB6044" w:rsidRPr="00FB3897" w:rsidRDefault="00BB6044" w:rsidP="00BB6044">
          <w:pPr>
            <w:spacing w:before="240"/>
            <w:jc w:val="both"/>
            <w:rPr>
              <w:lang w:val="sq-AL"/>
            </w:rPr>
          </w:pPr>
          <w:r w:rsidRPr="00FB3897">
            <w:rPr>
              <w:lang w:val="sq-AL"/>
            </w:rPr>
            <w:t>Nga hyrja në fuqi e ligjit nr.133/2015, Agjencia e Trajtimit të Pronave ka ekzekutuar 794 vendime me një  vlerë prej 7,842,824,598.92 lekë (Vlera e Kompensimit financiar plus Vlera e llogaritur për kompensim financiar të kërkesave të veçanta), nga të cilat 72 vendime janë mbyllje procedimi. ATP ka shpërndarë nga Fondi Fizik i pronave një sipërfaqe prej 713.22 ha me një vlerë financiare prej 1,455,773,529.99 lekë.</w:t>
          </w:r>
        </w:p>
        <w:p w14:paraId="218AA5E9" w14:textId="77777777" w:rsidR="00BB6044" w:rsidRPr="00FB3897" w:rsidRDefault="00BB6044" w:rsidP="00BB6044">
          <w:pPr>
            <w:spacing w:before="240"/>
            <w:jc w:val="both"/>
            <w:rPr>
              <w:lang w:val="sq-AL"/>
            </w:rPr>
          </w:pPr>
          <w:r w:rsidRPr="00FB3897">
            <w:rPr>
              <w:lang w:val="sq-AL"/>
            </w:rPr>
            <w:t>►Gjatë vitit 2016 u shpërnda një fond për kompensim financiar prej 1, 826, 870, 845 lekë (një vlerë prej 1 805 417 553 lekë për kompensim financiar dhe një vlerë prej 21, 453, 292 lekë për kompensim financiar me kërkesa të veçanta);</w:t>
          </w:r>
        </w:p>
        <w:p w14:paraId="5F0BA719" w14:textId="77777777" w:rsidR="00BB6044" w:rsidRPr="00FB3897" w:rsidRDefault="00BB6044" w:rsidP="00BB6044">
          <w:pPr>
            <w:spacing w:before="240"/>
            <w:jc w:val="both"/>
            <w:rPr>
              <w:lang w:val="sq-AL"/>
            </w:rPr>
          </w:pPr>
          <w:r w:rsidRPr="00FB3897">
            <w:rPr>
              <w:lang w:val="sq-AL"/>
            </w:rPr>
            <w:t>►Gjatë vitit 2017 u shpërnda një fond për kompensim financiar prej 2 056 845 314 lekë (një vlerë prej 1 959 411 055 lekë për kompensim financiar dhe një vlerë prej 97 434 259 lekë për kompensim financiar me kërkesa të veçanta);</w:t>
          </w:r>
        </w:p>
        <w:p w14:paraId="5D16408C" w14:textId="77777777" w:rsidR="00BB6044" w:rsidRPr="00FB3897" w:rsidRDefault="00BB6044" w:rsidP="00BB6044">
          <w:pPr>
            <w:spacing w:before="240"/>
            <w:jc w:val="both"/>
            <w:rPr>
              <w:lang w:val="sq-AL"/>
            </w:rPr>
          </w:pPr>
          <w:r w:rsidRPr="00FB3897">
            <w:rPr>
              <w:lang w:val="sq-AL"/>
            </w:rPr>
            <w:t>►Gjatë vitit 2018 u shpërnda një fond për kompensim financiar prej 1 543 025 978, 56 lekë (një vlerë prej 35 521 553  lekë për kompensim financiar dhe një vlerë prej 1 507 504 425, 56 lekë për kompensim financiar me kërkesa të veçanta);</w:t>
          </w:r>
        </w:p>
        <w:p w14:paraId="39B72C3A" w14:textId="77777777" w:rsidR="00BB6044" w:rsidRPr="00FB3897" w:rsidRDefault="00BB6044" w:rsidP="00BB6044">
          <w:pPr>
            <w:spacing w:before="240"/>
            <w:jc w:val="both"/>
            <w:rPr>
              <w:lang w:val="sq-AL"/>
            </w:rPr>
          </w:pPr>
          <w:r w:rsidRPr="00FB3897">
            <w:rPr>
              <w:lang w:val="sq-AL"/>
            </w:rPr>
            <w:lastRenderedPageBreak/>
            <w:t>►Gjatë vitit 2019 u shpërnda një fond për kompensim financiar prej 1,282,427,619.21 lekë (një vlerë prej 113,786,500.63  lekë për kompensim financiar dhe një vlerë prej 1,168,641,118.58 lekë për kompensim financiar me kërkesa të veçanta);</w:t>
          </w:r>
        </w:p>
        <w:p w14:paraId="43288017" w14:textId="77777777" w:rsidR="00BB6044" w:rsidRPr="00FB3897" w:rsidRDefault="00BB6044" w:rsidP="00BB6044">
          <w:pPr>
            <w:spacing w:before="240"/>
            <w:jc w:val="both"/>
            <w:rPr>
              <w:lang w:val="sq-AL"/>
            </w:rPr>
          </w:pPr>
          <w:r w:rsidRPr="00FB3897">
            <w:rPr>
              <w:lang w:val="sq-AL"/>
            </w:rPr>
            <w:t xml:space="preserve">►Gjatë vitit 2020 u shpërnda një fond për kompensim financiar prej 855,099,341.17 lekë (një vlerë prej 49,115,904.46  lekë për kompensim financiar dhe një vlerë prej 805,983,436.71 lekë për kompensim financiar me kërkesa të veçanta); </w:t>
          </w:r>
        </w:p>
        <w:p w14:paraId="03C6D617" w14:textId="77777777" w:rsidR="00BB6044" w:rsidRPr="00FB3897" w:rsidRDefault="00BB6044" w:rsidP="00BB6044">
          <w:pPr>
            <w:spacing w:before="240"/>
            <w:jc w:val="both"/>
            <w:rPr>
              <w:lang w:val="sq-AL"/>
            </w:rPr>
          </w:pPr>
          <w:r w:rsidRPr="00FB3897">
            <w:rPr>
              <w:lang w:val="sq-AL"/>
            </w:rPr>
            <w:t>►Gjatë periudhës Janar – Tetor 2021, u shpërnda një fond për kompensim me kërkesë të vecantë në vlerë 275'515'109,16 lekë.</w:t>
          </w:r>
        </w:p>
        <w:p w14:paraId="7E0FDAC3" w14:textId="77777777" w:rsidR="008249E1" w:rsidRPr="00FB3897" w:rsidRDefault="008249E1" w:rsidP="008249E1">
          <w:pPr>
            <w:jc w:val="both"/>
            <w:rPr>
              <w:lang w:val="sq-AL"/>
            </w:rPr>
          </w:pPr>
        </w:p>
        <w:p w14:paraId="414863B3" w14:textId="77777777" w:rsidR="008249E1" w:rsidRPr="00FB3897" w:rsidRDefault="008249E1" w:rsidP="008249E1">
          <w:pPr>
            <w:spacing w:after="240"/>
            <w:jc w:val="both"/>
            <w:rPr>
              <w:lang w:val="sq-AL"/>
            </w:rPr>
          </w:pPr>
          <w:r w:rsidRPr="00FB3897">
            <w:rPr>
              <w:lang w:val="sq-AL"/>
            </w:rPr>
            <w:t>Ligji nr. 133/2015 dhe aktet nënligjore në zbatim të tij</w:t>
          </w:r>
          <w:r>
            <w:rPr>
              <w:rStyle w:val="FootnoteReference"/>
            </w:rPr>
            <w:footnoteReference w:id="4"/>
          </w:r>
          <w:r w:rsidRPr="00FB3897">
            <w:rPr>
              <w:lang w:val="sq-AL"/>
            </w:rPr>
            <w:t xml:space="preserve"> ishin objekt shqyrtimi nga Gjykata Kushtetuese, e cila me vendimin nr.4, datë 15.02.2021 vendosi:</w:t>
          </w:r>
        </w:p>
        <w:p w14:paraId="1125A36C" w14:textId="77777777" w:rsidR="008249E1" w:rsidRPr="00FB3897" w:rsidRDefault="008249E1" w:rsidP="008249E1">
          <w:pPr>
            <w:jc w:val="both"/>
            <w:rPr>
              <w:lang w:val="sq-AL"/>
            </w:rPr>
          </w:pPr>
          <w:r w:rsidRPr="00FB3897">
            <w:rPr>
              <w:lang w:val="sq-AL"/>
            </w:rPr>
            <w:t>-  Pranimin pjesërisht të kërkesës.</w:t>
          </w:r>
        </w:p>
        <w:p w14:paraId="6BFB0E18" w14:textId="77777777" w:rsidR="008249E1" w:rsidRPr="00FB3897" w:rsidRDefault="008249E1" w:rsidP="008249E1">
          <w:pPr>
            <w:jc w:val="both"/>
            <w:rPr>
              <w:lang w:val="sq-AL"/>
            </w:rPr>
          </w:pPr>
          <w:r w:rsidRPr="00FB3897">
            <w:rPr>
              <w:lang w:val="sq-AL"/>
            </w:rPr>
            <w:t>- Shfuqizimin si të papajtueshëm me Kushtetutën të nenit 7, pika 2, shkronjat “a” dhe “b”, të ligjit nr. 133/2015 “Për trajtimin e pronës dhe përfundimin e procesit të kompensimit të pronave”.</w:t>
          </w:r>
        </w:p>
        <w:p w14:paraId="1958A0D6" w14:textId="77777777" w:rsidR="008249E1" w:rsidRPr="00FB3897" w:rsidRDefault="008249E1" w:rsidP="008249E1">
          <w:pPr>
            <w:jc w:val="both"/>
            <w:rPr>
              <w:lang w:val="sq-AL"/>
            </w:rPr>
          </w:pPr>
          <w:r w:rsidRPr="00FB3897">
            <w:rPr>
              <w:lang w:val="sq-AL"/>
            </w:rPr>
            <w:t>- Shfuqizimin si të papajtueshme me Kushtetutën të pikave 16/2, 16/4 dhe 18 të VKM-së nr. 223, datë 23.03.2016 “Për përcaktimin e rregullave dhe të procedurave për vlerësimin dhe shpërndarjen e fondit financiar e fizik për kompensimin e pronave”, të ndryshuar.</w:t>
          </w:r>
        </w:p>
        <w:p w14:paraId="781EFDCB" w14:textId="77777777" w:rsidR="008249E1" w:rsidRPr="00FB3897" w:rsidRDefault="008249E1" w:rsidP="008249E1">
          <w:pPr>
            <w:jc w:val="both"/>
            <w:rPr>
              <w:lang w:val="sq-AL"/>
            </w:rPr>
          </w:pPr>
          <w:r w:rsidRPr="00FB3897">
            <w:rPr>
              <w:lang w:val="sq-AL"/>
            </w:rPr>
            <w:t>- Rrëzimin e kërkesës për kërkimet e tjera.</w:t>
          </w:r>
        </w:p>
        <w:p w14:paraId="57FB3C98" w14:textId="77777777" w:rsidR="008249E1" w:rsidRPr="00FB3897" w:rsidRDefault="008249E1" w:rsidP="008249E1">
          <w:pPr>
            <w:jc w:val="both"/>
            <w:rPr>
              <w:b/>
              <w:lang w:val="sq-AL"/>
            </w:rPr>
          </w:pPr>
          <w:r w:rsidRPr="00FB3897">
            <w:rPr>
              <w:b/>
              <w:lang w:val="sq-AL"/>
            </w:rPr>
            <w:t>- Detyrimin e Kuvendit të Shqipërisë të plotësojë ligjin nga data e shpalljes së vendimit të Gjykatës Kushtetuese deri në hyrjen në fuqi të tij.</w:t>
          </w:r>
        </w:p>
        <w:p w14:paraId="5C508A21" w14:textId="77777777" w:rsidR="008249E1" w:rsidRPr="00FB3897" w:rsidRDefault="008249E1" w:rsidP="008249E1">
          <w:pPr>
            <w:jc w:val="both"/>
            <w:rPr>
              <w:b/>
              <w:lang w:val="sq-AL"/>
            </w:rPr>
          </w:pPr>
        </w:p>
        <w:p w14:paraId="4B554088" w14:textId="77777777" w:rsidR="00D930EE" w:rsidRPr="00D930EE" w:rsidRDefault="00D930EE" w:rsidP="00D930EE">
          <w:pPr>
            <w:spacing w:after="240"/>
            <w:jc w:val="both"/>
            <w:rPr>
              <w:szCs w:val="24"/>
              <w:lang w:val="sq-AL"/>
            </w:rPr>
          </w:pPr>
          <w:r w:rsidRPr="00D930EE">
            <w:rPr>
              <w:szCs w:val="24"/>
              <w:lang w:val="sq-AL"/>
            </w:rPr>
            <w:t>Si rezultat i punës së përfaqësuesve të Agjencisë së Trajtimit të Pronave dhe Ministrisë së Drejtësisë, si dhe një procesi të gjerë konsultimi me pjesëmarrës nga Avokatura e Shtetit, ministritë e linjës, grupet e interesit dhe ekspertë të fushës, në dhjetor 2022 u miratuan ndryshimet në ligjin nr.133/2015. Këto ndryshime ligjore siguruan zgjatjen e afatit për trajtimin e kërkesave për njohje pronësie si dhe vlerësimin financiar të vendimeve të kompensimit deri në datën 31.12.2024. Këto ndryshime diktuan edhe nevojën për ndërhyrjen në aktet nënligjore të cilat u miratuan në maj të vitit 2023, ku u ndryshuan respektivisht vendimi nr. 222/2016 dhe vendimi nr. 223/2016 i Këshillit të Ministrave.</w:t>
          </w:r>
        </w:p>
        <w:p w14:paraId="209971A8" w14:textId="089143CC" w:rsidR="00D930EE" w:rsidRPr="00D930EE" w:rsidRDefault="00D930EE" w:rsidP="00D930EE">
          <w:pPr>
            <w:jc w:val="both"/>
            <w:rPr>
              <w:szCs w:val="24"/>
              <w:lang w:val="sq-AL"/>
            </w:rPr>
          </w:pPr>
          <w:r w:rsidRPr="00D930EE">
            <w:rPr>
              <w:szCs w:val="24"/>
              <w:lang w:val="sq-AL"/>
            </w:rPr>
            <w:t>Me ndryshimin e këtyre vendimeve, u rregulluan problematikat që janë hasur në praktikë nga ATP, si dhe u bë i mundur harmonizimi me vendimin e Gjykatës Kushtetuese Nr.1</w:t>
          </w:r>
          <w:r>
            <w:rPr>
              <w:szCs w:val="24"/>
              <w:lang w:val="sq-AL"/>
            </w:rPr>
            <w:t>/</w:t>
          </w:r>
          <w:r w:rsidRPr="00D930EE">
            <w:rPr>
              <w:szCs w:val="24"/>
              <w:lang w:val="sq-AL"/>
            </w:rPr>
            <w:t xml:space="preserve">2017, duke garantuar të drejtat e ish-pronarëve që janë përfitues të kompensimit fizik në pronën e tyre. Sa i takon VKM-së nr. 223/2016 u synua harmonizimi me kuadrin ligjor në fuqi në drejtim të garantimit të trajtimit të drejtë dhe proporcional për subjektet, pasuria e të cilëve rezulton me ndryshim të zërit kadastral. Ky akt përmban dispozita për formulën e llogaritjes së vlerësimit financiar për pronat që rezultojnë me ndryshimin e zërit kadastral dhe për të cilat duhet të garantohet kompensimi në masën së paku 10% të vlerës sipas zërit kadastral aktual, në përputhje me vendimet e GjEDNj dhe ato të Gjykatës Kushtetuese.    </w:t>
          </w:r>
        </w:p>
        <w:p w14:paraId="39AA021D" w14:textId="57C912EF" w:rsidR="00D930EE" w:rsidRDefault="00D930EE" w:rsidP="00D930EE">
          <w:pPr>
            <w:jc w:val="both"/>
            <w:rPr>
              <w:szCs w:val="24"/>
              <w:lang w:val="sq-AL"/>
            </w:rPr>
          </w:pPr>
          <w:r w:rsidRPr="00D930EE">
            <w:rPr>
              <w:szCs w:val="24"/>
              <w:lang w:val="sq-AL"/>
            </w:rPr>
            <w:t>Ndryshimi ligjor i miratuar me ligjin nr.77/2022 iu nënshtrua edhe kontrollit nga Gjykata Kushtetuese e cila konfirmoi përputhshmërinë me Kushtetutën të këtij akti.</w:t>
          </w:r>
        </w:p>
        <w:p w14:paraId="57E82E25" w14:textId="3809D148" w:rsidR="00D15D79" w:rsidRDefault="00D15D79" w:rsidP="00D930EE">
          <w:pPr>
            <w:jc w:val="both"/>
            <w:rPr>
              <w:szCs w:val="24"/>
              <w:lang w:val="sq-AL"/>
            </w:rPr>
          </w:pPr>
          <w:r>
            <w:rPr>
              <w:szCs w:val="24"/>
            </w:rPr>
            <w:lastRenderedPageBreak/>
            <w:t xml:space="preserve">Në përputhje me ligjin nr.133/2015, të ndryshuar, Agjencia e Trajtimit të Pronave është organi përgjegjës për zbatimin e këtij ligji lidhur me trajtimin e pronës dhe përfundimin e procesit të kompensimit të pronave. </w:t>
          </w:r>
          <w:r w:rsidRPr="000C1C65">
            <w:rPr>
              <w:szCs w:val="24"/>
            </w:rPr>
            <w:t>Procesi për njohjen e së drejtës së pronësisë është një proces i përkohshëm me afat të përcaktuar në ligj, i cili ishte 3 vjet nga hyrja në fuqi e ligjit</w:t>
          </w:r>
          <w:r>
            <w:rPr>
              <w:szCs w:val="24"/>
            </w:rPr>
            <w:t xml:space="preserve"> (2016 – 2019)</w:t>
          </w:r>
          <w:r w:rsidRPr="000C1C65">
            <w:rPr>
              <w:szCs w:val="24"/>
            </w:rPr>
            <w:t xml:space="preserve">. </w:t>
          </w:r>
          <w:r w:rsidRPr="000C1C65">
            <w:rPr>
              <w:szCs w:val="24"/>
              <w:lang w:val="sq-AL"/>
            </w:rPr>
            <w:t>Agjencia e Trajtimit të Pronave, deri në përfundim të afatit 3 vje</w:t>
          </w:r>
          <w:r>
            <w:rPr>
              <w:szCs w:val="24"/>
              <w:lang w:val="sq-AL"/>
            </w:rPr>
            <w:t>ç</w:t>
          </w:r>
          <w:r w:rsidRPr="000C1C65">
            <w:rPr>
              <w:szCs w:val="24"/>
              <w:lang w:val="sq-AL"/>
            </w:rPr>
            <w:t>ar të këtij procesi, në datë 23 shkurt 2019, trajtoi 9512 kërkesa për njohje pronësie nga 16 462 të paraqitura, ose 57.8% të tyre, të cilat figuronin të administruara prane ish-AKKP-së ose të depozituara brenda afatit 3 mujor nga hyrja në fuqi e ligjit, si dhe vlerësoi kryesisht rreth 18 728 vendime administrative dhe gjyqësore, me të cilat i është njohur e drejta e kompensimit subjekteve të shpronësuar.</w:t>
          </w:r>
          <w:r>
            <w:rPr>
              <w:szCs w:val="24"/>
              <w:lang w:val="sq-AL"/>
            </w:rPr>
            <w:t xml:space="preserve"> </w:t>
          </w:r>
          <w:r w:rsidRPr="000C1C65">
            <w:rPr>
              <w:bCs/>
              <w:szCs w:val="24"/>
              <w:lang w:val="sq-AL"/>
            </w:rPr>
            <w:t>Agjencia e Trajtimit të Pronave, mbështetur në pikën 2 të nenit 34, t</w:t>
          </w:r>
          <w:r>
            <w:rPr>
              <w:bCs/>
              <w:szCs w:val="24"/>
              <w:lang w:val="sq-AL"/>
            </w:rPr>
            <w:t>ë</w:t>
          </w:r>
          <w:r w:rsidRPr="000C1C65">
            <w:rPr>
              <w:bCs/>
              <w:szCs w:val="24"/>
              <w:lang w:val="sq-AL"/>
            </w:rPr>
            <w:t xml:space="preserve"> ligjit nr.133/2015, t</w:t>
          </w:r>
          <w:r>
            <w:rPr>
              <w:bCs/>
              <w:szCs w:val="24"/>
              <w:lang w:val="sq-AL"/>
            </w:rPr>
            <w:t>ë</w:t>
          </w:r>
          <w:r w:rsidRPr="000C1C65">
            <w:rPr>
              <w:bCs/>
              <w:szCs w:val="24"/>
              <w:lang w:val="sq-AL"/>
            </w:rPr>
            <w:t xml:space="preserve"> ndryshuar, </w:t>
          </w:r>
          <w:r w:rsidRPr="000C1C65">
            <w:rPr>
              <w:szCs w:val="24"/>
              <w:lang w:val="sq-AL"/>
            </w:rPr>
            <w:t>për kërkesat që rezultuan të patrajtuara vijoi me orientimin e subjekteve për zgjidhjen në rrugë gjyqësore të pretendimeve për njohje pronësie. Përgjatë periudhës shkurt 2019 – dhjetor 2022, u vendosën në administrim të subjekteve 3083 dosje/praktika</w:t>
          </w:r>
          <w:r>
            <w:rPr>
              <w:szCs w:val="24"/>
              <w:lang w:val="sq-AL"/>
            </w:rPr>
            <w:t>.</w:t>
          </w:r>
        </w:p>
        <w:p w14:paraId="78A521B4" w14:textId="77777777" w:rsidR="00D15D79" w:rsidRPr="00D15D79" w:rsidRDefault="00D15D79" w:rsidP="00D15D79">
          <w:pPr>
            <w:jc w:val="both"/>
            <w:rPr>
              <w:szCs w:val="24"/>
              <w:lang w:val="sq-AL"/>
            </w:rPr>
          </w:pPr>
          <w:r w:rsidRPr="00D15D79">
            <w:rPr>
              <w:szCs w:val="24"/>
              <w:lang w:val="sq-AL"/>
            </w:rPr>
            <w:t>Në bazë e për zbatim të ndryshimeve të miratuara me datë 25 Maj 2023, u bë i mundur vlerësimi financiar sipas rekomandimeve të dhëna nga GjEDNj për 3758 vendime me të drejtë kompensimi që kishin pësuar ndryshim të zërit kadastral, ose 20% i totalit të vendimeve, me një faturë të shtuar financiare prej 15,1 miliard lekë,</w:t>
          </w:r>
          <w:r w:rsidRPr="00D15D79">
            <w:rPr>
              <w:b/>
              <w:bCs/>
              <w:szCs w:val="24"/>
              <w:lang w:val="sq-AL"/>
            </w:rPr>
            <w:t xml:space="preserve"> </w:t>
          </w:r>
          <w:r w:rsidRPr="00D15D79">
            <w:rPr>
              <w:szCs w:val="24"/>
              <w:lang w:val="sq-AL"/>
            </w:rPr>
            <w:t xml:space="preserve">si dhe u rivendos juridiksioni administrativ i institucionit për trajtimin e rreth 7000 dosjeve/praktikave të patrajtuara me vendim brenda afateve të përcaktuara në nenin 34 të ligjit nr.133/2015, të ndryshuar. </w:t>
          </w:r>
          <w:r w:rsidRPr="00D15D79">
            <w:rPr>
              <w:szCs w:val="24"/>
              <w:lang w:val="en-US"/>
            </w:rPr>
            <w:t xml:space="preserve">Për 6596 vendime nuk pati ndryshim të vlerës së publikuar për arsye të ndryshme </w:t>
          </w:r>
          <w:r w:rsidRPr="00D15D79">
            <w:rPr>
              <w:i/>
              <w:szCs w:val="24"/>
              <w:lang w:val="en-US"/>
            </w:rPr>
            <w:t xml:space="preserve">(vedime për të cilat vlera sipas ligjit nr.133/2015 ishte me e madhe se sa vlera sipas ndryshimeve ligjore, vendime vetëm me të drejte parablerje, vendime me vlerë të përcaktuar në vendim etj). </w:t>
          </w:r>
          <w:r w:rsidRPr="00D15D79">
            <w:rPr>
              <w:szCs w:val="24"/>
              <w:lang w:val="en-US"/>
            </w:rPr>
            <w:t>Masa e re e shpërblimit, e reflektuar në ligj sipas rekomandimit të GjEDN-së rezultoi efektive, pasi vetëm 1% e këtyre vlerësimeve u ankimuan nga ana e subjekteve pranë gjykatës kompetente.</w:t>
          </w:r>
          <w:r w:rsidRPr="00D15D79">
            <w:rPr>
              <w:szCs w:val="24"/>
              <w:lang w:val="sq-AL"/>
            </w:rPr>
            <w:t xml:space="preserve"> Për të rritur efektivitetin e zbatimit të këtij ligji, si dhe me qëllim uljen e backlog-ut pranë gjykatave të rretheve gjyqësore, në zbatim të pikave 2 dhe 3 të nenit 9 të ligjit nr.77/2022, ATP procedoi me depozitimin e 506 deklaratave informuese për heqjen dorë nga gjykimi i padisë për çështje të cilat figuronin ende pa një vendimarrje themeli lidhur me vlerësimin financiar, apo pretendimin për njohje të së drejtës së pronësisë. Deri në momentin e pezullimit të ligjit nga Gjykata Kushtetuese, 58 subjekte hoqën dorë nga padia dhe i’u drejtuan ATP-së për zgjidhje në rrugë administrative.</w:t>
          </w:r>
        </w:p>
        <w:p w14:paraId="720AF0AC" w14:textId="77777777" w:rsidR="00D15D79" w:rsidRPr="00D15D79" w:rsidRDefault="00D15D79" w:rsidP="00D15D79">
          <w:pPr>
            <w:jc w:val="both"/>
            <w:rPr>
              <w:szCs w:val="24"/>
              <w:lang w:val="sq-AL"/>
            </w:rPr>
          </w:pPr>
          <w:r w:rsidRPr="00D15D79">
            <w:rPr>
              <w:szCs w:val="24"/>
              <w:lang w:val="sq-AL"/>
            </w:rPr>
            <w:t xml:space="preserve">Që nga hyrja në fuqi e ligjit nr.133/2015 në muajin shkurt të vitit 2016 deri në fund të vitit 2022, Agjencia e Trajtimit të Pronave ka ekzekutuar 794 vendime me një vlerë totale prej 7.8 miliard lekësh dhe ka shpërndarë 713.2 hektarë tokë nga fondi i tokës. </w:t>
          </w:r>
        </w:p>
        <w:p w14:paraId="6BAE8DFF" w14:textId="5DA78A64" w:rsidR="00D15D79" w:rsidRPr="00D930EE" w:rsidRDefault="00D15D79" w:rsidP="00D930EE">
          <w:pPr>
            <w:jc w:val="both"/>
            <w:rPr>
              <w:szCs w:val="24"/>
              <w:lang w:val="sq-AL"/>
            </w:rPr>
          </w:pPr>
          <w:r w:rsidRPr="00D15D79">
            <w:rPr>
              <w:szCs w:val="24"/>
              <w:lang w:val="sq-AL"/>
            </w:rPr>
            <w:t xml:space="preserve">Aktualisht, numri total i vendimeve të ekzekutuara nga ATP ka arritur në 831, me një vlerë prej rreth 8 miliardë lekësh dhe 756 hektarë tokë të shpërndarë. Këto shifra tregojnë qartë ndikimin e pezullimeve të aktivitetit institucional dhe ndryshimeve ligjore e nënligjore, pasi në dy vitet e fundit ATP ka arritur të ekzekutojë vetëm 37 vendime për kompensim.  </w:t>
          </w:r>
        </w:p>
        <w:p w14:paraId="30881ACA" w14:textId="3CBF494A" w:rsidR="008249E1" w:rsidRPr="00D930EE" w:rsidRDefault="00BD42D9" w:rsidP="00D930EE">
          <w:pPr>
            <w:jc w:val="both"/>
            <w:rPr>
              <w:szCs w:val="24"/>
              <w:lang w:val="it-IT"/>
            </w:rPr>
          </w:pPr>
        </w:p>
      </w:sdtContent>
    </w:sdt>
    <w:p w14:paraId="7078968A" w14:textId="77777777" w:rsidR="009E64A4" w:rsidRPr="009D13F4" w:rsidRDefault="72AAA341" w:rsidP="009D13F4">
      <w:pPr>
        <w:pStyle w:val="Heading1"/>
        <w:spacing w:line="276" w:lineRule="auto"/>
        <w:rPr>
          <w:rFonts w:ascii="Times New Roman" w:hAnsi="Times New Roman" w:cs="Times New Roman"/>
          <w:sz w:val="24"/>
          <w:szCs w:val="24"/>
          <w:lang w:val="sq-AL"/>
        </w:rPr>
      </w:pPr>
      <w:r w:rsidRPr="72AAA341">
        <w:rPr>
          <w:rFonts w:ascii="Times New Roman" w:hAnsi="Times New Roman" w:cs="Times New Roman"/>
          <w:sz w:val="24"/>
          <w:szCs w:val="24"/>
          <w:lang w:val="sq-AL"/>
        </w:rPr>
        <w:t>Problemi në shqyrtim</w:t>
      </w:r>
    </w:p>
    <w:bookmarkStart w:id="13" w:name="_Toc506919734" w:displacedByCustomXml="next"/>
    <w:sdt>
      <w:sdtPr>
        <w:id w:val="5332828"/>
        <w:lock w:val="contentLocked"/>
        <w:placeholder>
          <w:docPart w:val="873E64307E5F40099245506EC819755B"/>
        </w:placeholder>
      </w:sdtPr>
      <w:sdtEndPr/>
      <w:sdtContent>
        <w:p w14:paraId="5D342032" w14:textId="77777777" w:rsidR="00372979" w:rsidRPr="00372979" w:rsidRDefault="00372979">
          <w:pPr>
            <w:pStyle w:val="ListParagraph"/>
            <w:numPr>
              <w:ilvl w:val="0"/>
              <w:numId w:val="6"/>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33C405F1" w14:textId="77777777" w:rsidR="00372979" w:rsidRPr="00372979" w:rsidRDefault="00372979">
          <w:pPr>
            <w:pStyle w:val="ListParagraph"/>
            <w:numPr>
              <w:ilvl w:val="0"/>
              <w:numId w:val="6"/>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0224B7FC" w14:textId="77777777" w:rsidR="00372979" w:rsidRPr="00372979" w:rsidRDefault="00372979">
          <w:pPr>
            <w:pStyle w:val="ListParagraph"/>
            <w:numPr>
              <w:ilvl w:val="0"/>
              <w:numId w:val="6"/>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55B2F252" w14:textId="77777777" w:rsidR="00372979" w:rsidRPr="00372979" w:rsidRDefault="00372979">
          <w:pPr>
            <w:pStyle w:val="ListParagraph"/>
            <w:numPr>
              <w:ilvl w:val="0"/>
              <w:numId w:val="6"/>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4D072156" w14:textId="77777777" w:rsidR="009D13F4" w:rsidRPr="009457B6" w:rsidRDefault="00372979">
          <w:pPr>
            <w:pStyle w:val="ListParagraph"/>
            <w:numPr>
              <w:ilvl w:val="0"/>
              <w:numId w:val="6"/>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2596C027" w14:textId="77777777" w:rsidR="009457B6" w:rsidRPr="00372979" w:rsidRDefault="009457B6" w:rsidP="009457B6">
      <w:pPr>
        <w:pStyle w:val="ListParagraph"/>
        <w:spacing w:after="0" w:line="276" w:lineRule="auto"/>
        <w:ind w:left="720" w:firstLine="0"/>
        <w:jc w:val="both"/>
        <w:rPr>
          <w:rFonts w:ascii="Times New Roman" w:hAnsi="Times New Roman"/>
          <w:i/>
          <w:sz w:val="24"/>
          <w:szCs w:val="24"/>
        </w:rPr>
      </w:pPr>
    </w:p>
    <w:p w14:paraId="23565ED4" w14:textId="69C55855" w:rsidR="00563378" w:rsidRPr="00CD4469" w:rsidRDefault="00BD42D9" w:rsidP="00D15D79">
      <w:pPr>
        <w:jc w:val="both"/>
        <w:rPr>
          <w:lang w:val="sq-AL" w:bidi="en-US"/>
        </w:rPr>
      </w:pPr>
      <w:sdt>
        <w:sdtPr>
          <w:rPr>
            <w:rFonts w:eastAsiaTheme="majorEastAsia"/>
          </w:rPr>
          <w:id w:val="811569244"/>
          <w:placeholder>
            <w:docPart w:val="6DDBB321FA75409DA38DDE9CB0FD1E41"/>
          </w:placeholder>
        </w:sdtPr>
        <w:sdtEndPr/>
        <w:sdtContent>
          <w:r w:rsidR="00D15D79">
            <w:rPr>
              <w:szCs w:val="24"/>
              <w:lang w:val="sq-AL"/>
            </w:rPr>
            <w:t xml:space="preserve">Në përputhje me ndryshimet ligjore të vitit 2022 në ligjin nr.133/2015, </w:t>
          </w:r>
          <w:r w:rsidR="00D15D79">
            <w:rPr>
              <w:szCs w:val="24"/>
            </w:rPr>
            <w:t>p</w:t>
          </w:r>
          <w:r w:rsidR="00D15D79" w:rsidRPr="000A1196">
            <w:rPr>
              <w:szCs w:val="24"/>
            </w:rPr>
            <w:t>rocesi i shqyrtimit të dosjeve, që janë aplikuar përpara hyrjes në fuqi të këtij ligji dhe që janë në proces shqyrtimi pranë Agjencisë, përfundon brenda datës 31.12.2024</w:t>
          </w:r>
          <w:r w:rsidR="00D15D79">
            <w:rPr>
              <w:szCs w:val="24"/>
            </w:rPr>
            <w:t xml:space="preserve">. </w:t>
          </w:r>
          <w:r w:rsidR="00D15D79" w:rsidRPr="000C1C65">
            <w:rPr>
              <w:szCs w:val="24"/>
              <w:lang w:val="sq-AL"/>
            </w:rPr>
            <w:t xml:space="preserve">Me hyrjen në fuqi të </w:t>
          </w:r>
          <w:r w:rsidR="00D15D79">
            <w:rPr>
              <w:szCs w:val="24"/>
              <w:lang w:val="sq-AL"/>
            </w:rPr>
            <w:t xml:space="preserve">këtij ligji dhe </w:t>
          </w:r>
          <w:r w:rsidR="00D15D79" w:rsidRPr="000C1C65">
            <w:rPr>
              <w:szCs w:val="24"/>
              <w:lang w:val="sq-AL"/>
            </w:rPr>
            <w:t xml:space="preserve">akteve nënligjore, Agjencia e Trajtimit të Pronave filloi hetimin administrativ për shqyrtimin e 7000 dosjeve të patrajtuara për njohje pronësie, për të cilat ka kryer procedurat e njoftimit të subjekteve për plotësim dokumentacioni. Aktualisht në Drejtorinë e Trajtimit të Kërkesave për Njohje Pronësie, ku pasi është bërë ndarja e dosjeve dhe praktikave sipas qarqeve përkatës,  rezultojnë se në proces shqyrtimi </w:t>
          </w:r>
          <w:r w:rsidR="00D15D79" w:rsidRPr="000C1C65">
            <w:rPr>
              <w:bCs/>
              <w:szCs w:val="24"/>
              <w:lang w:val="sq-AL"/>
            </w:rPr>
            <w:t xml:space="preserve">janë 5862 dosje </w:t>
          </w:r>
          <w:r w:rsidR="00D15D79" w:rsidRPr="000C1C65">
            <w:rPr>
              <w:szCs w:val="24"/>
              <w:lang w:val="sq-AL"/>
            </w:rPr>
            <w:t>dhe 1197 praktika, në total 7059, nga të cilat 705 dosje/praktika të rikthyera për trajtim.</w:t>
          </w:r>
          <w:r w:rsidR="00D15D79">
            <w:rPr>
              <w:szCs w:val="24"/>
              <w:lang w:val="sq-AL"/>
            </w:rPr>
            <w:t xml:space="preserve"> </w:t>
          </w:r>
          <w:r w:rsidR="00D15D79" w:rsidRPr="000C1C65">
            <w:rPr>
              <w:szCs w:val="24"/>
            </w:rPr>
            <w:t xml:space="preserve">Në lidhje me procesin e vendimmarrjes, Drejtoria e Trajtimit të Kërkesavë për Njohje Pronësie pranë ATP-së, ka përmbyllur aktualisht procedimin administrativ, duke </w:t>
          </w:r>
          <w:r w:rsidR="00D15D79">
            <w:rPr>
              <w:szCs w:val="24"/>
            </w:rPr>
            <w:lastRenderedPageBreak/>
            <w:t>marrë vendim</w:t>
          </w:r>
          <w:r w:rsidR="00D15D79" w:rsidRPr="000C1C65">
            <w:rPr>
              <w:szCs w:val="24"/>
            </w:rPr>
            <w:t xml:space="preserve"> për 115 dosje ose 1.6% të kërkesave ende të patrajtuara, ndërsa ka filluar procedurat e njoftimit për plotësim dokumentacioni për rreth 2900 kërkesa për njohje pronësie ose 41.4% të dosjeve/praktikave.</w:t>
          </w:r>
          <w:r w:rsidR="00D15D79">
            <w:rPr>
              <w:szCs w:val="24"/>
            </w:rPr>
            <w:t xml:space="preserve"> </w:t>
          </w:r>
          <w:r w:rsidR="00D15D79" w:rsidRPr="000C1C65">
            <w:rPr>
              <w:szCs w:val="24"/>
            </w:rPr>
            <w:t>Kohëzgjatja e trajtimit të një dosje/praktike dhe nxjerrja e një vendimi kushtëzohet nga faktorë të brendshëm siç janë eksperienca dhe eficenca e inspektorit që ka në trajtim dosjen/praktikën, volumi i dokumentacionit të administruar, kompleksiteti dhe natyra e dokumentacionit. Ky proces kushtëzohet dhe nga faktorë të jashtëm siç janë procedurat e njoftimit, plotësimi i dokumentacionit nga subjekti, konfirmimi i informacionit nga institucionet e treta dhe nevojat e hetimit administrativ të cilat rast pas rasti diktojnë edhe nevojën për k</w:t>
          </w:r>
          <w:r w:rsidR="00D15D79">
            <w:rPr>
              <w:szCs w:val="24"/>
            </w:rPr>
            <w:t>ë</w:t>
          </w:r>
          <w:r w:rsidR="00D15D79" w:rsidRPr="000C1C65">
            <w:rPr>
              <w:szCs w:val="24"/>
            </w:rPr>
            <w:t xml:space="preserve">qyrjen në vend të provës pranë palëve të treta, përfshirë këtu edhe verifikimin fizik në terren. Duke marrë në konsideratë këto rrethana, si dhe parashikimet ligjore lidhur me afatet e përfundimit të procedimit administrativ, vlerësohet se koha për marrjen e një vendimi është nga 3 deri në 6 muaj për dosje. </w:t>
          </w:r>
          <w:r w:rsidR="00D15D79">
            <w:rPr>
              <w:szCs w:val="24"/>
            </w:rPr>
            <w:t xml:space="preserve"> </w:t>
          </w:r>
          <w:r w:rsidR="00D15D79" w:rsidRPr="000C1C65">
            <w:rPr>
              <w:szCs w:val="24"/>
            </w:rPr>
            <w:t>Ky afat nuk merr në konsideratë ato situata, kur plotësimi i dokumentacionit nga ana e subjektit do të kryhet në rrugë gjyqësore, pasi në këto raste procedimi administrativ pezullohet deri në zgjidhjen e çështjes paraprake nga ana e gjykatës, ku në mjaft raste, koha e gjykimit ka tejkaluar edhe af</w:t>
          </w:r>
          <w:r w:rsidR="00D15D79">
            <w:rPr>
              <w:szCs w:val="24"/>
            </w:rPr>
            <w:t>a</w:t>
          </w:r>
          <w:r w:rsidR="00D15D79" w:rsidRPr="000C1C65">
            <w:rPr>
              <w:szCs w:val="24"/>
            </w:rPr>
            <w:t>tin e juridiksionit administrativ të ATP-së.</w:t>
          </w:r>
          <w:r w:rsidR="00D15D79">
            <w:rPr>
              <w:szCs w:val="24"/>
            </w:rPr>
            <w:t xml:space="preserve"> </w:t>
          </w:r>
          <w:r w:rsidR="00D15D79" w:rsidRPr="000C1C65">
            <w:rPr>
              <w:szCs w:val="24"/>
            </w:rPr>
            <w:t>Duke marrë në konsideratë kohën e mbetur në dispozicion, referuar treguesve të performancës, kapaciteteve të burimeve njerëzore, kompleksitetit të procedimit si dhe kërkesave ligjore për përfundimin e procedimit administrativ, paraprakisht vlerësohet se objektivi ligjor për trajtimin e plotë të dosjeve të patrajtuara brenda datës 31.12.2024, nuk mund të realizohet. Këto përfundime, mbështeten në faktor</w:t>
          </w:r>
          <w:r w:rsidR="00D15D79">
            <w:rPr>
              <w:szCs w:val="24"/>
            </w:rPr>
            <w:t>ë</w:t>
          </w:r>
          <w:r w:rsidR="00D15D79" w:rsidRPr="000C1C65">
            <w:rPr>
              <w:szCs w:val="24"/>
            </w:rPr>
            <w:t xml:space="preserve"> të jashtëm dhe të brendshëm, të cilët kanë kushtëzuar vendimarrjen e ATP-së, duke projektuar si objektiv të arritshëm maksimalisht rreth 700 vendime deri në fund të vitit 2024, ose 10% të dosjeve të patrajtuara.</w:t>
          </w:r>
          <w:r w:rsidR="00D15D79">
            <w:rPr>
              <w:szCs w:val="24"/>
            </w:rPr>
            <w:t xml:space="preserve"> </w:t>
          </w:r>
          <w:r w:rsidR="00D15D79" w:rsidRPr="000C1C65">
            <w:rPr>
              <w:szCs w:val="24"/>
            </w:rPr>
            <w:t>Faktorët q</w:t>
          </w:r>
          <w:r w:rsidR="00D15D79">
            <w:rPr>
              <w:szCs w:val="24"/>
            </w:rPr>
            <w:t>ë</w:t>
          </w:r>
          <w:r w:rsidR="00D15D79" w:rsidRPr="000C1C65">
            <w:rPr>
              <w:szCs w:val="24"/>
            </w:rPr>
            <w:t xml:space="preserve"> kan</w:t>
          </w:r>
          <w:r w:rsidR="00D15D79">
            <w:rPr>
              <w:szCs w:val="24"/>
            </w:rPr>
            <w:t>ë</w:t>
          </w:r>
          <w:r w:rsidR="00D15D79" w:rsidRPr="000C1C65">
            <w:rPr>
              <w:szCs w:val="24"/>
            </w:rPr>
            <w:t xml:space="preserve"> ndikuar n</w:t>
          </w:r>
          <w:r w:rsidR="00D15D79">
            <w:rPr>
              <w:szCs w:val="24"/>
            </w:rPr>
            <w:t>ë</w:t>
          </w:r>
          <w:r w:rsidR="00D15D79" w:rsidRPr="000C1C65">
            <w:rPr>
              <w:szCs w:val="24"/>
            </w:rPr>
            <w:t xml:space="preserve"> pamund</w:t>
          </w:r>
          <w:r w:rsidR="00D15D79">
            <w:rPr>
              <w:szCs w:val="24"/>
            </w:rPr>
            <w:t>ë</w:t>
          </w:r>
          <w:r w:rsidR="00D15D79" w:rsidRPr="000C1C65">
            <w:rPr>
              <w:szCs w:val="24"/>
            </w:rPr>
            <w:t>sin</w:t>
          </w:r>
          <w:r w:rsidR="00D15D79">
            <w:rPr>
              <w:szCs w:val="24"/>
            </w:rPr>
            <w:t>ë</w:t>
          </w:r>
          <w:r w:rsidR="00D15D79" w:rsidRPr="000C1C65">
            <w:rPr>
              <w:szCs w:val="24"/>
            </w:rPr>
            <w:t xml:space="preserve"> e realizimit t</w:t>
          </w:r>
          <w:r w:rsidR="00D15D79">
            <w:rPr>
              <w:szCs w:val="24"/>
            </w:rPr>
            <w:t>ë</w:t>
          </w:r>
          <w:r w:rsidR="00D15D79" w:rsidRPr="000C1C65">
            <w:rPr>
              <w:szCs w:val="24"/>
            </w:rPr>
            <w:t xml:space="preserve"> objektivit ligjor i parashtrojm</w:t>
          </w:r>
          <w:r w:rsidR="00D15D79">
            <w:rPr>
              <w:szCs w:val="24"/>
            </w:rPr>
            <w:t>ë</w:t>
          </w:r>
          <w:r w:rsidR="00D15D79" w:rsidRPr="000C1C65">
            <w:rPr>
              <w:szCs w:val="24"/>
            </w:rPr>
            <w:t xml:space="preserve"> si vijon:</w:t>
          </w:r>
          <w:r w:rsidR="00D15D79">
            <w:rPr>
              <w:szCs w:val="24"/>
            </w:rPr>
            <w:t xml:space="preserve"> </w:t>
          </w:r>
          <w:r w:rsidR="00D15D79" w:rsidRPr="000C1C65">
            <w:rPr>
              <w:b/>
              <w:szCs w:val="24"/>
            </w:rPr>
            <w:t>Faktorë të jashtëm</w:t>
          </w:r>
          <w:r w:rsidR="00CB7299">
            <w:rPr>
              <w:b/>
              <w:szCs w:val="24"/>
            </w:rPr>
            <w:t>: 1.</w:t>
          </w:r>
          <w:r w:rsidR="00D15D79">
            <w:rPr>
              <w:b/>
              <w:szCs w:val="24"/>
            </w:rPr>
            <w:t xml:space="preserve"> </w:t>
          </w:r>
          <w:r w:rsidR="00D15D79" w:rsidRPr="00AE52F9">
            <w:rPr>
              <w:szCs w:val="24"/>
            </w:rPr>
            <w:t xml:space="preserve">Ndryshimet ligjore të cilat zëvendësuan afatin për trajtimin e kërkesave për njohje pronësie miratuar me ligjin </w:t>
          </w:r>
          <w:r w:rsidR="00D15D79">
            <w:rPr>
              <w:szCs w:val="24"/>
            </w:rPr>
            <w:t>nr.</w:t>
          </w:r>
          <w:r w:rsidR="00D15D79" w:rsidRPr="00AE52F9">
            <w:rPr>
              <w:szCs w:val="24"/>
            </w:rPr>
            <w:t xml:space="preserve">77/2022, ndërkohë që aktet nënligjore u miratuan </w:t>
          </w:r>
          <w:r w:rsidR="00D15D79">
            <w:rPr>
              <w:szCs w:val="24"/>
            </w:rPr>
            <w:t>n</w:t>
          </w:r>
          <w:r w:rsidR="00D15D79" w:rsidRPr="00AE52F9">
            <w:rPr>
              <w:szCs w:val="24"/>
            </w:rPr>
            <w:t>ë datën 24.05.2023. Megjithëse kjo vonesë rezulton e arsyeshme, ref</w:t>
          </w:r>
          <w:r w:rsidR="00CB7299">
            <w:rPr>
              <w:szCs w:val="24"/>
            </w:rPr>
            <w:t>e</w:t>
          </w:r>
          <w:r w:rsidR="00D15D79" w:rsidRPr="00AE52F9">
            <w:rPr>
              <w:szCs w:val="24"/>
            </w:rPr>
            <w:t xml:space="preserve">ruar këtu veçanërisht objektit të rregullimit që konsistojnë në ndryshimin e një pjese të konsiderueshme të dispozitave nënligjore, vlen të theksohet se pavarësisht parashikimit të nenit 5 të ligjit </w:t>
          </w:r>
          <w:r w:rsidR="00D15D79">
            <w:rPr>
              <w:szCs w:val="24"/>
            </w:rPr>
            <w:t>nr.</w:t>
          </w:r>
          <w:r w:rsidR="00D15D79" w:rsidRPr="00AE52F9">
            <w:rPr>
              <w:szCs w:val="24"/>
            </w:rPr>
            <w:t>77/2022, veprimtaria në ATP ka filluar 5 muaj me vonesë, dhe konkretisht me datë 25 Maj 2023.</w:t>
          </w:r>
          <w:r w:rsidR="00D15D79">
            <w:rPr>
              <w:szCs w:val="24"/>
            </w:rPr>
            <w:t xml:space="preserve"> </w:t>
          </w:r>
          <w:r w:rsidR="00CB7299">
            <w:rPr>
              <w:b/>
              <w:szCs w:val="24"/>
            </w:rPr>
            <w:t xml:space="preserve">2. </w:t>
          </w:r>
          <w:r w:rsidR="00D15D79" w:rsidRPr="00AE52F9">
            <w:rPr>
              <w:szCs w:val="24"/>
            </w:rPr>
            <w:t xml:space="preserve">Procedura dhe afatet kohore që parashikon ligji për njoftimin e subjekteve për plotësimin e dokumentacionit, kërkesat drejtuar Drejtorisë së Përgjithshme të Gjendjes Civile dhe procedura e shpalljeve pranë bashkive sipas parashikimeve në kreun II, administrimi i akteve të </w:t>
          </w:r>
          <w:r w:rsidR="00D15D79" w:rsidRPr="00AE52F9">
            <w:rPr>
              <w:szCs w:val="24"/>
              <w:lang w:val="sq-AL"/>
            </w:rPr>
            <w:t xml:space="preserve">VKM-së nr. 222, datë 23.03.2016, </w:t>
          </w:r>
          <w:r w:rsidR="00D15D79" w:rsidRPr="000E1FEB">
            <w:rPr>
              <w:szCs w:val="24"/>
              <w:lang w:val="sq-AL"/>
            </w:rPr>
            <w:t>“</w:t>
          </w:r>
          <w:r w:rsidR="00D15D79" w:rsidRPr="000C1C65">
            <w:rPr>
              <w:szCs w:val="24"/>
              <w:lang w:val="sq-AL"/>
            </w:rPr>
            <w:t>Për trajtimin e kërkesave për njohje të së drejtës së kompensimit të pronës</w:t>
          </w:r>
          <w:r w:rsidR="00D15D79" w:rsidRPr="000E1FEB">
            <w:rPr>
              <w:szCs w:val="24"/>
              <w:lang w:val="sq-AL"/>
            </w:rPr>
            <w:t>”,</w:t>
          </w:r>
          <w:r w:rsidR="00D15D79" w:rsidRPr="00AE52F9">
            <w:rPr>
              <w:szCs w:val="24"/>
              <w:lang w:val="sq-AL"/>
            </w:rPr>
            <w:t xml:space="preserve"> e ndryshuar. Këto ndryshime të cilat garantojnë të drejtën efektive të aksesit në procedim për subjektet e pretenduar si të shpronësuar, kanë krijuar një hallkë të re në procedim, e për rrjedhojë në zgjatjen e procedurës së trajtimit për dosje.</w:t>
          </w:r>
          <w:r w:rsidR="00D15D79">
            <w:rPr>
              <w:szCs w:val="24"/>
              <w:lang w:val="sq-AL"/>
            </w:rPr>
            <w:t xml:space="preserve"> </w:t>
          </w:r>
          <w:r w:rsidR="00CB7299">
            <w:rPr>
              <w:b/>
              <w:szCs w:val="24"/>
              <w:lang w:val="sq-AL"/>
            </w:rPr>
            <w:t xml:space="preserve">3. </w:t>
          </w:r>
          <w:r w:rsidR="00D15D79" w:rsidRPr="00AE52F9">
            <w:rPr>
              <w:szCs w:val="24"/>
              <w:lang w:val="sq-AL"/>
            </w:rPr>
            <w:t xml:space="preserve">Procesi i trajtimit të pronave kërkon konfirmime nga institucionet qendrore dhe vendore si </w:t>
          </w:r>
          <w:r w:rsidR="00D15D79" w:rsidRPr="00AE52F9">
            <w:rPr>
              <w:bCs/>
              <w:szCs w:val="24"/>
              <w:lang w:val="sq-AL"/>
            </w:rPr>
            <w:t>Bashkitë, ASHK, Këshilli i Qarkut, Drejtoria e Drejtimit të Pronës Publike, Avokatura e Shtetit, Arkivi Q</w:t>
          </w:r>
          <w:r w:rsidR="00D15D79">
            <w:rPr>
              <w:bCs/>
              <w:szCs w:val="24"/>
              <w:lang w:val="sq-AL"/>
            </w:rPr>
            <w:t>e</w:t>
          </w:r>
          <w:r w:rsidR="00D15D79" w:rsidRPr="00AE52F9">
            <w:rPr>
              <w:bCs/>
              <w:szCs w:val="24"/>
              <w:lang w:val="sq-AL"/>
            </w:rPr>
            <w:t>ndror Teknik i Ndërtimit</w:t>
          </w:r>
          <w:r w:rsidR="00D15D79" w:rsidRPr="00AE52F9">
            <w:rPr>
              <w:szCs w:val="24"/>
              <w:lang w:val="sq-AL"/>
            </w:rPr>
            <w:t xml:space="preserve"> etj. Ky proces shpesh has probleme pasi në disa raste </w:t>
          </w:r>
          <w:r w:rsidR="00D15D79" w:rsidRPr="00AE52F9">
            <w:rPr>
              <w:bCs/>
              <w:szCs w:val="24"/>
              <w:lang w:val="sq-AL"/>
            </w:rPr>
            <w:t xml:space="preserve">përgjigjet nuk kthehen, ose kthehen jashtë afatit ligjor. </w:t>
          </w:r>
          <w:r w:rsidR="00D15D79">
            <w:rPr>
              <w:bCs/>
              <w:szCs w:val="24"/>
              <w:lang w:val="sq-AL"/>
            </w:rPr>
            <w:t xml:space="preserve"> </w:t>
          </w:r>
          <w:r w:rsidR="00CB7299">
            <w:rPr>
              <w:b/>
              <w:bCs/>
              <w:szCs w:val="24"/>
              <w:lang w:val="sq-AL"/>
            </w:rPr>
            <w:t xml:space="preserve">4. </w:t>
          </w:r>
          <w:r w:rsidR="00D15D79" w:rsidRPr="00AE52F9">
            <w:rPr>
              <w:szCs w:val="24"/>
              <w:lang w:val="sq-AL"/>
            </w:rPr>
            <w:t xml:space="preserve">Në zbatim të nenit 26 e vijues të </w:t>
          </w:r>
          <w:r w:rsidR="00D15D79">
            <w:rPr>
              <w:szCs w:val="24"/>
              <w:lang w:val="sq-AL"/>
            </w:rPr>
            <w:t>l</w:t>
          </w:r>
          <w:r w:rsidR="00D15D79" w:rsidRPr="00AE52F9">
            <w:rPr>
              <w:szCs w:val="24"/>
              <w:lang w:val="sq-AL"/>
            </w:rPr>
            <w:t xml:space="preserve">igjit </w:t>
          </w:r>
          <w:r w:rsidR="00D15D79">
            <w:rPr>
              <w:szCs w:val="24"/>
              <w:lang w:val="sq-AL"/>
            </w:rPr>
            <w:t>nr.</w:t>
          </w:r>
          <w:r w:rsidR="00D15D79" w:rsidRPr="00AE52F9">
            <w:rPr>
              <w:szCs w:val="24"/>
              <w:lang w:val="sq-AL"/>
            </w:rPr>
            <w:t xml:space="preserve">133/2015 dhe pika 10 e vijues të VKM-së </w:t>
          </w:r>
          <w:r w:rsidR="00D15D79">
            <w:rPr>
              <w:szCs w:val="24"/>
              <w:lang w:val="sq-AL"/>
            </w:rPr>
            <w:t>nr.</w:t>
          </w:r>
          <w:r w:rsidR="00D15D79" w:rsidRPr="00AE52F9">
            <w:rPr>
              <w:szCs w:val="24"/>
              <w:lang w:val="sq-AL"/>
            </w:rPr>
            <w:t xml:space="preserve">222/2016, për të gjitha procedimet administrative që ndërmerren nga Drejtoria e Trajtimit të Kërkesave për Njohje Pronësie, lind detyrimi për konfirmimin e gjendjes juridike të pronës dhe konfirmimin e vërtetësisë e dokumentacionit të lëshuar nga Agjencia Shtetërore e Kadastrës apo institucione të tjera. Me miratimin e </w:t>
          </w:r>
          <w:r w:rsidR="00D15D79">
            <w:rPr>
              <w:szCs w:val="24"/>
              <w:lang w:val="sq-AL"/>
            </w:rPr>
            <w:t>l</w:t>
          </w:r>
          <w:r w:rsidR="00D15D79" w:rsidRPr="00AE52F9">
            <w:rPr>
              <w:szCs w:val="24"/>
              <w:lang w:val="sq-AL"/>
            </w:rPr>
            <w:t xml:space="preserve">igjit </w:t>
          </w:r>
          <w:r w:rsidR="00D15D79">
            <w:rPr>
              <w:szCs w:val="24"/>
              <w:lang w:val="sq-AL"/>
            </w:rPr>
            <w:t>nr.</w:t>
          </w:r>
          <w:r w:rsidR="00D15D79" w:rsidRPr="00AE52F9">
            <w:rPr>
              <w:szCs w:val="24"/>
              <w:lang w:val="sq-AL"/>
            </w:rPr>
            <w:t>111/2018</w:t>
          </w:r>
          <w:r w:rsidR="00D15D79" w:rsidRPr="00CD0BDB">
            <w:rPr>
              <w:szCs w:val="24"/>
              <w:lang w:val="sq-AL"/>
            </w:rPr>
            <w:t xml:space="preserve"> “</w:t>
          </w:r>
          <w:r w:rsidR="00D15D79" w:rsidRPr="000C1C65">
            <w:rPr>
              <w:iCs/>
              <w:szCs w:val="24"/>
              <w:lang w:val="sq-AL"/>
            </w:rPr>
            <w:t xml:space="preserve">Për </w:t>
          </w:r>
          <w:r w:rsidR="00213ACD">
            <w:rPr>
              <w:iCs/>
              <w:szCs w:val="24"/>
              <w:lang w:val="sq-AL"/>
            </w:rPr>
            <w:t>k</w:t>
          </w:r>
          <w:r w:rsidR="00D15D79" w:rsidRPr="000C1C65">
            <w:rPr>
              <w:iCs/>
              <w:szCs w:val="24"/>
              <w:lang w:val="sq-AL"/>
            </w:rPr>
            <w:t>adastrën”,</w:t>
          </w:r>
          <w:r w:rsidR="00D15D79" w:rsidRPr="00CD0BDB">
            <w:rPr>
              <w:szCs w:val="24"/>
              <w:lang w:val="sq-AL"/>
            </w:rPr>
            <w:t xml:space="preserve"> </w:t>
          </w:r>
          <w:r w:rsidR="00D15D79" w:rsidRPr="00AE52F9">
            <w:rPr>
              <w:szCs w:val="24"/>
              <w:lang w:val="sq-AL"/>
            </w:rPr>
            <w:t xml:space="preserve">ky informacion jepet vetëm përkundrejt tarifës së shërbimit, sipas përcaktimeve në VKM-në nr. 389 datë 13.05.2020. </w:t>
          </w:r>
          <w:r w:rsidR="00D82041">
            <w:rPr>
              <w:b/>
              <w:szCs w:val="24"/>
              <w:lang w:val="sq-AL"/>
            </w:rPr>
            <w:t xml:space="preserve">5. </w:t>
          </w:r>
          <w:r w:rsidR="00D15D79" w:rsidRPr="00AE52F9">
            <w:rPr>
              <w:szCs w:val="24"/>
              <w:lang w:val="sq-AL"/>
            </w:rPr>
            <w:t xml:space="preserve">Në mbledhjen e datës 08.11.2023, Gjykata Kushtetuese pasi mori në shqyrtim paraprak çështjen me nr. 18 (K) 2023 të Regjistrit Themeltar, me kërkues Komunitetin Mysliman të Shqipërisë, vendosi pezullimin e zbatimit të ligjit nr. 77/2022, datë 17.11.2022 “Për disa shtesa dhe ndryshime në ligjin nr. 133/2015 “Për trajtimin e pronës dhe përfundimin e procesit të kompensimit të pronave” si dhe kalimin e çështjes për shqyrtim në seancë plenare publike, ndërsa në mbledhjen e datës 13.12.2023 vendosi “1. Pranimin e kërkesës për pezullimin e zbatimit të neneve 1, pika 2, dhe 2, pikat 1 dhe 2 të ligjit nr. 77/2022, datë 17.11.2022 “Për disa shtesa dhe ndryshime në ligjin nr. 133/2015 “Për trajtimin e pronës dhe përfundimin e procesit të kompensimit të pronave”. Kjo masë procedurale, solli si pasojë pezullimin e plotë të proceseve të punës në ATP për një periudhë 3 mujore. Kjo vendimarrje e Gjykatës Kushtetuese, </w:t>
          </w:r>
          <w:r w:rsidR="00D15D79" w:rsidRPr="00AE52F9">
            <w:rPr>
              <w:i/>
              <w:szCs w:val="24"/>
              <w:lang w:val="sq-AL"/>
            </w:rPr>
            <w:t>ndër të tjera</w:t>
          </w:r>
          <w:r w:rsidR="00D15D79" w:rsidRPr="00AE52F9">
            <w:rPr>
              <w:szCs w:val="24"/>
              <w:lang w:val="sq-AL"/>
            </w:rPr>
            <w:t xml:space="preserve">, pati një efekt tejet demotivues, duke reduktuar ndjeshëm numrin e dosjeve të rikthyera për shqyrtim në ATP, krahas efektit financiar, ku fondit të kompensimit i’u shkaktua një dëm prej </w:t>
          </w:r>
          <w:r w:rsidR="00D15D79" w:rsidRPr="00AE52F9">
            <w:rPr>
              <w:rFonts w:eastAsia="MS Mincho"/>
              <w:color w:val="000000"/>
              <w:szCs w:val="24"/>
              <w:bdr w:val="none" w:sz="0" w:space="0" w:color="auto" w:frame="1"/>
              <w:shd w:val="clear" w:color="auto" w:fill="FFFFFF"/>
              <w:lang w:val="sq-AL"/>
            </w:rPr>
            <w:t>2.34 mld lekë.</w:t>
          </w:r>
          <w:r w:rsidR="00D15D79" w:rsidRPr="00AE52F9">
            <w:rPr>
              <w:rFonts w:eastAsia="Calibri"/>
              <w:szCs w:val="24"/>
              <w:lang w:val="sq-AL"/>
            </w:rPr>
            <w:t xml:space="preserve"> </w:t>
          </w:r>
          <w:r w:rsidR="00D15D79" w:rsidRPr="00AE52F9">
            <w:rPr>
              <w:rFonts w:eastAsia="MS Mincho"/>
              <w:color w:val="000000"/>
              <w:szCs w:val="24"/>
              <w:bdr w:val="none" w:sz="0" w:space="0" w:color="auto" w:frame="1"/>
              <w:shd w:val="clear" w:color="auto" w:fill="FFFFFF"/>
              <w:lang w:val="sq-AL"/>
            </w:rPr>
            <w:t xml:space="preserve">Pezullimi i ligjit nr.77/2022 nga Gjykata Kushtetuese, solli si rrjedhojë pezullimin e plotë të procesit të kompensimit të pronave edhe për çështje që nuk ishin objekt i ankimit të depozituar nga pala kërkuese. </w:t>
          </w:r>
          <w:r w:rsidR="00D15D79">
            <w:rPr>
              <w:rFonts w:eastAsia="MS Mincho"/>
              <w:color w:val="000000"/>
              <w:szCs w:val="24"/>
              <w:bdr w:val="none" w:sz="0" w:space="0" w:color="auto" w:frame="1"/>
              <w:shd w:val="clear" w:color="auto" w:fill="FFFFFF"/>
              <w:lang w:val="sq-AL"/>
            </w:rPr>
            <w:t xml:space="preserve"> </w:t>
          </w:r>
          <w:r w:rsidR="00D82041">
            <w:rPr>
              <w:rFonts w:eastAsia="MS Mincho"/>
              <w:b/>
              <w:color w:val="000000"/>
              <w:szCs w:val="24"/>
              <w:bdr w:val="none" w:sz="0" w:space="0" w:color="auto" w:frame="1"/>
              <w:shd w:val="clear" w:color="auto" w:fill="FFFFFF"/>
              <w:lang w:val="sq-AL"/>
            </w:rPr>
            <w:t xml:space="preserve">6. </w:t>
          </w:r>
          <w:r w:rsidR="00D15D79" w:rsidRPr="00AE52F9">
            <w:rPr>
              <w:szCs w:val="24"/>
              <w:lang w:val="sq-AL"/>
            </w:rPr>
            <w:t xml:space="preserve">Përgjatë periudhës Mars - Qershor 2024, referuar përcaktimeve të nenit 26 të </w:t>
          </w:r>
          <w:r w:rsidR="00D15D79">
            <w:rPr>
              <w:szCs w:val="24"/>
              <w:lang w:val="sq-AL"/>
            </w:rPr>
            <w:t>l</w:t>
          </w:r>
          <w:r w:rsidR="00D15D79" w:rsidRPr="00AE52F9">
            <w:rPr>
              <w:szCs w:val="24"/>
              <w:lang w:val="sq-AL"/>
            </w:rPr>
            <w:t xml:space="preserve">igjit </w:t>
          </w:r>
          <w:r w:rsidR="00D15D79">
            <w:rPr>
              <w:szCs w:val="24"/>
              <w:lang w:val="sq-AL"/>
            </w:rPr>
            <w:t>nr.</w:t>
          </w:r>
          <w:r w:rsidR="00D15D79" w:rsidRPr="00AE52F9">
            <w:rPr>
              <w:szCs w:val="24"/>
              <w:lang w:val="sq-AL"/>
            </w:rPr>
            <w:t xml:space="preserve">133/2015 dhe të </w:t>
          </w:r>
          <w:r w:rsidR="00D15D79">
            <w:rPr>
              <w:szCs w:val="24"/>
              <w:lang w:val="sq-AL"/>
            </w:rPr>
            <w:t>p</w:t>
          </w:r>
          <w:r w:rsidR="00D15D79" w:rsidRPr="00AE52F9">
            <w:rPr>
              <w:szCs w:val="24"/>
              <w:lang w:val="sq-AL"/>
            </w:rPr>
            <w:t xml:space="preserve">ikës </w:t>
          </w:r>
          <w:r w:rsidR="00D15D79" w:rsidRPr="00AE52F9">
            <w:rPr>
              <w:szCs w:val="24"/>
              <w:lang w:val="sq-AL"/>
            </w:rPr>
            <w:lastRenderedPageBreak/>
            <w:t xml:space="preserve">10 të VKM-së </w:t>
          </w:r>
          <w:r w:rsidR="00D15D79">
            <w:rPr>
              <w:szCs w:val="24"/>
              <w:lang w:val="sq-AL"/>
            </w:rPr>
            <w:t>n</w:t>
          </w:r>
          <w:r w:rsidR="00D15D79" w:rsidRPr="00AE52F9">
            <w:rPr>
              <w:szCs w:val="24"/>
              <w:lang w:val="sq-AL"/>
            </w:rPr>
            <w:t xml:space="preserve">r.221, datë 23.03.2016 </w:t>
          </w:r>
          <w:r w:rsidR="00D15D79" w:rsidRPr="000C1C65">
            <w:rPr>
              <w:iCs/>
              <w:szCs w:val="24"/>
              <w:lang w:val="sq-AL"/>
            </w:rPr>
            <w:t>“Për organizimin dhe funksionimin e Agjencisë së Trajtimit të Pronave”,</w:t>
          </w:r>
          <w:r w:rsidR="00D15D79" w:rsidRPr="00C53554">
            <w:rPr>
              <w:szCs w:val="24"/>
              <w:lang w:val="sq-AL"/>
            </w:rPr>
            <w:t xml:space="preserve"> ATP nuk dispononte kompetenca</w:t>
          </w:r>
          <w:r w:rsidR="00D15D79" w:rsidRPr="00AE52F9">
            <w:rPr>
              <w:szCs w:val="24"/>
              <w:lang w:val="sq-AL"/>
            </w:rPr>
            <w:t xml:space="preserve"> vendimmarrëse. Me</w:t>
          </w:r>
          <w:r w:rsidR="00D15D79">
            <w:rPr>
              <w:szCs w:val="24"/>
              <w:lang w:val="sq-AL"/>
            </w:rPr>
            <w:t xml:space="preserve"> </w:t>
          </w:r>
          <w:r w:rsidR="00D15D79" w:rsidRPr="00AE52F9">
            <w:rPr>
              <w:szCs w:val="24"/>
              <w:lang w:val="sq-AL"/>
            </w:rPr>
            <w:t>emër</w:t>
          </w:r>
          <w:r w:rsidR="00D15D79">
            <w:rPr>
              <w:szCs w:val="24"/>
              <w:lang w:val="sq-AL"/>
            </w:rPr>
            <w:t>imin</w:t>
          </w:r>
          <w:r w:rsidR="00D15D79" w:rsidRPr="00AE52F9">
            <w:rPr>
              <w:szCs w:val="24"/>
              <w:lang w:val="sq-AL"/>
            </w:rPr>
            <w:t xml:space="preserve"> në detyrë </w:t>
          </w:r>
          <w:r w:rsidR="00D15D79">
            <w:rPr>
              <w:szCs w:val="24"/>
              <w:lang w:val="sq-AL"/>
            </w:rPr>
            <w:t xml:space="preserve">të </w:t>
          </w:r>
          <w:r w:rsidR="00D15D79" w:rsidRPr="00AE52F9">
            <w:rPr>
              <w:szCs w:val="24"/>
              <w:lang w:val="sq-AL"/>
            </w:rPr>
            <w:t>Drejtori</w:t>
          </w:r>
          <w:r w:rsidR="00D15D79">
            <w:rPr>
              <w:szCs w:val="24"/>
              <w:lang w:val="sq-AL"/>
            </w:rPr>
            <w:t xml:space="preserve">t të </w:t>
          </w:r>
          <w:r w:rsidR="00D15D79" w:rsidRPr="00AE52F9">
            <w:rPr>
              <w:szCs w:val="24"/>
              <w:lang w:val="sq-AL"/>
            </w:rPr>
            <w:t>ATP-së</w:t>
          </w:r>
          <w:r w:rsidR="00D15D79">
            <w:rPr>
              <w:szCs w:val="24"/>
              <w:lang w:val="sq-AL"/>
            </w:rPr>
            <w:t xml:space="preserve">, </w:t>
          </w:r>
          <w:r w:rsidR="00D15D79" w:rsidRPr="00AE52F9">
            <w:rPr>
              <w:szCs w:val="24"/>
              <w:lang w:val="sq-AL"/>
            </w:rPr>
            <w:t>rifill</w:t>
          </w:r>
          <w:r w:rsidR="00D15D79">
            <w:rPr>
              <w:szCs w:val="24"/>
              <w:lang w:val="sq-AL"/>
            </w:rPr>
            <w:t>oi</w:t>
          </w:r>
          <w:r w:rsidR="00D15D79" w:rsidRPr="00AE52F9">
            <w:rPr>
              <w:szCs w:val="24"/>
              <w:lang w:val="sq-AL"/>
            </w:rPr>
            <w:t xml:space="preserve"> veprimtari</w:t>
          </w:r>
          <w:r w:rsidR="00D15D79">
            <w:rPr>
              <w:szCs w:val="24"/>
              <w:lang w:val="sq-AL"/>
            </w:rPr>
            <w:t>në</w:t>
          </w:r>
          <w:r w:rsidR="00D15D79" w:rsidRPr="00AE52F9">
            <w:rPr>
              <w:szCs w:val="24"/>
              <w:lang w:val="sq-AL"/>
            </w:rPr>
            <w:t xml:space="preserve"> </w:t>
          </w:r>
          <w:r w:rsidR="00D15D79">
            <w:rPr>
              <w:szCs w:val="24"/>
              <w:lang w:val="sq-AL"/>
            </w:rPr>
            <w:t>A</w:t>
          </w:r>
          <w:r w:rsidR="00D15D79" w:rsidRPr="00AE52F9">
            <w:rPr>
              <w:szCs w:val="24"/>
              <w:lang w:val="sq-AL"/>
            </w:rPr>
            <w:t>gjenci</w:t>
          </w:r>
          <w:r w:rsidR="00D15D79">
            <w:rPr>
              <w:szCs w:val="24"/>
              <w:lang w:val="sq-AL"/>
            </w:rPr>
            <w:t>a</w:t>
          </w:r>
          <w:r w:rsidR="00D15D79" w:rsidRPr="00AE52F9">
            <w:rPr>
              <w:szCs w:val="24"/>
              <w:lang w:val="sq-AL"/>
            </w:rPr>
            <w:t>. Që prej qershorit, ATP ka ekzekutuar 13 vendime për kompensim financiar/fizik dhe 22 vendime për njohje pronësie.</w:t>
          </w:r>
          <w:r w:rsidR="00D15D79">
            <w:rPr>
              <w:szCs w:val="24"/>
              <w:lang w:val="sq-AL"/>
            </w:rPr>
            <w:t xml:space="preserve">  </w:t>
          </w:r>
          <w:r w:rsidR="00D15D79" w:rsidRPr="000C1C65">
            <w:rPr>
              <w:b/>
              <w:szCs w:val="24"/>
            </w:rPr>
            <w:t>Faktorë të brendshëm</w:t>
          </w:r>
          <w:r w:rsidR="00D82041">
            <w:rPr>
              <w:b/>
              <w:szCs w:val="24"/>
            </w:rPr>
            <w:t>:</w:t>
          </w:r>
          <w:r w:rsidR="00D15D79">
            <w:rPr>
              <w:b/>
              <w:szCs w:val="24"/>
            </w:rPr>
            <w:t xml:space="preserve"> </w:t>
          </w:r>
          <w:r w:rsidR="007C4F98">
            <w:rPr>
              <w:szCs w:val="24"/>
              <w:lang w:val="sq-AL"/>
            </w:rPr>
            <w:t>N</w:t>
          </w:r>
          <w:r w:rsidR="00D15D79" w:rsidRPr="00AE52F9">
            <w:rPr>
              <w:szCs w:val="24"/>
              <w:lang w:val="sq-AL"/>
            </w:rPr>
            <w:t>ga analiza e burimeve aktuale, evidentohet një numër i pamjaftueshëm i burimeve në raport me numrin e dosjeve për t’u shqyrtuar, pa marrë këtu parasysh vakancat që mund të krijohen. Veç kësaj, nga analiza e punës së kryer nga kjo drejtori, është raportuar një efiçencë në punë deri në masën 60% të burimeve që do të thotë se aktualisht, më pak se 60% e burimeve mund t’i përmbahen parametrave të mësipërm. Kjo situat</w:t>
          </w:r>
          <w:r w:rsidR="00D15D79">
            <w:rPr>
              <w:szCs w:val="24"/>
              <w:lang w:val="sq-AL"/>
            </w:rPr>
            <w:t>ë</w:t>
          </w:r>
          <w:r w:rsidR="00D15D79" w:rsidRPr="00AE52F9">
            <w:rPr>
              <w:szCs w:val="24"/>
              <w:lang w:val="sq-AL"/>
            </w:rPr>
            <w:t>, ndër të tjera, ka çuar në ndarjen disproporcionale të punës nga 200 dosje në 700 dosje për inspektor/jurist me eksperiencë, duke sjellë rënie të produktivitetit edhe për këta të fundit. Kjo do të thotë se, deri në përfundimin e afatit ligjor me datë 31.12.2024, ATP mund të trajtojë me vendim edhe rreth 600 dosje/praktika të tjera.</w:t>
          </w:r>
          <w:r w:rsidR="00D15D79">
            <w:rPr>
              <w:szCs w:val="24"/>
              <w:lang w:val="sq-AL"/>
            </w:rPr>
            <w:t xml:space="preserve"> </w:t>
          </w:r>
          <w:r w:rsidR="1044839F" w:rsidRPr="00FB3897">
            <w:rPr>
              <w:rFonts w:eastAsiaTheme="majorEastAsia"/>
              <w:b/>
              <w:bCs/>
              <w:lang w:val="sq-AL"/>
            </w:rPr>
            <w:t>Grupet e prekura:</w:t>
          </w:r>
          <w:r w:rsidR="1044839F" w:rsidRPr="00FB3897">
            <w:rPr>
              <w:rFonts w:eastAsiaTheme="majorEastAsia"/>
              <w:lang w:val="sq-AL"/>
            </w:rPr>
            <w:t xml:space="preserve"> </w:t>
          </w:r>
          <w:r w:rsidR="00F53461" w:rsidRPr="1044839F">
            <w:rPr>
              <w:i/>
              <w:iCs/>
              <w:u w:val="single"/>
              <w:lang w:val="sq-AL" w:bidi="en-US"/>
            </w:rPr>
            <w:t>Qytetarët</w:t>
          </w:r>
          <w:r w:rsidR="00F53461">
            <w:rPr>
              <w:i/>
              <w:iCs/>
              <w:u w:val="single"/>
              <w:lang w:val="sq-AL" w:bidi="en-US"/>
            </w:rPr>
            <w:t xml:space="preserve"> –</w:t>
          </w:r>
          <w:r w:rsidR="00F53461">
            <w:rPr>
              <w:lang w:val="sq-AL" w:bidi="en-US"/>
            </w:rPr>
            <w:t xml:space="preserve"> mbi te cilët ka nje ndikim pozitiv, duke qene se </w:t>
          </w:r>
          <w:r w:rsidR="002E61B7">
            <w:rPr>
              <w:lang w:val="sq-AL" w:bidi="en-US"/>
            </w:rPr>
            <w:t>i mund</w:t>
          </w:r>
          <w:r w:rsidR="00EF5666">
            <w:rPr>
              <w:lang w:val="sq-AL" w:bidi="en-US"/>
            </w:rPr>
            <w:t>ë</w:t>
          </w:r>
          <w:r w:rsidR="002E61B7">
            <w:rPr>
              <w:lang w:val="sq-AL" w:bidi="en-US"/>
            </w:rPr>
            <w:t>son vijimin e shqyrtimit t</w:t>
          </w:r>
          <w:r w:rsidR="00EF5666">
            <w:rPr>
              <w:lang w:val="sq-AL" w:bidi="en-US"/>
            </w:rPr>
            <w:t>ë</w:t>
          </w:r>
          <w:r w:rsidR="002E61B7">
            <w:rPr>
              <w:lang w:val="sq-AL" w:bidi="en-US"/>
            </w:rPr>
            <w:t xml:space="preserve"> dosjes në rrug</w:t>
          </w:r>
          <w:r w:rsidR="00EF5666">
            <w:rPr>
              <w:lang w:val="sq-AL" w:bidi="en-US"/>
            </w:rPr>
            <w:t>ë</w:t>
          </w:r>
          <w:r w:rsidR="002E61B7">
            <w:rPr>
              <w:lang w:val="sq-AL" w:bidi="en-US"/>
            </w:rPr>
            <w:t xml:space="preserve"> administrative nga Agjencia e Trajtimit t</w:t>
          </w:r>
          <w:r w:rsidR="00EF5666">
            <w:rPr>
              <w:lang w:val="sq-AL" w:bidi="en-US"/>
            </w:rPr>
            <w:t>ë</w:t>
          </w:r>
          <w:r w:rsidR="002E61B7">
            <w:rPr>
              <w:lang w:val="sq-AL" w:bidi="en-US"/>
            </w:rPr>
            <w:t xml:space="preserve"> Pron</w:t>
          </w:r>
          <w:r w:rsidR="00EF5666">
            <w:rPr>
              <w:lang w:val="sq-AL" w:bidi="en-US"/>
            </w:rPr>
            <w:t>ë</w:t>
          </w:r>
          <w:r w:rsidR="002E61B7">
            <w:rPr>
              <w:lang w:val="sq-AL" w:bidi="en-US"/>
            </w:rPr>
            <w:t>s në koh</w:t>
          </w:r>
          <w:r w:rsidR="00EF5666">
            <w:rPr>
              <w:lang w:val="sq-AL" w:bidi="en-US"/>
            </w:rPr>
            <w:t>ë</w:t>
          </w:r>
          <w:r w:rsidR="002E61B7">
            <w:rPr>
              <w:lang w:val="sq-AL" w:bidi="en-US"/>
            </w:rPr>
            <w:t xml:space="preserve"> m</w:t>
          </w:r>
          <w:r w:rsidR="00EF5666">
            <w:rPr>
              <w:lang w:val="sq-AL" w:bidi="en-US"/>
            </w:rPr>
            <w:t>ë</w:t>
          </w:r>
          <w:r w:rsidR="002E61B7">
            <w:rPr>
              <w:lang w:val="sq-AL" w:bidi="en-US"/>
            </w:rPr>
            <w:t xml:space="preserve"> t</w:t>
          </w:r>
          <w:r w:rsidR="00EF5666">
            <w:rPr>
              <w:lang w:val="sq-AL" w:bidi="en-US"/>
            </w:rPr>
            <w:t>ë</w:t>
          </w:r>
          <w:r w:rsidR="002E61B7">
            <w:rPr>
              <w:lang w:val="sq-AL" w:bidi="en-US"/>
            </w:rPr>
            <w:t xml:space="preserve"> shkurt</w:t>
          </w:r>
          <w:r w:rsidR="00EF5666">
            <w:rPr>
              <w:lang w:val="sq-AL" w:bidi="en-US"/>
            </w:rPr>
            <w:t>ë</w:t>
          </w:r>
          <w:r w:rsidR="002E61B7">
            <w:rPr>
              <w:lang w:val="sq-AL" w:bidi="en-US"/>
            </w:rPr>
            <w:t>r dhe me kosto shum</w:t>
          </w:r>
          <w:r w:rsidR="00EF5666">
            <w:rPr>
              <w:lang w:val="sq-AL" w:bidi="en-US"/>
            </w:rPr>
            <w:t>ë</w:t>
          </w:r>
          <w:r w:rsidR="002E61B7">
            <w:rPr>
              <w:lang w:val="sq-AL" w:bidi="en-US"/>
            </w:rPr>
            <w:t xml:space="preserve"> m</w:t>
          </w:r>
          <w:r w:rsidR="00EF5666">
            <w:rPr>
              <w:lang w:val="sq-AL" w:bidi="en-US"/>
            </w:rPr>
            <w:t>ë</w:t>
          </w:r>
          <w:r w:rsidR="002E61B7">
            <w:rPr>
              <w:lang w:val="sq-AL" w:bidi="en-US"/>
            </w:rPr>
            <w:t xml:space="preserve"> t</w:t>
          </w:r>
          <w:r w:rsidR="00EF5666">
            <w:rPr>
              <w:lang w:val="sq-AL" w:bidi="en-US"/>
            </w:rPr>
            <w:t>ë</w:t>
          </w:r>
          <w:r w:rsidR="002E61B7">
            <w:rPr>
              <w:lang w:val="sq-AL" w:bidi="en-US"/>
            </w:rPr>
            <w:t xml:space="preserve"> ul</w:t>
          </w:r>
          <w:r w:rsidR="00EF5666">
            <w:rPr>
              <w:lang w:val="sq-AL" w:bidi="en-US"/>
            </w:rPr>
            <w:t>ë</w:t>
          </w:r>
          <w:r w:rsidR="002E61B7">
            <w:rPr>
              <w:lang w:val="sq-AL" w:bidi="en-US"/>
            </w:rPr>
            <w:t>t se juridiksioni gjyq</w:t>
          </w:r>
          <w:r w:rsidR="00EF5666">
            <w:rPr>
              <w:lang w:val="sq-AL" w:bidi="en-US"/>
            </w:rPr>
            <w:t>ë</w:t>
          </w:r>
          <w:r w:rsidR="002E61B7">
            <w:rPr>
              <w:lang w:val="sq-AL" w:bidi="en-US"/>
            </w:rPr>
            <w:t>sor.</w:t>
          </w:r>
          <w:r w:rsidR="00F53461">
            <w:rPr>
              <w:lang w:val="sq-AL" w:bidi="en-US"/>
            </w:rPr>
            <w:t xml:space="preserve">   </w:t>
          </w:r>
          <w:r w:rsidR="00F53461" w:rsidRPr="1044839F">
            <w:rPr>
              <w:i/>
              <w:iCs/>
              <w:u w:val="single"/>
              <w:lang w:val="sq-AL" w:bidi="en-US"/>
            </w:rPr>
            <w:t>Qeveria –</w:t>
          </w:r>
          <w:r w:rsidR="00F53461" w:rsidRPr="1044839F">
            <w:rPr>
              <w:lang w:val="sq-AL" w:bidi="en-US"/>
            </w:rPr>
            <w:t xml:space="preserve"> Kjo ndërhyrje i mundëson qeverisë përshpejtimin e përfundimit të procesit të kompensimit të pronave përmes një procesi transparent dhe efektiv, në përputhje </w:t>
          </w:r>
          <w:r w:rsidR="00F53461">
            <w:rPr>
              <w:lang w:val="sq-AL" w:bidi="en-US"/>
            </w:rPr>
            <w:t xml:space="preserve">me afatet kohore te vendosura </w:t>
          </w:r>
          <w:r w:rsidR="00F53461" w:rsidRPr="1044839F">
            <w:rPr>
              <w:lang w:val="sq-AL" w:bidi="en-US"/>
            </w:rPr>
            <w:t xml:space="preserve">edhe me kërkesat dhe detyrimet që ka ndërmarrë Shqipëria ndërkombëtarisht. </w:t>
          </w:r>
          <w:r w:rsidR="00F53461" w:rsidRPr="1044839F">
            <w:rPr>
              <w:i/>
              <w:iCs/>
              <w:u w:val="single"/>
              <w:lang w:val="sq-AL" w:bidi="en-US"/>
            </w:rPr>
            <w:t>Organizata jofitimprurëse, shoqëria civile -</w:t>
          </w:r>
          <w:r w:rsidR="00F53461" w:rsidRPr="1044839F">
            <w:rPr>
              <w:lang w:val="sq-AL" w:bidi="en-US"/>
            </w:rPr>
            <w:t xml:space="preserve"> </w:t>
          </w:r>
          <w:r w:rsidR="1044839F" w:rsidRPr="1044839F">
            <w:rPr>
              <w:lang w:val="sq-AL" w:bidi="en-US"/>
            </w:rPr>
            <w:t xml:space="preserve">  Kjo ndërhyrje reflekton kërkesat e organizatave që kanë si objekt të veprimtarisë mbrojtjen e të drejtës së pronës për subjektet që kanë humbur pronat e tyre gjatë regjimit të mëparshëm, lidhur me </w:t>
          </w:r>
          <w:r w:rsidR="002E61B7">
            <w:rPr>
              <w:lang w:val="sq-AL" w:bidi="en-US"/>
            </w:rPr>
            <w:t>shtyrjen e afateve t</w:t>
          </w:r>
          <w:r w:rsidR="00EF5666">
            <w:rPr>
              <w:lang w:val="sq-AL" w:bidi="en-US"/>
            </w:rPr>
            <w:t>ë</w:t>
          </w:r>
          <w:r w:rsidR="002E61B7">
            <w:rPr>
              <w:lang w:val="sq-AL" w:bidi="en-US"/>
            </w:rPr>
            <w:t xml:space="preserve"> parashikuara nga ligji nr.133/2015, i ndryshuar.</w:t>
          </w:r>
          <w:r w:rsidR="1044839F" w:rsidRPr="1044839F">
            <w:rPr>
              <w:lang w:val="sq-AL" w:bidi="en-US"/>
            </w:rPr>
            <w:t xml:space="preserve"> </w:t>
          </w:r>
        </w:sdtContent>
      </w:sdt>
      <w:r w:rsidR="1044839F" w:rsidRPr="00FB3897">
        <w:rPr>
          <w:rFonts w:eastAsiaTheme="majorEastAsia"/>
          <w:lang w:val="sq-AL"/>
        </w:rPr>
        <w:t xml:space="preserve"> </w:t>
      </w:r>
    </w:p>
    <w:p w14:paraId="4380A982" w14:textId="77777777" w:rsidR="00563378" w:rsidRPr="00563378" w:rsidRDefault="1044839F" w:rsidP="00563378">
      <w:pPr>
        <w:pStyle w:val="Heading1"/>
        <w:spacing w:line="276" w:lineRule="auto"/>
        <w:rPr>
          <w:rFonts w:ascii="Times New Roman" w:hAnsi="Times New Roman" w:cs="Times New Roman"/>
          <w:sz w:val="24"/>
          <w:szCs w:val="24"/>
          <w:lang w:val="sq-AL"/>
        </w:rPr>
      </w:pPr>
      <w:r w:rsidRPr="1044839F">
        <w:rPr>
          <w:rFonts w:ascii="Times New Roman" w:hAnsi="Times New Roman" w:cs="Times New Roman"/>
          <w:sz w:val="24"/>
          <w:szCs w:val="24"/>
          <w:lang w:val="sq-AL"/>
        </w:rPr>
        <w:t xml:space="preserve">Arsyeja e ndërhyrjes </w:t>
      </w:r>
      <w:bookmarkEnd w:id="13"/>
    </w:p>
    <w:sdt>
      <w:sdtPr>
        <w:id w:val="-1161541828"/>
        <w:lock w:val="contentLocked"/>
        <w:placeholder>
          <w:docPart w:val="DefaultPlaceholder_1081868574"/>
        </w:placeholder>
      </w:sdtPr>
      <w:sdtEndPr>
        <w:rPr>
          <w:sz w:val="24"/>
          <w:szCs w:val="24"/>
        </w:rPr>
      </w:sdtEndPr>
      <w:sdtContent>
        <w:p w14:paraId="39F3A66F" w14:textId="77777777" w:rsidR="00372979" w:rsidRPr="00372979" w:rsidRDefault="00372979">
          <w:pPr>
            <w:pStyle w:val="ListParagraph"/>
            <w:numPr>
              <w:ilvl w:val="0"/>
              <w:numId w:val="6"/>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14:paraId="5344D1BB" w14:textId="77777777" w:rsidR="00372979" w:rsidRPr="00372979" w:rsidRDefault="00372979">
          <w:pPr>
            <w:pStyle w:val="ListParagraph"/>
            <w:numPr>
              <w:ilvl w:val="0"/>
              <w:numId w:val="6"/>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14:paraId="122ED1DF" w14:textId="77777777" w:rsidR="00372979" w:rsidRPr="00372979" w:rsidRDefault="00372979">
          <w:pPr>
            <w:pStyle w:val="ListParagraph"/>
            <w:numPr>
              <w:ilvl w:val="0"/>
              <w:numId w:val="6"/>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14:paraId="293610CF" w14:textId="77777777" w:rsidR="009E64A4" w:rsidRPr="00372979" w:rsidRDefault="00372979">
          <w:pPr>
            <w:pStyle w:val="ListParagraph"/>
            <w:numPr>
              <w:ilvl w:val="0"/>
              <w:numId w:val="6"/>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sdtContent>
    </w:sdt>
    <w:bookmarkStart w:id="14" w:name="_Toc506919735"/>
    <w:p w14:paraId="1A2FA2E7" w14:textId="47758B58" w:rsidR="001C7EB3" w:rsidRPr="00FB3897" w:rsidRDefault="00BD42D9" w:rsidP="00CF2ADA">
      <w:pPr>
        <w:spacing w:before="240"/>
        <w:jc w:val="both"/>
        <w:rPr>
          <w:lang w:val="sq-AL"/>
        </w:rPr>
      </w:pPr>
      <w:sdt>
        <w:sdtPr>
          <w:rPr>
            <w:rFonts w:eastAsiaTheme="majorEastAsia"/>
          </w:rPr>
          <w:id w:val="-1918160353"/>
          <w:placeholder>
            <w:docPart w:val="CACB70A1168B411595FAC6FC6BEBF98B"/>
          </w:placeholder>
        </w:sdtPr>
        <w:sdtEndPr/>
        <w:sdtContent>
          <w:r w:rsidR="000E4454" w:rsidRPr="008A37B2">
            <w:rPr>
              <w:szCs w:val="24"/>
              <w:lang w:val="sq-AL"/>
            </w:rPr>
            <w:t>Qeveria planifikon të ndërhyjë me qëllim</w:t>
          </w:r>
          <w:r w:rsidR="002E61B7">
            <w:rPr>
              <w:szCs w:val="24"/>
              <w:lang w:val="sq-AL"/>
            </w:rPr>
            <w:t xml:space="preserve"> shtyrjen e afatit t</w:t>
          </w:r>
          <w:r w:rsidR="00EF5666">
            <w:rPr>
              <w:szCs w:val="24"/>
              <w:lang w:val="sq-AL"/>
            </w:rPr>
            <w:t>ë</w:t>
          </w:r>
          <w:r w:rsidR="002E61B7">
            <w:rPr>
              <w:szCs w:val="24"/>
              <w:lang w:val="sq-AL"/>
            </w:rPr>
            <w:t xml:space="preserve"> shqyrtimit t</w:t>
          </w:r>
          <w:r w:rsidR="00EF5666">
            <w:rPr>
              <w:szCs w:val="24"/>
              <w:lang w:val="sq-AL"/>
            </w:rPr>
            <w:t>ë</w:t>
          </w:r>
          <w:r w:rsidR="002E61B7">
            <w:rPr>
              <w:szCs w:val="24"/>
              <w:lang w:val="sq-AL"/>
            </w:rPr>
            <w:t xml:space="preserve"> dosjeve dhe vler</w:t>
          </w:r>
          <w:r w:rsidR="00EF5666">
            <w:rPr>
              <w:szCs w:val="24"/>
              <w:lang w:val="sq-AL"/>
            </w:rPr>
            <w:t>ë</w:t>
          </w:r>
          <w:r w:rsidR="002E61B7">
            <w:rPr>
              <w:szCs w:val="24"/>
              <w:lang w:val="sq-AL"/>
            </w:rPr>
            <w:t>simit financiar t</w:t>
          </w:r>
          <w:r w:rsidR="00EF5666">
            <w:rPr>
              <w:szCs w:val="24"/>
              <w:lang w:val="sq-AL"/>
            </w:rPr>
            <w:t>ë</w:t>
          </w:r>
          <w:r w:rsidR="002E61B7">
            <w:rPr>
              <w:szCs w:val="24"/>
              <w:lang w:val="sq-AL"/>
            </w:rPr>
            <w:t xml:space="preserve"> vendimeve në rrug</w:t>
          </w:r>
          <w:r w:rsidR="00EF5666">
            <w:rPr>
              <w:szCs w:val="24"/>
              <w:lang w:val="sq-AL"/>
            </w:rPr>
            <w:t>ë</w:t>
          </w:r>
          <w:r w:rsidR="002E61B7">
            <w:rPr>
              <w:szCs w:val="24"/>
              <w:lang w:val="sq-AL"/>
            </w:rPr>
            <w:t xml:space="preserve"> administrative nga ana e ATP-s</w:t>
          </w:r>
          <w:r w:rsidR="00EF5666">
            <w:rPr>
              <w:szCs w:val="24"/>
              <w:lang w:val="sq-AL"/>
            </w:rPr>
            <w:t>ë</w:t>
          </w:r>
          <w:r w:rsidR="002E61B7">
            <w:rPr>
              <w:szCs w:val="24"/>
              <w:lang w:val="sq-AL"/>
            </w:rPr>
            <w:t>. Ky shqyrtim mund</w:t>
          </w:r>
          <w:r w:rsidR="00EF5666">
            <w:rPr>
              <w:szCs w:val="24"/>
              <w:lang w:val="sq-AL"/>
            </w:rPr>
            <w:t>ë</w:t>
          </w:r>
          <w:r w:rsidR="002E61B7">
            <w:rPr>
              <w:szCs w:val="24"/>
              <w:lang w:val="sq-AL"/>
            </w:rPr>
            <w:t xml:space="preserve">son </w:t>
          </w:r>
          <w:r w:rsidR="001866C3">
            <w:rPr>
              <w:szCs w:val="24"/>
              <w:lang w:val="sq-AL"/>
            </w:rPr>
            <w:t>zgjidhjen p</w:t>
          </w:r>
          <w:r w:rsidR="00EF5666">
            <w:rPr>
              <w:szCs w:val="24"/>
              <w:lang w:val="sq-AL"/>
            </w:rPr>
            <w:t>ë</w:t>
          </w:r>
          <w:r w:rsidR="001866C3">
            <w:rPr>
              <w:szCs w:val="24"/>
              <w:lang w:val="sq-AL"/>
            </w:rPr>
            <w:t>rfundimtare t</w:t>
          </w:r>
          <w:r w:rsidR="00EF5666">
            <w:rPr>
              <w:szCs w:val="24"/>
              <w:lang w:val="sq-AL"/>
            </w:rPr>
            <w:t>ë</w:t>
          </w:r>
          <w:r w:rsidR="001866C3">
            <w:rPr>
              <w:szCs w:val="24"/>
              <w:lang w:val="sq-AL"/>
            </w:rPr>
            <w:t xml:space="preserve"> problematikave lidhur me procesin e kompensimit t</w:t>
          </w:r>
          <w:r w:rsidR="00EF5666">
            <w:rPr>
              <w:szCs w:val="24"/>
              <w:lang w:val="sq-AL"/>
            </w:rPr>
            <w:t>ë</w:t>
          </w:r>
          <w:r w:rsidR="001866C3">
            <w:rPr>
              <w:szCs w:val="24"/>
              <w:lang w:val="sq-AL"/>
            </w:rPr>
            <w:t xml:space="preserve"> pronave dhe p</w:t>
          </w:r>
          <w:r w:rsidR="00EF5666">
            <w:rPr>
              <w:szCs w:val="24"/>
              <w:lang w:val="sq-AL"/>
            </w:rPr>
            <w:t>ë</w:t>
          </w:r>
          <w:r w:rsidR="001866C3">
            <w:rPr>
              <w:szCs w:val="24"/>
              <w:lang w:val="sq-AL"/>
            </w:rPr>
            <w:t>rfundimin e tij brenda afateve objektive dhe t</w:t>
          </w:r>
          <w:r w:rsidR="00EF5666">
            <w:rPr>
              <w:szCs w:val="24"/>
              <w:lang w:val="sq-AL"/>
            </w:rPr>
            <w:t>ë</w:t>
          </w:r>
          <w:r w:rsidR="001866C3">
            <w:rPr>
              <w:szCs w:val="24"/>
              <w:lang w:val="sq-AL"/>
            </w:rPr>
            <w:t xml:space="preserve"> mundshme p</w:t>
          </w:r>
          <w:r w:rsidR="00EF5666">
            <w:rPr>
              <w:szCs w:val="24"/>
              <w:lang w:val="sq-AL"/>
            </w:rPr>
            <w:t>ë</w:t>
          </w:r>
          <w:r w:rsidR="001866C3">
            <w:rPr>
              <w:szCs w:val="24"/>
              <w:lang w:val="sq-AL"/>
            </w:rPr>
            <w:t>r t’u realizuar bazuar në nj</w:t>
          </w:r>
          <w:r w:rsidR="00EF5666">
            <w:rPr>
              <w:szCs w:val="24"/>
              <w:lang w:val="sq-AL"/>
            </w:rPr>
            <w:t>ë</w:t>
          </w:r>
          <w:r w:rsidR="001866C3">
            <w:rPr>
              <w:szCs w:val="24"/>
              <w:lang w:val="sq-AL"/>
            </w:rPr>
            <w:t xml:space="preserve"> anliz</w:t>
          </w:r>
          <w:r w:rsidR="00EF5666">
            <w:rPr>
              <w:szCs w:val="24"/>
              <w:lang w:val="sq-AL"/>
            </w:rPr>
            <w:t>ë</w:t>
          </w:r>
          <w:r w:rsidR="001866C3">
            <w:rPr>
              <w:szCs w:val="24"/>
              <w:lang w:val="sq-AL"/>
            </w:rPr>
            <w:t xml:space="preserve"> statistikore. Qeveria synon p</w:t>
          </w:r>
          <w:r w:rsidR="00EF5666">
            <w:rPr>
              <w:szCs w:val="24"/>
              <w:lang w:val="sq-AL"/>
            </w:rPr>
            <w:t>ë</w:t>
          </w:r>
          <w:r w:rsidR="001866C3">
            <w:rPr>
              <w:szCs w:val="24"/>
              <w:lang w:val="sq-AL"/>
            </w:rPr>
            <w:t>rmbylljen në nj</w:t>
          </w:r>
          <w:r w:rsidR="00EF5666">
            <w:rPr>
              <w:szCs w:val="24"/>
              <w:lang w:val="sq-AL"/>
            </w:rPr>
            <w:t>ë</w:t>
          </w:r>
          <w:r w:rsidR="001866C3">
            <w:rPr>
              <w:szCs w:val="24"/>
              <w:lang w:val="sq-AL"/>
            </w:rPr>
            <w:t xml:space="preserve"> koh</w:t>
          </w:r>
          <w:r w:rsidR="00EF5666">
            <w:rPr>
              <w:szCs w:val="24"/>
              <w:lang w:val="sq-AL"/>
            </w:rPr>
            <w:t>ë</w:t>
          </w:r>
          <w:r w:rsidR="001866C3">
            <w:rPr>
              <w:szCs w:val="24"/>
              <w:lang w:val="sq-AL"/>
            </w:rPr>
            <w:t xml:space="preserve"> sa m</w:t>
          </w:r>
          <w:r w:rsidR="00EF5666">
            <w:rPr>
              <w:szCs w:val="24"/>
              <w:lang w:val="sq-AL"/>
            </w:rPr>
            <w:t>ë</w:t>
          </w:r>
          <w:r w:rsidR="001866C3">
            <w:rPr>
              <w:szCs w:val="24"/>
              <w:lang w:val="sq-AL"/>
            </w:rPr>
            <w:t xml:space="preserve"> t</w:t>
          </w:r>
          <w:r w:rsidR="00EF5666">
            <w:rPr>
              <w:szCs w:val="24"/>
              <w:lang w:val="sq-AL"/>
            </w:rPr>
            <w:t>ë</w:t>
          </w:r>
          <w:r w:rsidR="001866C3">
            <w:rPr>
              <w:szCs w:val="24"/>
              <w:lang w:val="sq-AL"/>
            </w:rPr>
            <w:t xml:space="preserve"> shpejt</w:t>
          </w:r>
          <w:r w:rsidR="00EF5666">
            <w:rPr>
              <w:szCs w:val="24"/>
              <w:lang w:val="sq-AL"/>
            </w:rPr>
            <w:t>ë</w:t>
          </w:r>
          <w:r w:rsidR="001866C3">
            <w:rPr>
              <w:szCs w:val="24"/>
              <w:lang w:val="sq-AL"/>
            </w:rPr>
            <w:t xml:space="preserve"> t</w:t>
          </w:r>
          <w:r w:rsidR="00EF5666">
            <w:rPr>
              <w:szCs w:val="24"/>
              <w:lang w:val="sq-AL"/>
            </w:rPr>
            <w:t>ë</w:t>
          </w:r>
          <w:r w:rsidR="001866C3">
            <w:rPr>
              <w:szCs w:val="24"/>
              <w:lang w:val="sq-AL"/>
            </w:rPr>
            <w:t xml:space="preserve"> procesit t</w:t>
          </w:r>
          <w:r w:rsidR="00EF5666">
            <w:rPr>
              <w:szCs w:val="24"/>
              <w:lang w:val="sq-AL"/>
            </w:rPr>
            <w:t>ë</w:t>
          </w:r>
          <w:r w:rsidR="001866C3">
            <w:rPr>
              <w:szCs w:val="24"/>
              <w:lang w:val="sq-AL"/>
            </w:rPr>
            <w:t xml:space="preserve"> kompensimit t</w:t>
          </w:r>
          <w:r w:rsidR="00EF5666">
            <w:rPr>
              <w:szCs w:val="24"/>
              <w:lang w:val="sq-AL"/>
            </w:rPr>
            <w:t>ë</w:t>
          </w:r>
          <w:r w:rsidR="001866C3">
            <w:rPr>
              <w:szCs w:val="24"/>
              <w:lang w:val="sq-AL"/>
            </w:rPr>
            <w:t xml:space="preserve"> pronave, gj</w:t>
          </w:r>
          <w:r w:rsidR="00EF5666">
            <w:rPr>
              <w:szCs w:val="24"/>
              <w:lang w:val="sq-AL"/>
            </w:rPr>
            <w:t>ë</w:t>
          </w:r>
          <w:r w:rsidR="001866C3">
            <w:rPr>
              <w:szCs w:val="24"/>
              <w:lang w:val="sq-AL"/>
            </w:rPr>
            <w:t xml:space="preserve"> e cila mund t</w:t>
          </w:r>
          <w:r w:rsidR="00EF5666">
            <w:rPr>
              <w:szCs w:val="24"/>
              <w:lang w:val="sq-AL"/>
            </w:rPr>
            <w:t>ë</w:t>
          </w:r>
          <w:r w:rsidR="001866C3">
            <w:rPr>
              <w:szCs w:val="24"/>
              <w:lang w:val="sq-AL"/>
            </w:rPr>
            <w:t xml:space="preserve"> realizohet p</w:t>
          </w:r>
          <w:r w:rsidR="00EF5666">
            <w:rPr>
              <w:szCs w:val="24"/>
              <w:lang w:val="sq-AL"/>
            </w:rPr>
            <w:t>ë</w:t>
          </w:r>
          <w:r w:rsidR="001866C3">
            <w:rPr>
              <w:szCs w:val="24"/>
              <w:lang w:val="sq-AL"/>
            </w:rPr>
            <w:t>rmes politik</w:t>
          </w:r>
          <w:r w:rsidR="00EF5666">
            <w:rPr>
              <w:szCs w:val="24"/>
              <w:lang w:val="sq-AL"/>
            </w:rPr>
            <w:t>ë</w:t>
          </w:r>
          <w:r w:rsidR="001866C3">
            <w:rPr>
              <w:szCs w:val="24"/>
              <w:lang w:val="sq-AL"/>
            </w:rPr>
            <w:t>s s</w:t>
          </w:r>
          <w:r w:rsidR="00EF5666">
            <w:rPr>
              <w:szCs w:val="24"/>
              <w:lang w:val="sq-AL"/>
            </w:rPr>
            <w:t>ë</w:t>
          </w:r>
          <w:r w:rsidR="001866C3">
            <w:rPr>
              <w:szCs w:val="24"/>
              <w:lang w:val="sq-AL"/>
            </w:rPr>
            <w:t xml:space="preserve"> propozuar pasi juridiksioni administrativ mund</w:t>
          </w:r>
          <w:r w:rsidR="00EF5666">
            <w:rPr>
              <w:szCs w:val="24"/>
              <w:lang w:val="sq-AL"/>
            </w:rPr>
            <w:t>ë</w:t>
          </w:r>
          <w:r w:rsidR="001866C3">
            <w:rPr>
              <w:szCs w:val="24"/>
              <w:lang w:val="sq-AL"/>
            </w:rPr>
            <w:t>son shqyrtim në koh</w:t>
          </w:r>
          <w:r w:rsidR="00EF5666">
            <w:rPr>
              <w:szCs w:val="24"/>
              <w:lang w:val="sq-AL"/>
            </w:rPr>
            <w:t>ë</w:t>
          </w:r>
          <w:r w:rsidR="001866C3">
            <w:rPr>
              <w:szCs w:val="24"/>
              <w:lang w:val="sq-AL"/>
            </w:rPr>
            <w:t xml:space="preserve"> m</w:t>
          </w:r>
          <w:r w:rsidR="00EF5666">
            <w:rPr>
              <w:szCs w:val="24"/>
              <w:lang w:val="sq-AL"/>
            </w:rPr>
            <w:t>ë</w:t>
          </w:r>
          <w:r w:rsidR="001866C3">
            <w:rPr>
              <w:szCs w:val="24"/>
              <w:lang w:val="sq-AL"/>
            </w:rPr>
            <w:t xml:space="preserve"> t</w:t>
          </w:r>
          <w:r w:rsidR="00EF5666">
            <w:rPr>
              <w:szCs w:val="24"/>
              <w:lang w:val="sq-AL"/>
            </w:rPr>
            <w:t>ë</w:t>
          </w:r>
          <w:r w:rsidR="001866C3">
            <w:rPr>
              <w:szCs w:val="24"/>
              <w:lang w:val="sq-AL"/>
            </w:rPr>
            <w:t xml:space="preserve"> shkurt</w:t>
          </w:r>
          <w:r w:rsidR="00EF5666">
            <w:rPr>
              <w:szCs w:val="24"/>
              <w:lang w:val="sq-AL"/>
            </w:rPr>
            <w:t>ë</w:t>
          </w:r>
          <w:r w:rsidR="001866C3">
            <w:rPr>
              <w:szCs w:val="24"/>
              <w:lang w:val="sq-AL"/>
            </w:rPr>
            <w:t>r se ai gjyq</w:t>
          </w:r>
          <w:r w:rsidR="00EF5666">
            <w:rPr>
              <w:szCs w:val="24"/>
              <w:lang w:val="sq-AL"/>
            </w:rPr>
            <w:t>ë</w:t>
          </w:r>
          <w:r w:rsidR="001866C3">
            <w:rPr>
              <w:szCs w:val="24"/>
              <w:lang w:val="sq-AL"/>
            </w:rPr>
            <w:t>sor, duke pasur në konsiderat</w:t>
          </w:r>
          <w:r w:rsidR="00EF5666">
            <w:rPr>
              <w:szCs w:val="24"/>
              <w:lang w:val="sq-AL"/>
            </w:rPr>
            <w:t>ë</w:t>
          </w:r>
          <w:r w:rsidR="001866C3">
            <w:rPr>
              <w:szCs w:val="24"/>
              <w:lang w:val="sq-AL"/>
            </w:rPr>
            <w:t xml:space="preserve"> sfidat me t</w:t>
          </w:r>
          <w:r w:rsidR="00EF5666">
            <w:rPr>
              <w:szCs w:val="24"/>
              <w:lang w:val="sq-AL"/>
            </w:rPr>
            <w:t>ë</w:t>
          </w:r>
          <w:r w:rsidR="001866C3">
            <w:rPr>
              <w:szCs w:val="24"/>
              <w:lang w:val="sq-AL"/>
            </w:rPr>
            <w:t xml:space="preserve"> cilat p</w:t>
          </w:r>
          <w:r w:rsidR="00EF5666">
            <w:rPr>
              <w:szCs w:val="24"/>
              <w:lang w:val="sq-AL"/>
            </w:rPr>
            <w:t>ë</w:t>
          </w:r>
          <w:r w:rsidR="001866C3">
            <w:rPr>
              <w:szCs w:val="24"/>
              <w:lang w:val="sq-AL"/>
            </w:rPr>
            <w:t xml:space="preserve">rballet ai sot. </w:t>
          </w:r>
          <w:r w:rsidR="001866C3" w:rsidRPr="000C1C65">
            <w:rPr>
              <w:szCs w:val="24"/>
            </w:rPr>
            <w:t>Procesi për njohjen e së drejtës së pronësisë është një proces i përkohshëm me afat të përcaktuar në ligj, i cili ishte 3 vjet nga hyrja në fuqi e ligjit</w:t>
          </w:r>
          <w:r w:rsidR="001866C3">
            <w:rPr>
              <w:szCs w:val="24"/>
            </w:rPr>
            <w:t xml:space="preserve"> (2016 – 2019)</w:t>
          </w:r>
          <w:r w:rsidR="001866C3" w:rsidRPr="000C1C65">
            <w:rPr>
              <w:szCs w:val="24"/>
            </w:rPr>
            <w:t xml:space="preserve">. </w:t>
          </w:r>
          <w:r w:rsidR="001866C3" w:rsidRPr="000C1C65">
            <w:rPr>
              <w:szCs w:val="24"/>
              <w:lang w:val="sq-AL"/>
            </w:rPr>
            <w:t>Agjencia e Trajtimit të Pronave, deri në përfundim të afatit 3 vje</w:t>
          </w:r>
          <w:r w:rsidR="001866C3">
            <w:rPr>
              <w:szCs w:val="24"/>
              <w:lang w:val="sq-AL"/>
            </w:rPr>
            <w:t>ç</w:t>
          </w:r>
          <w:r w:rsidR="001866C3" w:rsidRPr="000C1C65">
            <w:rPr>
              <w:szCs w:val="24"/>
              <w:lang w:val="sq-AL"/>
            </w:rPr>
            <w:t>ar të këtij procesi, në datë 23 shkurt 2019, trajtoi 9512 kërkesa për njohje pronësie nga 16 462 të paraqitura, ose 57.8% të tyre, të cilat figuronin të administruara prane ish-AKKP-së ose të depozituara brenda afatit 3 mujor nga hyrja në fuqi e ligjit, si dhe vlerësoi kryesisht rreth 18 728 vendime administrative dhe gjyqësore, me të cilat i është njohur e drejta e kompensimit subjekteve të shpronësuar.</w:t>
          </w:r>
          <w:r w:rsidR="001866C3">
            <w:rPr>
              <w:szCs w:val="24"/>
              <w:lang w:val="sq-AL"/>
            </w:rPr>
            <w:t xml:space="preserve"> </w:t>
          </w:r>
          <w:r w:rsidR="001866C3" w:rsidRPr="000C1C65">
            <w:rPr>
              <w:bCs/>
              <w:szCs w:val="24"/>
              <w:lang w:val="sq-AL"/>
            </w:rPr>
            <w:t>Agjencia e Trajtimit të Pronave, mbështetur në pikën 2 të nenit 34, t</w:t>
          </w:r>
          <w:r w:rsidR="001866C3">
            <w:rPr>
              <w:bCs/>
              <w:szCs w:val="24"/>
              <w:lang w:val="sq-AL"/>
            </w:rPr>
            <w:t>ë</w:t>
          </w:r>
          <w:r w:rsidR="001866C3" w:rsidRPr="000C1C65">
            <w:rPr>
              <w:bCs/>
              <w:szCs w:val="24"/>
              <w:lang w:val="sq-AL"/>
            </w:rPr>
            <w:t xml:space="preserve"> ligjit nr.133/2015, t</w:t>
          </w:r>
          <w:r w:rsidR="001866C3">
            <w:rPr>
              <w:bCs/>
              <w:szCs w:val="24"/>
              <w:lang w:val="sq-AL"/>
            </w:rPr>
            <w:t>ë</w:t>
          </w:r>
          <w:r w:rsidR="001866C3" w:rsidRPr="000C1C65">
            <w:rPr>
              <w:bCs/>
              <w:szCs w:val="24"/>
              <w:lang w:val="sq-AL"/>
            </w:rPr>
            <w:t xml:space="preserve"> ndryshuar, </w:t>
          </w:r>
          <w:r w:rsidR="001866C3" w:rsidRPr="000C1C65">
            <w:rPr>
              <w:szCs w:val="24"/>
              <w:lang w:val="sq-AL"/>
            </w:rPr>
            <w:t>për kërkesat që rezultuan të patrajtuara vijoi me orientimin e subjekteve për zgjidhjen në rrugë gjyqësore të pretendimeve për njohje pronësie. Përgjatë periudhës shkurt 2019 – dhjetor 2022, u vendosën në administrim të subjekteve 3083 dosje/praktika.</w:t>
          </w:r>
          <w:r w:rsidR="001866C3">
            <w:rPr>
              <w:szCs w:val="24"/>
              <w:lang w:val="sq-AL"/>
            </w:rPr>
            <w:t xml:space="preserve"> </w:t>
          </w:r>
          <w:bookmarkStart w:id="15" w:name="_Hlk184029402"/>
          <w:r w:rsidR="001866C3" w:rsidRPr="000C1C65">
            <w:rPr>
              <w:rFonts w:eastAsia="Calibri"/>
              <w:szCs w:val="24"/>
              <w:lang w:val="sq-AL"/>
            </w:rPr>
            <w:t>Në bazë e për zbatim të ndryshimeve të miratuara me datë 25 Maj 2023, u bë i mundur vlerësimi financiar sipas rekomandimeve të dhëna nga GjEDNj për 3758 vendime me të drejtë kompensimi që kishin pësuar ndryshim të zërit kadastral, ose 20% i totalit të vendimeve, me një faturë të shtuar financiare prej 15,1 miliard lekë,</w:t>
          </w:r>
          <w:r w:rsidR="001866C3" w:rsidRPr="000C1C65">
            <w:rPr>
              <w:rFonts w:eastAsia="Calibri"/>
              <w:b/>
              <w:bCs/>
              <w:szCs w:val="24"/>
              <w:lang w:val="sq-AL"/>
            </w:rPr>
            <w:t xml:space="preserve"> </w:t>
          </w:r>
          <w:r w:rsidR="001866C3" w:rsidRPr="000C1C65">
            <w:rPr>
              <w:rFonts w:eastAsia="Calibri"/>
              <w:szCs w:val="24"/>
              <w:lang w:val="sq-AL"/>
            </w:rPr>
            <w:t xml:space="preserve">si dhe u rivendos juridiksioni administrativ i institucionit për trajtimin e rreth 7000 dosjeve/praktikave të patrajtuara me vendim brenda afateve të përcaktuara në nenin 34 të </w:t>
          </w:r>
          <w:r w:rsidR="001866C3">
            <w:rPr>
              <w:rFonts w:eastAsia="Calibri"/>
              <w:szCs w:val="24"/>
              <w:lang w:val="sq-AL"/>
            </w:rPr>
            <w:t>l</w:t>
          </w:r>
          <w:r w:rsidR="001866C3" w:rsidRPr="000C1C65">
            <w:rPr>
              <w:rFonts w:eastAsia="Calibri"/>
              <w:szCs w:val="24"/>
              <w:lang w:val="sq-AL"/>
            </w:rPr>
            <w:t xml:space="preserve">igjit </w:t>
          </w:r>
          <w:r w:rsidR="001866C3">
            <w:rPr>
              <w:rFonts w:eastAsia="Calibri"/>
              <w:szCs w:val="24"/>
              <w:lang w:val="sq-AL"/>
            </w:rPr>
            <w:t>nr.</w:t>
          </w:r>
          <w:r w:rsidR="001866C3" w:rsidRPr="000C1C65">
            <w:rPr>
              <w:rFonts w:eastAsia="Calibri"/>
              <w:szCs w:val="24"/>
              <w:lang w:val="sq-AL"/>
            </w:rPr>
            <w:t>133/2015</w:t>
          </w:r>
          <w:r w:rsidR="001866C3">
            <w:rPr>
              <w:rFonts w:eastAsia="Calibri"/>
              <w:szCs w:val="24"/>
              <w:lang w:val="sq-AL"/>
            </w:rPr>
            <w:t>, të ndryshuar</w:t>
          </w:r>
          <w:r w:rsidR="001866C3" w:rsidRPr="000C1C65">
            <w:rPr>
              <w:rFonts w:eastAsia="Calibri"/>
              <w:szCs w:val="24"/>
              <w:lang w:val="sq-AL"/>
            </w:rPr>
            <w:t xml:space="preserve">. </w:t>
          </w:r>
          <w:r w:rsidR="001866C3" w:rsidRPr="000C1C65">
            <w:rPr>
              <w:rFonts w:eastAsia="Calibri"/>
              <w:szCs w:val="24"/>
            </w:rPr>
            <w:t xml:space="preserve">Për 6596 vendime nuk pati ndryshim të vlerës së publikuar për arsye të ndryshme </w:t>
          </w:r>
          <w:r w:rsidR="001866C3" w:rsidRPr="000C1C65">
            <w:rPr>
              <w:rFonts w:eastAsia="Calibri"/>
              <w:i/>
              <w:szCs w:val="24"/>
            </w:rPr>
            <w:t xml:space="preserve">(vedime për të cilat vlera sipas ligjit </w:t>
          </w:r>
          <w:r w:rsidR="001866C3">
            <w:rPr>
              <w:rFonts w:eastAsia="Calibri"/>
              <w:i/>
              <w:szCs w:val="24"/>
            </w:rPr>
            <w:t>nr.</w:t>
          </w:r>
          <w:r w:rsidR="001866C3" w:rsidRPr="000C1C65">
            <w:rPr>
              <w:rFonts w:eastAsia="Calibri"/>
              <w:i/>
              <w:szCs w:val="24"/>
            </w:rPr>
            <w:t xml:space="preserve">133/2015 ishte me e madhe se sa vlera sipas ndryshimeve ligjore, vendime vetëm me të drejte parablerje, vendime me vlerë të përcaktuar në vendim etj). </w:t>
          </w:r>
          <w:r w:rsidR="001866C3" w:rsidRPr="000C1C65">
            <w:rPr>
              <w:rFonts w:eastAsia="Calibri"/>
              <w:szCs w:val="24"/>
            </w:rPr>
            <w:t>Masa e re e shpërblimit, e reflektuar në ligj sipas rekomandimit të GjEDN-së rezultoi efektive, pasi vetëm 1% e këtyre vlerësimeve u ankimuan nga ana e subjekteve pran</w:t>
          </w:r>
          <w:r w:rsidR="001866C3">
            <w:rPr>
              <w:rFonts w:eastAsia="Calibri"/>
              <w:szCs w:val="24"/>
            </w:rPr>
            <w:t>ë</w:t>
          </w:r>
          <w:r w:rsidR="001866C3" w:rsidRPr="000C1C65">
            <w:rPr>
              <w:rFonts w:eastAsia="Calibri"/>
              <w:szCs w:val="24"/>
            </w:rPr>
            <w:t xml:space="preserve"> gjykatës kompetente.</w:t>
          </w:r>
          <w:r w:rsidR="001866C3" w:rsidRPr="000C1C65">
            <w:rPr>
              <w:rFonts w:eastAsia="Calibri"/>
              <w:szCs w:val="24"/>
              <w:lang w:val="sq-AL"/>
            </w:rPr>
            <w:t xml:space="preserve"> </w:t>
          </w:r>
          <w:r w:rsidR="001866C3" w:rsidRPr="000C1C65">
            <w:rPr>
              <w:szCs w:val="24"/>
              <w:lang w:val="sq-AL"/>
            </w:rPr>
            <w:t>Për të rritur efektivitetin e zbatimit të këtij ligji, si dhe me qëllim uljen e backlog-ut pranë gjykata</w:t>
          </w:r>
          <w:r w:rsidR="001866C3">
            <w:rPr>
              <w:szCs w:val="24"/>
              <w:lang w:val="sq-AL"/>
            </w:rPr>
            <w:t>ve</w:t>
          </w:r>
          <w:r w:rsidR="001866C3" w:rsidRPr="000C1C65">
            <w:rPr>
              <w:szCs w:val="24"/>
              <w:lang w:val="sq-AL"/>
            </w:rPr>
            <w:t xml:space="preserve"> të rretheve gjyqësore, në zbatim të pikave 2 dhe 3 të </w:t>
          </w:r>
          <w:r w:rsidR="001866C3" w:rsidRPr="000C1C65">
            <w:rPr>
              <w:szCs w:val="24"/>
              <w:lang w:val="sq-AL"/>
            </w:rPr>
            <w:lastRenderedPageBreak/>
            <w:t xml:space="preserve">nenit 9 të </w:t>
          </w:r>
          <w:r w:rsidR="001866C3">
            <w:rPr>
              <w:szCs w:val="24"/>
              <w:lang w:val="sq-AL"/>
            </w:rPr>
            <w:t>l</w:t>
          </w:r>
          <w:r w:rsidR="001866C3" w:rsidRPr="000C1C65">
            <w:rPr>
              <w:szCs w:val="24"/>
              <w:lang w:val="sq-AL"/>
            </w:rPr>
            <w:t xml:space="preserve">igjit </w:t>
          </w:r>
          <w:r w:rsidR="001866C3">
            <w:rPr>
              <w:szCs w:val="24"/>
              <w:lang w:val="sq-AL"/>
            </w:rPr>
            <w:t>nr.</w:t>
          </w:r>
          <w:r w:rsidR="001866C3" w:rsidRPr="000C1C65">
            <w:rPr>
              <w:szCs w:val="24"/>
              <w:lang w:val="sq-AL"/>
            </w:rPr>
            <w:t>77/2022, ATP procedoi me depozitimin e 506 deklaratave informuese për heqjen dorë nga gjykimi i padisë për çështje të cilat figuronin ende pa një vendimarrje themeli lidhur me vlerësimin financiar, apo pretendimin për njohje të së drejtës së pronësisë. Deri në momentin e pezullimit të ligjit nga Gjykata Kushtetuese, 58 subjekte hoqën dorë nga padia dhe i’u drejtuan ATP-së për zgjidhje në rrugë administrative.</w:t>
          </w:r>
          <w:r w:rsidR="001866C3">
            <w:rPr>
              <w:szCs w:val="24"/>
              <w:lang w:val="sq-AL"/>
            </w:rPr>
            <w:t xml:space="preserve"> </w:t>
          </w:r>
          <w:r w:rsidR="001866C3" w:rsidRPr="000C1C65">
            <w:rPr>
              <w:szCs w:val="24"/>
              <w:lang w:val="sq-AL"/>
            </w:rPr>
            <w:t xml:space="preserve">Që nga hyrja në fuqi e ligjit </w:t>
          </w:r>
          <w:r w:rsidR="001866C3">
            <w:rPr>
              <w:szCs w:val="24"/>
              <w:lang w:val="sq-AL"/>
            </w:rPr>
            <w:t>nr.</w:t>
          </w:r>
          <w:r w:rsidR="001866C3" w:rsidRPr="000C1C65">
            <w:rPr>
              <w:szCs w:val="24"/>
              <w:lang w:val="sq-AL"/>
            </w:rPr>
            <w:t>133/2015</w:t>
          </w:r>
          <w:r w:rsidR="001866C3">
            <w:rPr>
              <w:szCs w:val="24"/>
              <w:lang w:val="sq-AL"/>
            </w:rPr>
            <w:t xml:space="preserve"> në muajin shkurt të vitit 2016</w:t>
          </w:r>
          <w:r w:rsidR="001866C3" w:rsidRPr="000C1C65">
            <w:rPr>
              <w:szCs w:val="24"/>
              <w:lang w:val="sq-AL"/>
            </w:rPr>
            <w:t xml:space="preserve"> deri në fund të vitit 2022, Agjencia e Trajtimit të Pronave ka ekzekutuar 794 vendime me një vlerë totale prej 7.8 miliard lekësh dhe ka shpërndarë 713.2 hektarë tokë nga fondi i tokës. </w:t>
          </w:r>
          <w:r w:rsidR="001866C3">
            <w:rPr>
              <w:szCs w:val="24"/>
              <w:lang w:val="sq-AL"/>
            </w:rPr>
            <w:t xml:space="preserve"> </w:t>
          </w:r>
          <w:r w:rsidR="001866C3" w:rsidRPr="000C1C65">
            <w:rPr>
              <w:szCs w:val="24"/>
              <w:lang w:val="sq-AL"/>
            </w:rPr>
            <w:t>Aktualisht, numri total i vendimeve të ekzekutuara nga ATP ka arritur në 831, me një vlerë prej rreth 8 miliardë lekësh dhe 756 hektarë tokë të shpërndarë. Këto shifra tregojnë qartë ndikimin e pezullimeve të aktivitetit institucional dhe ndryshimeve ligjore e nënligjore, pasi në dy vitet e fundit ATP ka arritur të ekzekutojë vetëm 37 vendime për kompensim.</w:t>
          </w:r>
          <w:bookmarkEnd w:id="15"/>
        </w:sdtContent>
      </w:sdt>
      <w:r w:rsidR="000E4454" w:rsidRPr="00FB3897">
        <w:rPr>
          <w:rFonts w:eastAsiaTheme="majorEastAsia"/>
          <w:lang w:val="sq-AL"/>
        </w:rPr>
        <w:t xml:space="preserve"> </w:t>
      </w:r>
    </w:p>
    <w:p w14:paraId="40CEB5F3" w14:textId="77777777" w:rsidR="00443666" w:rsidRPr="00FB3897" w:rsidRDefault="00443666" w:rsidP="00443666">
      <w:pPr>
        <w:pStyle w:val="NoSpacing"/>
        <w:spacing w:line="276" w:lineRule="auto"/>
        <w:jc w:val="both"/>
        <w:rPr>
          <w:rFonts w:ascii="Times New Roman" w:hAnsi="Times New Roman"/>
          <w:b/>
          <w:bCs/>
          <w:color w:val="000000" w:themeColor="text1"/>
          <w:sz w:val="24"/>
          <w:szCs w:val="24"/>
          <w:lang w:val="sq-AL"/>
        </w:rPr>
      </w:pPr>
    </w:p>
    <w:p w14:paraId="60870EE3" w14:textId="77777777" w:rsidR="002125B7" w:rsidRPr="00325A1F" w:rsidRDefault="00FF616D"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14"/>
    </w:p>
    <w:sdt>
      <w:sdtPr>
        <w:rPr>
          <w:rFonts w:ascii="Times New Roman" w:hAnsi="Times New Roman"/>
          <w:sz w:val="24"/>
          <w:szCs w:val="24"/>
          <w:lang w:val="sq-AL"/>
        </w:rPr>
        <w:id w:val="-531503755"/>
        <w:lock w:val="contentLocked"/>
        <w:placeholder>
          <w:docPart w:val="DefaultPlaceholder_1081868574"/>
        </w:placeholder>
      </w:sdtPr>
      <w:sdtEndPr/>
      <w:sdtContent>
        <w:p w14:paraId="385315F3" w14:textId="77777777" w:rsidR="009E64A4" w:rsidRPr="0032145B" w:rsidRDefault="009E64A4">
          <w:pPr>
            <w:pStyle w:val="ListParagraph"/>
            <w:numPr>
              <w:ilvl w:val="0"/>
              <w:numId w:val="9"/>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14:paraId="667DCBF0" w14:textId="77777777" w:rsidR="009E64A4" w:rsidRPr="0032145B" w:rsidRDefault="009E64A4">
          <w:pPr>
            <w:pStyle w:val="ListParagraph"/>
            <w:numPr>
              <w:ilvl w:val="0"/>
              <w:numId w:val="9"/>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14:paraId="0305AD07" w14:textId="77777777" w:rsidR="009E64A4" w:rsidRPr="00325A1F" w:rsidRDefault="009E64A4">
          <w:pPr>
            <w:pStyle w:val="ListParagraph"/>
            <w:numPr>
              <w:ilvl w:val="0"/>
              <w:numId w:val="9"/>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sdtContent>
    </w:sdt>
    <w:sdt>
      <w:sdtPr>
        <w:rPr>
          <w:rFonts w:eastAsiaTheme="majorEastAsia"/>
          <w:color w:val="808080" w:themeColor="background1" w:themeShade="80"/>
        </w:rPr>
        <w:id w:val="-411319569"/>
        <w:placeholder>
          <w:docPart w:val="1B5742A7A4F94DA1B86FBACFB3D31E60"/>
        </w:placeholder>
      </w:sdtPr>
      <w:sdtEndPr/>
      <w:sdtContent>
        <w:p w14:paraId="485B8EDF" w14:textId="405F1B7C" w:rsidR="00491BEF" w:rsidRDefault="72AAA341" w:rsidP="00CA3CF2">
          <w:pPr>
            <w:spacing w:before="240" w:after="240"/>
            <w:jc w:val="both"/>
            <w:rPr>
              <w:sz w:val="20"/>
            </w:rPr>
          </w:pPr>
          <w:r w:rsidRPr="00FB3897">
            <w:rPr>
              <w:rFonts w:eastAsiaTheme="majorEastAsia"/>
              <w:lang w:val="sq-AL"/>
            </w:rPr>
            <w:t>Objektivat që synohet të arrihen përmes kësaj ndërhyrjeje janë:</w:t>
          </w:r>
        </w:p>
        <w:p w14:paraId="6EBF9F9F" w14:textId="77E3852B" w:rsidR="00491BEF" w:rsidRDefault="00E64271" w:rsidP="00E64271">
          <w:pPr>
            <w:ind w:left="450" w:hanging="270"/>
            <w:jc w:val="both"/>
            <w:rPr>
              <w:szCs w:val="24"/>
            </w:rPr>
          </w:pPr>
          <w:r w:rsidRPr="00E64271">
            <w:rPr>
              <w:b/>
              <w:szCs w:val="24"/>
            </w:rPr>
            <w:t>1.</w:t>
          </w:r>
          <w:r>
            <w:rPr>
              <w:szCs w:val="24"/>
            </w:rPr>
            <w:tab/>
          </w:r>
          <w:r w:rsidRPr="00E64271">
            <w:rPr>
              <w:szCs w:val="24"/>
            </w:rPr>
            <w:t>Shtyrja e afatit për trajtimin e dosjeve të pa trajtuara dhe vlerësimin financiar për ato vendime të pa vlerësuara brenda 31.12.2024;</w:t>
          </w:r>
        </w:p>
        <w:p w14:paraId="606C798F" w14:textId="2ED1FF64" w:rsidR="00E64271" w:rsidRDefault="00E64271" w:rsidP="00E64271">
          <w:pPr>
            <w:ind w:left="450" w:hanging="270"/>
            <w:jc w:val="both"/>
            <w:rPr>
              <w:szCs w:val="24"/>
            </w:rPr>
          </w:pPr>
          <w:r w:rsidRPr="00E64271">
            <w:rPr>
              <w:b/>
              <w:szCs w:val="24"/>
            </w:rPr>
            <w:t>2.</w:t>
          </w:r>
          <w:r>
            <w:rPr>
              <w:szCs w:val="24"/>
            </w:rPr>
            <w:t xml:space="preserve"> </w:t>
          </w:r>
          <w:r w:rsidRPr="00E64271">
            <w:rPr>
              <w:szCs w:val="24"/>
            </w:rPr>
            <w:t>Dhënia e mundësisë së qytetarëve që kërkesat e tyre të shqyrtohen në rrugë administrative nga ATP në një kohë më të shkurtër, krahasuar me kohën që do të shpenzohej në rast të shqyrtimit të tyre nga juridiksioni gjyqësor;</w:t>
          </w:r>
        </w:p>
        <w:p w14:paraId="493F60BE" w14:textId="6857686B" w:rsidR="00E64271" w:rsidRDefault="00E64271" w:rsidP="00E64271">
          <w:pPr>
            <w:ind w:left="180"/>
            <w:jc w:val="both"/>
            <w:rPr>
              <w:szCs w:val="24"/>
            </w:rPr>
          </w:pPr>
          <w:r w:rsidRPr="00E64271">
            <w:rPr>
              <w:b/>
              <w:szCs w:val="24"/>
            </w:rPr>
            <w:t>3.</w:t>
          </w:r>
          <w:r>
            <w:rPr>
              <w:szCs w:val="24"/>
            </w:rPr>
            <w:t xml:space="preserve"> </w:t>
          </w:r>
          <w:r w:rsidRPr="00E64271">
            <w:rPr>
              <w:szCs w:val="24"/>
            </w:rPr>
            <w:t>Përfundimi i procesit të shqyrtimit të dosjeve brenda afatit të përcaktuar me politikën e propozuar;</w:t>
          </w:r>
        </w:p>
        <w:p w14:paraId="2647463B" w14:textId="16523FED" w:rsidR="00563378" w:rsidRPr="00E64271" w:rsidRDefault="00E64271" w:rsidP="00E64271">
          <w:pPr>
            <w:ind w:left="180"/>
            <w:jc w:val="both"/>
            <w:rPr>
              <w:szCs w:val="24"/>
            </w:rPr>
          </w:pPr>
          <w:r w:rsidRPr="00E64271">
            <w:rPr>
              <w:b/>
              <w:szCs w:val="24"/>
            </w:rPr>
            <w:t>4.</w:t>
          </w:r>
          <w:r>
            <w:rPr>
              <w:szCs w:val="24"/>
            </w:rPr>
            <w:t xml:space="preserve"> </w:t>
          </w:r>
          <w:r w:rsidRPr="00E64271">
            <w:rPr>
              <w:szCs w:val="24"/>
            </w:rPr>
            <w:t>Përfundimi i procesit të kompensimit të pronave brenda afateve objektive, sipas politikës së propozuar.</w:t>
          </w:r>
        </w:p>
      </w:sdtContent>
    </w:sdt>
    <w:p w14:paraId="175E10AA" w14:textId="77777777" w:rsidR="002125B7" w:rsidRPr="00325A1F" w:rsidRDefault="72AAA341" w:rsidP="009D13F4">
      <w:pPr>
        <w:pStyle w:val="Heading1"/>
        <w:spacing w:line="276" w:lineRule="auto"/>
        <w:rPr>
          <w:rFonts w:ascii="Times New Roman" w:hAnsi="Times New Roman" w:cs="Times New Roman"/>
          <w:sz w:val="24"/>
          <w:szCs w:val="24"/>
          <w:lang w:val="sq-AL"/>
        </w:rPr>
      </w:pPr>
      <w:r w:rsidRPr="72AAA341">
        <w:rPr>
          <w:rFonts w:ascii="Times New Roman" w:hAnsi="Times New Roman" w:cs="Times New Roman"/>
          <w:sz w:val="24"/>
          <w:szCs w:val="24"/>
          <w:lang w:val="sq-AL"/>
        </w:rPr>
        <w:t>Përshkrimi i opsioneve të shqyrtuara</w:t>
      </w:r>
    </w:p>
    <w:sdt>
      <w:sdtPr>
        <w:rPr>
          <w:rFonts w:ascii="Times New Roman" w:hAnsi="Times New Roman"/>
          <w:sz w:val="24"/>
          <w:szCs w:val="24"/>
          <w:lang w:val="sq-AL"/>
        </w:rPr>
        <w:id w:val="483215"/>
        <w:lock w:val="contentLocked"/>
        <w:placeholder>
          <w:docPart w:val="DefaultPlaceholder_1081868574"/>
        </w:placeholder>
      </w:sdtPr>
      <w:sdtEndPr>
        <w:rPr>
          <w:i/>
        </w:rPr>
      </w:sdtEndPr>
      <w:sdtContent>
        <w:p w14:paraId="0EB20B53" w14:textId="77777777" w:rsidR="009E64A4" w:rsidRPr="0032145B" w:rsidRDefault="009E64A4">
          <w:pPr>
            <w:pStyle w:val="ListParagraph"/>
            <w:numPr>
              <w:ilvl w:val="0"/>
              <w:numId w:val="7"/>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14:paraId="5F692027" w14:textId="77777777" w:rsidR="009E64A4" w:rsidRPr="0032145B" w:rsidRDefault="009E64A4">
          <w:pPr>
            <w:pStyle w:val="ListParagraph"/>
            <w:numPr>
              <w:ilvl w:val="0"/>
              <w:numId w:val="7"/>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14:paraId="5F03706D" w14:textId="77777777" w:rsidR="009E64A4" w:rsidRPr="0032145B" w:rsidRDefault="009E64A4">
          <w:pPr>
            <w:pStyle w:val="ListParagraph"/>
            <w:numPr>
              <w:ilvl w:val="0"/>
              <w:numId w:val="7"/>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sdtContent>
    </w:sdt>
    <w:sdt>
      <w:sdtPr>
        <w:rPr>
          <w:rFonts w:eastAsiaTheme="majorEastAsia"/>
          <w:color w:val="808080" w:themeColor="background1" w:themeShade="80"/>
        </w:rPr>
        <w:id w:val="1247768188"/>
        <w:placeholder>
          <w:docPart w:val="094A48B080684960BF3A114CBE910244"/>
        </w:placeholder>
      </w:sdtPr>
      <w:sdtEndPr/>
      <w:sdtContent>
        <w:p w14:paraId="77625718" w14:textId="3A69C17B" w:rsidR="00E8673D" w:rsidRPr="00E8673D" w:rsidRDefault="009B2BCF" w:rsidP="00E8673D">
          <w:pPr>
            <w:jc w:val="both"/>
            <w:rPr>
              <w:iCs/>
              <w:szCs w:val="24"/>
              <w:lang w:val="sq-AL" w:eastAsia="fr-FR"/>
            </w:rPr>
          </w:pPr>
          <w:r w:rsidRPr="0051693C">
            <w:rPr>
              <w:iCs/>
              <w:szCs w:val="24"/>
              <w:lang w:val="sq-AL" w:eastAsia="fr-FR"/>
            </w:rPr>
            <w:t xml:space="preserve"> </w:t>
          </w:r>
          <w:r w:rsidR="00E8673D" w:rsidRPr="00E8673D">
            <w:rPr>
              <w:b/>
              <w:lang w:val="sq-AL"/>
            </w:rPr>
            <w:t>Opsioni 0</w:t>
          </w:r>
          <w:r w:rsidR="00E8673D" w:rsidRPr="00E8673D">
            <w:rPr>
              <w:lang w:val="sq-AL"/>
            </w:rPr>
            <w:t xml:space="preserve"> – Ruajtja e status quo-së dhe mosbërja e ndryshimeve ligjore, duke pritur që situata të vetërregullohet, pa ndërhyrjen e pushtetit legjislativ. Kjo situatë nuk ka kosto financiare dhe nuk kërkon burime njerëzore, përveç fazës së monitorimit, por nga ana tjetër, nuk jep zgjidhje të të problemeve të paraqitura më sipër. Të gjitha ato situata juridike që kërkojnë ndërhyrje nëpërmjet ndryshimeve ligjore, ngelen të parregulluara dhe të patrajtuara sipas nevojave të sotme praktike. Ky opsion nuk sjell ndryshime në kuadrin ligjor, por rrjedhimisht nuk kontribuon në zgjidhjen e problemeve të evidentuara nga praktika e ATP-së. Mos shtyrja e afatit ligjor mbart rrezikun që qytetarët do i drejtohen gjykatave për të kërkuar të drejtën e tyre, gjë që do të sjellë edhe shtimin e ngarkesës së punës së tyre dhe të backlog.</w:t>
          </w:r>
        </w:p>
        <w:p w14:paraId="12B42ED4" w14:textId="77777777" w:rsidR="00E8673D" w:rsidRPr="00E8673D" w:rsidRDefault="00E8673D" w:rsidP="00E8673D">
          <w:pPr>
            <w:jc w:val="both"/>
            <w:rPr>
              <w:lang w:val="sq-AL"/>
            </w:rPr>
          </w:pPr>
        </w:p>
        <w:p w14:paraId="25753F47" w14:textId="77777777" w:rsidR="00E8673D" w:rsidRPr="00E8673D" w:rsidRDefault="00E8673D" w:rsidP="00E8673D">
          <w:pPr>
            <w:jc w:val="both"/>
            <w:rPr>
              <w:lang w:val="sq-AL"/>
            </w:rPr>
          </w:pPr>
          <w:r w:rsidRPr="00E8673D">
            <w:rPr>
              <w:b/>
              <w:lang w:val="sq-AL"/>
            </w:rPr>
            <w:t>Opsioni 1 (rregullator):</w:t>
          </w:r>
          <w:r w:rsidRPr="00E8673D">
            <w:rPr>
              <w:lang w:val="sq-AL"/>
            </w:rPr>
            <w:t xml:space="preserve"> – Ndryshimi i ligjit nr.133/2015 “Për trajtimin e pronës dhe përfundimin e procesit të kompensimit të pronave”, të ndryshuar. Ky opsion kërkon ndërhyrjen e pushtetit legjislativ dhe angazhimin e burimeve njerëzore në hartimin e projektligjit me ndryshimet përkatëse. Nga ana tjetër, përmes këtij opsioni mundësohet arritja e të gjithë objektivave dhe synimeve të vendosura. Përmes këtij opsioni, ndërhyrja do të bëhet duke përcaktuar një afat objektiv dhe të mundshëm për t’u arritur me qëllim përmbylljen e procesit të kompensimit të pronave. </w:t>
          </w:r>
        </w:p>
        <w:p w14:paraId="1E094C7B" w14:textId="77777777" w:rsidR="00E8673D" w:rsidRPr="00E8673D" w:rsidRDefault="00E8673D" w:rsidP="00E8673D">
          <w:pPr>
            <w:jc w:val="both"/>
            <w:rPr>
              <w:lang w:val="sq-AL"/>
            </w:rPr>
          </w:pPr>
        </w:p>
        <w:p w14:paraId="3E302F5C" w14:textId="06306839" w:rsidR="00563378" w:rsidRPr="00F0491D" w:rsidRDefault="00E8673D" w:rsidP="72AAA341">
          <w:pPr>
            <w:jc w:val="both"/>
            <w:rPr>
              <w:lang w:val="sq-AL"/>
            </w:rPr>
          </w:pPr>
          <w:r w:rsidRPr="00E8673D">
            <w:rPr>
              <w:b/>
              <w:lang w:val="sq-AL"/>
            </w:rPr>
            <w:t>Opsioni 2</w:t>
          </w:r>
          <w:r w:rsidRPr="00E8673D">
            <w:rPr>
              <w:lang w:val="sq-AL"/>
            </w:rPr>
            <w:t xml:space="preserve"> – Miratimi i një ligji të ri, në vlerësimin tonë nuk duket të jetë opsioni më i mirë, i cili jo vetën do të cënonte primin e sigurisë juridike por do të kërkonte kohë dhe angazhimin e shumë burimeve financiare. Metodologjia e kompensimit të pronave dhe formula përkatëse janë shqyrtuar nga Gjykata Kushtetuese, e cila në jurisprudencën e saj ka afirmuar kushtetutshmërinë e tyre, ndaj nuk vlerësohet e </w:t>
          </w:r>
          <w:r w:rsidRPr="00E8673D">
            <w:rPr>
              <w:lang w:val="sq-AL"/>
            </w:rPr>
            <w:lastRenderedPageBreak/>
            <w:t>nevojshme ndryshimi në këtë aspekt. Po ashtu, hartimi i një ligji të ri kërkon angazhimin e shumë burimeve financiare, shumë kohë për të studiuar dhe analizuar shembuj të legjislacioneve të vendeve të tjera, si dhe për konsultimin. Po ashtu, nuk janë evidentuar problematika në praktikë nga ATP apo grupet e interesit për çështje të tjera, përveç atyre të identifikuara më lart.</w:t>
          </w:r>
        </w:p>
      </w:sdtContent>
    </w:sdt>
    <w:p w14:paraId="5995A088" w14:textId="77777777" w:rsidR="00D3286E"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Vlerësimi i opsioneve/analizimi i ndikimeve</w:t>
      </w:r>
      <w:r w:rsidR="00D3286E"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FB3897">
        <w:rPr>
          <w:rFonts w:ascii="Times New Roman" w:hAnsi="Times New Roman" w:cs="Times New Roman"/>
          <w:sz w:val="24"/>
          <w:szCs w:val="24"/>
          <w:lang w:val="it-IT"/>
        </w:rPr>
        <w:instrText xml:space="preserve"> FORMTEXT </w:instrText>
      </w:r>
      <w:r w:rsidR="00D3286E" w:rsidRPr="00325A1F">
        <w:rPr>
          <w:rFonts w:ascii="Times New Roman" w:hAnsi="Times New Roman" w:cs="Times New Roman"/>
          <w:sz w:val="24"/>
          <w:szCs w:val="24"/>
        </w:rPr>
      </w:r>
      <w:r w:rsidR="00D3286E"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sz w:val="24"/>
          <w:szCs w:val="24"/>
        </w:rPr>
        <w:fldChar w:fldCharType="end"/>
      </w:r>
    </w:p>
    <w:sdt>
      <w:sdtPr>
        <w:rPr>
          <w:rFonts w:cs="Times New Roman"/>
          <w:i/>
          <w:sz w:val="24"/>
          <w:szCs w:val="24"/>
          <w:lang w:val="sq-AL"/>
        </w:rPr>
        <w:id w:val="1457907593"/>
        <w:lock w:val="contentLocked"/>
        <w:placeholder>
          <w:docPart w:val="DefaultPlaceholder_1081868574"/>
        </w:placeholder>
      </w:sdtPr>
      <w:sdtEndPr/>
      <w:sdtContent>
        <w:p w14:paraId="5C3C5F84" w14:textId="77777777" w:rsidR="0097570D" w:rsidRPr="0032145B" w:rsidRDefault="0097570D">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13292A31" w14:textId="77777777" w:rsidR="0097570D" w:rsidRPr="0032145B" w:rsidRDefault="0097570D">
          <w:pPr>
            <w:pStyle w:val="BodyText"/>
            <w:numPr>
              <w:ilvl w:val="0"/>
              <w:numId w:val="4"/>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14:paraId="2D44481C" w14:textId="77777777" w:rsidR="0097570D" w:rsidRPr="0032145B" w:rsidRDefault="0097570D">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2F8F1764" w14:textId="77777777" w:rsidR="0097570D" w:rsidRPr="0032145B" w:rsidRDefault="0097570D" w:rsidP="009D13F4">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1F811A2B" w14:textId="77777777" w:rsidR="0097570D" w:rsidRPr="0032145B" w:rsidRDefault="0097570D">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36D597FF" w14:textId="77777777" w:rsidR="0097570D" w:rsidRPr="0032145B" w:rsidRDefault="0097570D">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3B34EA34" w14:textId="77777777" w:rsidR="0097570D" w:rsidRPr="0032145B" w:rsidRDefault="0097570D">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sidR="00BD1479">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78099B30" w14:textId="77777777" w:rsidR="0097570D" w:rsidRPr="0032145B" w:rsidRDefault="0097570D">
          <w:pPr>
            <w:pStyle w:val="BodyText"/>
            <w:numPr>
              <w:ilvl w:val="1"/>
              <w:numId w:val="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23937986" w14:textId="77777777" w:rsidR="0097570D" w:rsidRPr="0032145B" w:rsidRDefault="0097570D">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6BA9D189" w14:textId="77777777" w:rsidR="0097570D" w:rsidRPr="0032145B" w:rsidRDefault="0097570D">
          <w:pPr>
            <w:pStyle w:val="BodyText"/>
            <w:numPr>
              <w:ilvl w:val="1"/>
              <w:numId w:val="4"/>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6CD85606" w14:textId="77777777" w:rsidR="0097570D" w:rsidRPr="0032145B" w:rsidRDefault="0097570D">
          <w:pPr>
            <w:pStyle w:val="BodyText"/>
            <w:numPr>
              <w:ilvl w:val="1"/>
              <w:numId w:val="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42691BB1" w14:textId="77777777" w:rsidR="0097570D" w:rsidRPr="0032145B" w:rsidRDefault="0097570D">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55582459" w14:textId="77777777" w:rsidR="0097570D" w:rsidRPr="0032145B" w:rsidRDefault="0097570D">
          <w:pPr>
            <w:pStyle w:val="BodyText"/>
            <w:numPr>
              <w:ilvl w:val="1"/>
              <w:numId w:val="4"/>
            </w:numPr>
            <w:tabs>
              <w:tab w:val="left" w:pos="567"/>
            </w:tabs>
            <w:spacing w:after="0" w:line="276" w:lineRule="auto"/>
            <w:jc w:val="both"/>
            <w:rPr>
              <w:rFonts w:cs="Times New Roman"/>
              <w:i/>
              <w:sz w:val="24"/>
              <w:szCs w:val="24"/>
              <w:lang w:val="sq-AL"/>
            </w:rPr>
          </w:pPr>
          <w:bookmarkStart w:id="16" w:name="_Hlk506917230"/>
          <w:r w:rsidRPr="0032145B">
            <w:rPr>
              <w:rFonts w:cs="Times New Roman"/>
              <w:i/>
              <w:sz w:val="24"/>
              <w:szCs w:val="24"/>
              <w:lang w:val="sq-AL"/>
            </w:rPr>
            <w:t>Jepni supozimet në të cilat janë bazuar parashikimet dhe risqet, të cilave ato u nënshtrohen.</w:t>
          </w:r>
        </w:p>
        <w:p w14:paraId="31775C60" w14:textId="77777777" w:rsidR="0097570D" w:rsidRPr="0032145B" w:rsidRDefault="0097570D">
          <w:pPr>
            <w:pStyle w:val="BodyText"/>
            <w:numPr>
              <w:ilvl w:val="1"/>
              <w:numId w:val="4"/>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4B1F93E2" w14:textId="77777777" w:rsidR="0097570D" w:rsidRPr="0032145B" w:rsidRDefault="0097570D">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15792A1C" w14:textId="77777777" w:rsidR="0097570D" w:rsidRPr="0032145B" w:rsidRDefault="0097570D">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645121F4" w14:textId="77777777" w:rsidR="0097570D" w:rsidRPr="0032145B" w:rsidRDefault="0097570D">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179066CF" w14:textId="77777777" w:rsidR="002125B7" w:rsidRPr="0032145B" w:rsidRDefault="0097570D">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sidR="00372979">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sdtContent>
    </w:sdt>
    <w:bookmarkStart w:id="17" w:name="_Toc506919738" w:displacedByCustomXml="prev"/>
    <w:bookmarkEnd w:id="17" w:displacedByCustomXml="next"/>
    <w:bookmarkEnd w:id="16" w:displacedByCustomXml="next"/>
    <w:sdt>
      <w:sdtPr>
        <w:rPr>
          <w:rFonts w:eastAsiaTheme="majorEastAsia"/>
          <w:color w:val="808080" w:themeColor="background1" w:themeShade="80"/>
        </w:rPr>
        <w:id w:val="1625265021"/>
        <w:placeholder>
          <w:docPart w:val="867EF0DB10CB4A10BB29112D1FCD9786"/>
        </w:placeholder>
      </w:sdtPr>
      <w:sdtEndPr>
        <w:rPr>
          <w:szCs w:val="24"/>
          <w:lang w:val="sq-AL"/>
        </w:rPr>
      </w:sdtEndPr>
      <w:sdtContent>
        <w:p w14:paraId="19C4CC86" w14:textId="77777777" w:rsidR="00EC7E22" w:rsidRDefault="00EC7E22" w:rsidP="00EC7E22">
          <w:pPr>
            <w:jc w:val="both"/>
            <w:rPr>
              <w:rFonts w:eastAsiaTheme="majorEastAsia"/>
              <w:color w:val="808080" w:themeColor="background1" w:themeShade="80"/>
            </w:rPr>
          </w:pPr>
        </w:p>
        <w:p w14:paraId="2DE6E26F" w14:textId="77777777" w:rsidR="00EC7E22" w:rsidRDefault="00EC7E22" w:rsidP="00EC7E22">
          <w:pPr>
            <w:jc w:val="both"/>
            <w:rPr>
              <w:b/>
              <w:szCs w:val="24"/>
              <w:lang w:val="sq-AL"/>
            </w:rPr>
          </w:pPr>
          <w:r w:rsidRPr="00595401">
            <w:rPr>
              <w:b/>
              <w:szCs w:val="24"/>
              <w:lang w:val="sq-AL"/>
            </w:rPr>
            <w:t>Subjektet të cilat preken nga kjo politikë janë:</w:t>
          </w:r>
        </w:p>
        <w:p w14:paraId="0D89872E" w14:textId="77777777" w:rsidR="00EC7E22" w:rsidRDefault="00EC7E22" w:rsidP="00EC7E22">
          <w:pPr>
            <w:jc w:val="both"/>
            <w:rPr>
              <w:b/>
              <w:szCs w:val="24"/>
              <w:lang w:val="sq-AL"/>
            </w:rPr>
          </w:pPr>
        </w:p>
        <w:p w14:paraId="512A5EAE" w14:textId="61059AD8" w:rsidR="00FF00D5" w:rsidRDefault="72AAA341" w:rsidP="72AAA341">
          <w:pPr>
            <w:jc w:val="both"/>
            <w:rPr>
              <w:lang w:val="sq-AL"/>
            </w:rPr>
          </w:pPr>
          <w:r w:rsidRPr="72AAA341">
            <w:rPr>
              <w:b/>
              <w:bCs/>
              <w:lang w:val="sq-AL"/>
            </w:rPr>
            <w:t xml:space="preserve">Agjencia e Trajtimit të Pronave </w:t>
          </w:r>
          <w:r w:rsidRPr="72AAA341">
            <w:rPr>
              <w:lang w:val="sq-AL"/>
            </w:rPr>
            <w:t xml:space="preserve">është një institucion që preket drejtpërdrejt nga kjo politikë e propozuar, pasi kjo ndërhyrje parashikon </w:t>
          </w:r>
          <w:r w:rsidR="00E8673D">
            <w:rPr>
              <w:lang w:val="sq-AL"/>
            </w:rPr>
            <w:t>shtyrjen e afatit t</w:t>
          </w:r>
          <w:r w:rsidR="00EF5666">
            <w:rPr>
              <w:lang w:val="sq-AL"/>
            </w:rPr>
            <w:t>ë</w:t>
          </w:r>
          <w:r w:rsidR="00E8673D">
            <w:rPr>
              <w:lang w:val="sq-AL"/>
            </w:rPr>
            <w:t xml:space="preserve"> kryerjes s</w:t>
          </w:r>
          <w:r w:rsidR="00EF5666">
            <w:rPr>
              <w:lang w:val="sq-AL"/>
            </w:rPr>
            <w:t>ë</w:t>
          </w:r>
          <w:r w:rsidR="00E8673D">
            <w:rPr>
              <w:lang w:val="sq-AL"/>
            </w:rPr>
            <w:t xml:space="preserve"> veprimtaris</w:t>
          </w:r>
          <w:r w:rsidR="00EF5666">
            <w:rPr>
              <w:lang w:val="sq-AL"/>
            </w:rPr>
            <w:t>ë</w:t>
          </w:r>
          <w:r w:rsidR="00E8673D">
            <w:rPr>
              <w:lang w:val="sq-AL"/>
            </w:rPr>
            <w:t xml:space="preserve"> prej saj, lidhur me </w:t>
          </w:r>
          <w:r w:rsidR="00FF00D5" w:rsidRPr="0082254D">
            <w:rPr>
              <w:szCs w:val="24"/>
              <w:lang w:val="sq-AL"/>
            </w:rPr>
            <w:t>shqyrtimin e dosjeve të pa trajtuara p</w:t>
          </w:r>
          <w:r w:rsidR="00BE1224">
            <w:rPr>
              <w:szCs w:val="24"/>
              <w:lang w:val="sq-AL"/>
            </w:rPr>
            <w:t>ë</w:t>
          </w:r>
          <w:r w:rsidR="00FF00D5" w:rsidRPr="0082254D">
            <w:rPr>
              <w:szCs w:val="24"/>
              <w:lang w:val="sq-AL"/>
            </w:rPr>
            <w:t>r njohjen e s</w:t>
          </w:r>
          <w:r w:rsidR="00BE1224">
            <w:rPr>
              <w:szCs w:val="24"/>
              <w:lang w:val="sq-AL"/>
            </w:rPr>
            <w:t>ë</w:t>
          </w:r>
          <w:r w:rsidR="00FF00D5" w:rsidRPr="0082254D">
            <w:rPr>
              <w:szCs w:val="24"/>
              <w:lang w:val="sq-AL"/>
            </w:rPr>
            <w:t xml:space="preserve"> drejt</w:t>
          </w:r>
          <w:r w:rsidR="00BE1224">
            <w:rPr>
              <w:szCs w:val="24"/>
              <w:lang w:val="sq-AL"/>
            </w:rPr>
            <w:t>ë</w:t>
          </w:r>
          <w:r w:rsidR="00FF00D5" w:rsidRPr="0082254D">
            <w:rPr>
              <w:szCs w:val="24"/>
              <w:lang w:val="sq-AL"/>
            </w:rPr>
            <w:t>s s</w:t>
          </w:r>
          <w:r w:rsidR="00BE1224">
            <w:rPr>
              <w:szCs w:val="24"/>
              <w:lang w:val="sq-AL"/>
            </w:rPr>
            <w:t>ë</w:t>
          </w:r>
          <w:r w:rsidR="00FF00D5" w:rsidRPr="0082254D">
            <w:rPr>
              <w:szCs w:val="24"/>
              <w:lang w:val="sq-AL"/>
            </w:rPr>
            <w:t xml:space="preserve"> pron</w:t>
          </w:r>
          <w:r w:rsidR="00BE1224">
            <w:rPr>
              <w:szCs w:val="24"/>
              <w:lang w:val="sq-AL"/>
            </w:rPr>
            <w:t>ë</w:t>
          </w:r>
          <w:r w:rsidR="00FF00D5" w:rsidRPr="0082254D">
            <w:rPr>
              <w:szCs w:val="24"/>
              <w:lang w:val="sq-AL"/>
            </w:rPr>
            <w:t>s</w:t>
          </w:r>
          <w:r w:rsidR="00FF00D5">
            <w:rPr>
              <w:szCs w:val="24"/>
              <w:lang w:val="sq-AL"/>
            </w:rPr>
            <w:t xml:space="preserve"> si dhe vler</w:t>
          </w:r>
          <w:r w:rsidR="00BE1224">
            <w:rPr>
              <w:szCs w:val="24"/>
              <w:lang w:val="sq-AL"/>
            </w:rPr>
            <w:t>ë</w:t>
          </w:r>
          <w:r w:rsidR="00FF00D5">
            <w:rPr>
              <w:szCs w:val="24"/>
              <w:lang w:val="sq-AL"/>
            </w:rPr>
            <w:t>simin financiar p</w:t>
          </w:r>
          <w:r w:rsidR="00BE1224">
            <w:rPr>
              <w:szCs w:val="24"/>
              <w:lang w:val="sq-AL"/>
            </w:rPr>
            <w:t>ë</w:t>
          </w:r>
          <w:r w:rsidR="00FF00D5">
            <w:rPr>
              <w:szCs w:val="24"/>
              <w:lang w:val="sq-AL"/>
            </w:rPr>
            <w:t>r ato vendime t</w:t>
          </w:r>
          <w:r w:rsidR="00BE1224">
            <w:rPr>
              <w:szCs w:val="24"/>
              <w:lang w:val="sq-AL"/>
            </w:rPr>
            <w:t>ë</w:t>
          </w:r>
          <w:r w:rsidR="00FF00D5">
            <w:rPr>
              <w:szCs w:val="24"/>
              <w:lang w:val="sq-AL"/>
            </w:rPr>
            <w:t xml:space="preserve"> pavlersuara.</w:t>
          </w:r>
        </w:p>
        <w:p w14:paraId="3F0BBBB8" w14:textId="77777777" w:rsidR="00AD09AE" w:rsidRDefault="00AD09AE" w:rsidP="00EC7E22">
          <w:pPr>
            <w:jc w:val="both"/>
            <w:rPr>
              <w:szCs w:val="24"/>
              <w:lang w:val="sq-AL"/>
            </w:rPr>
          </w:pPr>
        </w:p>
        <w:p w14:paraId="257514FB" w14:textId="100A63A7" w:rsidR="005426DB" w:rsidRDefault="1044839F" w:rsidP="005426DB">
          <w:pPr>
            <w:jc w:val="both"/>
            <w:rPr>
              <w:lang w:val="sq-AL" w:bidi="en-US"/>
            </w:rPr>
          </w:pPr>
          <w:r w:rsidRPr="1044839F">
            <w:rPr>
              <w:b/>
              <w:bCs/>
              <w:lang w:val="sq-AL"/>
            </w:rPr>
            <w:t>Qyetarët,</w:t>
          </w:r>
          <w:r w:rsidRPr="1044839F">
            <w:rPr>
              <w:lang w:val="sq-AL"/>
            </w:rPr>
            <w:t xml:space="preserve"> subjekte përfitues nga ligji nr.133/2015 ndikohen drejtpërdrejt pozitivisht nga kjo ndërhyrje pasi</w:t>
          </w:r>
          <w:r w:rsidR="005D3D8B">
            <w:rPr>
              <w:lang w:val="sq-AL"/>
            </w:rPr>
            <w:t xml:space="preserve">kjo </w:t>
          </w:r>
          <w:r w:rsidRPr="1044839F">
            <w:rPr>
              <w:lang w:val="sq-AL" w:bidi="en-US"/>
            </w:rPr>
            <w:t xml:space="preserve">nismë i mundëson qytetarëve, </w:t>
          </w:r>
          <w:r w:rsidR="005D4D12">
            <w:rPr>
              <w:lang w:val="sq-AL" w:bidi="en-US"/>
            </w:rPr>
            <w:t>t</w:t>
          </w:r>
          <w:r w:rsidR="00BE1224">
            <w:rPr>
              <w:lang w:val="sq-AL" w:bidi="en-US"/>
            </w:rPr>
            <w:t>ë</w:t>
          </w:r>
          <w:r w:rsidR="005D4D12">
            <w:rPr>
              <w:lang w:val="sq-AL" w:bidi="en-US"/>
            </w:rPr>
            <w:t xml:space="preserve"> </w:t>
          </w:r>
          <w:r w:rsidR="005D4D12">
            <w:rPr>
              <w:szCs w:val="24"/>
              <w:lang w:val="sq-AL"/>
            </w:rPr>
            <w:t xml:space="preserve">shqyrtohen ato </w:t>
          </w:r>
          <w:r w:rsidR="00EF26E5" w:rsidRPr="0082254D">
            <w:rPr>
              <w:szCs w:val="24"/>
              <w:lang w:val="sq-AL"/>
            </w:rPr>
            <w:t xml:space="preserve">dosje të pa trajtuara </w:t>
          </w:r>
          <w:r w:rsidR="005D4D12">
            <w:rPr>
              <w:szCs w:val="24"/>
              <w:lang w:val="sq-AL"/>
            </w:rPr>
            <w:t xml:space="preserve">nga </w:t>
          </w:r>
          <w:r w:rsidR="00E8673D">
            <w:rPr>
              <w:szCs w:val="24"/>
              <w:lang w:val="sq-AL"/>
            </w:rPr>
            <w:t xml:space="preserve">ATP </w:t>
          </w:r>
          <w:r w:rsidR="00EF26E5" w:rsidRPr="0082254D">
            <w:rPr>
              <w:szCs w:val="24"/>
              <w:lang w:val="sq-AL"/>
            </w:rPr>
            <w:t>p</w:t>
          </w:r>
          <w:r w:rsidR="00BE1224">
            <w:rPr>
              <w:szCs w:val="24"/>
              <w:lang w:val="sq-AL"/>
            </w:rPr>
            <w:t>ë</w:t>
          </w:r>
          <w:r w:rsidR="00EF26E5" w:rsidRPr="0082254D">
            <w:rPr>
              <w:szCs w:val="24"/>
              <w:lang w:val="sq-AL"/>
            </w:rPr>
            <w:t>r njohjen e s</w:t>
          </w:r>
          <w:r w:rsidR="00BE1224">
            <w:rPr>
              <w:szCs w:val="24"/>
              <w:lang w:val="sq-AL"/>
            </w:rPr>
            <w:t>ë</w:t>
          </w:r>
          <w:r w:rsidR="00EF26E5" w:rsidRPr="0082254D">
            <w:rPr>
              <w:szCs w:val="24"/>
              <w:lang w:val="sq-AL"/>
            </w:rPr>
            <w:t xml:space="preserve"> drejt</w:t>
          </w:r>
          <w:r w:rsidR="00BE1224">
            <w:rPr>
              <w:szCs w:val="24"/>
              <w:lang w:val="sq-AL"/>
            </w:rPr>
            <w:t>ë</w:t>
          </w:r>
          <w:r w:rsidR="00EF26E5" w:rsidRPr="0082254D">
            <w:rPr>
              <w:szCs w:val="24"/>
              <w:lang w:val="sq-AL"/>
            </w:rPr>
            <w:t>s s</w:t>
          </w:r>
          <w:r w:rsidR="00BE1224">
            <w:rPr>
              <w:szCs w:val="24"/>
              <w:lang w:val="sq-AL"/>
            </w:rPr>
            <w:t>ë</w:t>
          </w:r>
          <w:r w:rsidR="00EF26E5" w:rsidRPr="0082254D">
            <w:rPr>
              <w:szCs w:val="24"/>
              <w:lang w:val="sq-AL"/>
            </w:rPr>
            <w:t xml:space="preserve"> pron</w:t>
          </w:r>
          <w:r w:rsidR="00BE1224">
            <w:rPr>
              <w:szCs w:val="24"/>
              <w:lang w:val="sq-AL"/>
            </w:rPr>
            <w:t>ë</w:t>
          </w:r>
          <w:r w:rsidR="00EF26E5" w:rsidRPr="0082254D">
            <w:rPr>
              <w:szCs w:val="24"/>
              <w:lang w:val="sq-AL"/>
            </w:rPr>
            <w:t>s</w:t>
          </w:r>
          <w:r w:rsidR="00EF26E5">
            <w:rPr>
              <w:szCs w:val="24"/>
              <w:lang w:val="sq-AL"/>
            </w:rPr>
            <w:t xml:space="preserve"> si dhe vler</w:t>
          </w:r>
          <w:r w:rsidR="00BE1224">
            <w:rPr>
              <w:szCs w:val="24"/>
              <w:lang w:val="sq-AL"/>
            </w:rPr>
            <w:t>ë</w:t>
          </w:r>
          <w:r w:rsidR="00EF26E5">
            <w:rPr>
              <w:szCs w:val="24"/>
              <w:lang w:val="sq-AL"/>
            </w:rPr>
            <w:t>simin financiar p</w:t>
          </w:r>
          <w:r w:rsidR="00BE1224">
            <w:rPr>
              <w:szCs w:val="24"/>
              <w:lang w:val="sq-AL"/>
            </w:rPr>
            <w:t>ë</w:t>
          </w:r>
          <w:r w:rsidR="00EF26E5">
            <w:rPr>
              <w:szCs w:val="24"/>
              <w:lang w:val="sq-AL"/>
            </w:rPr>
            <w:t>r ato vendime t</w:t>
          </w:r>
          <w:r w:rsidR="00BE1224">
            <w:rPr>
              <w:szCs w:val="24"/>
              <w:lang w:val="sq-AL"/>
            </w:rPr>
            <w:t>ë</w:t>
          </w:r>
          <w:r w:rsidR="00EF26E5">
            <w:rPr>
              <w:szCs w:val="24"/>
              <w:lang w:val="sq-AL"/>
            </w:rPr>
            <w:t xml:space="preserve"> pavlerësuara</w:t>
          </w:r>
          <w:r w:rsidR="005426DB" w:rsidRPr="005426DB">
            <w:rPr>
              <w:szCs w:val="24"/>
              <w:lang w:val="sq-AL"/>
            </w:rPr>
            <w:t xml:space="preserve"> </w:t>
          </w:r>
          <w:r w:rsidR="005426DB">
            <w:rPr>
              <w:szCs w:val="24"/>
              <w:lang w:val="sq-AL"/>
            </w:rPr>
            <w:t>nga ATP, t</w:t>
          </w:r>
          <w:r w:rsidR="00BE1224">
            <w:rPr>
              <w:szCs w:val="24"/>
              <w:lang w:val="sq-AL"/>
            </w:rPr>
            <w:t>ë</w:t>
          </w:r>
          <w:r w:rsidR="005426DB">
            <w:rPr>
              <w:szCs w:val="24"/>
              <w:lang w:val="sq-AL"/>
            </w:rPr>
            <w:t xml:space="preserve"> cilat nuk </w:t>
          </w:r>
          <w:r w:rsidR="00E8673D">
            <w:rPr>
              <w:szCs w:val="24"/>
              <w:lang w:val="sq-AL"/>
            </w:rPr>
            <w:t>arrihe</w:t>
          </w:r>
          <w:r w:rsidR="00697601">
            <w:rPr>
              <w:szCs w:val="24"/>
              <w:lang w:val="sq-AL"/>
            </w:rPr>
            <w:t>t t</w:t>
          </w:r>
          <w:r w:rsidR="00EF5666">
            <w:rPr>
              <w:szCs w:val="24"/>
              <w:lang w:val="sq-AL"/>
            </w:rPr>
            <w:t>ë</w:t>
          </w:r>
          <w:r w:rsidR="00697601">
            <w:rPr>
              <w:szCs w:val="24"/>
              <w:lang w:val="sq-AL"/>
            </w:rPr>
            <w:t xml:space="preserve"> p</w:t>
          </w:r>
          <w:r w:rsidR="00EF5666">
            <w:rPr>
              <w:szCs w:val="24"/>
              <w:lang w:val="sq-AL"/>
            </w:rPr>
            <w:t>ë</w:t>
          </w:r>
          <w:r w:rsidR="00697601">
            <w:rPr>
              <w:szCs w:val="24"/>
              <w:lang w:val="sq-AL"/>
            </w:rPr>
            <w:t>rfundohen deri në p</w:t>
          </w:r>
          <w:r w:rsidR="00EF5666">
            <w:rPr>
              <w:szCs w:val="24"/>
              <w:lang w:val="sq-AL"/>
            </w:rPr>
            <w:t>ë</w:t>
          </w:r>
          <w:r w:rsidR="00697601">
            <w:rPr>
              <w:szCs w:val="24"/>
              <w:lang w:val="sq-AL"/>
            </w:rPr>
            <w:t>rfundim t</w:t>
          </w:r>
          <w:r w:rsidR="00EF5666">
            <w:rPr>
              <w:szCs w:val="24"/>
              <w:lang w:val="sq-AL"/>
            </w:rPr>
            <w:t>ë</w:t>
          </w:r>
          <w:r w:rsidR="00697601">
            <w:rPr>
              <w:szCs w:val="24"/>
              <w:lang w:val="sq-AL"/>
            </w:rPr>
            <w:t xml:space="preserve"> afatit 31.12.2024.</w:t>
          </w:r>
        </w:p>
        <w:p w14:paraId="4CB1867B" w14:textId="77777777" w:rsidR="00FF0793" w:rsidRDefault="00FF0793" w:rsidP="00EC7E22">
          <w:pPr>
            <w:jc w:val="both"/>
            <w:rPr>
              <w:szCs w:val="24"/>
              <w:lang w:val="sq-AL"/>
            </w:rPr>
          </w:pPr>
        </w:p>
        <w:p w14:paraId="08F0F67E" w14:textId="02FC9AB6" w:rsidR="00E72124" w:rsidRDefault="007A33AC" w:rsidP="00AD09AE">
          <w:pPr>
            <w:jc w:val="both"/>
            <w:rPr>
              <w:szCs w:val="24"/>
              <w:lang w:val="sq-AL"/>
            </w:rPr>
          </w:pPr>
          <w:r w:rsidRPr="00AD09AE">
            <w:rPr>
              <w:b/>
              <w:szCs w:val="24"/>
              <w:lang w:val="sq-AL"/>
            </w:rPr>
            <w:t>Qeveria</w:t>
          </w:r>
          <w:r>
            <w:rPr>
              <w:szCs w:val="24"/>
              <w:lang w:val="sq-AL"/>
            </w:rPr>
            <w:t xml:space="preserve"> ndikohet nga kjo politikë, pasi kjo ndërhyrje mundëson ecurinë e procesit të kompensimit të pronave, duke siguruar transparencë dhe barazi. Ndikimi pozitiv pasqyrohet edhe në raportet e qeverisë mbi ecurinë e këtij procesi.</w:t>
          </w:r>
          <w:r w:rsidR="00AD09AE" w:rsidRPr="00AD09AE">
            <w:rPr>
              <w:bCs/>
              <w:iCs/>
              <w:szCs w:val="24"/>
              <w:lang w:val="sq-AL" w:bidi="en-US"/>
            </w:rPr>
            <w:t xml:space="preserve"> </w:t>
          </w:r>
          <w:r w:rsidR="00AD09AE">
            <w:rPr>
              <w:bCs/>
              <w:iCs/>
              <w:szCs w:val="24"/>
              <w:lang w:val="sq-AL" w:bidi="en-US"/>
            </w:rPr>
            <w:t>Kjo ndërhyrje i mundëson qeverisë përshpejtimin e përfundimit të procesit të kompensimit të pronave përmes një procesi transparent dhe efektiv</w:t>
          </w:r>
          <w:r w:rsidR="00823AC5">
            <w:rPr>
              <w:bCs/>
              <w:iCs/>
              <w:szCs w:val="24"/>
              <w:lang w:val="sq-AL" w:bidi="en-US"/>
            </w:rPr>
            <w:t xml:space="preserve"> spas p</w:t>
          </w:r>
          <w:r w:rsidR="00BE1224">
            <w:rPr>
              <w:bCs/>
              <w:iCs/>
              <w:szCs w:val="24"/>
              <w:lang w:val="sq-AL" w:bidi="en-US"/>
            </w:rPr>
            <w:t>ë</w:t>
          </w:r>
          <w:r w:rsidR="00823AC5">
            <w:rPr>
              <w:bCs/>
              <w:iCs/>
              <w:szCs w:val="24"/>
              <w:lang w:val="sq-AL" w:bidi="en-US"/>
            </w:rPr>
            <w:t>rcaktimeve t</w:t>
          </w:r>
          <w:r w:rsidR="00BE1224">
            <w:rPr>
              <w:bCs/>
              <w:iCs/>
              <w:szCs w:val="24"/>
              <w:lang w:val="sq-AL" w:bidi="en-US"/>
            </w:rPr>
            <w:t>ë</w:t>
          </w:r>
          <w:r w:rsidR="00823AC5">
            <w:rPr>
              <w:bCs/>
              <w:iCs/>
              <w:szCs w:val="24"/>
              <w:lang w:val="sq-AL" w:bidi="en-US"/>
            </w:rPr>
            <w:t xml:space="preserve"> ligjit</w:t>
          </w:r>
          <w:r w:rsidR="00AD09AE">
            <w:rPr>
              <w:bCs/>
              <w:iCs/>
              <w:szCs w:val="24"/>
              <w:lang w:val="sq-AL" w:bidi="en-US"/>
            </w:rPr>
            <w:t>, në përputhje edhe me kërkesat dhe detyrimet që ka ndërmarrë Shqipëria ndërkombëtarisht.</w:t>
          </w:r>
          <w:r w:rsidR="00500926">
            <w:rPr>
              <w:bCs/>
              <w:iCs/>
              <w:szCs w:val="24"/>
              <w:lang w:val="sq-AL" w:bidi="en-US"/>
            </w:rPr>
            <w:t xml:space="preserve"> </w:t>
          </w:r>
        </w:p>
        <w:p w14:paraId="1F2D03A9" w14:textId="77777777" w:rsidR="00AD09AE" w:rsidRDefault="00AD09AE" w:rsidP="007A33AC">
          <w:pPr>
            <w:jc w:val="both"/>
            <w:rPr>
              <w:szCs w:val="24"/>
              <w:lang w:val="sq-AL"/>
            </w:rPr>
          </w:pPr>
        </w:p>
        <w:p w14:paraId="0C27C3DE" w14:textId="66DB6D8F" w:rsidR="00697601" w:rsidRDefault="00AD09AE" w:rsidP="005426DB">
          <w:pPr>
            <w:jc w:val="both"/>
            <w:rPr>
              <w:bCs/>
              <w:iCs/>
              <w:szCs w:val="24"/>
              <w:lang w:val="sq-AL" w:bidi="en-US"/>
            </w:rPr>
          </w:pPr>
          <w:r w:rsidRPr="00AD09AE">
            <w:rPr>
              <w:b/>
              <w:bCs/>
              <w:iCs/>
              <w:szCs w:val="24"/>
              <w:lang w:val="sq-AL" w:bidi="en-US"/>
            </w:rPr>
            <w:t>Organizata jofitimprurëse, shoqëria civile</w:t>
          </w:r>
          <w:r>
            <w:rPr>
              <w:bCs/>
              <w:iCs/>
              <w:szCs w:val="24"/>
              <w:lang w:val="sq-AL" w:bidi="en-US"/>
            </w:rPr>
            <w:t xml:space="preserve"> - </w:t>
          </w:r>
          <w:r w:rsidRPr="00AD09AE">
            <w:rPr>
              <w:bCs/>
              <w:iCs/>
              <w:szCs w:val="24"/>
              <w:lang w:val="sq-AL" w:bidi="en-US"/>
            </w:rPr>
            <w:t>Kjo</w:t>
          </w:r>
          <w:r>
            <w:rPr>
              <w:bCs/>
              <w:iCs/>
              <w:szCs w:val="24"/>
              <w:lang w:val="sq-AL" w:bidi="en-US"/>
            </w:rPr>
            <w:t xml:space="preserve"> ndërhyrje sjell efekte pozitive edhe për shoqatat e ish-pronarëve dhe shoqatat që kanë si fushë të veprimtarisë së tyre mbrojtjen e të drejtës së pronës për subjektet </w:t>
          </w:r>
          <w:r>
            <w:rPr>
              <w:bCs/>
              <w:iCs/>
              <w:szCs w:val="24"/>
              <w:lang w:val="sq-AL" w:bidi="en-US"/>
            </w:rPr>
            <w:lastRenderedPageBreak/>
            <w:t xml:space="preserve">që kanë humbur pronat e tyre gjatë regjimit të mëparshëm, pasi reflekton kërkesat e tyre lidhur me </w:t>
          </w:r>
          <w:r w:rsidR="00697601">
            <w:rPr>
              <w:bCs/>
              <w:iCs/>
              <w:szCs w:val="24"/>
              <w:lang w:val="sq-AL" w:bidi="en-US"/>
            </w:rPr>
            <w:t xml:space="preserve">shtyrjen e afatit </w:t>
          </w:r>
          <w:r w:rsidR="00D53300">
            <w:rPr>
              <w:bCs/>
              <w:iCs/>
              <w:szCs w:val="24"/>
              <w:lang w:val="sq-AL" w:bidi="en-US"/>
            </w:rPr>
            <w:t>p</w:t>
          </w:r>
          <w:r w:rsidR="00EF5666">
            <w:rPr>
              <w:bCs/>
              <w:iCs/>
              <w:szCs w:val="24"/>
              <w:lang w:val="sq-AL" w:bidi="en-US"/>
            </w:rPr>
            <w:t>ë</w:t>
          </w:r>
          <w:r w:rsidR="00D53300">
            <w:rPr>
              <w:bCs/>
              <w:iCs/>
              <w:szCs w:val="24"/>
              <w:lang w:val="sq-AL" w:bidi="en-US"/>
            </w:rPr>
            <w:t>r shqyrtimin e dosjeve në rrug</w:t>
          </w:r>
          <w:r w:rsidR="00EF5666">
            <w:rPr>
              <w:bCs/>
              <w:iCs/>
              <w:szCs w:val="24"/>
              <w:lang w:val="sq-AL" w:bidi="en-US"/>
            </w:rPr>
            <w:t>ë</w:t>
          </w:r>
          <w:r w:rsidR="00D53300">
            <w:rPr>
              <w:bCs/>
              <w:iCs/>
              <w:szCs w:val="24"/>
              <w:lang w:val="sq-AL" w:bidi="en-US"/>
            </w:rPr>
            <w:t xml:space="preserve"> administrative.</w:t>
          </w:r>
        </w:p>
        <w:p w14:paraId="2F81DEC8" w14:textId="77777777" w:rsidR="00697601" w:rsidRDefault="00697601" w:rsidP="005426DB">
          <w:pPr>
            <w:jc w:val="both"/>
            <w:rPr>
              <w:bCs/>
              <w:iCs/>
              <w:szCs w:val="24"/>
              <w:lang w:val="sq-AL" w:bidi="en-US"/>
            </w:rPr>
          </w:pPr>
        </w:p>
        <w:p w14:paraId="60209841" w14:textId="77777777" w:rsidR="00E72124" w:rsidRPr="00E72124" w:rsidRDefault="72AAA341" w:rsidP="72AAA341">
          <w:pPr>
            <w:jc w:val="both"/>
            <w:rPr>
              <w:lang w:val="sq-AL"/>
            </w:rPr>
          </w:pPr>
          <w:r w:rsidRPr="72AAA341">
            <w:rPr>
              <w:lang w:val="sq-AL"/>
            </w:rPr>
            <w:t>Ndikimet për kategoritë e subjekteve të prekura janë të drejtpërdrejta</w:t>
          </w:r>
          <w:r w:rsidR="00AF7CE2">
            <w:rPr>
              <w:lang w:val="sq-AL"/>
            </w:rPr>
            <w:t>, sipas vlerësimit të paraqitur për secilin prej tyre.</w:t>
          </w:r>
        </w:p>
        <w:p w14:paraId="5D7DE3C2" w14:textId="77777777" w:rsidR="00E72124" w:rsidRDefault="00E72124" w:rsidP="007A33AC">
          <w:pPr>
            <w:jc w:val="both"/>
            <w:rPr>
              <w:szCs w:val="24"/>
              <w:lang w:val="sq-AL"/>
            </w:rPr>
          </w:pPr>
        </w:p>
        <w:p w14:paraId="419763C4" w14:textId="77777777" w:rsidR="00E72124" w:rsidRPr="00E72124" w:rsidRDefault="72AAA341" w:rsidP="72AAA341">
          <w:pPr>
            <w:jc w:val="both"/>
            <w:rPr>
              <w:b/>
              <w:bCs/>
              <w:lang w:val="sq-AL"/>
            </w:rPr>
          </w:pPr>
          <w:r w:rsidRPr="72AAA341">
            <w:rPr>
              <w:b/>
              <w:bCs/>
              <w:lang w:val="sq-AL"/>
            </w:rPr>
            <w:t>Kufizimet e analizës</w:t>
          </w:r>
        </w:p>
        <w:p w14:paraId="67DB2B52" w14:textId="77777777" w:rsidR="00E72124" w:rsidRPr="00E72124" w:rsidRDefault="00E72124" w:rsidP="00E72124">
          <w:pPr>
            <w:jc w:val="both"/>
            <w:rPr>
              <w:szCs w:val="24"/>
              <w:lang w:val="sq-AL"/>
            </w:rPr>
          </w:pPr>
        </w:p>
        <w:p w14:paraId="5E19CFD0" w14:textId="276AF7B0" w:rsidR="00B3377A" w:rsidRDefault="00B3377A" w:rsidP="00E72124">
          <w:pPr>
            <w:jc w:val="both"/>
            <w:rPr>
              <w:szCs w:val="24"/>
              <w:lang w:val="sq-AL"/>
            </w:rPr>
          </w:pPr>
          <w:r w:rsidRPr="00B3377A">
            <w:rPr>
              <w:szCs w:val="24"/>
              <w:lang w:val="sq-AL"/>
            </w:rPr>
            <w:t xml:space="preserve">Kjo politikë vlerësohet të mos ketë pengesa për realizimin e saj, pasi edhe kostot financiare </w:t>
          </w:r>
          <w:r>
            <w:rPr>
              <w:szCs w:val="24"/>
              <w:lang w:val="sq-AL"/>
            </w:rPr>
            <w:t>mbulohen brenda fondit të përcaktuar për kompensimin e pronave, sipas ligjit nr.133/2015</w:t>
          </w:r>
          <w:r w:rsidR="00D53300">
            <w:rPr>
              <w:szCs w:val="24"/>
              <w:lang w:val="sq-AL"/>
            </w:rPr>
            <w:t>, t</w:t>
          </w:r>
          <w:r w:rsidR="00EF5666">
            <w:rPr>
              <w:szCs w:val="24"/>
              <w:lang w:val="sq-AL"/>
            </w:rPr>
            <w:t>ë</w:t>
          </w:r>
          <w:r w:rsidR="00D53300">
            <w:rPr>
              <w:szCs w:val="24"/>
              <w:lang w:val="sq-AL"/>
            </w:rPr>
            <w:t xml:space="preserve"> ndryshuar</w:t>
          </w:r>
          <w:r>
            <w:rPr>
              <w:szCs w:val="24"/>
              <w:lang w:val="sq-AL"/>
            </w:rPr>
            <w:t>.</w:t>
          </w:r>
        </w:p>
        <w:p w14:paraId="1F465567" w14:textId="77777777" w:rsidR="00B3377A" w:rsidRDefault="00B3377A" w:rsidP="00E72124">
          <w:pPr>
            <w:jc w:val="both"/>
            <w:rPr>
              <w:szCs w:val="24"/>
              <w:lang w:val="sq-AL"/>
            </w:rPr>
          </w:pPr>
        </w:p>
        <w:p w14:paraId="6847070A" w14:textId="77777777" w:rsidR="00E72124" w:rsidRPr="00E72124" w:rsidRDefault="00E72124" w:rsidP="00E72124">
          <w:pPr>
            <w:jc w:val="both"/>
            <w:rPr>
              <w:szCs w:val="24"/>
              <w:lang w:val="sq-AL"/>
            </w:rPr>
          </w:pPr>
          <w:r w:rsidRPr="00E72124">
            <w:rPr>
              <w:szCs w:val="24"/>
              <w:lang w:val="sq-AL"/>
            </w:rPr>
            <w:t xml:space="preserve">Analiza e mësipërme vlerësohet të </w:t>
          </w:r>
          <w:r w:rsidR="00D239E1">
            <w:rPr>
              <w:szCs w:val="24"/>
              <w:lang w:val="sq-AL"/>
            </w:rPr>
            <w:t>mos ketë kufizime,</w:t>
          </w:r>
          <w:r w:rsidRPr="00E72124">
            <w:rPr>
              <w:szCs w:val="24"/>
              <w:lang w:val="sq-AL"/>
            </w:rPr>
            <w:t xml:space="preserve"> por ka avantazhin e mëposhtëm:</w:t>
          </w:r>
        </w:p>
        <w:p w14:paraId="07E5F46F" w14:textId="77777777" w:rsidR="00E72124" w:rsidRPr="00E72124" w:rsidRDefault="00E72124" w:rsidP="00E72124">
          <w:pPr>
            <w:jc w:val="both"/>
            <w:rPr>
              <w:szCs w:val="24"/>
              <w:lang w:val="sq-AL"/>
            </w:rPr>
          </w:pPr>
        </w:p>
        <w:p w14:paraId="7A0C29DF" w14:textId="22BA392D" w:rsidR="00D53300" w:rsidRDefault="00D53300" w:rsidP="00E72124">
          <w:pPr>
            <w:jc w:val="both"/>
            <w:rPr>
              <w:szCs w:val="24"/>
              <w:lang w:val="sq-AL"/>
            </w:rPr>
          </w:pPr>
          <w:r>
            <w:rPr>
              <w:szCs w:val="24"/>
              <w:lang w:val="sq-AL"/>
            </w:rPr>
            <w:t>Mund</w:t>
          </w:r>
          <w:r w:rsidR="00EF5666">
            <w:rPr>
              <w:szCs w:val="24"/>
              <w:lang w:val="sq-AL"/>
            </w:rPr>
            <w:t>ë</w:t>
          </w:r>
          <w:r>
            <w:rPr>
              <w:szCs w:val="24"/>
              <w:lang w:val="sq-AL"/>
            </w:rPr>
            <w:t>simin e shqyrtimit t</w:t>
          </w:r>
          <w:r w:rsidR="00EF5666">
            <w:rPr>
              <w:szCs w:val="24"/>
              <w:lang w:val="sq-AL"/>
            </w:rPr>
            <w:t>ë</w:t>
          </w:r>
          <w:r>
            <w:rPr>
              <w:szCs w:val="24"/>
              <w:lang w:val="sq-AL"/>
            </w:rPr>
            <w:t xml:space="preserve"> dosjeve t</w:t>
          </w:r>
          <w:r w:rsidR="00EF5666">
            <w:rPr>
              <w:szCs w:val="24"/>
              <w:lang w:val="sq-AL"/>
            </w:rPr>
            <w:t>ë</w:t>
          </w:r>
          <w:r>
            <w:rPr>
              <w:szCs w:val="24"/>
              <w:lang w:val="sq-AL"/>
            </w:rPr>
            <w:t xml:space="preserve"> pa trajtuara dhe kryerjen e vler</w:t>
          </w:r>
          <w:r w:rsidR="00EF5666">
            <w:rPr>
              <w:szCs w:val="24"/>
              <w:lang w:val="sq-AL"/>
            </w:rPr>
            <w:t>ë</w:t>
          </w:r>
          <w:r>
            <w:rPr>
              <w:szCs w:val="24"/>
              <w:lang w:val="sq-AL"/>
            </w:rPr>
            <w:t>simit financiar t</w:t>
          </w:r>
          <w:r w:rsidR="00EF5666">
            <w:rPr>
              <w:szCs w:val="24"/>
              <w:lang w:val="sq-AL"/>
            </w:rPr>
            <w:t>ë</w:t>
          </w:r>
          <w:r>
            <w:rPr>
              <w:szCs w:val="24"/>
              <w:lang w:val="sq-AL"/>
            </w:rPr>
            <w:t xml:space="preserve"> vendimeve në rrug</w:t>
          </w:r>
          <w:r w:rsidR="00EF5666">
            <w:rPr>
              <w:szCs w:val="24"/>
              <w:lang w:val="sq-AL"/>
            </w:rPr>
            <w:t>ë</w:t>
          </w:r>
          <w:r>
            <w:rPr>
              <w:szCs w:val="24"/>
              <w:lang w:val="sq-AL"/>
            </w:rPr>
            <w:t xml:space="preserve"> administrative, në nj</w:t>
          </w:r>
          <w:r w:rsidR="00EF5666">
            <w:rPr>
              <w:szCs w:val="24"/>
              <w:lang w:val="sq-AL"/>
            </w:rPr>
            <w:t>ë</w:t>
          </w:r>
          <w:r>
            <w:rPr>
              <w:szCs w:val="24"/>
              <w:lang w:val="sq-AL"/>
            </w:rPr>
            <w:t xml:space="preserve"> koh</w:t>
          </w:r>
          <w:r w:rsidR="00EF5666">
            <w:rPr>
              <w:szCs w:val="24"/>
              <w:lang w:val="sq-AL"/>
            </w:rPr>
            <w:t>ë</w:t>
          </w:r>
          <w:r>
            <w:rPr>
              <w:szCs w:val="24"/>
              <w:lang w:val="sq-AL"/>
            </w:rPr>
            <w:t xml:space="preserve"> m</w:t>
          </w:r>
          <w:r w:rsidR="00EF5666">
            <w:rPr>
              <w:szCs w:val="24"/>
              <w:lang w:val="sq-AL"/>
            </w:rPr>
            <w:t>ë</w:t>
          </w:r>
          <w:r>
            <w:rPr>
              <w:szCs w:val="24"/>
              <w:lang w:val="sq-AL"/>
            </w:rPr>
            <w:t xml:space="preserve"> t</w:t>
          </w:r>
          <w:r w:rsidR="00EF5666">
            <w:rPr>
              <w:szCs w:val="24"/>
              <w:lang w:val="sq-AL"/>
            </w:rPr>
            <w:t>ë</w:t>
          </w:r>
          <w:r>
            <w:rPr>
              <w:szCs w:val="24"/>
              <w:lang w:val="sq-AL"/>
            </w:rPr>
            <w:t xml:space="preserve"> shkurt</w:t>
          </w:r>
          <w:r w:rsidR="00EF5666">
            <w:rPr>
              <w:szCs w:val="24"/>
              <w:lang w:val="sq-AL"/>
            </w:rPr>
            <w:t>ë</w:t>
          </w:r>
          <w:r>
            <w:rPr>
              <w:szCs w:val="24"/>
              <w:lang w:val="sq-AL"/>
            </w:rPr>
            <w:t>r dhe me kosto minimale p</w:t>
          </w:r>
          <w:r w:rsidR="00EF5666">
            <w:rPr>
              <w:szCs w:val="24"/>
              <w:lang w:val="sq-AL"/>
            </w:rPr>
            <w:t>ë</w:t>
          </w:r>
          <w:r>
            <w:rPr>
              <w:szCs w:val="24"/>
              <w:lang w:val="sq-AL"/>
            </w:rPr>
            <w:t>r qytetar</w:t>
          </w:r>
          <w:r w:rsidR="00EF5666">
            <w:rPr>
              <w:szCs w:val="24"/>
              <w:lang w:val="sq-AL"/>
            </w:rPr>
            <w:t>ë</w:t>
          </w:r>
          <w:r>
            <w:rPr>
              <w:szCs w:val="24"/>
              <w:lang w:val="sq-AL"/>
            </w:rPr>
            <w:t>t, krahasuar me juridiksionin gjyq</w:t>
          </w:r>
          <w:r w:rsidR="00EF5666">
            <w:rPr>
              <w:szCs w:val="24"/>
              <w:lang w:val="sq-AL"/>
            </w:rPr>
            <w:t>ë</w:t>
          </w:r>
          <w:r>
            <w:rPr>
              <w:szCs w:val="24"/>
              <w:lang w:val="sq-AL"/>
            </w:rPr>
            <w:t>sor.</w:t>
          </w:r>
        </w:p>
        <w:p w14:paraId="56DF5F97" w14:textId="77777777" w:rsidR="0009582F" w:rsidRDefault="0009582F" w:rsidP="00E72124">
          <w:pPr>
            <w:jc w:val="both"/>
            <w:rPr>
              <w:szCs w:val="24"/>
              <w:lang w:val="sq-AL"/>
            </w:rPr>
          </w:pPr>
        </w:p>
        <w:p w14:paraId="5262F527" w14:textId="2724304C" w:rsidR="00D239E1" w:rsidRPr="006544EA" w:rsidRDefault="72AAA341" w:rsidP="00D239E1">
          <w:pPr>
            <w:jc w:val="both"/>
            <w:rPr>
              <w:color w:val="000000" w:themeColor="text1"/>
              <w:lang w:val="sq-AL"/>
            </w:rPr>
          </w:pPr>
          <w:r w:rsidRPr="00FB3897">
            <w:rPr>
              <w:b/>
              <w:bCs/>
              <w:color w:val="000000" w:themeColor="text1"/>
              <w:lang w:val="sq-AL"/>
            </w:rPr>
            <w:t xml:space="preserve">Kosto në buxhetin e shtetit: </w:t>
          </w:r>
          <w:r w:rsidR="00D239E1" w:rsidRPr="00FB3897">
            <w:rPr>
              <w:lang w:val="sq-AL"/>
            </w:rPr>
            <w:t xml:space="preserve"> </w:t>
          </w:r>
          <w:r w:rsidR="00D239E1" w:rsidRPr="00FB3897">
            <w:rPr>
              <w:color w:val="000000" w:themeColor="text1"/>
              <w:lang w:val="sq-AL"/>
            </w:rPr>
            <w:t xml:space="preserve">Këto ndryshime nuk prekin buxhetin e shtetit pasi që në miratimin e ligjit nr.133/2015, në shtojcën 2 të ligjit është parapërcaktuar vlera totale që shteti </w:t>
          </w:r>
          <w:r w:rsidR="00D239E1" w:rsidRPr="006544EA">
            <w:rPr>
              <w:color w:val="000000" w:themeColor="text1"/>
              <w:lang w:val="sq-AL"/>
            </w:rPr>
            <w:t xml:space="preserve">shqiptar ka marrë përsipër për të dëmshpërblyer subjektet e shpronësuar. Kjo vlerë disbursohet nga buxheti i shtetit në çdo vit kalendarik në mënyrë progresive duke filluar nga vlera prej 3 mld lekë në vitin 2016 deri 7.63 mld në vitin 2026 kur përmbushet vlera totale prej 50 mld lekë. Agjencia e Trajtimit të Pronave deri më tani ka kompensuar vetëm në vitin e parë kalendarik vlerën e plotë dhe nuk mund të ekzekutojë më shumë se kjo vlerë e përcaktuar, ndërsa në vitet e tjera nuk është arritur të ekzekutohet vlera e plotë sipas përcaktimeve të ligjit. </w:t>
          </w:r>
          <w:r w:rsidR="00D53300">
            <w:rPr>
              <w:color w:val="000000" w:themeColor="text1"/>
              <w:lang w:val="sq-AL"/>
            </w:rPr>
            <w:t>Duke qen</w:t>
          </w:r>
          <w:r w:rsidR="00EF5666">
            <w:rPr>
              <w:color w:val="000000" w:themeColor="text1"/>
              <w:lang w:val="sq-AL"/>
            </w:rPr>
            <w:t>ë</w:t>
          </w:r>
          <w:r w:rsidR="00D53300">
            <w:rPr>
              <w:color w:val="000000" w:themeColor="text1"/>
              <w:lang w:val="sq-AL"/>
            </w:rPr>
            <w:t xml:space="preserve"> se nga vitet e kaluara ka vlera t</w:t>
          </w:r>
          <w:r w:rsidR="00EF5666">
            <w:rPr>
              <w:color w:val="000000" w:themeColor="text1"/>
              <w:lang w:val="sq-AL"/>
            </w:rPr>
            <w:t>ë</w:t>
          </w:r>
          <w:r w:rsidR="00D53300">
            <w:rPr>
              <w:color w:val="000000" w:themeColor="text1"/>
              <w:lang w:val="sq-AL"/>
            </w:rPr>
            <w:t xml:space="preserve"> pa alokuara p</w:t>
          </w:r>
          <w:r w:rsidR="00EF5666">
            <w:rPr>
              <w:color w:val="000000" w:themeColor="text1"/>
              <w:lang w:val="sq-AL"/>
            </w:rPr>
            <w:t>ë</w:t>
          </w:r>
          <w:r w:rsidR="00D53300">
            <w:rPr>
              <w:color w:val="000000" w:themeColor="text1"/>
              <w:lang w:val="sq-AL"/>
            </w:rPr>
            <w:t>r ATP, p</w:t>
          </w:r>
          <w:r w:rsidR="00EF5666">
            <w:rPr>
              <w:color w:val="000000" w:themeColor="text1"/>
              <w:lang w:val="sq-AL"/>
            </w:rPr>
            <w:t>ë</w:t>
          </w:r>
          <w:r w:rsidR="00D53300">
            <w:rPr>
              <w:color w:val="000000" w:themeColor="text1"/>
              <w:lang w:val="sq-AL"/>
            </w:rPr>
            <w:t xml:space="preserve">r vitet e ardhshme deri në 2028 </w:t>
          </w:r>
          <w:r w:rsidR="00EF5666">
            <w:rPr>
              <w:color w:val="000000" w:themeColor="text1"/>
              <w:lang w:val="sq-AL"/>
            </w:rPr>
            <w:t>ë</w:t>
          </w:r>
          <w:r w:rsidR="00D53300">
            <w:rPr>
              <w:color w:val="000000" w:themeColor="text1"/>
              <w:lang w:val="sq-AL"/>
            </w:rPr>
            <w:t>sht</w:t>
          </w:r>
          <w:r w:rsidR="00EF5666">
            <w:rPr>
              <w:color w:val="000000" w:themeColor="text1"/>
              <w:lang w:val="sq-AL"/>
            </w:rPr>
            <w:t>ë</w:t>
          </w:r>
          <w:r w:rsidR="00D53300">
            <w:rPr>
              <w:color w:val="000000" w:themeColor="text1"/>
              <w:lang w:val="sq-AL"/>
            </w:rPr>
            <w:t xml:space="preserve"> menduar t</w:t>
          </w:r>
          <w:r w:rsidR="00EF5666">
            <w:rPr>
              <w:color w:val="000000" w:themeColor="text1"/>
              <w:lang w:val="sq-AL"/>
            </w:rPr>
            <w:t>ë</w:t>
          </w:r>
          <w:r w:rsidR="00D53300">
            <w:rPr>
              <w:color w:val="000000" w:themeColor="text1"/>
              <w:lang w:val="sq-AL"/>
            </w:rPr>
            <w:t xml:space="preserve"> b</w:t>
          </w:r>
          <w:r w:rsidR="00EF5666">
            <w:rPr>
              <w:color w:val="000000" w:themeColor="text1"/>
              <w:lang w:val="sq-AL"/>
            </w:rPr>
            <w:t>ë</w:t>
          </w:r>
          <w:r w:rsidR="00D53300">
            <w:rPr>
              <w:color w:val="000000" w:themeColor="text1"/>
              <w:lang w:val="sq-AL"/>
            </w:rPr>
            <w:t>het nj</w:t>
          </w:r>
          <w:r w:rsidR="00EF5666">
            <w:rPr>
              <w:color w:val="000000" w:themeColor="text1"/>
              <w:lang w:val="sq-AL"/>
            </w:rPr>
            <w:t>ë</w:t>
          </w:r>
          <w:r w:rsidR="00D53300">
            <w:rPr>
              <w:color w:val="000000" w:themeColor="text1"/>
              <w:lang w:val="sq-AL"/>
            </w:rPr>
            <w:t xml:space="preserve"> rishp</w:t>
          </w:r>
          <w:r w:rsidR="00EF5666">
            <w:rPr>
              <w:color w:val="000000" w:themeColor="text1"/>
              <w:lang w:val="sq-AL"/>
            </w:rPr>
            <w:t>ë</w:t>
          </w:r>
          <w:r w:rsidR="00D53300">
            <w:rPr>
              <w:color w:val="000000" w:themeColor="text1"/>
              <w:lang w:val="sq-AL"/>
            </w:rPr>
            <w:t xml:space="preserve">rndarje e fondit, por pa prekur </w:t>
          </w:r>
          <w:r w:rsidR="00D7546E">
            <w:rPr>
              <w:color w:val="000000" w:themeColor="text1"/>
              <w:lang w:val="sq-AL"/>
            </w:rPr>
            <w:t>fondin e marr</w:t>
          </w:r>
          <w:r w:rsidR="00EF5666">
            <w:rPr>
              <w:color w:val="000000" w:themeColor="text1"/>
              <w:lang w:val="sq-AL"/>
            </w:rPr>
            <w:t>ë</w:t>
          </w:r>
          <w:r w:rsidR="00D7546E">
            <w:rPr>
              <w:color w:val="000000" w:themeColor="text1"/>
              <w:lang w:val="sq-AL"/>
            </w:rPr>
            <w:t xml:space="preserve"> p</w:t>
          </w:r>
          <w:r w:rsidR="00EF5666">
            <w:rPr>
              <w:color w:val="000000" w:themeColor="text1"/>
              <w:lang w:val="sq-AL"/>
            </w:rPr>
            <w:t>ë</w:t>
          </w:r>
          <w:r w:rsidR="00D7546E">
            <w:rPr>
              <w:color w:val="000000" w:themeColor="text1"/>
              <w:lang w:val="sq-AL"/>
            </w:rPr>
            <w:t>rsip</w:t>
          </w:r>
          <w:r w:rsidR="00EF5666">
            <w:rPr>
              <w:color w:val="000000" w:themeColor="text1"/>
              <w:lang w:val="sq-AL"/>
            </w:rPr>
            <w:t>ë</w:t>
          </w:r>
          <w:r w:rsidR="00D7546E">
            <w:rPr>
              <w:color w:val="000000" w:themeColor="text1"/>
              <w:lang w:val="sq-AL"/>
            </w:rPr>
            <w:t>r sipas ligjit nr.133/2015, t</w:t>
          </w:r>
          <w:r w:rsidR="00EF5666">
            <w:rPr>
              <w:color w:val="000000" w:themeColor="text1"/>
              <w:lang w:val="sq-AL"/>
            </w:rPr>
            <w:t>ë</w:t>
          </w:r>
          <w:r w:rsidR="00D7546E">
            <w:rPr>
              <w:color w:val="000000" w:themeColor="text1"/>
              <w:lang w:val="sq-AL"/>
            </w:rPr>
            <w:t xml:space="preserve"> ndryshuar.</w:t>
          </w:r>
        </w:p>
        <w:p w14:paraId="420988F6" w14:textId="77777777" w:rsidR="0009582F" w:rsidRPr="00FB3897" w:rsidRDefault="0009582F" w:rsidP="0009582F">
          <w:pPr>
            <w:jc w:val="both"/>
            <w:rPr>
              <w:b/>
              <w:color w:val="000000" w:themeColor="text1"/>
              <w:szCs w:val="24"/>
              <w:lang w:val="sq-AL"/>
            </w:rPr>
          </w:pPr>
        </w:p>
        <w:p w14:paraId="02D822F5" w14:textId="77777777" w:rsidR="0009582F" w:rsidRPr="00B36716" w:rsidRDefault="72AAA341" w:rsidP="72AAA341">
          <w:pPr>
            <w:spacing w:after="240"/>
            <w:jc w:val="both"/>
            <w:rPr>
              <w:color w:val="000000" w:themeColor="text1"/>
              <w:lang w:val="fr-FR"/>
            </w:rPr>
          </w:pPr>
          <w:r w:rsidRPr="00B36716">
            <w:rPr>
              <w:b/>
              <w:bCs/>
              <w:color w:val="000000" w:themeColor="text1"/>
              <w:lang w:val="fr-FR"/>
            </w:rPr>
            <w:t xml:space="preserve">Përfitime në buxhetin e </w:t>
          </w:r>
          <w:proofErr w:type="gramStart"/>
          <w:r w:rsidRPr="00B36716">
            <w:rPr>
              <w:b/>
              <w:bCs/>
              <w:color w:val="000000" w:themeColor="text1"/>
              <w:lang w:val="fr-FR"/>
            </w:rPr>
            <w:t>shtetit:</w:t>
          </w:r>
          <w:proofErr w:type="gramEnd"/>
          <w:r w:rsidRPr="00B36716">
            <w:rPr>
              <w:color w:val="000000" w:themeColor="text1"/>
              <w:lang w:val="fr-FR"/>
            </w:rPr>
            <w:t xml:space="preserve"> Jo.</w:t>
          </w:r>
        </w:p>
        <w:p w14:paraId="38C1BF76" w14:textId="77777777" w:rsidR="0009582F" w:rsidRPr="00B36716" w:rsidRDefault="72AAA341" w:rsidP="72AAA341">
          <w:pPr>
            <w:spacing w:after="240"/>
            <w:jc w:val="both"/>
            <w:rPr>
              <w:b/>
              <w:bCs/>
              <w:color w:val="000000"/>
              <w:lang w:val="fr-FR"/>
            </w:rPr>
          </w:pPr>
          <w:r w:rsidRPr="00B36716">
            <w:rPr>
              <w:b/>
              <w:bCs/>
              <w:color w:val="000000" w:themeColor="text1"/>
              <w:lang w:val="fr-FR"/>
            </w:rPr>
            <w:t xml:space="preserve">Ndikimet </w:t>
          </w:r>
          <w:proofErr w:type="gramStart"/>
          <w:r w:rsidRPr="00B36716">
            <w:rPr>
              <w:b/>
              <w:bCs/>
              <w:color w:val="000000" w:themeColor="text1"/>
              <w:lang w:val="fr-FR"/>
            </w:rPr>
            <w:t>sociale:</w:t>
          </w:r>
          <w:proofErr w:type="gramEnd"/>
          <w:r w:rsidRPr="00B36716">
            <w:rPr>
              <w:b/>
              <w:bCs/>
              <w:color w:val="000000" w:themeColor="text1"/>
              <w:lang w:val="fr-FR"/>
            </w:rPr>
            <w:t xml:space="preserve"> </w:t>
          </w:r>
        </w:p>
        <w:p w14:paraId="52AC6B85" w14:textId="77777777" w:rsidR="00D7546E" w:rsidRDefault="00D7546E" w:rsidP="00D7546E">
          <w:pPr>
            <w:jc w:val="both"/>
            <w:rPr>
              <w:color w:val="000000"/>
              <w:szCs w:val="24"/>
              <w:lang w:val="fr-FR"/>
            </w:rPr>
          </w:pPr>
          <w:r w:rsidRPr="0030351B">
            <w:rPr>
              <w:color w:val="000000"/>
              <w:szCs w:val="24"/>
              <w:lang w:val="fr-FR"/>
            </w:rPr>
            <w:t xml:space="preserve">- </w:t>
          </w:r>
          <w:r>
            <w:rPr>
              <w:color w:val="000000"/>
              <w:szCs w:val="24"/>
              <w:lang w:val="fr-FR"/>
            </w:rPr>
            <w:t xml:space="preserve">Shqyrtimi në rrugë administrative i dosjeve, gjë që kryhet në afat më të shkurtër se rruga </w:t>
          </w:r>
          <w:proofErr w:type="gramStart"/>
          <w:r>
            <w:rPr>
              <w:color w:val="000000"/>
              <w:szCs w:val="24"/>
              <w:lang w:val="fr-FR"/>
            </w:rPr>
            <w:t>gjyqësore;</w:t>
          </w:r>
          <w:proofErr w:type="gramEnd"/>
        </w:p>
        <w:p w14:paraId="3BA5BD1C" w14:textId="77777777" w:rsidR="00D7546E" w:rsidRPr="00BC18A5" w:rsidRDefault="00D7546E" w:rsidP="00D7546E">
          <w:pPr>
            <w:jc w:val="both"/>
            <w:rPr>
              <w:color w:val="000000"/>
              <w:szCs w:val="24"/>
              <w:lang w:val="fr-FR"/>
            </w:rPr>
          </w:pPr>
          <w:r>
            <w:rPr>
              <w:color w:val="000000"/>
              <w:szCs w:val="24"/>
              <w:lang w:val="it-IT"/>
            </w:rPr>
            <w:t xml:space="preserve">- </w:t>
          </w:r>
          <w:r w:rsidRPr="00FB3897">
            <w:rPr>
              <w:color w:val="000000"/>
              <w:szCs w:val="24"/>
              <w:lang w:val="it-IT"/>
            </w:rPr>
            <w:t>Përfundimi sa më shpejt dhe brenda afateve i procesit të kompensimit të pronave;</w:t>
          </w:r>
        </w:p>
        <w:p w14:paraId="6054B54F" w14:textId="77777777" w:rsidR="00D7546E" w:rsidRPr="00FB3897" w:rsidRDefault="00D7546E" w:rsidP="00D7546E">
          <w:pPr>
            <w:jc w:val="both"/>
            <w:rPr>
              <w:color w:val="000000"/>
              <w:szCs w:val="24"/>
              <w:lang w:val="it-IT"/>
            </w:rPr>
          </w:pPr>
          <w:r>
            <w:rPr>
              <w:color w:val="000000"/>
              <w:szCs w:val="24"/>
              <w:lang w:val="it-IT"/>
            </w:rPr>
            <w:t>-</w:t>
          </w:r>
          <w:r w:rsidRPr="0051693C">
            <w:rPr>
              <w:szCs w:val="24"/>
              <w:lang w:val="sq-AL"/>
            </w:rPr>
            <w:t xml:space="preserve"> </w:t>
          </w:r>
          <w:r>
            <w:rPr>
              <w:szCs w:val="24"/>
              <w:lang w:val="sq-AL"/>
            </w:rPr>
            <w:t>Trajtimi</w:t>
          </w:r>
          <w:r w:rsidRPr="0051693C">
            <w:rPr>
              <w:szCs w:val="24"/>
              <w:lang w:val="sq-AL"/>
            </w:rPr>
            <w:t xml:space="preserve"> n</w:t>
          </w:r>
          <w:r>
            <w:rPr>
              <w:szCs w:val="24"/>
              <w:lang w:val="sq-AL"/>
            </w:rPr>
            <w:t>ë</w:t>
          </w:r>
          <w:r w:rsidRPr="0051693C">
            <w:rPr>
              <w:szCs w:val="24"/>
              <w:lang w:val="sq-AL"/>
            </w:rPr>
            <w:t xml:space="preserve"> m</w:t>
          </w:r>
          <w:r>
            <w:rPr>
              <w:szCs w:val="24"/>
              <w:lang w:val="sq-AL"/>
            </w:rPr>
            <w:t>ë</w:t>
          </w:r>
          <w:r w:rsidRPr="0051693C">
            <w:rPr>
              <w:szCs w:val="24"/>
              <w:lang w:val="sq-AL"/>
            </w:rPr>
            <w:t xml:space="preserve">nyre ezauruese </w:t>
          </w:r>
          <w:r>
            <w:rPr>
              <w:szCs w:val="24"/>
              <w:lang w:val="sq-AL"/>
            </w:rPr>
            <w:t>i</w:t>
          </w:r>
          <w:r w:rsidRPr="0051693C">
            <w:rPr>
              <w:szCs w:val="24"/>
              <w:lang w:val="sq-AL"/>
            </w:rPr>
            <w:t xml:space="preserve"> </w:t>
          </w:r>
          <w:r>
            <w:rPr>
              <w:szCs w:val="24"/>
              <w:lang w:val="sq-AL"/>
            </w:rPr>
            <w:t>shqyrtimit të</w:t>
          </w:r>
          <w:r w:rsidRPr="0051693C">
            <w:rPr>
              <w:szCs w:val="24"/>
              <w:lang w:val="sq-AL"/>
            </w:rPr>
            <w:t xml:space="preserve"> dosjeve të pa trajtuara p</w:t>
          </w:r>
          <w:r>
            <w:rPr>
              <w:szCs w:val="24"/>
              <w:lang w:val="sq-AL"/>
            </w:rPr>
            <w:t>ë</w:t>
          </w:r>
          <w:r w:rsidRPr="0051693C">
            <w:rPr>
              <w:szCs w:val="24"/>
              <w:lang w:val="sq-AL"/>
            </w:rPr>
            <w:t>r njohjen e s</w:t>
          </w:r>
          <w:r>
            <w:rPr>
              <w:szCs w:val="24"/>
              <w:lang w:val="sq-AL"/>
            </w:rPr>
            <w:t>ë</w:t>
          </w:r>
          <w:r w:rsidRPr="0051693C">
            <w:rPr>
              <w:szCs w:val="24"/>
              <w:lang w:val="sq-AL"/>
            </w:rPr>
            <w:t xml:space="preserve"> drejt</w:t>
          </w:r>
          <w:r>
            <w:rPr>
              <w:szCs w:val="24"/>
              <w:lang w:val="sq-AL"/>
            </w:rPr>
            <w:t>ë</w:t>
          </w:r>
          <w:r w:rsidRPr="0051693C">
            <w:rPr>
              <w:szCs w:val="24"/>
              <w:lang w:val="sq-AL"/>
            </w:rPr>
            <w:t>s s</w:t>
          </w:r>
          <w:r>
            <w:rPr>
              <w:szCs w:val="24"/>
              <w:lang w:val="sq-AL"/>
            </w:rPr>
            <w:t>ë</w:t>
          </w:r>
          <w:r w:rsidRPr="0051693C">
            <w:rPr>
              <w:szCs w:val="24"/>
              <w:lang w:val="sq-AL"/>
            </w:rPr>
            <w:t xml:space="preserve"> pron</w:t>
          </w:r>
          <w:r>
            <w:rPr>
              <w:szCs w:val="24"/>
              <w:lang w:val="sq-AL"/>
            </w:rPr>
            <w:t>ë</w:t>
          </w:r>
          <w:r w:rsidRPr="0051693C">
            <w:rPr>
              <w:szCs w:val="24"/>
              <w:lang w:val="sq-AL"/>
            </w:rPr>
            <w:t>s</w:t>
          </w:r>
          <w:r>
            <w:rPr>
              <w:szCs w:val="24"/>
              <w:lang w:val="sq-AL"/>
            </w:rPr>
            <w:t xml:space="preserve"> si dhe vlerësimin financiar për ato vendime të pavlerësuara.</w:t>
          </w:r>
        </w:p>
        <w:p w14:paraId="72201271" w14:textId="589B4982" w:rsidR="00E72124" w:rsidRPr="00E72124" w:rsidRDefault="00E72124" w:rsidP="00E72124">
          <w:pPr>
            <w:jc w:val="both"/>
            <w:rPr>
              <w:szCs w:val="24"/>
              <w:lang w:val="sq-AL"/>
            </w:rPr>
          </w:pPr>
        </w:p>
        <w:p w14:paraId="53706B77" w14:textId="77777777" w:rsidR="00563378" w:rsidRPr="007A33AC" w:rsidRDefault="00E72124" w:rsidP="00E72124">
          <w:pPr>
            <w:jc w:val="both"/>
            <w:rPr>
              <w:szCs w:val="24"/>
              <w:lang w:val="sq-AL"/>
            </w:rPr>
          </w:pPr>
          <w:r w:rsidRPr="00E72124">
            <w:rPr>
              <w:szCs w:val="24"/>
              <w:lang w:val="sq-AL"/>
            </w:rPr>
            <w:t>Si konkluzion, efektet e pritshme nga zbatimi i kësaj politike pritet të jenë pozitive.</w:t>
          </w:r>
        </w:p>
      </w:sdtContent>
    </w:sdt>
    <w:p w14:paraId="1AD79C29"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sdt>
      <w:sdtPr>
        <w:rPr>
          <w:rFonts w:ascii="Times New Roman" w:hAnsi="Times New Roman"/>
          <w:i/>
          <w:sz w:val="24"/>
          <w:szCs w:val="24"/>
          <w:lang w:val="sq-AL"/>
        </w:rPr>
        <w:id w:val="-1317640879"/>
        <w:lock w:val="contentLocked"/>
        <w:placeholder>
          <w:docPart w:val="DefaultPlaceholder_1081868574"/>
        </w:placeholder>
      </w:sdtPr>
      <w:sdtEndPr/>
      <w:sdtContent>
        <w:p w14:paraId="5C8E81E5" w14:textId="77777777" w:rsidR="0097570D" w:rsidRPr="0032145B" w:rsidRDefault="0097570D">
          <w:pPr>
            <w:pStyle w:val="ListParagraph"/>
            <w:numPr>
              <w:ilvl w:val="0"/>
              <w:numId w:val="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621A2673" w14:textId="77777777" w:rsidR="002125B7" w:rsidRPr="0032145B" w:rsidRDefault="0097570D">
          <w:pPr>
            <w:pStyle w:val="ListParagraph"/>
            <w:numPr>
              <w:ilvl w:val="0"/>
              <w:numId w:val="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p>
      </w:sdtContent>
    </w:sdt>
    <w:bookmarkStart w:id="18" w:name="_Toc506919739" w:displacedByCustomXml="prev"/>
    <w:sdt>
      <w:sdtPr>
        <w:rPr>
          <w:rFonts w:eastAsiaTheme="majorEastAsia"/>
          <w:color w:val="808080" w:themeColor="background1" w:themeShade="80"/>
          <w:sz w:val="20"/>
        </w:rPr>
        <w:id w:val="-113368952"/>
        <w:placeholder>
          <w:docPart w:val="2C6B1E60C1A14643A06F2DDC18E211CF"/>
        </w:placeholder>
      </w:sdtPr>
      <w:sdtEndPr>
        <w:rPr>
          <w:color w:val="auto"/>
        </w:rPr>
      </w:sdtEndPr>
      <w:sdtContent>
        <w:p w14:paraId="74B4703F" w14:textId="77777777" w:rsidR="002140C5" w:rsidRPr="002140C5" w:rsidRDefault="002140C5" w:rsidP="002140C5">
          <w:pPr>
            <w:jc w:val="both"/>
            <w:rPr>
              <w:color w:val="000000"/>
              <w:szCs w:val="22"/>
              <w:lang w:val="it-IT"/>
            </w:rPr>
          </w:pPr>
          <w:r w:rsidRPr="002140C5">
            <w:rPr>
              <w:color w:val="000000"/>
              <w:szCs w:val="22"/>
              <w:lang w:val="it-IT"/>
            </w:rPr>
            <w:t>Opsioni i rekomanduar/i preferuar është:</w:t>
          </w:r>
        </w:p>
        <w:p w14:paraId="49431374" w14:textId="77777777" w:rsidR="002140C5" w:rsidRPr="002140C5" w:rsidRDefault="002140C5" w:rsidP="002140C5">
          <w:pPr>
            <w:spacing w:line="276" w:lineRule="auto"/>
            <w:jc w:val="both"/>
            <w:rPr>
              <w:i/>
              <w:szCs w:val="24"/>
              <w:lang w:val="it-IT"/>
            </w:rPr>
          </w:pPr>
        </w:p>
        <w:p w14:paraId="2D4E18A4" w14:textId="77777777" w:rsidR="002140C5" w:rsidRPr="002140C5" w:rsidRDefault="002140C5" w:rsidP="002140C5">
          <w:pPr>
            <w:spacing w:line="276" w:lineRule="auto"/>
            <w:jc w:val="both"/>
            <w:rPr>
              <w:b/>
              <w:szCs w:val="24"/>
              <w:lang w:val="it-IT"/>
            </w:rPr>
          </w:pPr>
          <w:r w:rsidRPr="002140C5">
            <w:rPr>
              <w:b/>
              <w:szCs w:val="24"/>
              <w:lang w:val="it-IT"/>
            </w:rPr>
            <w:t>Opsioni 1 (rregullator)</w:t>
          </w:r>
        </w:p>
        <w:p w14:paraId="28141AB4" w14:textId="77777777" w:rsidR="002140C5" w:rsidRPr="002140C5" w:rsidRDefault="002140C5" w:rsidP="002140C5">
          <w:pPr>
            <w:spacing w:line="276" w:lineRule="auto"/>
            <w:jc w:val="both"/>
            <w:rPr>
              <w:b/>
              <w:szCs w:val="24"/>
              <w:lang w:val="it-IT"/>
            </w:rPr>
          </w:pPr>
        </w:p>
        <w:p w14:paraId="15C5C686" w14:textId="543B9F03" w:rsidR="002140C5" w:rsidRPr="002140C5" w:rsidRDefault="002140C5" w:rsidP="002140C5">
          <w:pPr>
            <w:spacing w:after="240" w:line="276" w:lineRule="auto"/>
            <w:jc w:val="both"/>
            <w:rPr>
              <w:szCs w:val="24"/>
              <w:lang w:val="sq-AL"/>
            </w:rPr>
          </w:pPr>
          <w:r w:rsidRPr="002140C5">
            <w:rPr>
              <w:szCs w:val="24"/>
              <w:lang w:val="it-IT"/>
            </w:rPr>
            <w:t>Vetëm nëpërmjet ndryshimeve në ligjin  nr.133/2015 “</w:t>
          </w:r>
          <w:r w:rsidRPr="002140C5">
            <w:rPr>
              <w:szCs w:val="24"/>
              <w:lang w:val="sq-AL"/>
            </w:rPr>
            <w:t>Për trajtimin e pronës dhe përfundimin e procesit të kompensimit të pronave”, të ndryshuar, mund të arrihen objektivat dhe rezultatet e synuara të këtij propozimi.</w:t>
          </w:r>
          <w:r>
            <w:rPr>
              <w:szCs w:val="24"/>
              <w:lang w:val="sq-AL"/>
            </w:rPr>
            <w:t xml:space="preserve"> </w:t>
          </w:r>
          <w:r w:rsidRPr="002140C5">
            <w:rPr>
              <w:szCs w:val="24"/>
              <w:lang w:val="sq-AL"/>
            </w:rPr>
            <w:t>Sikurse thamë edhe m</w:t>
          </w:r>
          <w:r>
            <w:rPr>
              <w:szCs w:val="24"/>
              <w:lang w:val="sq-AL"/>
            </w:rPr>
            <w:t>ë</w:t>
          </w:r>
          <w:r w:rsidRPr="002140C5">
            <w:rPr>
              <w:szCs w:val="24"/>
              <w:lang w:val="sq-AL"/>
            </w:rPr>
            <w:t xml:space="preserve"> sipër, objektivat e propozimit mund të arrihen vetëm nëpërmjet rregullimeve ligjore dhe si të tilla kërkojnë ndërhyrjen në ligjin 133/2015, të ndryshuar, e cila </w:t>
          </w:r>
          <w:r w:rsidRPr="002140C5">
            <w:rPr>
              <w:lang w:val="sq-AL"/>
            </w:rPr>
            <w:t>do të bëhet duke përcaktuar qartë në përputhje me p</w:t>
          </w:r>
          <w:r w:rsidRPr="002140C5">
            <w:rPr>
              <w:szCs w:val="24"/>
              <w:lang w:val="sq-AL"/>
            </w:rPr>
            <w:t xml:space="preserve">arimin e sigurisë juridike, një afat objektiv për shqyrtimin e dosjeve të pa shqyrtuara dhe vlerësimin financiar të vendimeve të pa vlerësuara. Ky afat i ri përcaktohet duke u </w:t>
          </w:r>
          <w:r w:rsidRPr="002140C5">
            <w:rPr>
              <w:szCs w:val="24"/>
              <w:lang w:val="sq-AL"/>
            </w:rPr>
            <w:lastRenderedPageBreak/>
            <w:t>bazuar në një analizë të kryer nga ana e Agjencisë së Trajtimit të Pronave, referuar të dhënave statistikore dhe gjendjes së burimeve që ATP ka në dispozicion.</w:t>
          </w:r>
        </w:p>
        <w:p w14:paraId="5F5DC1B1" w14:textId="77777777" w:rsidR="002140C5" w:rsidRPr="002140C5" w:rsidRDefault="002140C5" w:rsidP="002140C5">
          <w:pPr>
            <w:jc w:val="both"/>
            <w:rPr>
              <w:lang w:val="sq-AL"/>
            </w:rPr>
          </w:pPr>
          <w:r w:rsidRPr="002140C5">
            <w:rPr>
              <w:color w:val="000000" w:themeColor="text1"/>
              <w:lang w:val="sq-AL"/>
            </w:rPr>
            <w:t xml:space="preserve">Për më tepër, ligji aktual është vlerësuar për përmbajtjen e tij dhe sistemin e kompensimit që parashikon, si nga GJEDNJ, ashtu edhe nga  Gjykata Kushtetuese, e cila </w:t>
          </w:r>
          <w:r w:rsidRPr="002140C5">
            <w:rPr>
              <w:szCs w:val="24"/>
              <w:lang w:val="sq-AL"/>
            </w:rPr>
            <w:t xml:space="preserve"> ka vlerësuar se metodologjia dhe formula e parashikuar nga ligji nr. 133/2015, të ndryshuar, ndërhyjnë në të drejtën e pronës private të sanksionuar në nenin 41 të Kushtetutës, por kjo ndërhyrje respekton elementet e parashikuara në nenin 17 të Kushtetutës. S</w:t>
          </w:r>
          <w:r w:rsidRPr="002140C5">
            <w:rPr>
              <w:rFonts w:eastAsia="Arial"/>
              <w:szCs w:val="24"/>
              <w:lang w:val="sq-AL"/>
            </w:rPr>
            <w:t xml:space="preserve">kema  e kompensimit, e miratuar në ligjin nr. 133/2015, i ndryshuar, në tërësinë e saj respekton proporcionalitetin e ndërhyrjes në të drejtën e kompensimit të pronës ish-pronarëve dhe, si e tillë, është në respektim të nenit 1 të Protokollit 1 të KEDNJ-së. Po ashtu, të njejtin qendrim ka mbajtur edhe GJEDNJ-ja në jurisprudencën e saj. </w:t>
          </w:r>
        </w:p>
        <w:p w14:paraId="2ADC9A4A" w14:textId="77777777" w:rsidR="002140C5" w:rsidRPr="002140C5" w:rsidRDefault="002140C5" w:rsidP="002140C5">
          <w:pPr>
            <w:spacing w:after="240" w:line="276" w:lineRule="auto"/>
            <w:jc w:val="both"/>
            <w:rPr>
              <w:szCs w:val="24"/>
              <w:lang w:val="sq-AL"/>
            </w:rPr>
          </w:pPr>
          <w:r w:rsidRPr="002140C5">
            <w:rPr>
              <w:szCs w:val="24"/>
              <w:lang w:val="sq-AL"/>
            </w:rPr>
            <w:t>Po ashtu, efektiviteti i ligjit nr.133/2015 evidentohet edhe nga zbatimi në praktikë nga Agjencia e Trajtimit të Pronave dhe numri i çështjeve të trajtuara prej tyre.</w:t>
          </w:r>
          <w:r w:rsidRPr="002140C5">
            <w:rPr>
              <w:sz w:val="22"/>
              <w:szCs w:val="24"/>
              <w:vertAlign w:val="superscript"/>
              <w:lang w:val="sq-AL"/>
            </w:rPr>
            <w:footnoteReference w:id="5"/>
          </w:r>
          <w:r w:rsidRPr="002140C5">
            <w:rPr>
              <w:szCs w:val="24"/>
              <w:lang w:val="sq-AL"/>
            </w:rPr>
            <w:t xml:space="preserve"> </w:t>
          </w:r>
        </w:p>
        <w:p w14:paraId="6C17CD71" w14:textId="77777777" w:rsidR="002140C5" w:rsidRPr="002140C5" w:rsidRDefault="002140C5" w:rsidP="002140C5">
          <w:pPr>
            <w:spacing w:line="276" w:lineRule="auto"/>
            <w:jc w:val="both"/>
            <w:rPr>
              <w:szCs w:val="24"/>
              <w:lang w:val="sq-AL"/>
            </w:rPr>
          </w:pPr>
          <w:r w:rsidRPr="002140C5">
            <w:rPr>
              <w:szCs w:val="24"/>
              <w:lang w:val="sq-AL"/>
            </w:rPr>
            <w:t>Ndryshimi i ligjit aktual për trajtimin e pronave dhe përfundimin e procesit të kompensimit të pronave paraqet disa avantazhe, ndër të cilat përmendim:</w:t>
          </w:r>
        </w:p>
        <w:p w14:paraId="6831499B" w14:textId="77777777" w:rsidR="002140C5" w:rsidRPr="002140C5" w:rsidRDefault="002140C5" w:rsidP="002140C5">
          <w:pPr>
            <w:spacing w:line="276" w:lineRule="auto"/>
            <w:jc w:val="both"/>
            <w:rPr>
              <w:szCs w:val="24"/>
              <w:lang w:val="sq-AL"/>
            </w:rPr>
          </w:pPr>
        </w:p>
        <w:p w14:paraId="45E1AC54" w14:textId="77777777" w:rsidR="002140C5" w:rsidRPr="002140C5" w:rsidRDefault="002140C5" w:rsidP="002140C5">
          <w:pPr>
            <w:numPr>
              <w:ilvl w:val="0"/>
              <w:numId w:val="12"/>
            </w:numPr>
            <w:tabs>
              <w:tab w:val="left" w:pos="567"/>
            </w:tabs>
            <w:spacing w:after="120"/>
            <w:ind w:left="605" w:hanging="245"/>
            <w:jc w:val="both"/>
            <w:rPr>
              <w:color w:val="000000" w:themeColor="text1"/>
              <w:szCs w:val="24"/>
              <w:lang w:val="sq-AL"/>
            </w:rPr>
          </w:pPr>
          <w:r w:rsidRPr="002140C5">
            <w:rPr>
              <w:color w:val="000000" w:themeColor="text1"/>
              <w:szCs w:val="24"/>
              <w:lang w:val="sq-AL"/>
            </w:rPr>
            <w:t>Trajtimin</w:t>
          </w:r>
          <w:r w:rsidRPr="002140C5">
            <w:rPr>
              <w:szCs w:val="24"/>
              <w:lang w:val="sq-AL"/>
            </w:rPr>
            <w:t xml:space="preserve"> në mënyrë ezauruese</w:t>
          </w:r>
          <w:r w:rsidRPr="002140C5">
            <w:rPr>
              <w:color w:val="000000" w:themeColor="text1"/>
              <w:szCs w:val="24"/>
              <w:lang w:val="sq-AL"/>
            </w:rPr>
            <w:t xml:space="preserve">  </w:t>
          </w:r>
          <w:r w:rsidRPr="002140C5">
            <w:rPr>
              <w:szCs w:val="24"/>
              <w:lang w:val="sq-AL"/>
            </w:rPr>
            <w:t>për shqyrtimin e dosjeve të pa trajtuara për njohjen e së drejtës së pronës si dhe vlerësimin financiar për ato vendime të pavlerësuar.</w:t>
          </w:r>
        </w:p>
        <w:p w14:paraId="7D9CF75E" w14:textId="77777777" w:rsidR="002140C5" w:rsidRPr="002140C5" w:rsidRDefault="002140C5" w:rsidP="002140C5">
          <w:pPr>
            <w:numPr>
              <w:ilvl w:val="0"/>
              <w:numId w:val="12"/>
            </w:numPr>
            <w:tabs>
              <w:tab w:val="left" w:pos="567"/>
            </w:tabs>
            <w:spacing w:after="120"/>
            <w:ind w:left="596" w:hanging="236"/>
            <w:jc w:val="both"/>
            <w:rPr>
              <w:color w:val="000000" w:themeColor="text1"/>
              <w:szCs w:val="24"/>
              <w:lang w:val="sq-AL"/>
            </w:rPr>
          </w:pPr>
          <w:r w:rsidRPr="002140C5">
            <w:rPr>
              <w:color w:val="000000" w:themeColor="text1"/>
              <w:szCs w:val="24"/>
              <w:lang w:val="sq-AL"/>
            </w:rPr>
            <w:t>Kohë më e shpejtë për kryerjen e ndryshimeve, duke i mundësuar qytetarëve të përfitojnë nga avantazhet që sjell kjo ndërhyrje.</w:t>
          </w:r>
        </w:p>
        <w:p w14:paraId="09CABDB9" w14:textId="77777777" w:rsidR="002140C5" w:rsidRPr="002140C5" w:rsidRDefault="002140C5" w:rsidP="002140C5">
          <w:pPr>
            <w:numPr>
              <w:ilvl w:val="0"/>
              <w:numId w:val="12"/>
            </w:numPr>
            <w:tabs>
              <w:tab w:val="left" w:pos="567"/>
            </w:tabs>
            <w:spacing w:after="120"/>
            <w:ind w:left="596" w:hanging="236"/>
            <w:jc w:val="both"/>
            <w:rPr>
              <w:color w:val="000000" w:themeColor="text1"/>
              <w:szCs w:val="24"/>
              <w:lang w:val="sq-AL" w:eastAsia="it-IT"/>
            </w:rPr>
          </w:pPr>
          <w:r w:rsidRPr="002140C5">
            <w:rPr>
              <w:color w:val="000000" w:themeColor="text1"/>
              <w:szCs w:val="24"/>
              <w:lang w:val="sq-AL"/>
            </w:rPr>
            <w:t xml:space="preserve">Mundëson vazhdimin e punës së institucioneve të ngarkuara më këtë proces, për përfundimin e tij brenda afatit të përcaktuar. </w:t>
          </w:r>
        </w:p>
        <w:p w14:paraId="41DD1D53" w14:textId="77777777" w:rsidR="002140C5" w:rsidRPr="002140C5" w:rsidRDefault="002140C5" w:rsidP="002140C5">
          <w:pPr>
            <w:jc w:val="both"/>
            <w:rPr>
              <w:color w:val="000000" w:themeColor="text1"/>
              <w:szCs w:val="24"/>
              <w:lang w:val="sq-AL"/>
            </w:rPr>
          </w:pPr>
        </w:p>
        <w:p w14:paraId="5ABADF0E" w14:textId="77777777" w:rsidR="002140C5" w:rsidRPr="002140C5" w:rsidRDefault="002140C5" w:rsidP="002140C5">
          <w:pPr>
            <w:jc w:val="both"/>
            <w:rPr>
              <w:color w:val="000000" w:themeColor="text1"/>
              <w:szCs w:val="24"/>
              <w:lang w:val="sq-AL"/>
            </w:rPr>
          </w:pPr>
          <w:r w:rsidRPr="002140C5">
            <w:rPr>
              <w:color w:val="000000" w:themeColor="text1"/>
              <w:szCs w:val="24"/>
              <w:lang w:val="sq-AL"/>
            </w:rPr>
            <w:t>Në total, ky opsion sjell dobinë më të lartë krahasimisht me opsionet e tjera sepse, ofron bilancin më pozitiv të mundshëm, në përputhje edhe me kushtet që paraqet realiteti ligjor i sotëm sepse përmbush objektivat e synuara sipas këtij propozimi, brënda afateve kohore të vendosura per plotësimin e normës ligjore nga Gjykata kushtetuese, si dhe nuk sjell kosto shtesë në buxhetin e shtetit. Ky rezultat vjen nga krahasimi i kostove dhe përfitimeve të argumentuara për secilin nga opsionet e mësipërme.</w:t>
          </w:r>
        </w:p>
        <w:p w14:paraId="3D91A332" w14:textId="1EBC32E9" w:rsidR="00657AFC" w:rsidRPr="000A4E03" w:rsidRDefault="00657AFC" w:rsidP="005F3C17">
          <w:pPr>
            <w:tabs>
              <w:tab w:val="left" w:pos="720"/>
              <w:tab w:val="left" w:pos="1080"/>
              <w:tab w:val="left" w:pos="1260"/>
            </w:tabs>
            <w:suppressAutoHyphens/>
            <w:spacing w:line="276" w:lineRule="auto"/>
            <w:jc w:val="both"/>
            <w:outlineLvl w:val="0"/>
            <w:rPr>
              <w:rFonts w:ascii="Calibri" w:eastAsiaTheme="majorEastAsia" w:hAnsi="Calibri"/>
              <w:sz w:val="22"/>
              <w:lang w:val="sq-AL"/>
            </w:rPr>
          </w:pPr>
        </w:p>
        <w:p w14:paraId="1E7E8D0E" w14:textId="77777777" w:rsidR="00BE0549" w:rsidRPr="00444C36" w:rsidRDefault="00BE0549" w:rsidP="00BE0549">
          <w:pPr>
            <w:pStyle w:val="paragraph"/>
            <w:spacing w:before="0" w:beforeAutospacing="0" w:after="0" w:afterAutospacing="0"/>
            <w:jc w:val="both"/>
            <w:textAlignment w:val="baseline"/>
            <w:rPr>
              <w:color w:val="000000" w:themeColor="text1"/>
            </w:rPr>
          </w:pPr>
          <w:r w:rsidRPr="00444C36">
            <w:rPr>
              <w:rStyle w:val="normaltextrun"/>
              <w:rFonts w:eastAsiaTheme="majorEastAsia"/>
              <w:color w:val="000000" w:themeColor="text1"/>
              <w:u w:val="single"/>
              <w:lang w:val="sq-AL"/>
            </w:rPr>
            <w:t>Opsionet që janë marrë në në konsideratë për analizën me shumë kritere janë:  </w:t>
          </w:r>
          <w:r w:rsidRPr="00444C36">
            <w:rPr>
              <w:rStyle w:val="eop"/>
              <w:rFonts w:eastAsiaTheme="majorEastAsia"/>
              <w:color w:val="000000" w:themeColor="text1"/>
            </w:rPr>
            <w:t> </w:t>
          </w:r>
        </w:p>
        <w:p w14:paraId="77F61392" w14:textId="77777777" w:rsidR="00BE0549" w:rsidRDefault="00BE0549" w:rsidP="00BE0549">
          <w:pPr>
            <w:pStyle w:val="paragraph"/>
            <w:spacing w:before="0" w:beforeAutospacing="0" w:after="0" w:afterAutospacing="0"/>
            <w:jc w:val="both"/>
            <w:textAlignment w:val="baseline"/>
            <w:rPr>
              <w:rStyle w:val="normaltextrun"/>
              <w:rFonts w:eastAsiaTheme="majorEastAsia"/>
              <w:color w:val="000000" w:themeColor="text1"/>
              <w:lang w:val="sq-AL"/>
            </w:rPr>
          </w:pPr>
        </w:p>
        <w:p w14:paraId="3659BECD" w14:textId="77777777" w:rsidR="00BE0549" w:rsidRPr="000A4E03" w:rsidRDefault="00BE0549" w:rsidP="00BE0549">
          <w:pPr>
            <w:pStyle w:val="paragraph"/>
            <w:spacing w:before="0" w:beforeAutospacing="0" w:after="0" w:afterAutospacing="0"/>
            <w:jc w:val="both"/>
            <w:textAlignment w:val="baseline"/>
            <w:rPr>
              <w:color w:val="000000" w:themeColor="text1"/>
              <w:lang w:val="sq-AL"/>
            </w:rPr>
          </w:pPr>
          <w:r w:rsidRPr="002E271E">
            <w:rPr>
              <w:rStyle w:val="normaltextrun"/>
              <w:rFonts w:eastAsiaTheme="majorEastAsia"/>
              <w:color w:val="000000" w:themeColor="text1"/>
              <w:lang w:val="sq-AL"/>
            </w:rPr>
            <w:t>Opsioni 0: – Ruajtja e status quo-së, të vijohet me kuadrin ligjor ekzistues;</w:t>
          </w:r>
          <w:r w:rsidRPr="000A4E03">
            <w:rPr>
              <w:rStyle w:val="eop"/>
              <w:rFonts w:eastAsiaTheme="majorEastAsia"/>
              <w:color w:val="000000" w:themeColor="text1"/>
              <w:lang w:val="sq-AL"/>
            </w:rPr>
            <w:t> </w:t>
          </w:r>
        </w:p>
        <w:p w14:paraId="2BF99491" w14:textId="10F52086" w:rsidR="00BE0549" w:rsidRPr="000A4E03" w:rsidRDefault="00BE0549" w:rsidP="00BE0549">
          <w:pPr>
            <w:pStyle w:val="paragraph"/>
            <w:spacing w:before="0" w:beforeAutospacing="0" w:after="0" w:afterAutospacing="0"/>
            <w:jc w:val="both"/>
            <w:textAlignment w:val="baseline"/>
            <w:rPr>
              <w:color w:val="000000" w:themeColor="text1"/>
              <w:lang w:val="sq-AL"/>
            </w:rPr>
          </w:pPr>
          <w:r w:rsidRPr="002E271E">
            <w:rPr>
              <w:rStyle w:val="normaltextrun"/>
              <w:rFonts w:eastAsiaTheme="majorEastAsia"/>
              <w:color w:val="000000" w:themeColor="text1"/>
              <w:lang w:val="sq-AL"/>
            </w:rPr>
            <w:t xml:space="preserve">Opsioni 1: – Amendimi (ndryshimi) i ligjit </w:t>
          </w:r>
          <w:r w:rsidRPr="002E271E">
            <w:rPr>
              <w:rStyle w:val="normaltextrun"/>
              <w:rFonts w:eastAsiaTheme="majorEastAsia"/>
              <w:color w:val="000000" w:themeColor="text1"/>
              <w:shd w:val="clear" w:color="auto" w:fill="FFFFFF"/>
              <w:lang w:val="sq-AL"/>
            </w:rPr>
            <w:t>nr.133/2015 “Për trajtimin e pronës dhe përfundimin e procesit të kompensimit të pronave”</w:t>
          </w:r>
          <w:r w:rsidR="002140C5">
            <w:rPr>
              <w:rStyle w:val="normaltextrun"/>
              <w:rFonts w:eastAsiaTheme="majorEastAsia"/>
              <w:color w:val="000000" w:themeColor="text1"/>
              <w:shd w:val="clear" w:color="auto" w:fill="FFFFFF"/>
              <w:lang w:val="sq-AL"/>
            </w:rPr>
            <w:t>, i ndryshuar</w:t>
          </w:r>
          <w:r w:rsidRPr="000A4E03">
            <w:rPr>
              <w:rStyle w:val="normaltextrun"/>
              <w:rFonts w:eastAsiaTheme="majorEastAsia"/>
              <w:color w:val="000000" w:themeColor="text1"/>
              <w:lang w:val="sq-AL"/>
            </w:rPr>
            <w:t>;</w:t>
          </w:r>
          <w:r w:rsidRPr="000A4E03">
            <w:rPr>
              <w:rStyle w:val="eop"/>
              <w:rFonts w:eastAsiaTheme="majorEastAsia"/>
              <w:color w:val="000000" w:themeColor="text1"/>
              <w:lang w:val="sq-AL"/>
            </w:rPr>
            <w:t> </w:t>
          </w:r>
        </w:p>
        <w:p w14:paraId="20C54D34" w14:textId="77777777" w:rsidR="00BE0549" w:rsidRPr="002E271E" w:rsidRDefault="00BE0549" w:rsidP="00BE0549">
          <w:pPr>
            <w:pStyle w:val="paragraph"/>
            <w:spacing w:before="0" w:beforeAutospacing="0" w:after="0" w:afterAutospacing="0"/>
            <w:jc w:val="both"/>
            <w:textAlignment w:val="baseline"/>
            <w:rPr>
              <w:color w:val="000000" w:themeColor="text1"/>
            </w:rPr>
          </w:pPr>
          <w:r w:rsidRPr="002E271E">
            <w:rPr>
              <w:rStyle w:val="normaltextrun"/>
              <w:rFonts w:eastAsiaTheme="majorEastAsia"/>
              <w:color w:val="000000" w:themeColor="text1"/>
              <w:lang w:val="sq-AL"/>
            </w:rPr>
            <w:t>Opsioni 2:- Shfuqizimi i ligjit aktual dhe hartimi i një ligji të ri .</w:t>
          </w:r>
          <w:r w:rsidRPr="002E271E">
            <w:rPr>
              <w:rStyle w:val="eop"/>
              <w:rFonts w:eastAsiaTheme="majorEastAsia"/>
              <w:color w:val="000000" w:themeColor="text1"/>
            </w:rPr>
            <w:t> </w:t>
          </w:r>
        </w:p>
        <w:p w14:paraId="4C2F8527" w14:textId="77777777" w:rsidR="00BE0549" w:rsidRPr="002E271E" w:rsidRDefault="00BE0549" w:rsidP="00BE0549">
          <w:pPr>
            <w:pStyle w:val="paragraph"/>
            <w:spacing w:before="0" w:beforeAutospacing="0" w:after="0" w:afterAutospacing="0"/>
            <w:jc w:val="both"/>
            <w:textAlignment w:val="baseline"/>
            <w:rPr>
              <w:rStyle w:val="normaltextrun"/>
              <w:rFonts w:eastAsiaTheme="majorEastAsia"/>
              <w:color w:val="000000" w:themeColor="text1"/>
              <w:lang w:val="sq-AL"/>
            </w:rPr>
          </w:pPr>
        </w:p>
        <w:p w14:paraId="56140B06" w14:textId="77777777" w:rsidR="00BE0549" w:rsidRPr="000A4E03" w:rsidRDefault="00BE0549" w:rsidP="00BE0549">
          <w:pPr>
            <w:pStyle w:val="paragraph"/>
            <w:spacing w:before="0" w:beforeAutospacing="0" w:after="0" w:afterAutospacing="0"/>
            <w:jc w:val="both"/>
            <w:textAlignment w:val="baseline"/>
            <w:rPr>
              <w:rStyle w:val="eop"/>
              <w:rFonts w:eastAsiaTheme="majorEastAsia"/>
              <w:color w:val="000000" w:themeColor="text1"/>
              <w:lang w:val="sq-AL"/>
            </w:rPr>
          </w:pPr>
          <w:r w:rsidRPr="002E271E">
            <w:rPr>
              <w:rStyle w:val="normaltextrun"/>
              <w:rFonts w:eastAsiaTheme="majorEastAsia"/>
              <w:color w:val="000000" w:themeColor="text1"/>
              <w:lang w:val="sq-AL"/>
            </w:rPr>
            <w:t>Për të vlerësuar opsionet duke përdorur analizën me shumë kritere, janë ndjekur hapat e mëposhtëm:  </w:t>
          </w:r>
          <w:r w:rsidRPr="000A4E03">
            <w:rPr>
              <w:rStyle w:val="eop"/>
              <w:rFonts w:eastAsiaTheme="majorEastAsia"/>
              <w:color w:val="000000" w:themeColor="text1"/>
              <w:lang w:val="sq-AL"/>
            </w:rPr>
            <w:t> </w:t>
          </w:r>
        </w:p>
        <w:p w14:paraId="59F7C78F" w14:textId="77777777" w:rsidR="00BE0549" w:rsidRPr="000A4E03" w:rsidRDefault="00BE0549" w:rsidP="00BE0549">
          <w:pPr>
            <w:pStyle w:val="paragraph"/>
            <w:spacing w:before="0" w:beforeAutospacing="0" w:after="0" w:afterAutospacing="0"/>
            <w:jc w:val="both"/>
            <w:textAlignment w:val="baseline"/>
            <w:rPr>
              <w:color w:val="000000" w:themeColor="text1"/>
              <w:lang w:val="sq-AL"/>
            </w:rPr>
          </w:pPr>
        </w:p>
        <w:p w14:paraId="11AFA5C0" w14:textId="77777777" w:rsidR="00BE0549" w:rsidRPr="000A4E03" w:rsidRDefault="00BE0549" w:rsidP="00BE0549">
          <w:pPr>
            <w:pStyle w:val="paragraph"/>
            <w:spacing w:before="0" w:beforeAutospacing="0" w:after="0" w:afterAutospacing="0"/>
            <w:jc w:val="both"/>
            <w:textAlignment w:val="baseline"/>
            <w:rPr>
              <w:rStyle w:val="eop"/>
              <w:rFonts w:eastAsiaTheme="majorEastAsia"/>
              <w:color w:val="000000" w:themeColor="text1"/>
              <w:lang w:val="sq-AL"/>
            </w:rPr>
          </w:pPr>
          <w:r w:rsidRPr="00444C36">
            <w:rPr>
              <w:rStyle w:val="normaltextrun"/>
              <w:rFonts w:eastAsiaTheme="majorEastAsia"/>
              <w:color w:val="000000" w:themeColor="text1"/>
              <w:u w:val="single"/>
              <w:lang w:val="sq-AL"/>
            </w:rPr>
            <w:t>Janë përcaktuar kriteret që tregojnë arritjen e objektivave:  </w:t>
          </w:r>
          <w:r w:rsidRPr="000A4E03">
            <w:rPr>
              <w:rStyle w:val="eop"/>
              <w:rFonts w:eastAsiaTheme="majorEastAsia"/>
              <w:color w:val="000000" w:themeColor="text1"/>
              <w:lang w:val="sq-AL"/>
            </w:rPr>
            <w:t> </w:t>
          </w:r>
        </w:p>
        <w:p w14:paraId="1A766056" w14:textId="77777777" w:rsidR="00BE0549" w:rsidRPr="000A4E03" w:rsidRDefault="00BE0549" w:rsidP="00BE0549">
          <w:pPr>
            <w:pStyle w:val="paragraph"/>
            <w:spacing w:before="0" w:beforeAutospacing="0" w:after="0" w:afterAutospacing="0"/>
            <w:jc w:val="both"/>
            <w:textAlignment w:val="baseline"/>
            <w:rPr>
              <w:color w:val="000000" w:themeColor="text1"/>
              <w:lang w:val="sq-AL"/>
            </w:rPr>
          </w:pPr>
        </w:p>
        <w:p w14:paraId="4A5A95D0" w14:textId="26ED683C" w:rsidR="00BE0549" w:rsidRDefault="00BE0549">
          <w:pPr>
            <w:pStyle w:val="paragraph"/>
            <w:numPr>
              <w:ilvl w:val="0"/>
              <w:numId w:val="18"/>
            </w:numPr>
            <w:spacing w:before="0" w:beforeAutospacing="0" w:after="0" w:afterAutospacing="0"/>
            <w:ind w:left="360" w:firstLine="0"/>
            <w:jc w:val="both"/>
            <w:textAlignment w:val="baseline"/>
            <w:rPr>
              <w:rStyle w:val="normaltextrun"/>
              <w:rFonts w:eastAsiaTheme="majorEastAsia"/>
              <w:color w:val="000000" w:themeColor="text1"/>
            </w:rPr>
          </w:pPr>
          <w:r w:rsidRPr="00444C36">
            <w:rPr>
              <w:rStyle w:val="normaltextrun"/>
              <w:rFonts w:eastAsiaTheme="majorEastAsia"/>
              <w:color w:val="000000" w:themeColor="text1"/>
            </w:rPr>
            <w:t>Ulja e kohës në përfundimin e procesit të kompensimit;</w:t>
          </w:r>
        </w:p>
        <w:p w14:paraId="7CC48392" w14:textId="07EBFE1E" w:rsidR="002140C5" w:rsidRPr="00444C36" w:rsidRDefault="002140C5">
          <w:pPr>
            <w:pStyle w:val="paragraph"/>
            <w:numPr>
              <w:ilvl w:val="0"/>
              <w:numId w:val="18"/>
            </w:numPr>
            <w:spacing w:before="0" w:beforeAutospacing="0" w:after="0" w:afterAutospacing="0"/>
            <w:ind w:left="360" w:firstLine="0"/>
            <w:jc w:val="both"/>
            <w:textAlignment w:val="baseline"/>
            <w:rPr>
              <w:rStyle w:val="normaltextrun"/>
              <w:rFonts w:eastAsiaTheme="majorEastAsia"/>
              <w:color w:val="000000" w:themeColor="text1"/>
            </w:rPr>
          </w:pPr>
          <w:r>
            <w:rPr>
              <w:rStyle w:val="normaltextrun"/>
              <w:rFonts w:eastAsiaTheme="majorEastAsia"/>
              <w:color w:val="000000" w:themeColor="text1"/>
            </w:rPr>
            <w:t>Përfundimi i procesit t</w:t>
          </w:r>
          <w:r w:rsidR="00EF5666">
            <w:rPr>
              <w:rStyle w:val="normaltextrun"/>
              <w:rFonts w:eastAsiaTheme="majorEastAsia"/>
              <w:color w:val="000000" w:themeColor="text1"/>
            </w:rPr>
            <w:t>ë</w:t>
          </w:r>
          <w:r>
            <w:rPr>
              <w:rStyle w:val="normaltextrun"/>
              <w:rFonts w:eastAsiaTheme="majorEastAsia"/>
              <w:color w:val="000000" w:themeColor="text1"/>
            </w:rPr>
            <w:t xml:space="preserve"> kompensimit t</w:t>
          </w:r>
          <w:r w:rsidR="00EF5666">
            <w:rPr>
              <w:rStyle w:val="normaltextrun"/>
              <w:rFonts w:eastAsiaTheme="majorEastAsia"/>
              <w:color w:val="000000" w:themeColor="text1"/>
            </w:rPr>
            <w:t>ë</w:t>
          </w:r>
          <w:r>
            <w:rPr>
              <w:rStyle w:val="normaltextrun"/>
              <w:rFonts w:eastAsiaTheme="majorEastAsia"/>
              <w:color w:val="000000" w:themeColor="text1"/>
            </w:rPr>
            <w:t xml:space="preserve"> pronave me kosto m</w:t>
          </w:r>
          <w:r w:rsidR="00EF5666">
            <w:rPr>
              <w:rStyle w:val="normaltextrun"/>
              <w:rFonts w:eastAsiaTheme="majorEastAsia"/>
              <w:color w:val="000000" w:themeColor="text1"/>
            </w:rPr>
            <w:t>ë</w:t>
          </w:r>
          <w:r>
            <w:rPr>
              <w:rStyle w:val="normaltextrun"/>
              <w:rFonts w:eastAsiaTheme="majorEastAsia"/>
              <w:color w:val="000000" w:themeColor="text1"/>
            </w:rPr>
            <w:t xml:space="preserve"> t</w:t>
          </w:r>
          <w:r w:rsidR="00EF5666">
            <w:rPr>
              <w:rStyle w:val="normaltextrun"/>
              <w:rFonts w:eastAsiaTheme="majorEastAsia"/>
              <w:color w:val="000000" w:themeColor="text1"/>
            </w:rPr>
            <w:t>ë</w:t>
          </w:r>
          <w:r>
            <w:rPr>
              <w:rStyle w:val="normaltextrun"/>
              <w:rFonts w:eastAsiaTheme="majorEastAsia"/>
              <w:color w:val="000000" w:themeColor="text1"/>
            </w:rPr>
            <w:t xml:space="preserve"> ul</w:t>
          </w:r>
          <w:r w:rsidR="00EF5666">
            <w:rPr>
              <w:rStyle w:val="normaltextrun"/>
              <w:rFonts w:eastAsiaTheme="majorEastAsia"/>
              <w:color w:val="000000" w:themeColor="text1"/>
            </w:rPr>
            <w:t>ë</w:t>
          </w:r>
          <w:r>
            <w:rPr>
              <w:rStyle w:val="normaltextrun"/>
              <w:rFonts w:eastAsiaTheme="majorEastAsia"/>
              <w:color w:val="000000" w:themeColor="text1"/>
            </w:rPr>
            <w:t>t p</w:t>
          </w:r>
          <w:r w:rsidR="00EF5666">
            <w:rPr>
              <w:rStyle w:val="normaltextrun"/>
              <w:rFonts w:eastAsiaTheme="majorEastAsia"/>
              <w:color w:val="000000" w:themeColor="text1"/>
            </w:rPr>
            <w:t>ë</w:t>
          </w:r>
          <w:r>
            <w:rPr>
              <w:rStyle w:val="normaltextrun"/>
              <w:rFonts w:eastAsiaTheme="majorEastAsia"/>
              <w:color w:val="000000" w:themeColor="text1"/>
            </w:rPr>
            <w:t>r qytetar</w:t>
          </w:r>
          <w:r w:rsidR="00EF5666">
            <w:rPr>
              <w:rStyle w:val="normaltextrun"/>
              <w:rFonts w:eastAsiaTheme="majorEastAsia"/>
              <w:color w:val="000000" w:themeColor="text1"/>
            </w:rPr>
            <w:t>ë</w:t>
          </w:r>
          <w:r>
            <w:rPr>
              <w:rStyle w:val="normaltextrun"/>
              <w:rFonts w:eastAsiaTheme="majorEastAsia"/>
              <w:color w:val="000000" w:themeColor="text1"/>
            </w:rPr>
            <w:t>t;</w:t>
          </w:r>
        </w:p>
        <w:p w14:paraId="6BB0651F" w14:textId="5077EE30" w:rsidR="00BE0549" w:rsidRPr="00014406" w:rsidRDefault="00BE0549">
          <w:pPr>
            <w:pStyle w:val="paragraph"/>
            <w:numPr>
              <w:ilvl w:val="0"/>
              <w:numId w:val="18"/>
            </w:numPr>
            <w:spacing w:before="0" w:beforeAutospacing="0" w:after="0" w:afterAutospacing="0"/>
            <w:ind w:left="360" w:firstLine="0"/>
            <w:jc w:val="both"/>
            <w:textAlignment w:val="baseline"/>
            <w:rPr>
              <w:color w:val="000000" w:themeColor="text1"/>
            </w:rPr>
          </w:pPr>
          <w:r w:rsidRPr="00014406">
            <w:rPr>
              <w:rStyle w:val="normaltextrun"/>
              <w:rFonts w:eastAsiaTheme="majorEastAsia"/>
              <w:color w:val="000000" w:themeColor="text1"/>
              <w:lang w:val="sq-AL"/>
            </w:rPr>
            <w:t xml:space="preserve">Kosto </w:t>
          </w:r>
          <w:r w:rsidR="002140C5">
            <w:rPr>
              <w:rStyle w:val="normaltextrun"/>
              <w:rFonts w:eastAsiaTheme="majorEastAsia"/>
              <w:color w:val="000000" w:themeColor="text1"/>
              <w:lang w:val="sq-AL"/>
            </w:rPr>
            <w:t>–</w:t>
          </w:r>
          <w:r w:rsidRPr="00014406">
            <w:rPr>
              <w:rStyle w:val="normaltextrun"/>
              <w:rFonts w:eastAsiaTheme="majorEastAsia"/>
              <w:color w:val="000000" w:themeColor="text1"/>
              <w:lang w:val="sq-AL"/>
            </w:rPr>
            <w:t xml:space="preserve"> efektiviteti</w:t>
          </w:r>
          <w:r w:rsidR="002140C5">
            <w:rPr>
              <w:rStyle w:val="normaltextrun"/>
              <w:rFonts w:eastAsiaTheme="majorEastAsia"/>
              <w:color w:val="000000" w:themeColor="text1"/>
              <w:lang w:val="sq-AL"/>
            </w:rPr>
            <w:t>.</w:t>
          </w:r>
        </w:p>
        <w:p w14:paraId="69245364" w14:textId="77777777" w:rsidR="00BE0549" w:rsidRPr="00444C36" w:rsidRDefault="00BE0549" w:rsidP="00BE0549">
          <w:pPr>
            <w:pStyle w:val="paragraph"/>
            <w:spacing w:before="0" w:beforeAutospacing="0" w:after="0" w:afterAutospacing="0"/>
            <w:jc w:val="both"/>
            <w:textAlignment w:val="baseline"/>
            <w:rPr>
              <w:color w:val="000000" w:themeColor="text1"/>
            </w:rPr>
          </w:pPr>
          <w:r w:rsidRPr="00444C36">
            <w:rPr>
              <w:color w:val="000000" w:themeColor="text1"/>
            </w:rPr>
            <w:t xml:space="preserve">  </w:t>
          </w:r>
        </w:p>
        <w:p w14:paraId="31A00A5B" w14:textId="77777777" w:rsidR="00BE0549" w:rsidRDefault="00BE0549" w:rsidP="00BE0549">
          <w:pPr>
            <w:pStyle w:val="paragraph"/>
            <w:spacing w:before="0" w:beforeAutospacing="0" w:after="0" w:afterAutospacing="0"/>
            <w:jc w:val="both"/>
            <w:textAlignment w:val="baseline"/>
            <w:rPr>
              <w:rStyle w:val="eop"/>
              <w:rFonts w:eastAsiaTheme="majorEastAsia"/>
              <w:color w:val="000000" w:themeColor="text1"/>
            </w:rPr>
          </w:pPr>
          <w:r w:rsidRPr="00444C36">
            <w:rPr>
              <w:color w:val="000000" w:themeColor="text1"/>
            </w:rPr>
            <w:t xml:space="preserve">  </w:t>
          </w:r>
          <w:r w:rsidRPr="00444C36">
            <w:rPr>
              <w:rStyle w:val="normaltextrun"/>
              <w:rFonts w:eastAsiaTheme="majorEastAsia"/>
              <w:color w:val="000000" w:themeColor="text1"/>
              <w:u w:val="single"/>
              <w:lang w:val="sq-AL"/>
            </w:rPr>
            <w:t>Është vendosur pesha e kritereve sipas rëndësisë relative:  </w:t>
          </w:r>
          <w:r w:rsidRPr="00444C36">
            <w:rPr>
              <w:rStyle w:val="eop"/>
              <w:rFonts w:eastAsiaTheme="majorEastAsia"/>
              <w:color w:val="000000" w:themeColor="text1"/>
            </w:rPr>
            <w:t> </w:t>
          </w:r>
        </w:p>
        <w:p w14:paraId="63BA1588" w14:textId="77777777" w:rsidR="00BE0549" w:rsidRPr="00444C36" w:rsidRDefault="00BE0549" w:rsidP="00BE0549">
          <w:pPr>
            <w:pStyle w:val="paragraph"/>
            <w:spacing w:before="0" w:beforeAutospacing="0" w:after="0" w:afterAutospacing="0"/>
            <w:jc w:val="both"/>
            <w:textAlignment w:val="baseline"/>
            <w:rPr>
              <w:color w:val="000000" w:themeColor="text1"/>
            </w:rPr>
          </w:pPr>
        </w:p>
        <w:p w14:paraId="74D8DF64" w14:textId="7811BB00" w:rsidR="00BE0549" w:rsidRPr="002140C5" w:rsidRDefault="00BE0549">
          <w:pPr>
            <w:pStyle w:val="paragraph"/>
            <w:numPr>
              <w:ilvl w:val="0"/>
              <w:numId w:val="19"/>
            </w:numPr>
            <w:spacing w:before="0" w:beforeAutospacing="0" w:after="0" w:afterAutospacing="0"/>
            <w:ind w:left="360" w:firstLine="0"/>
            <w:jc w:val="both"/>
            <w:textAlignment w:val="baseline"/>
            <w:rPr>
              <w:rStyle w:val="eop"/>
              <w:color w:val="000000" w:themeColor="text1"/>
            </w:rPr>
          </w:pPr>
          <w:r w:rsidRPr="00444C36">
            <w:rPr>
              <w:rStyle w:val="normaltextrun"/>
              <w:rFonts w:eastAsiaTheme="majorEastAsia"/>
              <w:color w:val="000000" w:themeColor="text1"/>
            </w:rPr>
            <w:t>Ulja e kohës në përfundimin e procesit të kompensimit</w:t>
          </w:r>
          <w:r w:rsidRPr="00444C36">
            <w:rPr>
              <w:rStyle w:val="normaltextrun"/>
              <w:rFonts w:eastAsiaTheme="majorEastAsia"/>
              <w:color w:val="000000" w:themeColor="text1"/>
              <w:u w:val="single"/>
              <w:lang w:val="en-GB"/>
            </w:rPr>
            <w:t xml:space="preserve"> </w:t>
          </w:r>
          <w:r w:rsidRPr="002E271E">
            <w:rPr>
              <w:rStyle w:val="normaltextrun"/>
              <w:rFonts w:eastAsiaTheme="majorEastAsia"/>
              <w:color w:val="000000" w:themeColor="text1"/>
              <w:lang w:val="en-GB"/>
            </w:rPr>
            <w:t>- 5</w:t>
          </w:r>
          <w:r w:rsidRPr="002E271E">
            <w:rPr>
              <w:rStyle w:val="eop"/>
              <w:rFonts w:eastAsiaTheme="majorEastAsia"/>
              <w:color w:val="000000" w:themeColor="text1"/>
            </w:rPr>
            <w:t> </w:t>
          </w:r>
        </w:p>
        <w:p w14:paraId="081BFE0C" w14:textId="7E10454D" w:rsidR="002140C5" w:rsidRPr="002140C5" w:rsidRDefault="002140C5" w:rsidP="002140C5">
          <w:pPr>
            <w:pStyle w:val="paragraph"/>
            <w:numPr>
              <w:ilvl w:val="0"/>
              <w:numId w:val="19"/>
            </w:numPr>
            <w:jc w:val="both"/>
            <w:textAlignment w:val="baseline"/>
            <w:rPr>
              <w:color w:val="000000" w:themeColor="text1"/>
            </w:rPr>
          </w:pPr>
          <w:r w:rsidRPr="002140C5">
            <w:rPr>
              <w:color w:val="000000" w:themeColor="text1"/>
            </w:rPr>
            <w:t>Përfundimi i procesit t</w:t>
          </w:r>
          <w:r w:rsidR="00EF5666">
            <w:rPr>
              <w:color w:val="000000" w:themeColor="text1"/>
            </w:rPr>
            <w:t>ë</w:t>
          </w:r>
          <w:r w:rsidRPr="002140C5">
            <w:rPr>
              <w:color w:val="000000" w:themeColor="text1"/>
            </w:rPr>
            <w:t xml:space="preserve"> kompensimit t</w:t>
          </w:r>
          <w:r w:rsidR="00EF5666">
            <w:rPr>
              <w:color w:val="000000" w:themeColor="text1"/>
            </w:rPr>
            <w:t>ë</w:t>
          </w:r>
          <w:r w:rsidRPr="002140C5">
            <w:rPr>
              <w:color w:val="000000" w:themeColor="text1"/>
            </w:rPr>
            <w:t xml:space="preserve"> pronave me kosto m</w:t>
          </w:r>
          <w:r w:rsidR="00EF5666">
            <w:rPr>
              <w:color w:val="000000" w:themeColor="text1"/>
            </w:rPr>
            <w:t>ë</w:t>
          </w:r>
          <w:r w:rsidRPr="002140C5">
            <w:rPr>
              <w:color w:val="000000" w:themeColor="text1"/>
            </w:rPr>
            <w:t xml:space="preserve"> t</w:t>
          </w:r>
          <w:r w:rsidR="00EF5666">
            <w:rPr>
              <w:color w:val="000000" w:themeColor="text1"/>
            </w:rPr>
            <w:t>ë</w:t>
          </w:r>
          <w:r w:rsidRPr="002140C5">
            <w:rPr>
              <w:color w:val="000000" w:themeColor="text1"/>
            </w:rPr>
            <w:t xml:space="preserve"> ul</w:t>
          </w:r>
          <w:r w:rsidR="00EF5666">
            <w:rPr>
              <w:color w:val="000000" w:themeColor="text1"/>
            </w:rPr>
            <w:t>ë</w:t>
          </w:r>
          <w:r w:rsidRPr="002140C5">
            <w:rPr>
              <w:color w:val="000000" w:themeColor="text1"/>
            </w:rPr>
            <w:t>t p</w:t>
          </w:r>
          <w:r w:rsidR="00EF5666">
            <w:rPr>
              <w:color w:val="000000" w:themeColor="text1"/>
            </w:rPr>
            <w:t>ë</w:t>
          </w:r>
          <w:r w:rsidRPr="002140C5">
            <w:rPr>
              <w:color w:val="000000" w:themeColor="text1"/>
            </w:rPr>
            <w:t>r qytetar</w:t>
          </w:r>
          <w:r w:rsidR="00EF5666">
            <w:rPr>
              <w:color w:val="000000" w:themeColor="text1"/>
            </w:rPr>
            <w:t>ë</w:t>
          </w:r>
          <w:r w:rsidRPr="002140C5">
            <w:rPr>
              <w:color w:val="000000" w:themeColor="text1"/>
            </w:rPr>
            <w:t>t</w:t>
          </w:r>
          <w:r>
            <w:rPr>
              <w:color w:val="000000" w:themeColor="text1"/>
            </w:rPr>
            <w:t xml:space="preserve"> - 5</w:t>
          </w:r>
        </w:p>
        <w:p w14:paraId="5B3FD653" w14:textId="0E663FE5" w:rsidR="002140C5" w:rsidRPr="002E271E" w:rsidRDefault="002140C5" w:rsidP="002140C5">
          <w:pPr>
            <w:pStyle w:val="paragraph"/>
            <w:numPr>
              <w:ilvl w:val="0"/>
              <w:numId w:val="19"/>
            </w:numPr>
            <w:spacing w:before="0" w:beforeAutospacing="0" w:after="0" w:afterAutospacing="0"/>
            <w:jc w:val="both"/>
            <w:textAlignment w:val="baseline"/>
            <w:rPr>
              <w:color w:val="000000" w:themeColor="text1"/>
            </w:rPr>
          </w:pPr>
          <w:r w:rsidRPr="002140C5">
            <w:rPr>
              <w:color w:val="000000" w:themeColor="text1"/>
            </w:rPr>
            <w:lastRenderedPageBreak/>
            <w:t>Kosto – efektiviteti</w:t>
          </w:r>
          <w:r>
            <w:rPr>
              <w:color w:val="000000" w:themeColor="text1"/>
            </w:rPr>
            <w:t xml:space="preserve"> - 4</w:t>
          </w:r>
        </w:p>
        <w:p w14:paraId="5E771966" w14:textId="77777777" w:rsidR="00BE0549" w:rsidRPr="00444C36" w:rsidRDefault="00BE0549" w:rsidP="00BE0549">
          <w:pPr>
            <w:pStyle w:val="paragraph"/>
            <w:spacing w:before="0" w:beforeAutospacing="0" w:after="0" w:afterAutospacing="0"/>
            <w:jc w:val="both"/>
            <w:textAlignment w:val="baseline"/>
            <w:rPr>
              <w:color w:val="000000" w:themeColor="text1"/>
            </w:rPr>
          </w:pPr>
          <w:r w:rsidRPr="00444C36">
            <w:rPr>
              <w:rStyle w:val="eop"/>
              <w:rFonts w:eastAsiaTheme="majorEastAsia"/>
              <w:color w:val="000000" w:themeColor="text1"/>
            </w:rPr>
            <w:t> </w:t>
          </w:r>
        </w:p>
        <w:p w14:paraId="1A1640E3" w14:textId="77777777" w:rsidR="00BE0549" w:rsidRPr="0042634B" w:rsidRDefault="00BE0549" w:rsidP="00BE0549">
          <w:pPr>
            <w:pStyle w:val="paragraph"/>
            <w:spacing w:before="0" w:beforeAutospacing="0" w:after="0" w:afterAutospacing="0"/>
            <w:jc w:val="both"/>
            <w:textAlignment w:val="baseline"/>
            <w:rPr>
              <w:color w:val="000000" w:themeColor="text1"/>
            </w:rPr>
          </w:pPr>
          <w:r w:rsidRPr="0042634B">
            <w:rPr>
              <w:rStyle w:val="normaltextrun"/>
              <w:rFonts w:eastAsiaTheme="majorEastAsia"/>
              <w:color w:val="000000" w:themeColor="text1"/>
              <w:lang w:val="sq-AL"/>
            </w:rPr>
            <w:t>Pra, për të bërë dallimin e opsioneve nga njëra-tjetra dhe me qëllim përzgjedhjen e opsionit më të mirë secili kriter është vlerësuar me një peshë specifike vlerësuar nga 1-5;  </w:t>
          </w:r>
          <w:r w:rsidRPr="0042634B">
            <w:rPr>
              <w:rStyle w:val="eop"/>
              <w:rFonts w:eastAsiaTheme="majorEastAsia"/>
              <w:color w:val="000000" w:themeColor="text1"/>
            </w:rPr>
            <w:t> </w:t>
          </w:r>
        </w:p>
        <w:p w14:paraId="62C40E58" w14:textId="77777777" w:rsidR="00BE0549" w:rsidRPr="0042634B" w:rsidRDefault="00BE0549" w:rsidP="00BE0549">
          <w:pPr>
            <w:pStyle w:val="paragraph"/>
            <w:spacing w:before="0" w:beforeAutospacing="0" w:after="0" w:afterAutospacing="0"/>
            <w:jc w:val="both"/>
            <w:textAlignment w:val="baseline"/>
            <w:rPr>
              <w:color w:val="000000" w:themeColor="text1"/>
            </w:rPr>
          </w:pPr>
          <w:r w:rsidRPr="0042634B">
            <w:rPr>
              <w:rStyle w:val="normaltextrun"/>
              <w:rFonts w:eastAsiaTheme="majorEastAsia"/>
              <w:color w:val="000000" w:themeColor="text1"/>
              <w:lang w:val="sq-AL"/>
            </w:rPr>
            <w:t>Gjithashtu, secili kriter në varësi të peshës së tij, është vlerësuar me pikë përkatëse sipas shkallës së preferencës për çdo opsion për secilin kriter nga 0-5 ku 0 përfaqëson opsionin më pak të preferuar dhe 5 atë më të preferuarin.</w:t>
          </w:r>
          <w:r w:rsidRPr="0042634B">
            <w:rPr>
              <w:rStyle w:val="eop"/>
              <w:rFonts w:eastAsiaTheme="majorEastAsia"/>
              <w:color w:val="000000" w:themeColor="text1"/>
            </w:rPr>
            <w:t> </w:t>
          </w:r>
        </w:p>
        <w:p w14:paraId="1667238F" w14:textId="77777777" w:rsidR="00BE0549" w:rsidRPr="00444C36" w:rsidRDefault="00BE0549" w:rsidP="00BE0549">
          <w:pPr>
            <w:rPr>
              <w:szCs w:val="24"/>
            </w:rPr>
          </w:pPr>
        </w:p>
        <w:p w14:paraId="0DCBD368" w14:textId="77777777" w:rsidR="00BE0549" w:rsidRPr="00444C36" w:rsidRDefault="00BE0549" w:rsidP="00BE0549">
          <w:pPr>
            <w:jc w:val="both"/>
            <w:textAlignment w:val="baseline"/>
            <w:rPr>
              <w:color w:val="000000"/>
              <w:szCs w:val="24"/>
            </w:rPr>
          </w:pPr>
          <w:r w:rsidRPr="00444C36">
            <w:rPr>
              <w:color w:val="000000"/>
              <w:szCs w:val="24"/>
            </w:rPr>
            <w:t>Matrica e performancës: </w:t>
          </w:r>
        </w:p>
        <w:p w14:paraId="5F7A07EF" w14:textId="77777777" w:rsidR="00BE0549" w:rsidRPr="00444C36" w:rsidRDefault="00BE0549" w:rsidP="00BE0549">
          <w:pPr>
            <w:jc w:val="both"/>
            <w:textAlignment w:val="baseline"/>
            <w:rPr>
              <w:color w:val="000000"/>
              <w:szCs w:val="24"/>
            </w:rPr>
          </w:pPr>
          <w:r w:rsidRPr="00444C36">
            <w:rPr>
              <w:color w:val="000000"/>
              <w:szCs w:val="24"/>
            </w:rPr>
            <w:t> </w:t>
          </w:r>
        </w:p>
        <w:tbl>
          <w:tblPr>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4"/>
            <w:gridCol w:w="1516"/>
            <w:gridCol w:w="1064"/>
            <w:gridCol w:w="1598"/>
            <w:gridCol w:w="890"/>
            <w:gridCol w:w="1335"/>
            <w:gridCol w:w="715"/>
            <w:gridCol w:w="830"/>
          </w:tblGrid>
          <w:tr w:rsidR="00BE0549" w:rsidRPr="00444C36" w14:paraId="2A6EB486" w14:textId="77777777" w:rsidTr="00BD449A">
            <w:trPr>
              <w:trHeight w:val="273"/>
            </w:trPr>
            <w:tc>
              <w:tcPr>
                <w:tcW w:w="224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78F3CC8" w14:textId="77777777" w:rsidR="00BE0549" w:rsidRPr="00444C36" w:rsidRDefault="00BE0549">
                <w:pPr>
                  <w:jc w:val="center"/>
                  <w:textAlignment w:val="baseline"/>
                  <w:rPr>
                    <w:szCs w:val="24"/>
                  </w:rPr>
                </w:pPr>
                <w:r w:rsidRPr="00444C36">
                  <w:rPr>
                    <w:b/>
                    <w:bCs/>
                    <w:szCs w:val="24"/>
                    <w:lang w:val="sq-AL"/>
                  </w:rPr>
                  <w:t>Kriteret</w:t>
                </w:r>
                <w:r w:rsidRPr="00444C36">
                  <w:rPr>
                    <w:szCs w:val="24"/>
                  </w:rPr>
                  <w:t> </w:t>
                </w:r>
              </w:p>
            </w:tc>
            <w:tc>
              <w:tcPr>
                <w:tcW w:w="153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D1BA024" w14:textId="77777777" w:rsidR="00BE0549" w:rsidRPr="00444C36" w:rsidRDefault="00BE0549">
                <w:pPr>
                  <w:jc w:val="center"/>
                  <w:textAlignment w:val="baseline"/>
                  <w:rPr>
                    <w:szCs w:val="24"/>
                  </w:rPr>
                </w:pPr>
                <w:r w:rsidRPr="00444C36">
                  <w:rPr>
                    <w:b/>
                    <w:bCs/>
                    <w:szCs w:val="24"/>
                    <w:lang w:val="sq-AL"/>
                  </w:rPr>
                  <w:t>Pesha</w:t>
                </w:r>
                <w:r w:rsidRPr="00444C36">
                  <w:rPr>
                    <w:szCs w:val="24"/>
                  </w:rPr>
                  <w:t> </w:t>
                </w:r>
              </w:p>
              <w:p w14:paraId="27DB7CF7" w14:textId="77777777" w:rsidR="00BE0549" w:rsidRPr="00444C36" w:rsidRDefault="00BE0549">
                <w:pPr>
                  <w:jc w:val="center"/>
                  <w:textAlignment w:val="baseline"/>
                  <w:rPr>
                    <w:szCs w:val="24"/>
                  </w:rPr>
                </w:pPr>
                <w:r w:rsidRPr="00444C36">
                  <w:rPr>
                    <w:b/>
                    <w:bCs/>
                    <w:szCs w:val="24"/>
                    <w:lang w:val="sq-AL"/>
                  </w:rPr>
                  <w:t>(Rëndësia relative)</w:t>
                </w:r>
                <w:r w:rsidRPr="00444C36">
                  <w:rPr>
                    <w:szCs w:val="24"/>
                  </w:rPr>
                  <w:t>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55DB2F" w14:textId="77777777" w:rsidR="00BE0549" w:rsidRPr="00444C36" w:rsidRDefault="00BE0549">
                <w:pPr>
                  <w:jc w:val="center"/>
                  <w:textAlignment w:val="baseline"/>
                  <w:rPr>
                    <w:szCs w:val="24"/>
                  </w:rPr>
                </w:pPr>
                <w:r w:rsidRPr="00444C36">
                  <w:rPr>
                    <w:b/>
                    <w:bCs/>
                    <w:szCs w:val="24"/>
                    <w:lang w:val="sq-AL"/>
                  </w:rPr>
                  <w:t>Opsioni 0</w:t>
                </w:r>
                <w:r w:rsidRPr="00444C36">
                  <w:rPr>
                    <w:szCs w:val="24"/>
                  </w:rPr>
                  <w:t> </w:t>
                </w:r>
              </w:p>
            </w:tc>
            <w:tc>
              <w:tcPr>
                <w:tcW w:w="22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C6708B" w14:textId="77777777" w:rsidR="00BE0549" w:rsidRPr="00444C36" w:rsidRDefault="00BE0549">
                <w:pPr>
                  <w:jc w:val="center"/>
                  <w:textAlignment w:val="baseline"/>
                  <w:rPr>
                    <w:szCs w:val="24"/>
                  </w:rPr>
                </w:pPr>
                <w:r w:rsidRPr="00444C36">
                  <w:rPr>
                    <w:b/>
                    <w:bCs/>
                    <w:szCs w:val="24"/>
                    <w:lang w:val="sq-AL"/>
                  </w:rPr>
                  <w:t>Opsioni 1</w:t>
                </w:r>
                <w:r w:rsidRPr="00444C36">
                  <w:rPr>
                    <w:szCs w:val="24"/>
                  </w:rPr>
                  <w:t> </w:t>
                </w:r>
              </w:p>
            </w:tc>
            <w:tc>
              <w:tcPr>
                <w:tcW w:w="1440" w:type="dxa"/>
                <w:gridSpan w:val="2"/>
                <w:tcBorders>
                  <w:top w:val="single" w:sz="6" w:space="0" w:color="auto"/>
                  <w:left w:val="single" w:sz="6" w:space="0" w:color="auto"/>
                  <w:bottom w:val="single" w:sz="6" w:space="0" w:color="auto"/>
                  <w:right w:val="single" w:sz="6" w:space="0" w:color="auto"/>
                </w:tcBorders>
              </w:tcPr>
              <w:p w14:paraId="69D84F7F" w14:textId="77777777" w:rsidR="00BE0549" w:rsidRPr="00444C36" w:rsidRDefault="00BE0549">
                <w:pPr>
                  <w:jc w:val="center"/>
                  <w:textAlignment w:val="baseline"/>
                  <w:rPr>
                    <w:b/>
                    <w:bCs/>
                    <w:szCs w:val="24"/>
                    <w:lang w:val="sq-AL"/>
                  </w:rPr>
                </w:pPr>
                <w:r>
                  <w:rPr>
                    <w:b/>
                    <w:bCs/>
                    <w:szCs w:val="24"/>
                    <w:lang w:val="sq-AL"/>
                  </w:rPr>
                  <w:t>Opsioni 2</w:t>
                </w:r>
              </w:p>
            </w:tc>
          </w:tr>
          <w:tr w:rsidR="00BE0549" w:rsidRPr="00444C36" w14:paraId="5A3B8DCF" w14:textId="77777777" w:rsidTr="00BD449A">
            <w:trPr>
              <w:trHeight w:val="834"/>
            </w:trPr>
            <w:tc>
              <w:tcPr>
                <w:tcW w:w="224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10360B" w14:textId="77777777" w:rsidR="00BE0549" w:rsidRPr="00444C36" w:rsidRDefault="00BE0549">
                <w:pPr>
                  <w:rPr>
                    <w:szCs w:val="24"/>
                  </w:rPr>
                </w:pPr>
              </w:p>
            </w:tc>
            <w:tc>
              <w:tcPr>
                <w:tcW w:w="15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F63B22" w14:textId="77777777" w:rsidR="00BE0549" w:rsidRPr="00444C36" w:rsidRDefault="00BE0549">
                <w:pPr>
                  <w:rPr>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4759FE" w14:textId="77777777" w:rsidR="00BE0549" w:rsidRPr="00444C36" w:rsidRDefault="00BE0549">
                <w:pPr>
                  <w:jc w:val="center"/>
                  <w:textAlignment w:val="baseline"/>
                  <w:rPr>
                    <w:szCs w:val="24"/>
                  </w:rPr>
                </w:pPr>
                <w:r w:rsidRPr="00444C36">
                  <w:rPr>
                    <w:b/>
                    <w:bCs/>
                    <w:szCs w:val="24"/>
                    <w:lang w:val="sq-AL"/>
                  </w:rPr>
                  <w:t>Pikë</w:t>
                </w:r>
                <w:r w:rsidRPr="00444C36">
                  <w:rPr>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5472E4" w14:textId="77777777" w:rsidR="00BE0549" w:rsidRPr="00444C36" w:rsidRDefault="00BE0549">
                <w:pPr>
                  <w:jc w:val="center"/>
                  <w:textAlignment w:val="baseline"/>
                  <w:rPr>
                    <w:szCs w:val="24"/>
                  </w:rPr>
                </w:pPr>
                <w:r w:rsidRPr="00444C36">
                  <w:rPr>
                    <w:b/>
                    <w:bCs/>
                    <w:szCs w:val="24"/>
                    <w:lang w:val="sq-AL"/>
                  </w:rPr>
                  <w:t>Vlera</w:t>
                </w:r>
                <w:r w:rsidRPr="00444C36">
                  <w:rPr>
                    <w:szCs w:val="24"/>
                  </w:rPr>
                  <w:t> </w:t>
                </w:r>
              </w:p>
              <w:p w14:paraId="03C853FF" w14:textId="77777777" w:rsidR="00BE0549" w:rsidRPr="00444C36" w:rsidRDefault="00BE0549">
                <w:pPr>
                  <w:textAlignment w:val="baseline"/>
                  <w:rPr>
                    <w:szCs w:val="24"/>
                  </w:rPr>
                </w:pPr>
                <w:r w:rsidRPr="00444C36">
                  <w:rPr>
                    <w:b/>
                    <w:bCs/>
                    <w:szCs w:val="24"/>
                    <w:lang w:val="sq-AL"/>
                  </w:rPr>
                  <w:t>(=Pesha x pikë)</w:t>
                </w:r>
                <w:r w:rsidRPr="00444C36">
                  <w:rPr>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B15D5" w14:textId="77777777" w:rsidR="00BE0549" w:rsidRPr="00444C36" w:rsidRDefault="00BE0549">
                <w:pPr>
                  <w:jc w:val="center"/>
                  <w:textAlignment w:val="baseline"/>
                  <w:rPr>
                    <w:szCs w:val="24"/>
                  </w:rPr>
                </w:pPr>
                <w:r w:rsidRPr="00444C36">
                  <w:rPr>
                    <w:b/>
                    <w:bCs/>
                    <w:szCs w:val="24"/>
                    <w:lang w:val="sq-AL"/>
                  </w:rPr>
                  <w:t>Pikë</w:t>
                </w:r>
                <w:r w:rsidRPr="00444C36">
                  <w:rPr>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16F0F" w14:textId="77777777" w:rsidR="00BE0549" w:rsidRPr="00444C36" w:rsidRDefault="00BE0549">
                <w:pPr>
                  <w:jc w:val="center"/>
                  <w:textAlignment w:val="baseline"/>
                  <w:rPr>
                    <w:szCs w:val="24"/>
                  </w:rPr>
                </w:pPr>
                <w:r w:rsidRPr="00444C36">
                  <w:rPr>
                    <w:b/>
                    <w:bCs/>
                    <w:szCs w:val="24"/>
                    <w:lang w:val="sq-AL"/>
                  </w:rPr>
                  <w:t>Vlera</w:t>
                </w:r>
                <w:r w:rsidRPr="00444C36">
                  <w:rPr>
                    <w:szCs w:val="24"/>
                  </w:rPr>
                  <w:t> </w:t>
                </w:r>
              </w:p>
              <w:p w14:paraId="245E74C2" w14:textId="77777777" w:rsidR="00BE0549" w:rsidRPr="00444C36" w:rsidRDefault="00BE0549">
                <w:pPr>
                  <w:jc w:val="center"/>
                  <w:textAlignment w:val="baseline"/>
                  <w:rPr>
                    <w:szCs w:val="24"/>
                  </w:rPr>
                </w:pPr>
                <w:r w:rsidRPr="00444C36">
                  <w:rPr>
                    <w:b/>
                    <w:bCs/>
                    <w:szCs w:val="24"/>
                    <w:lang w:val="sq-AL"/>
                  </w:rPr>
                  <w:t>(=Pesha x pikë)</w:t>
                </w:r>
                <w:r w:rsidRPr="00444C36">
                  <w:rPr>
                    <w:szCs w:val="24"/>
                  </w:rPr>
                  <w:t> </w:t>
                </w:r>
              </w:p>
            </w:tc>
            <w:tc>
              <w:tcPr>
                <w:tcW w:w="720" w:type="dxa"/>
                <w:tcBorders>
                  <w:top w:val="single" w:sz="6" w:space="0" w:color="auto"/>
                  <w:left w:val="single" w:sz="6" w:space="0" w:color="auto"/>
                  <w:bottom w:val="single" w:sz="6" w:space="0" w:color="auto"/>
                  <w:right w:val="single" w:sz="4" w:space="0" w:color="auto"/>
                </w:tcBorders>
                <w:vAlign w:val="center"/>
              </w:tcPr>
              <w:p w14:paraId="56B1F5F1" w14:textId="77777777" w:rsidR="00BE0549" w:rsidRPr="00444C36" w:rsidRDefault="00BE0549">
                <w:pPr>
                  <w:jc w:val="center"/>
                  <w:textAlignment w:val="baseline"/>
                  <w:rPr>
                    <w:szCs w:val="24"/>
                  </w:rPr>
                </w:pPr>
                <w:r w:rsidRPr="00444C36">
                  <w:rPr>
                    <w:b/>
                    <w:bCs/>
                    <w:szCs w:val="24"/>
                    <w:lang w:val="sq-AL"/>
                  </w:rPr>
                  <w:t>Pikë</w:t>
                </w:r>
                <w:r w:rsidRPr="00444C36">
                  <w:rPr>
                    <w:szCs w:val="24"/>
                  </w:rPr>
                  <w:t> </w:t>
                </w:r>
              </w:p>
            </w:tc>
            <w:tc>
              <w:tcPr>
                <w:tcW w:w="720" w:type="dxa"/>
                <w:tcBorders>
                  <w:top w:val="single" w:sz="6" w:space="0" w:color="auto"/>
                  <w:left w:val="single" w:sz="4" w:space="0" w:color="auto"/>
                  <w:bottom w:val="single" w:sz="6" w:space="0" w:color="auto"/>
                  <w:right w:val="single" w:sz="6" w:space="0" w:color="auto"/>
                </w:tcBorders>
                <w:vAlign w:val="center"/>
              </w:tcPr>
              <w:p w14:paraId="0434F2A0" w14:textId="77777777" w:rsidR="00BE0549" w:rsidRPr="00444C36" w:rsidRDefault="00BE0549">
                <w:pPr>
                  <w:jc w:val="center"/>
                  <w:textAlignment w:val="baseline"/>
                  <w:rPr>
                    <w:szCs w:val="24"/>
                  </w:rPr>
                </w:pPr>
                <w:r w:rsidRPr="00444C36">
                  <w:rPr>
                    <w:b/>
                    <w:bCs/>
                    <w:szCs w:val="24"/>
                    <w:lang w:val="sq-AL"/>
                  </w:rPr>
                  <w:t>Vlera</w:t>
                </w:r>
                <w:r w:rsidRPr="00444C36">
                  <w:rPr>
                    <w:szCs w:val="24"/>
                  </w:rPr>
                  <w:t> </w:t>
                </w:r>
              </w:p>
              <w:p w14:paraId="7E4C8FF4" w14:textId="77777777" w:rsidR="00BE0549" w:rsidRPr="00444C36" w:rsidRDefault="00BE0549">
                <w:pPr>
                  <w:jc w:val="center"/>
                  <w:textAlignment w:val="baseline"/>
                  <w:rPr>
                    <w:szCs w:val="24"/>
                  </w:rPr>
                </w:pPr>
                <w:r w:rsidRPr="00444C36">
                  <w:rPr>
                    <w:b/>
                    <w:bCs/>
                    <w:szCs w:val="24"/>
                    <w:lang w:val="sq-AL"/>
                  </w:rPr>
                  <w:t>(=Pesha x pikë)</w:t>
                </w:r>
                <w:r w:rsidRPr="00444C36">
                  <w:rPr>
                    <w:szCs w:val="24"/>
                  </w:rPr>
                  <w:t> </w:t>
                </w:r>
              </w:p>
            </w:tc>
          </w:tr>
          <w:tr w:rsidR="00BE0549" w:rsidRPr="00444C36" w14:paraId="21557348" w14:textId="77777777" w:rsidTr="00BD449A">
            <w:trPr>
              <w:trHeight w:val="818"/>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39BC15F1" w14:textId="77777777" w:rsidR="00BE0549" w:rsidRPr="00444C36" w:rsidRDefault="00BE0549">
                <w:pPr>
                  <w:textAlignment w:val="baseline"/>
                  <w:rPr>
                    <w:szCs w:val="24"/>
                  </w:rPr>
                </w:pPr>
                <w:r w:rsidRPr="00444C36">
                  <w:rPr>
                    <w:rStyle w:val="normaltextrun"/>
                    <w:rFonts w:eastAsiaTheme="majorEastAsia"/>
                    <w:color w:val="000000" w:themeColor="text1"/>
                    <w:szCs w:val="24"/>
                  </w:rPr>
                  <w:t>Ulja e kohës në përfundimin e procesit të kompensimit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28CEC" w14:textId="77777777" w:rsidR="00BE0549" w:rsidRPr="00444C36" w:rsidRDefault="00BE0549">
                <w:pPr>
                  <w:jc w:val="center"/>
                  <w:textAlignment w:val="baseline"/>
                  <w:rPr>
                    <w:szCs w:val="24"/>
                  </w:rPr>
                </w:pPr>
                <w:r w:rsidRPr="00444C36">
                  <w:rPr>
                    <w:szCs w:val="24"/>
                    <w:lang w:val="sq-AL"/>
                  </w:rPr>
                  <w:t>5</w:t>
                </w:r>
                <w:r w:rsidRPr="00444C36">
                  <w:rPr>
                    <w:szCs w:val="24"/>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0539CA" w14:textId="77777777" w:rsidR="00BE0549" w:rsidRPr="00444C36" w:rsidRDefault="00BE0549">
                <w:pPr>
                  <w:jc w:val="center"/>
                  <w:textAlignment w:val="baseline"/>
                  <w:rPr>
                    <w:szCs w:val="24"/>
                  </w:rPr>
                </w:pPr>
                <w:r w:rsidRPr="00444C36">
                  <w:rPr>
                    <w:szCs w:val="24"/>
                    <w:lang w:val="sq-AL"/>
                  </w:rPr>
                  <w:t>0</w:t>
                </w:r>
                <w:r w:rsidRPr="00444C36">
                  <w:rPr>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6BE31" w14:textId="77777777" w:rsidR="00BE0549" w:rsidRPr="00444C36" w:rsidRDefault="00BE0549">
                <w:pPr>
                  <w:jc w:val="center"/>
                  <w:textAlignment w:val="baseline"/>
                  <w:rPr>
                    <w:szCs w:val="24"/>
                  </w:rPr>
                </w:pPr>
                <w:r w:rsidRPr="00444C36">
                  <w:rPr>
                    <w:szCs w:val="24"/>
                    <w:lang w:val="sq-AL"/>
                  </w:rPr>
                  <w:t>0</w:t>
                </w:r>
                <w:r w:rsidRPr="00444C36">
                  <w:rPr>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3B4667" w14:textId="399B712D" w:rsidR="00BE0549" w:rsidRPr="00444C36" w:rsidRDefault="002140C5">
                <w:pPr>
                  <w:jc w:val="center"/>
                  <w:textAlignment w:val="baseline"/>
                  <w:rPr>
                    <w:szCs w:val="24"/>
                  </w:rPr>
                </w:pPr>
                <w:r>
                  <w:rPr>
                    <w:szCs w:val="24"/>
                  </w:rPr>
                  <w:t>5</w:t>
                </w:r>
                <w:r w:rsidR="00BE0549" w:rsidRPr="00444C36">
                  <w:rPr>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8A6C6" w14:textId="26B96E6C" w:rsidR="00BE0549" w:rsidRPr="00444C36" w:rsidRDefault="00BE0549">
                <w:pPr>
                  <w:jc w:val="center"/>
                  <w:textAlignment w:val="baseline"/>
                  <w:rPr>
                    <w:szCs w:val="24"/>
                  </w:rPr>
                </w:pPr>
                <w:r>
                  <w:rPr>
                    <w:szCs w:val="24"/>
                    <w:lang w:val="sq-AL"/>
                  </w:rPr>
                  <w:t>2</w:t>
                </w:r>
                <w:r w:rsidR="002140C5">
                  <w:rPr>
                    <w:szCs w:val="24"/>
                    <w:lang w:val="sq-AL"/>
                  </w:rPr>
                  <w:t>5</w:t>
                </w:r>
                <w:r w:rsidRPr="00444C36">
                  <w:rPr>
                    <w:szCs w:val="24"/>
                  </w:rPr>
                  <w:t> </w:t>
                </w:r>
              </w:p>
            </w:tc>
            <w:tc>
              <w:tcPr>
                <w:tcW w:w="720" w:type="dxa"/>
                <w:tcBorders>
                  <w:top w:val="single" w:sz="6" w:space="0" w:color="auto"/>
                  <w:left w:val="single" w:sz="6" w:space="0" w:color="auto"/>
                  <w:bottom w:val="single" w:sz="6" w:space="0" w:color="auto"/>
                  <w:right w:val="single" w:sz="4" w:space="0" w:color="auto"/>
                </w:tcBorders>
              </w:tcPr>
              <w:p w14:paraId="24F2CD1A" w14:textId="32CDE2C0" w:rsidR="00BE0549" w:rsidRPr="00444C36" w:rsidRDefault="002140C5">
                <w:pPr>
                  <w:jc w:val="center"/>
                  <w:textAlignment w:val="baseline"/>
                  <w:rPr>
                    <w:szCs w:val="24"/>
                    <w:lang w:val="sq-AL"/>
                  </w:rPr>
                </w:pPr>
                <w:r>
                  <w:rPr>
                    <w:szCs w:val="24"/>
                    <w:lang w:val="sq-AL"/>
                  </w:rPr>
                  <w:t>5</w:t>
                </w:r>
              </w:p>
            </w:tc>
            <w:tc>
              <w:tcPr>
                <w:tcW w:w="720" w:type="dxa"/>
                <w:tcBorders>
                  <w:top w:val="single" w:sz="6" w:space="0" w:color="auto"/>
                  <w:left w:val="single" w:sz="4" w:space="0" w:color="auto"/>
                  <w:bottom w:val="single" w:sz="6" w:space="0" w:color="auto"/>
                  <w:right w:val="single" w:sz="6" w:space="0" w:color="auto"/>
                </w:tcBorders>
              </w:tcPr>
              <w:p w14:paraId="11B329C0" w14:textId="668430BA" w:rsidR="00BE0549" w:rsidRPr="00444C36" w:rsidRDefault="002140C5">
                <w:pPr>
                  <w:jc w:val="center"/>
                  <w:textAlignment w:val="baseline"/>
                  <w:rPr>
                    <w:szCs w:val="24"/>
                    <w:lang w:val="sq-AL"/>
                  </w:rPr>
                </w:pPr>
                <w:r>
                  <w:rPr>
                    <w:szCs w:val="24"/>
                    <w:lang w:val="sq-AL"/>
                  </w:rPr>
                  <w:t>25</w:t>
                </w:r>
              </w:p>
            </w:tc>
          </w:tr>
          <w:tr w:rsidR="00BE0549" w:rsidRPr="00444C36" w14:paraId="6DA9DA67" w14:textId="77777777" w:rsidTr="00BD449A">
            <w:trPr>
              <w:trHeight w:val="1091"/>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191E2BB4" w14:textId="2FB117D9" w:rsidR="00BE0549" w:rsidRPr="00444C36" w:rsidRDefault="00BD449A">
                <w:pPr>
                  <w:textAlignment w:val="baseline"/>
                  <w:rPr>
                    <w:szCs w:val="24"/>
                  </w:rPr>
                </w:pPr>
                <w:r w:rsidRPr="00BD449A">
                  <w:rPr>
                    <w:szCs w:val="24"/>
                  </w:rPr>
                  <w:t>Përfundimi i procesit t</w:t>
                </w:r>
                <w:r w:rsidR="00EF5666">
                  <w:rPr>
                    <w:szCs w:val="24"/>
                  </w:rPr>
                  <w:t>ë</w:t>
                </w:r>
                <w:r w:rsidRPr="00BD449A">
                  <w:rPr>
                    <w:szCs w:val="24"/>
                  </w:rPr>
                  <w:t xml:space="preserve"> kompensimit t</w:t>
                </w:r>
                <w:r w:rsidR="00EF5666">
                  <w:rPr>
                    <w:szCs w:val="24"/>
                  </w:rPr>
                  <w:t>ë</w:t>
                </w:r>
                <w:r w:rsidRPr="00BD449A">
                  <w:rPr>
                    <w:szCs w:val="24"/>
                  </w:rPr>
                  <w:t xml:space="preserve"> pronave me kosto m</w:t>
                </w:r>
                <w:r w:rsidR="00EF5666">
                  <w:rPr>
                    <w:szCs w:val="24"/>
                  </w:rPr>
                  <w:t>ë</w:t>
                </w:r>
                <w:r w:rsidRPr="00BD449A">
                  <w:rPr>
                    <w:szCs w:val="24"/>
                  </w:rPr>
                  <w:t xml:space="preserve"> t</w:t>
                </w:r>
                <w:r w:rsidR="00EF5666">
                  <w:rPr>
                    <w:szCs w:val="24"/>
                  </w:rPr>
                  <w:t>ë</w:t>
                </w:r>
                <w:r w:rsidRPr="00BD449A">
                  <w:rPr>
                    <w:szCs w:val="24"/>
                  </w:rPr>
                  <w:t xml:space="preserve"> ul</w:t>
                </w:r>
                <w:r w:rsidR="00EF5666">
                  <w:rPr>
                    <w:szCs w:val="24"/>
                  </w:rPr>
                  <w:t>ë</w:t>
                </w:r>
                <w:r w:rsidRPr="00BD449A">
                  <w:rPr>
                    <w:szCs w:val="24"/>
                  </w:rPr>
                  <w:t>t p</w:t>
                </w:r>
                <w:r w:rsidR="00EF5666">
                  <w:rPr>
                    <w:szCs w:val="24"/>
                  </w:rPr>
                  <w:t>ë</w:t>
                </w:r>
                <w:r w:rsidRPr="00BD449A">
                  <w:rPr>
                    <w:szCs w:val="24"/>
                  </w:rPr>
                  <w:t>r qytetar</w:t>
                </w:r>
                <w:r w:rsidR="00EF5666">
                  <w:rPr>
                    <w:szCs w:val="24"/>
                  </w:rPr>
                  <w:t>ë</w:t>
                </w:r>
                <w:r w:rsidRPr="00BD449A">
                  <w:rPr>
                    <w:szCs w:val="24"/>
                  </w:rPr>
                  <w:t>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F4533" w14:textId="540C7279" w:rsidR="00BE0549" w:rsidRPr="00444C36" w:rsidRDefault="00BD449A">
                <w:pPr>
                  <w:jc w:val="center"/>
                  <w:textAlignment w:val="baseline"/>
                  <w:rPr>
                    <w:szCs w:val="24"/>
                  </w:rPr>
                </w:pPr>
                <w:r>
                  <w:rPr>
                    <w:szCs w:val="24"/>
                  </w:rPr>
                  <w:t>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8E80D4" w14:textId="364014C3" w:rsidR="00BE0549" w:rsidRPr="00444C36" w:rsidRDefault="00BD449A">
                <w:pPr>
                  <w:jc w:val="center"/>
                  <w:textAlignment w:val="baseline"/>
                  <w:rPr>
                    <w:szCs w:val="24"/>
                  </w:rPr>
                </w:pPr>
                <w:r>
                  <w:rPr>
                    <w:szCs w:val="24"/>
                  </w:rPr>
                  <w:t>0</w:t>
                </w:r>
                <w:r w:rsidR="00BE0549" w:rsidRPr="00444C36">
                  <w:rPr>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133E8" w14:textId="0BEFBA39" w:rsidR="00BE0549" w:rsidRPr="00444C36" w:rsidRDefault="00BD449A">
                <w:pPr>
                  <w:jc w:val="center"/>
                  <w:textAlignment w:val="baseline"/>
                  <w:rPr>
                    <w:szCs w:val="24"/>
                  </w:rPr>
                </w:pPr>
                <w:r>
                  <w:rPr>
                    <w:szCs w:val="24"/>
                    <w:lang w:val="sq-AL"/>
                  </w:rPr>
                  <w:t>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6144E4" w14:textId="66274906" w:rsidR="00BE0549" w:rsidRPr="00444C36" w:rsidRDefault="00BD449A">
                <w:pPr>
                  <w:jc w:val="center"/>
                  <w:textAlignment w:val="baseline"/>
                  <w:rPr>
                    <w:szCs w:val="24"/>
                  </w:rPr>
                </w:pPr>
                <w:r>
                  <w:rPr>
                    <w:szCs w:val="24"/>
                  </w:rPr>
                  <w:t>5</w:t>
                </w:r>
                <w:r w:rsidR="00BE0549" w:rsidRPr="00444C36">
                  <w:rPr>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9CB12C" w14:textId="21A61775" w:rsidR="00BE0549" w:rsidRPr="00444C36" w:rsidRDefault="00BD449A">
                <w:pPr>
                  <w:jc w:val="center"/>
                  <w:textAlignment w:val="baseline"/>
                  <w:rPr>
                    <w:szCs w:val="24"/>
                  </w:rPr>
                </w:pPr>
                <w:r>
                  <w:rPr>
                    <w:szCs w:val="24"/>
                    <w:lang w:val="sq-AL"/>
                  </w:rPr>
                  <w:t>25</w:t>
                </w:r>
                <w:r w:rsidR="00BE0549" w:rsidRPr="00444C36">
                  <w:rPr>
                    <w:szCs w:val="24"/>
                  </w:rPr>
                  <w:t> </w:t>
                </w:r>
              </w:p>
            </w:tc>
            <w:tc>
              <w:tcPr>
                <w:tcW w:w="720" w:type="dxa"/>
                <w:tcBorders>
                  <w:top w:val="single" w:sz="6" w:space="0" w:color="auto"/>
                  <w:left w:val="single" w:sz="6" w:space="0" w:color="auto"/>
                  <w:bottom w:val="single" w:sz="6" w:space="0" w:color="auto"/>
                  <w:right w:val="single" w:sz="4" w:space="0" w:color="auto"/>
                </w:tcBorders>
              </w:tcPr>
              <w:p w14:paraId="2345D6BA" w14:textId="55D2027D" w:rsidR="00BE0549" w:rsidRPr="00444C36" w:rsidRDefault="00BD449A">
                <w:pPr>
                  <w:jc w:val="center"/>
                  <w:textAlignment w:val="baseline"/>
                  <w:rPr>
                    <w:szCs w:val="24"/>
                    <w:lang w:val="sq-AL"/>
                  </w:rPr>
                </w:pPr>
                <w:r>
                  <w:rPr>
                    <w:szCs w:val="24"/>
                    <w:lang w:val="sq-AL"/>
                  </w:rPr>
                  <w:t>5</w:t>
                </w:r>
              </w:p>
            </w:tc>
            <w:tc>
              <w:tcPr>
                <w:tcW w:w="720" w:type="dxa"/>
                <w:tcBorders>
                  <w:top w:val="single" w:sz="6" w:space="0" w:color="auto"/>
                  <w:left w:val="single" w:sz="4" w:space="0" w:color="auto"/>
                  <w:bottom w:val="single" w:sz="6" w:space="0" w:color="auto"/>
                  <w:right w:val="single" w:sz="6" w:space="0" w:color="auto"/>
                </w:tcBorders>
              </w:tcPr>
              <w:p w14:paraId="494B6D38" w14:textId="22FE6ECB" w:rsidR="00BE0549" w:rsidRPr="00444C36" w:rsidRDefault="00BD449A">
                <w:pPr>
                  <w:jc w:val="center"/>
                  <w:textAlignment w:val="baseline"/>
                  <w:rPr>
                    <w:szCs w:val="24"/>
                    <w:lang w:val="sq-AL"/>
                  </w:rPr>
                </w:pPr>
                <w:r>
                  <w:rPr>
                    <w:szCs w:val="24"/>
                    <w:lang w:val="sq-AL"/>
                  </w:rPr>
                  <w:t>25</w:t>
                </w:r>
              </w:p>
            </w:tc>
          </w:tr>
          <w:tr w:rsidR="00BE0549" w:rsidRPr="00444C36" w14:paraId="70EF5E49" w14:textId="77777777" w:rsidTr="00BD449A">
            <w:trPr>
              <w:trHeight w:val="273"/>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282C9230" w14:textId="77777777" w:rsidR="00BE0549" w:rsidRPr="00444C36" w:rsidRDefault="00BE0549">
                <w:pPr>
                  <w:textAlignment w:val="baseline"/>
                  <w:rPr>
                    <w:szCs w:val="24"/>
                  </w:rPr>
                </w:pPr>
                <w:r w:rsidRPr="00444C36">
                  <w:rPr>
                    <w:szCs w:val="24"/>
                    <w:lang w:val="sq-AL"/>
                  </w:rPr>
                  <w:t>Kosto - efektiviteti</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F0FD26" w14:textId="77777777" w:rsidR="00BE0549" w:rsidRPr="00444C36" w:rsidRDefault="00BE0549">
                <w:pPr>
                  <w:jc w:val="center"/>
                  <w:textAlignment w:val="baseline"/>
                  <w:rPr>
                    <w:szCs w:val="24"/>
                  </w:rPr>
                </w:pPr>
                <w:r>
                  <w:rPr>
                    <w:szCs w:val="24"/>
                    <w:lang w:val="sq-AL"/>
                  </w:rPr>
                  <w:t>4</w:t>
                </w:r>
                <w:r w:rsidRPr="00444C36">
                  <w:rPr>
                    <w:szCs w:val="24"/>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2C801C" w14:textId="0D6E3D88" w:rsidR="00BE0549" w:rsidRPr="00444C36" w:rsidRDefault="00BD449A">
                <w:pPr>
                  <w:jc w:val="center"/>
                  <w:textAlignment w:val="baseline"/>
                  <w:rPr>
                    <w:szCs w:val="24"/>
                  </w:rPr>
                </w:pPr>
                <w:r>
                  <w:rPr>
                    <w:szCs w:val="24"/>
                  </w:rPr>
                  <w:t>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3B7BD3" w14:textId="50857B7D" w:rsidR="00BE0549" w:rsidRPr="00444C36" w:rsidRDefault="00BD449A">
                <w:pPr>
                  <w:jc w:val="center"/>
                  <w:textAlignment w:val="baseline"/>
                  <w:rPr>
                    <w:szCs w:val="24"/>
                  </w:rPr>
                </w:pPr>
                <w:r>
                  <w:rPr>
                    <w:szCs w:val="24"/>
                  </w:rPr>
                  <w:t>8</w:t>
                </w:r>
                <w:r w:rsidR="00BE0549" w:rsidRPr="00444C36">
                  <w:rPr>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A3CB1" w14:textId="10886C1D" w:rsidR="00BE0549" w:rsidRPr="00444C36" w:rsidRDefault="00BD449A">
                <w:pPr>
                  <w:jc w:val="center"/>
                  <w:textAlignment w:val="baseline"/>
                  <w:rPr>
                    <w:szCs w:val="24"/>
                  </w:rPr>
                </w:pPr>
                <w:r>
                  <w:rPr>
                    <w:szCs w:val="24"/>
                  </w:rPr>
                  <w:t>5</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C759FF" w14:textId="6A7685CD" w:rsidR="00BE0549" w:rsidRPr="00444C36" w:rsidRDefault="00BD449A">
                <w:pPr>
                  <w:jc w:val="center"/>
                  <w:textAlignment w:val="baseline"/>
                  <w:rPr>
                    <w:szCs w:val="24"/>
                  </w:rPr>
                </w:pPr>
                <w:r>
                  <w:rPr>
                    <w:szCs w:val="24"/>
                  </w:rPr>
                  <w:t>25</w:t>
                </w:r>
              </w:p>
            </w:tc>
            <w:tc>
              <w:tcPr>
                <w:tcW w:w="720" w:type="dxa"/>
                <w:tcBorders>
                  <w:top w:val="single" w:sz="6" w:space="0" w:color="auto"/>
                  <w:left w:val="single" w:sz="6" w:space="0" w:color="auto"/>
                  <w:bottom w:val="single" w:sz="6" w:space="0" w:color="auto"/>
                  <w:right w:val="single" w:sz="4" w:space="0" w:color="auto"/>
                </w:tcBorders>
              </w:tcPr>
              <w:p w14:paraId="44D463AD" w14:textId="3F890522" w:rsidR="00BE0549" w:rsidRPr="00444C36" w:rsidRDefault="00BD449A">
                <w:pPr>
                  <w:jc w:val="center"/>
                  <w:textAlignment w:val="baseline"/>
                  <w:rPr>
                    <w:szCs w:val="24"/>
                    <w:lang w:val="sq-AL"/>
                  </w:rPr>
                </w:pPr>
                <w:r>
                  <w:rPr>
                    <w:szCs w:val="24"/>
                    <w:lang w:val="sq-AL"/>
                  </w:rPr>
                  <w:t>3</w:t>
                </w:r>
              </w:p>
            </w:tc>
            <w:tc>
              <w:tcPr>
                <w:tcW w:w="720" w:type="dxa"/>
                <w:tcBorders>
                  <w:top w:val="single" w:sz="6" w:space="0" w:color="auto"/>
                  <w:left w:val="single" w:sz="4" w:space="0" w:color="auto"/>
                  <w:bottom w:val="single" w:sz="6" w:space="0" w:color="auto"/>
                  <w:right w:val="single" w:sz="6" w:space="0" w:color="auto"/>
                </w:tcBorders>
              </w:tcPr>
              <w:p w14:paraId="2300CE19" w14:textId="4BA1F0EB" w:rsidR="00BE0549" w:rsidRPr="00444C36" w:rsidRDefault="00BD449A">
                <w:pPr>
                  <w:jc w:val="center"/>
                  <w:textAlignment w:val="baseline"/>
                  <w:rPr>
                    <w:szCs w:val="24"/>
                    <w:lang w:val="sq-AL"/>
                  </w:rPr>
                </w:pPr>
                <w:r>
                  <w:rPr>
                    <w:szCs w:val="24"/>
                    <w:lang w:val="sq-AL"/>
                  </w:rPr>
                  <w:t>12</w:t>
                </w:r>
              </w:p>
            </w:tc>
          </w:tr>
          <w:tr w:rsidR="00BE0549" w:rsidRPr="00444C36" w14:paraId="7DB35FBA" w14:textId="77777777" w:rsidTr="00BD449A">
            <w:trPr>
              <w:trHeight w:val="273"/>
            </w:trPr>
            <w:tc>
              <w:tcPr>
                <w:tcW w:w="37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01021E" w14:textId="77777777" w:rsidR="00BE0549" w:rsidRPr="00444C36" w:rsidRDefault="00BE0549">
                <w:pPr>
                  <w:jc w:val="center"/>
                  <w:textAlignment w:val="baseline"/>
                  <w:rPr>
                    <w:szCs w:val="24"/>
                  </w:rPr>
                </w:pPr>
                <w:r w:rsidRPr="00444C36">
                  <w:rPr>
                    <w:b/>
                    <w:bCs/>
                    <w:szCs w:val="24"/>
                    <w:lang w:val="sq-AL"/>
                  </w:rPr>
                  <w:t>Pikët totale për secilin opsion</w:t>
                </w:r>
                <w:r w:rsidRPr="00444C36">
                  <w:rPr>
                    <w:szCs w:val="24"/>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BB0C73" w14:textId="77777777" w:rsidR="00BE0549" w:rsidRPr="00444C36" w:rsidRDefault="00BE0549">
                <w:pPr>
                  <w:jc w:val="center"/>
                  <w:textAlignment w:val="baseline"/>
                  <w:rPr>
                    <w:szCs w:val="24"/>
                  </w:rPr>
                </w:pPr>
                <w:r w:rsidRPr="00444C36">
                  <w:rPr>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D93932" w14:textId="77777777" w:rsidR="00BE0549" w:rsidRPr="00444C36" w:rsidRDefault="00BE0549">
                <w:pPr>
                  <w:jc w:val="center"/>
                  <w:textAlignment w:val="baseline"/>
                  <w:rPr>
                    <w:szCs w:val="24"/>
                  </w:rPr>
                </w:pPr>
                <w:r>
                  <w:rPr>
                    <w:b/>
                    <w:bCs/>
                    <w:szCs w:val="24"/>
                    <w:lang w:val="sq-AL"/>
                  </w:rPr>
                  <w:t>8</w:t>
                </w:r>
                <w:r w:rsidRPr="00444C36">
                  <w:rPr>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40D74" w14:textId="77777777" w:rsidR="00BE0549" w:rsidRPr="00444C36" w:rsidRDefault="00BE0549">
                <w:pPr>
                  <w:jc w:val="center"/>
                  <w:textAlignment w:val="baseline"/>
                  <w:rPr>
                    <w:szCs w:val="24"/>
                  </w:rPr>
                </w:pPr>
                <w:r w:rsidRPr="00444C36">
                  <w:rPr>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4F042" w14:textId="39AA1F43" w:rsidR="00BE0549" w:rsidRPr="00BD449A" w:rsidRDefault="00BD449A">
                <w:pPr>
                  <w:jc w:val="center"/>
                  <w:textAlignment w:val="baseline"/>
                  <w:rPr>
                    <w:b/>
                    <w:szCs w:val="24"/>
                  </w:rPr>
                </w:pPr>
                <w:r w:rsidRPr="00BD449A">
                  <w:rPr>
                    <w:b/>
                    <w:szCs w:val="24"/>
                  </w:rPr>
                  <w:t>75</w:t>
                </w:r>
                <w:r w:rsidR="00BE0549" w:rsidRPr="00BD449A">
                  <w:rPr>
                    <w:b/>
                    <w:szCs w:val="24"/>
                  </w:rPr>
                  <w:t> </w:t>
                </w:r>
              </w:p>
            </w:tc>
            <w:tc>
              <w:tcPr>
                <w:tcW w:w="720" w:type="dxa"/>
                <w:tcBorders>
                  <w:top w:val="single" w:sz="6" w:space="0" w:color="auto"/>
                  <w:left w:val="single" w:sz="6" w:space="0" w:color="auto"/>
                  <w:bottom w:val="single" w:sz="6" w:space="0" w:color="auto"/>
                  <w:right w:val="single" w:sz="4" w:space="0" w:color="auto"/>
                </w:tcBorders>
              </w:tcPr>
              <w:p w14:paraId="31F1FB01" w14:textId="77777777" w:rsidR="00BE0549" w:rsidRPr="00444C36" w:rsidRDefault="00BE0549">
                <w:pPr>
                  <w:jc w:val="center"/>
                  <w:textAlignment w:val="baseline"/>
                  <w:rPr>
                    <w:b/>
                    <w:bCs/>
                    <w:szCs w:val="24"/>
                    <w:lang w:val="sq-AL"/>
                  </w:rPr>
                </w:pPr>
              </w:p>
            </w:tc>
            <w:tc>
              <w:tcPr>
                <w:tcW w:w="720" w:type="dxa"/>
                <w:tcBorders>
                  <w:top w:val="single" w:sz="6" w:space="0" w:color="auto"/>
                  <w:left w:val="single" w:sz="4" w:space="0" w:color="auto"/>
                  <w:bottom w:val="single" w:sz="6" w:space="0" w:color="auto"/>
                  <w:right w:val="single" w:sz="6" w:space="0" w:color="auto"/>
                </w:tcBorders>
              </w:tcPr>
              <w:p w14:paraId="2B3725D6" w14:textId="2B13DD1E" w:rsidR="00BE0549" w:rsidRPr="00444C36" w:rsidRDefault="00BD449A">
                <w:pPr>
                  <w:jc w:val="center"/>
                  <w:textAlignment w:val="baseline"/>
                  <w:rPr>
                    <w:b/>
                    <w:bCs/>
                    <w:szCs w:val="24"/>
                    <w:lang w:val="sq-AL"/>
                  </w:rPr>
                </w:pPr>
                <w:r>
                  <w:rPr>
                    <w:b/>
                    <w:bCs/>
                    <w:szCs w:val="24"/>
                    <w:lang w:val="sq-AL"/>
                  </w:rPr>
                  <w:t>62</w:t>
                </w:r>
              </w:p>
            </w:tc>
          </w:tr>
        </w:tbl>
        <w:p w14:paraId="25F50FBD" w14:textId="176C24F7" w:rsidR="00563378" w:rsidRPr="00007C25" w:rsidRDefault="00BD42D9" w:rsidP="00007C25">
          <w:pPr>
            <w:pStyle w:val="CommentText"/>
            <w:jc w:val="both"/>
            <w:rPr>
              <w:color w:val="000000" w:themeColor="text1"/>
              <w:sz w:val="24"/>
              <w:szCs w:val="24"/>
            </w:rPr>
          </w:pPr>
        </w:p>
      </w:sdtContent>
    </w:sdt>
    <w:p w14:paraId="45698CD8"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18"/>
    </w:p>
    <w:sdt>
      <w:sdtPr>
        <w:rPr>
          <w:rFonts w:cs="Times New Roman"/>
          <w:i/>
          <w:sz w:val="24"/>
          <w:szCs w:val="24"/>
          <w:lang w:val="sq-AL"/>
        </w:rPr>
        <w:id w:val="686721506"/>
        <w:lock w:val="contentLocked"/>
        <w:placeholder>
          <w:docPart w:val="DefaultPlaceholder_1081868574"/>
        </w:placeholder>
      </w:sdtPr>
      <w:sdtEndPr>
        <w:rPr>
          <w:i w:val="0"/>
        </w:rPr>
      </w:sdtEndPr>
      <w:sdtContent>
        <w:p w14:paraId="7D4D035F" w14:textId="77777777" w:rsidR="0097570D" w:rsidRPr="0032145B" w:rsidRDefault="0097570D">
          <w:pPr>
            <w:pStyle w:val="Style1-BodyText"/>
            <w:numPr>
              <w:ilvl w:val="0"/>
              <w:numId w:val="5"/>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0E87499A" w14:textId="77777777" w:rsidR="0097570D" w:rsidRPr="0032145B" w:rsidRDefault="0097570D">
          <w:pPr>
            <w:pStyle w:val="Style1-BodyText"/>
            <w:numPr>
              <w:ilvl w:val="0"/>
              <w:numId w:val="5"/>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771F569C" w14:textId="77777777" w:rsidR="0097570D" w:rsidRPr="00325A1F" w:rsidRDefault="0097570D">
          <w:pPr>
            <w:pStyle w:val="Style1-BodyText"/>
            <w:numPr>
              <w:ilvl w:val="0"/>
              <w:numId w:val="5"/>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bookmarkStart w:id="19" w:name="_Toc465267003" w:displacedByCustomXml="next"/>
    <w:sdt>
      <w:sdtPr>
        <w:rPr>
          <w:rFonts w:ascii="Calibri" w:eastAsiaTheme="majorEastAsia" w:hAnsi="Calibri"/>
          <w:sz w:val="22"/>
        </w:rPr>
        <w:id w:val="-1991320087"/>
        <w:placeholder>
          <w:docPart w:val="C8F0C73A25AD4069881E7BB32D9AC3FF"/>
        </w:placeholder>
      </w:sdtPr>
      <w:sdtEndPr>
        <w:rPr>
          <w:rFonts w:ascii="Times New Roman" w:hAnsi="Times New Roman"/>
          <w:sz w:val="24"/>
        </w:rPr>
      </w:sdtEndPr>
      <w:sdtContent>
        <w:p w14:paraId="084A8B52" w14:textId="77777777" w:rsidR="00F81D4B" w:rsidRPr="00FB3897" w:rsidRDefault="00F81D4B" w:rsidP="00F81D4B">
          <w:pPr>
            <w:spacing w:before="240"/>
            <w:rPr>
              <w:rFonts w:eastAsiaTheme="majorEastAsia"/>
              <w:lang w:val="sq-AL"/>
            </w:rPr>
          </w:pPr>
          <w:r w:rsidRPr="00FB3897">
            <w:rPr>
              <w:rFonts w:eastAsiaTheme="majorEastAsia"/>
              <w:lang w:val="sq-AL"/>
            </w:rPr>
            <w:t>Zbatimi i ligjit është përgjegjësi e Agjencisë së Trajtimit të Pronave. Kjo politikë vlerësohet të mos ke</w:t>
          </w:r>
          <w:r w:rsidR="0009582F" w:rsidRPr="00FB3897">
            <w:rPr>
              <w:rFonts w:eastAsiaTheme="majorEastAsia"/>
              <w:lang w:val="sq-AL"/>
            </w:rPr>
            <w:t>të pengesa për realizimin e saj, pasi edhe kostot</w:t>
          </w:r>
          <w:r w:rsidR="001A6E28" w:rsidRPr="00FB3897">
            <w:rPr>
              <w:rFonts w:eastAsiaTheme="majorEastAsia"/>
              <w:lang w:val="sq-AL"/>
            </w:rPr>
            <w:t xml:space="preserve"> financiare nuk prekin buxhetin e shtetit.</w:t>
          </w:r>
        </w:p>
        <w:p w14:paraId="2ECF8AF4" w14:textId="77777777" w:rsidR="00F81D4B" w:rsidRPr="00F71F8A" w:rsidRDefault="72AAA341" w:rsidP="72AAA341">
          <w:pPr>
            <w:spacing w:before="240"/>
            <w:rPr>
              <w:rFonts w:eastAsiaTheme="majorEastAsia"/>
            </w:rPr>
          </w:pPr>
          <w:r w:rsidRPr="72AAA341">
            <w:rPr>
              <w:rFonts w:eastAsiaTheme="majorEastAsia"/>
            </w:rPr>
            <w:t>Masat që do të merren gjatë zbatimit do të përfshijnë:</w:t>
          </w:r>
        </w:p>
        <w:p w14:paraId="74AAD60E" w14:textId="7ABEB117" w:rsidR="00390880" w:rsidRDefault="00A26AAA" w:rsidP="00390880">
          <w:pPr>
            <w:ind w:left="540" w:hanging="180"/>
            <w:jc w:val="both"/>
          </w:pPr>
          <w:r>
            <w:t xml:space="preserve">- </w:t>
          </w:r>
          <w:r w:rsidR="00A65352">
            <w:t>Vler</w:t>
          </w:r>
          <w:r w:rsidR="00BE1224">
            <w:t>ë</w:t>
          </w:r>
          <w:r w:rsidR="00A65352">
            <w:t>simin financiar t</w:t>
          </w:r>
          <w:r w:rsidR="00BE1224">
            <w:t>ë</w:t>
          </w:r>
          <w:r w:rsidR="00A65352">
            <w:t xml:space="preserve"> </w:t>
          </w:r>
          <w:r>
            <w:t>t</w:t>
          </w:r>
          <w:r w:rsidR="00EF5666">
            <w:t>ë</w:t>
          </w:r>
          <w:r>
            <w:t xml:space="preserve"> gjith</w:t>
          </w:r>
          <w:r w:rsidR="00EF5666">
            <w:t>ë</w:t>
          </w:r>
          <w:r>
            <w:t xml:space="preserve"> vendimeve t</w:t>
          </w:r>
          <w:r w:rsidR="00EF5666">
            <w:t>ë</w:t>
          </w:r>
          <w:r>
            <w:t xml:space="preserve"> pavler</w:t>
          </w:r>
          <w:r w:rsidR="00EF5666">
            <w:t>ë</w:t>
          </w:r>
          <w:r>
            <w:t>suara, duke mund</w:t>
          </w:r>
          <w:r w:rsidR="00EF5666">
            <w:t>ë</w:t>
          </w:r>
          <w:r>
            <w:t>suar vijimin e pun</w:t>
          </w:r>
          <w:r w:rsidR="00EF5666">
            <w:t>ë</w:t>
          </w:r>
          <w:r>
            <w:t>s s</w:t>
          </w:r>
          <w:r w:rsidR="00EF5666">
            <w:t>ë</w:t>
          </w:r>
          <w:r>
            <w:t xml:space="preserve"> Agjencis</w:t>
          </w:r>
          <w:r w:rsidR="00EF5666">
            <w:t>ë</w:t>
          </w:r>
          <w:r>
            <w:t xml:space="preserve"> s</w:t>
          </w:r>
          <w:r w:rsidR="00EF5666">
            <w:t>ë</w:t>
          </w:r>
          <w:r>
            <w:t xml:space="preserve"> Trajtimit t</w:t>
          </w:r>
          <w:r w:rsidR="00EF5666">
            <w:t>ë</w:t>
          </w:r>
          <w:r>
            <w:t xml:space="preserve"> Pronave.</w:t>
          </w:r>
        </w:p>
        <w:p w14:paraId="281016FF" w14:textId="41160104" w:rsidR="0003264E" w:rsidRDefault="00390880" w:rsidP="00390880">
          <w:pPr>
            <w:ind w:left="540" w:hanging="180"/>
            <w:jc w:val="both"/>
            <w:rPr>
              <w:iCs/>
              <w:lang w:val="sq-AL"/>
            </w:rPr>
          </w:pPr>
          <w:r>
            <w:rPr>
              <w:bCs/>
              <w:iCs/>
              <w:szCs w:val="24"/>
              <w:lang w:val="sq-AL" w:bidi="en-US"/>
            </w:rPr>
            <w:t xml:space="preserve">- </w:t>
          </w:r>
          <w:r w:rsidR="009D791D" w:rsidRPr="0003264E">
            <w:rPr>
              <w:bCs/>
              <w:iCs/>
              <w:szCs w:val="24"/>
              <w:lang w:val="sq-AL" w:bidi="en-US"/>
            </w:rPr>
            <w:t xml:space="preserve">Shqyrtimin e </w:t>
          </w:r>
          <w:r w:rsidR="009D791D" w:rsidRPr="0003264E">
            <w:rPr>
              <w:szCs w:val="24"/>
              <w:lang w:val="sq-AL"/>
            </w:rPr>
            <w:t>dosjeve të pa trajtuara p</w:t>
          </w:r>
          <w:r w:rsidR="00BE1224">
            <w:rPr>
              <w:szCs w:val="24"/>
              <w:lang w:val="sq-AL"/>
            </w:rPr>
            <w:t>ë</w:t>
          </w:r>
          <w:r w:rsidR="009D791D" w:rsidRPr="0003264E">
            <w:rPr>
              <w:szCs w:val="24"/>
              <w:lang w:val="sq-AL"/>
            </w:rPr>
            <w:t>r njohjen e s</w:t>
          </w:r>
          <w:r w:rsidR="00BE1224">
            <w:rPr>
              <w:szCs w:val="24"/>
              <w:lang w:val="sq-AL"/>
            </w:rPr>
            <w:t>ë</w:t>
          </w:r>
          <w:r w:rsidR="009D791D" w:rsidRPr="0003264E">
            <w:rPr>
              <w:szCs w:val="24"/>
              <w:lang w:val="sq-AL"/>
            </w:rPr>
            <w:t xml:space="preserve"> drejt</w:t>
          </w:r>
          <w:r w:rsidR="00BE1224">
            <w:rPr>
              <w:szCs w:val="24"/>
              <w:lang w:val="sq-AL"/>
            </w:rPr>
            <w:t>ë</w:t>
          </w:r>
          <w:r w:rsidR="009D791D" w:rsidRPr="0003264E">
            <w:rPr>
              <w:szCs w:val="24"/>
              <w:lang w:val="sq-AL"/>
            </w:rPr>
            <w:t>s s</w:t>
          </w:r>
          <w:r w:rsidR="00BE1224">
            <w:rPr>
              <w:szCs w:val="24"/>
              <w:lang w:val="sq-AL"/>
            </w:rPr>
            <w:t>ë</w:t>
          </w:r>
          <w:r w:rsidR="009D791D" w:rsidRPr="0003264E">
            <w:rPr>
              <w:szCs w:val="24"/>
              <w:lang w:val="sq-AL"/>
            </w:rPr>
            <w:t xml:space="preserve"> pron</w:t>
          </w:r>
          <w:r w:rsidR="00BE1224">
            <w:rPr>
              <w:szCs w:val="24"/>
              <w:lang w:val="sq-AL"/>
            </w:rPr>
            <w:t>ë</w:t>
          </w:r>
          <w:r w:rsidR="009D791D" w:rsidRPr="0003264E">
            <w:rPr>
              <w:szCs w:val="24"/>
              <w:lang w:val="sq-AL"/>
            </w:rPr>
            <w:t>s sipas parashikimeve te nenit 34</w:t>
          </w:r>
          <w:r w:rsidR="0003264E" w:rsidRPr="0003264E">
            <w:rPr>
              <w:szCs w:val="24"/>
              <w:lang w:val="sq-AL"/>
            </w:rPr>
            <w:t xml:space="preserve"> t</w:t>
          </w:r>
          <w:r w:rsidR="00BE1224">
            <w:rPr>
              <w:szCs w:val="24"/>
              <w:lang w:val="sq-AL"/>
            </w:rPr>
            <w:t>ë</w:t>
          </w:r>
          <w:r w:rsidR="0003264E" w:rsidRPr="0003264E">
            <w:rPr>
              <w:szCs w:val="24"/>
              <w:lang w:val="sq-AL"/>
            </w:rPr>
            <w:t xml:space="preserve"> ligjit 133/201</w:t>
          </w:r>
          <w:r w:rsidR="005231E6">
            <w:rPr>
              <w:szCs w:val="24"/>
              <w:lang w:val="sq-AL"/>
            </w:rPr>
            <w:t>5</w:t>
          </w:r>
          <w:r w:rsidR="0003264E" w:rsidRPr="0003264E">
            <w:rPr>
              <w:szCs w:val="24"/>
              <w:lang w:val="sq-AL"/>
            </w:rPr>
            <w:t>, t</w:t>
          </w:r>
          <w:r w:rsidR="00BE1224">
            <w:rPr>
              <w:szCs w:val="24"/>
              <w:lang w:val="sq-AL"/>
            </w:rPr>
            <w:t>ë</w:t>
          </w:r>
          <w:r w:rsidR="0003264E" w:rsidRPr="0003264E">
            <w:rPr>
              <w:szCs w:val="24"/>
              <w:lang w:val="sq-AL"/>
            </w:rPr>
            <w:t xml:space="preserve"> cilat do t</w:t>
          </w:r>
          <w:r w:rsidR="00BE1224">
            <w:rPr>
              <w:szCs w:val="24"/>
              <w:lang w:val="sq-AL"/>
            </w:rPr>
            <w:t>ë</w:t>
          </w:r>
          <w:r w:rsidR="0003264E" w:rsidRPr="0003264E">
            <w:rPr>
              <w:szCs w:val="24"/>
              <w:lang w:val="sq-AL"/>
            </w:rPr>
            <w:t xml:space="preserve"> shqyrtohen nga </w:t>
          </w:r>
          <w:r w:rsidR="0003264E" w:rsidRPr="0003264E">
            <w:rPr>
              <w:iCs/>
              <w:lang w:val="sq-AL"/>
            </w:rPr>
            <w:t xml:space="preserve"> Agjencia e Trajtimit te Pronave deri me 31.12.</w:t>
          </w:r>
          <w:r w:rsidR="00C64E16">
            <w:rPr>
              <w:iCs/>
              <w:lang w:val="sq-AL"/>
            </w:rPr>
            <w:t>2027.</w:t>
          </w:r>
        </w:p>
        <w:p w14:paraId="7BC930BE" w14:textId="48EC050F" w:rsidR="00563378" w:rsidRPr="00C64E16" w:rsidRDefault="00C64E16" w:rsidP="00C64E16">
          <w:pPr>
            <w:ind w:left="540" w:hanging="180"/>
            <w:jc w:val="both"/>
          </w:pPr>
          <w:r>
            <w:t>- Ekzekutimin e vendimeve dhe p</w:t>
          </w:r>
          <w:r w:rsidR="00EF5666">
            <w:t>ë</w:t>
          </w:r>
          <w:r>
            <w:t>rfundimin e procesit t</w:t>
          </w:r>
          <w:r w:rsidR="00EF5666">
            <w:t>ë</w:t>
          </w:r>
          <w:r>
            <w:t xml:space="preserve"> kompensimit t</w:t>
          </w:r>
          <w:r w:rsidR="00EF5666">
            <w:t>ë</w:t>
          </w:r>
          <w:r>
            <w:t xml:space="preserve"> pronave brenda 31.12.2028.</w:t>
          </w:r>
        </w:p>
      </w:sdtContent>
    </w:sdt>
    <w:p w14:paraId="705FE268" w14:textId="77777777" w:rsidR="002125B7" w:rsidRPr="00325A1F" w:rsidRDefault="002125B7" w:rsidP="009D13F4">
      <w:pPr>
        <w:pStyle w:val="Style1-BodyText"/>
        <w:spacing w:before="240" w:after="0" w:line="276" w:lineRule="auto"/>
        <w:rPr>
          <w:rFonts w:cs="Times New Roman"/>
          <w:b/>
          <w:sz w:val="24"/>
          <w:szCs w:val="24"/>
          <w:lang w:val="sq-AL"/>
        </w:rPr>
      </w:pPr>
      <w:r w:rsidRPr="00325A1F">
        <w:rPr>
          <w:rFonts w:cs="Times New Roman"/>
          <w:b/>
          <w:sz w:val="24"/>
          <w:szCs w:val="24"/>
          <w:lang w:val="sq-AL"/>
        </w:rPr>
        <w:t>Faza e monitorimit dhe vlerësimit</w:t>
      </w:r>
    </w:p>
    <w:sdt>
      <w:sdtPr>
        <w:rPr>
          <w:rFonts w:cs="Times New Roman"/>
          <w:b/>
          <w:i/>
          <w:sz w:val="24"/>
          <w:szCs w:val="24"/>
          <w:lang w:val="sq-AL"/>
        </w:rPr>
        <w:id w:val="1311365965"/>
        <w:lock w:val="contentLocked"/>
        <w:placeholder>
          <w:docPart w:val="DefaultPlaceholder_1081868574"/>
        </w:placeholder>
      </w:sdtPr>
      <w:sdtEndPr/>
      <w:sdtContent>
        <w:p w14:paraId="297D9383" w14:textId="77777777" w:rsidR="009E64A4" w:rsidRPr="0032145B" w:rsidRDefault="009E64A4">
          <w:pPr>
            <w:pStyle w:val="Style1-BodyText"/>
            <w:numPr>
              <w:ilvl w:val="0"/>
              <w:numId w:val="5"/>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5190D970" w14:textId="77777777" w:rsidR="002125B7" w:rsidRPr="0032145B" w:rsidRDefault="009E64A4">
          <w:pPr>
            <w:pStyle w:val="Style1-BodyText"/>
            <w:numPr>
              <w:ilvl w:val="0"/>
              <w:numId w:val="5"/>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bookmarkEnd w:id="19"/>
    <w:p w14:paraId="3CF27727" w14:textId="20B4FA78" w:rsidR="002125B7" w:rsidRPr="003D7125" w:rsidRDefault="00BD42D9" w:rsidP="00E55113">
      <w:pPr>
        <w:spacing w:before="240" w:line="276" w:lineRule="auto"/>
        <w:jc w:val="both"/>
        <w:rPr>
          <w:b/>
          <w:bCs/>
          <w:lang w:val="sq-AL"/>
        </w:rPr>
      </w:pPr>
      <w:sdt>
        <w:sdtPr>
          <w:rPr>
            <w:rFonts w:eastAsiaTheme="majorEastAsia"/>
          </w:rPr>
          <w:id w:val="392413207"/>
          <w:placeholder>
            <w:docPart w:val="346DADE0E4B948EEB018BC06B86F97D7"/>
          </w:placeholder>
        </w:sdtPr>
        <w:sdtEndPr/>
        <w:sdtContent>
          <w:r w:rsidR="00E55113" w:rsidRPr="00AA4E0F">
            <w:rPr>
              <w:color w:val="000000" w:themeColor="text1"/>
              <w:szCs w:val="24"/>
              <w:lang w:val="sq-AL"/>
            </w:rPr>
            <w:t xml:space="preserve">Monitorimi në nivel të përgjithshëm do të realizohet nga Ministria e Drejtësisë, ndërsa zbatimi do të kryhet nga </w:t>
          </w:r>
          <w:r w:rsidR="00E55113" w:rsidRPr="0048226D">
            <w:rPr>
              <w:szCs w:val="24"/>
              <w:lang w:val="sq-AL"/>
            </w:rPr>
            <w:t>Agjencia e Trajtimit të Pronave</w:t>
          </w:r>
          <w:r w:rsidR="008D1155">
            <w:rPr>
              <w:szCs w:val="24"/>
              <w:lang w:val="sq-AL"/>
            </w:rPr>
            <w:t>.</w:t>
          </w:r>
          <w:r w:rsidR="00E55113" w:rsidRPr="0048226D">
            <w:rPr>
              <w:szCs w:val="24"/>
              <w:lang w:val="sq-AL"/>
            </w:rPr>
            <w:t xml:space="preserve"> Kriteret për matjen e arritjes së qëllimeve apo progresin drejt tyre, nuk janë fikse, por duke q</w:t>
          </w:r>
          <w:r w:rsidR="00BE1224" w:rsidRPr="0048226D">
            <w:rPr>
              <w:szCs w:val="24"/>
              <w:lang w:val="sq-AL"/>
            </w:rPr>
            <w:t>ë</w:t>
          </w:r>
          <w:r w:rsidR="00E55113" w:rsidRPr="0048226D">
            <w:rPr>
              <w:szCs w:val="24"/>
              <w:lang w:val="sq-AL"/>
            </w:rPr>
            <w:t>n</w:t>
          </w:r>
          <w:r w:rsidR="00BE1224" w:rsidRPr="0048226D">
            <w:rPr>
              <w:szCs w:val="24"/>
              <w:lang w:val="sq-AL"/>
            </w:rPr>
            <w:t>ë</w:t>
          </w:r>
          <w:r w:rsidR="0048226D">
            <w:rPr>
              <w:szCs w:val="24"/>
              <w:lang w:val="sq-AL"/>
            </w:rPr>
            <w:t xml:space="preserve"> se </w:t>
          </w:r>
          <w:r w:rsidR="008A5B54">
            <w:rPr>
              <w:szCs w:val="24"/>
              <w:lang w:val="sq-AL"/>
            </w:rPr>
            <w:t>lidhen me shqyrtimin e dosjeve dhe vler</w:t>
          </w:r>
          <w:r w:rsidR="00EF5666">
            <w:rPr>
              <w:szCs w:val="24"/>
              <w:lang w:val="sq-AL"/>
            </w:rPr>
            <w:t>ë</w:t>
          </w:r>
          <w:r w:rsidR="008A5B54">
            <w:rPr>
              <w:szCs w:val="24"/>
              <w:lang w:val="sq-AL"/>
            </w:rPr>
            <w:t>simin e vendimeve, mund t</w:t>
          </w:r>
          <w:r w:rsidR="00EF5666">
            <w:rPr>
              <w:szCs w:val="24"/>
              <w:lang w:val="sq-AL"/>
            </w:rPr>
            <w:t>ë</w:t>
          </w:r>
          <w:r w:rsidR="008A5B54">
            <w:rPr>
              <w:szCs w:val="24"/>
              <w:lang w:val="sq-AL"/>
            </w:rPr>
            <w:t xml:space="preserve"> sh</w:t>
          </w:r>
          <w:r w:rsidR="00EF5666">
            <w:rPr>
              <w:szCs w:val="24"/>
              <w:lang w:val="sq-AL"/>
            </w:rPr>
            <w:t>ë</w:t>
          </w:r>
          <w:r w:rsidR="008A5B54">
            <w:rPr>
              <w:szCs w:val="24"/>
              <w:lang w:val="sq-AL"/>
            </w:rPr>
            <w:t>rbejn</w:t>
          </w:r>
          <w:r w:rsidR="00EF5666">
            <w:rPr>
              <w:szCs w:val="24"/>
              <w:lang w:val="sq-AL"/>
            </w:rPr>
            <w:t>ë</w:t>
          </w:r>
          <w:r w:rsidR="008A5B54">
            <w:rPr>
              <w:szCs w:val="24"/>
              <w:lang w:val="sq-AL"/>
            </w:rPr>
            <w:t xml:space="preserve"> si tregues t</w:t>
          </w:r>
          <w:r w:rsidR="00EF5666">
            <w:rPr>
              <w:szCs w:val="24"/>
              <w:lang w:val="sq-AL"/>
            </w:rPr>
            <w:t>ë</w:t>
          </w:r>
          <w:r w:rsidR="008A5B54">
            <w:rPr>
              <w:szCs w:val="24"/>
              <w:lang w:val="sq-AL"/>
            </w:rPr>
            <w:t xml:space="preserve"> dh</w:t>
          </w:r>
          <w:r w:rsidR="00EF5666">
            <w:rPr>
              <w:szCs w:val="24"/>
              <w:lang w:val="sq-AL"/>
            </w:rPr>
            <w:t>ë</w:t>
          </w:r>
          <w:r w:rsidR="008A5B54">
            <w:rPr>
              <w:szCs w:val="24"/>
              <w:lang w:val="sq-AL"/>
            </w:rPr>
            <w:t>nat statistikore q</w:t>
          </w:r>
          <w:r w:rsidR="00EF5666">
            <w:rPr>
              <w:szCs w:val="24"/>
              <w:lang w:val="sq-AL"/>
            </w:rPr>
            <w:t>ë</w:t>
          </w:r>
          <w:r w:rsidR="008A5B54">
            <w:rPr>
              <w:szCs w:val="24"/>
              <w:lang w:val="sq-AL"/>
            </w:rPr>
            <w:t xml:space="preserve"> vihen në dispozicion nga AT</w:t>
          </w:r>
          <w:r w:rsidR="00EF5666">
            <w:rPr>
              <w:szCs w:val="24"/>
              <w:lang w:val="sq-AL"/>
            </w:rPr>
            <w:t>P</w:t>
          </w:r>
          <w:r w:rsidR="00B33CCA" w:rsidRPr="00FB3897">
            <w:rPr>
              <w:rFonts w:eastAsiaTheme="majorEastAsia"/>
              <w:lang w:val="it-IT"/>
            </w:rPr>
            <w:t>.</w:t>
          </w:r>
          <w:r w:rsidR="00EF5666">
            <w:rPr>
              <w:rFonts w:eastAsiaTheme="majorEastAsia"/>
              <w:lang w:val="it-IT"/>
            </w:rPr>
            <w:t xml:space="preserve"> Gjithashtu, tregues janë edhe raportet e organizatave jofitimprurëse, raportet e veprimtarisë që ATP përcjell pranë Ministrisë së Drejtësisë, publikimet e ATP-së, etj.</w:t>
          </w:r>
        </w:sdtContent>
      </w:sdt>
      <w:r w:rsidR="1044839F" w:rsidRPr="00FB3897">
        <w:rPr>
          <w:lang w:val="it-IT"/>
        </w:rPr>
        <w:t xml:space="preserve"> </w:t>
      </w:r>
    </w:p>
    <w:p w14:paraId="3CD1E85D" w14:textId="77777777" w:rsidR="00225F7F" w:rsidRDefault="00225F7F" w:rsidP="009D13F4">
      <w:pPr>
        <w:spacing w:line="276" w:lineRule="auto"/>
        <w:jc w:val="both"/>
        <w:rPr>
          <w:b/>
          <w:szCs w:val="24"/>
          <w:lang w:val="sq-AL"/>
        </w:rPr>
        <w:sectPr w:rsidR="00225F7F" w:rsidSect="00F219AD">
          <w:headerReference w:type="even" r:id="rId9"/>
          <w:footerReference w:type="default" r:id="rId10"/>
          <w:footnotePr>
            <w:numRestart w:val="eachSect"/>
          </w:footnotePr>
          <w:type w:val="continuous"/>
          <w:pgSz w:w="11907" w:h="16840" w:code="9"/>
          <w:pgMar w:top="680" w:right="851" w:bottom="680" w:left="851" w:header="284" w:footer="284" w:gutter="0"/>
          <w:cols w:space="708"/>
          <w:docGrid w:linePitch="360"/>
        </w:sectPr>
      </w:pPr>
    </w:p>
    <w:p w14:paraId="5BCBFF6A" w14:textId="77777777" w:rsidR="002125B7" w:rsidRPr="00325A1F" w:rsidRDefault="72AAA341" w:rsidP="72AAA341">
      <w:pPr>
        <w:spacing w:line="276" w:lineRule="auto"/>
        <w:jc w:val="both"/>
        <w:rPr>
          <w:lang w:val="sq-AL"/>
        </w:rPr>
      </w:pPr>
      <w:r w:rsidRPr="72AAA341">
        <w:rPr>
          <w:b/>
          <w:bCs/>
          <w:lang w:val="sq-AL"/>
        </w:rPr>
        <w:lastRenderedPageBreak/>
        <w:t>Raporti i vlerësimit të ndikimit - Shtojca 2/a</w:t>
      </w:r>
    </w:p>
    <w:p w14:paraId="3C127839" w14:textId="77777777" w:rsidR="002125B7" w:rsidRPr="00325A1F" w:rsidRDefault="002125B7" w:rsidP="009D13F4">
      <w:pPr>
        <w:spacing w:line="276" w:lineRule="auto"/>
        <w:rPr>
          <w:rStyle w:val="Strong"/>
          <w:b w:val="0"/>
          <w:szCs w:val="24"/>
          <w:lang w:val="sq-AL"/>
        </w:rPr>
      </w:pPr>
    </w:p>
    <w:p w14:paraId="2B9B0012" w14:textId="77777777" w:rsidR="00225F7F" w:rsidRPr="00FB3897" w:rsidRDefault="002125B7" w:rsidP="009F625C">
      <w:pPr>
        <w:spacing w:line="276" w:lineRule="auto"/>
        <w:rPr>
          <w:lang w:val="sq-AL"/>
        </w:rPr>
      </w:pPr>
      <w:r w:rsidRPr="00325A1F">
        <w:rPr>
          <w:rStyle w:val="Strong"/>
          <w:i/>
          <w:szCs w:val="24"/>
          <w:lang w:val="sq-AL"/>
        </w:rPr>
        <w:t>Tabela: Vlera aktuale neto në total (VAN) - kostot dhe përfitimet me vlerë monetare të përcaktuar në milionë lekë e zbritur për 10 vjet (Vlera aktuale e kostos dhe vlera aktuale e përfitimit); krahasuar me status quo-në</w:t>
      </w:r>
      <w:r w:rsidRPr="00325A1F">
        <w:rPr>
          <w:rStyle w:val="Strong"/>
          <w:szCs w:val="24"/>
          <w:lang w:val="sq-AL"/>
        </w:rPr>
        <w:t xml:space="preserve">.    </w:t>
      </w:r>
      <w:r w:rsidR="00225F7F" w:rsidRPr="00225F7F">
        <w:rPr>
          <w:rStyle w:val="Strong"/>
          <w:szCs w:val="24"/>
          <w:lang w:val="sq-AL"/>
        </w:rPr>
        <w:fldChar w:fldCharType="begin"/>
      </w:r>
      <w:r w:rsidR="00225F7F"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lang w:val="sq-AL"/>
        </w:rPr>
        <w:fldChar w:fldCharType="end"/>
      </w:r>
    </w:p>
    <w:p w14:paraId="745E7273" w14:textId="77777777" w:rsidR="00E139C5" w:rsidRPr="00FB3897" w:rsidRDefault="009F625C" w:rsidP="009D13F4">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E139C5" w:rsidRPr="00E139C5" w14:paraId="0685A118" w14:textId="77777777" w:rsidTr="00E139C5">
        <w:trPr>
          <w:divId w:val="1261141582"/>
          <w:trHeight w:val="255"/>
        </w:trPr>
        <w:tc>
          <w:tcPr>
            <w:tcW w:w="3145" w:type="dxa"/>
            <w:shd w:val="clear" w:color="auto" w:fill="F2F2F2" w:themeFill="background1" w:themeFillShade="F2"/>
            <w:hideMark/>
          </w:tcPr>
          <w:p w14:paraId="6659A3A8" w14:textId="77777777" w:rsidR="00E139C5" w:rsidRPr="00FB3897" w:rsidRDefault="00E139C5" w:rsidP="00E139C5">
            <w:pPr>
              <w:spacing w:line="276" w:lineRule="auto"/>
              <w:rPr>
                <w:szCs w:val="24"/>
                <w:lang w:val="sq-AL"/>
              </w:rPr>
            </w:pPr>
            <w:r w:rsidRPr="00FB3897">
              <w:rPr>
                <w:szCs w:val="24"/>
                <w:lang w:val="sq-AL"/>
              </w:rPr>
              <w:t> </w:t>
            </w:r>
          </w:p>
        </w:tc>
        <w:tc>
          <w:tcPr>
            <w:tcW w:w="1350" w:type="dxa"/>
            <w:shd w:val="clear" w:color="auto" w:fill="F2F2F2" w:themeFill="background1" w:themeFillShade="F2"/>
            <w:hideMark/>
          </w:tcPr>
          <w:p w14:paraId="17E843DE" w14:textId="77777777" w:rsidR="00E139C5" w:rsidRPr="00E139C5" w:rsidRDefault="00E139C5" w:rsidP="00E139C5">
            <w:pPr>
              <w:spacing w:line="276" w:lineRule="auto"/>
              <w:ind w:left="-108" w:firstLine="108"/>
              <w:rPr>
                <w:b/>
                <w:bCs/>
                <w:szCs w:val="24"/>
              </w:rPr>
            </w:pPr>
            <w:r w:rsidRPr="00FB3897">
              <w:rPr>
                <w:b/>
                <w:bCs/>
                <w:szCs w:val="24"/>
                <w:lang w:val="sq-AL"/>
              </w:rPr>
              <w:t xml:space="preserve"> </w:t>
            </w:r>
            <w:proofErr w:type="gramStart"/>
            <w:r w:rsidRPr="00E139C5">
              <w:rPr>
                <w:b/>
                <w:bCs/>
                <w:szCs w:val="24"/>
              </w:rPr>
              <w:t>Viti  1</w:t>
            </w:r>
            <w:proofErr w:type="gramEnd"/>
            <w:r w:rsidRPr="00E139C5">
              <w:rPr>
                <w:b/>
                <w:bCs/>
                <w:szCs w:val="24"/>
              </w:rPr>
              <w:t xml:space="preserve"> </w:t>
            </w:r>
          </w:p>
        </w:tc>
        <w:tc>
          <w:tcPr>
            <w:tcW w:w="1170" w:type="dxa"/>
            <w:shd w:val="clear" w:color="auto" w:fill="F2F2F2" w:themeFill="background1" w:themeFillShade="F2"/>
            <w:hideMark/>
          </w:tcPr>
          <w:p w14:paraId="44805B56" w14:textId="77777777" w:rsidR="00E139C5" w:rsidRPr="00E139C5" w:rsidRDefault="00E139C5" w:rsidP="00E139C5">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14:paraId="0B3CDB38" w14:textId="77777777" w:rsidR="00E139C5" w:rsidRPr="00E139C5" w:rsidRDefault="00E139C5" w:rsidP="00E139C5">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14:paraId="38B2B92D" w14:textId="77777777" w:rsidR="00E139C5" w:rsidRPr="00E139C5" w:rsidRDefault="00E139C5" w:rsidP="00E139C5">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14:paraId="3B76D847" w14:textId="77777777" w:rsidR="00E139C5" w:rsidRPr="00E139C5" w:rsidRDefault="00E139C5" w:rsidP="00E139C5">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14:paraId="5953E8F8" w14:textId="77777777" w:rsidR="00E139C5" w:rsidRPr="00E139C5" w:rsidRDefault="00E139C5" w:rsidP="00E139C5">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14:paraId="031D4F62" w14:textId="77777777" w:rsidR="00E139C5" w:rsidRPr="00E139C5" w:rsidRDefault="00E139C5" w:rsidP="00E139C5">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14:paraId="167B1B8D" w14:textId="77777777" w:rsidR="00E139C5" w:rsidRPr="00E139C5" w:rsidRDefault="00E139C5" w:rsidP="00E139C5">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14:paraId="0BDCA581" w14:textId="77777777" w:rsidR="00E139C5" w:rsidRPr="00E139C5" w:rsidRDefault="00E139C5" w:rsidP="00E139C5">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14:paraId="2AC5EF9A" w14:textId="77777777" w:rsidR="00E139C5" w:rsidRPr="00E139C5" w:rsidRDefault="00E139C5" w:rsidP="00E139C5">
            <w:pPr>
              <w:spacing w:line="276" w:lineRule="auto"/>
              <w:rPr>
                <w:b/>
                <w:bCs/>
                <w:szCs w:val="24"/>
              </w:rPr>
            </w:pPr>
            <w:r w:rsidRPr="00E139C5">
              <w:rPr>
                <w:b/>
                <w:bCs/>
                <w:szCs w:val="24"/>
              </w:rPr>
              <w:t xml:space="preserve"> Viti 10 </w:t>
            </w:r>
          </w:p>
        </w:tc>
      </w:tr>
      <w:tr w:rsidR="00E139C5" w:rsidRPr="00E139C5" w14:paraId="2537B555" w14:textId="77777777" w:rsidTr="00E139C5">
        <w:trPr>
          <w:divId w:val="1261141582"/>
          <w:trHeight w:val="255"/>
        </w:trPr>
        <w:tc>
          <w:tcPr>
            <w:tcW w:w="3145" w:type="dxa"/>
            <w:shd w:val="clear" w:color="auto" w:fill="F2F2F2" w:themeFill="background1" w:themeFillShade="F2"/>
            <w:hideMark/>
          </w:tcPr>
          <w:p w14:paraId="4F81C765" w14:textId="77777777" w:rsidR="00E139C5" w:rsidRPr="00E139C5" w:rsidRDefault="00E139C5" w:rsidP="00E139C5">
            <w:pPr>
              <w:spacing w:line="276" w:lineRule="auto"/>
              <w:rPr>
                <w:b/>
                <w:bCs/>
                <w:szCs w:val="24"/>
              </w:rPr>
            </w:pPr>
            <w:r w:rsidRPr="00E139C5">
              <w:rPr>
                <w:b/>
                <w:bCs/>
                <w:szCs w:val="24"/>
              </w:rPr>
              <w:t xml:space="preserve">Faktori zbritës </w:t>
            </w:r>
          </w:p>
        </w:tc>
        <w:tc>
          <w:tcPr>
            <w:tcW w:w="1350" w:type="dxa"/>
            <w:shd w:val="clear" w:color="auto" w:fill="F2F2F2" w:themeFill="background1" w:themeFillShade="F2"/>
            <w:hideMark/>
          </w:tcPr>
          <w:p w14:paraId="40CB57F1" w14:textId="77777777" w:rsidR="00E139C5" w:rsidRPr="00E139C5" w:rsidRDefault="00E139C5" w:rsidP="004328A5">
            <w:pPr>
              <w:spacing w:line="276" w:lineRule="auto"/>
              <w:ind w:left="-108" w:firstLine="108"/>
              <w:jc w:val="right"/>
              <w:rPr>
                <w:szCs w:val="24"/>
              </w:rPr>
            </w:pPr>
            <w:r w:rsidRPr="00E139C5">
              <w:rPr>
                <w:szCs w:val="24"/>
              </w:rPr>
              <w:t xml:space="preserve">                    </w:t>
            </w:r>
          </w:p>
        </w:tc>
        <w:tc>
          <w:tcPr>
            <w:tcW w:w="1170" w:type="dxa"/>
            <w:shd w:val="clear" w:color="auto" w:fill="F2F2F2" w:themeFill="background1" w:themeFillShade="F2"/>
            <w:hideMark/>
          </w:tcPr>
          <w:p w14:paraId="53F981C1" w14:textId="77777777" w:rsidR="00E139C5" w:rsidRPr="00E139C5" w:rsidRDefault="00E139C5" w:rsidP="004328A5">
            <w:pPr>
              <w:spacing w:line="276" w:lineRule="auto"/>
              <w:ind w:left="-108" w:firstLine="108"/>
              <w:jc w:val="right"/>
              <w:rPr>
                <w:szCs w:val="24"/>
              </w:rPr>
            </w:pPr>
            <w:r w:rsidRPr="00E139C5">
              <w:rPr>
                <w:szCs w:val="24"/>
              </w:rPr>
              <w:t xml:space="preserve">                 </w:t>
            </w:r>
          </w:p>
        </w:tc>
        <w:tc>
          <w:tcPr>
            <w:tcW w:w="1080" w:type="dxa"/>
            <w:shd w:val="clear" w:color="auto" w:fill="F2F2F2" w:themeFill="background1" w:themeFillShade="F2"/>
            <w:hideMark/>
          </w:tcPr>
          <w:p w14:paraId="25F3B4B6" w14:textId="77777777" w:rsidR="00E139C5" w:rsidRPr="00E139C5" w:rsidRDefault="00E139C5" w:rsidP="004328A5">
            <w:pPr>
              <w:spacing w:line="276" w:lineRule="auto"/>
              <w:jc w:val="right"/>
              <w:rPr>
                <w:szCs w:val="24"/>
              </w:rPr>
            </w:pPr>
            <w:r w:rsidRPr="00E139C5">
              <w:rPr>
                <w:szCs w:val="24"/>
              </w:rPr>
              <w:t xml:space="preserve">                  </w:t>
            </w:r>
          </w:p>
        </w:tc>
        <w:tc>
          <w:tcPr>
            <w:tcW w:w="1170" w:type="dxa"/>
            <w:shd w:val="clear" w:color="auto" w:fill="F2F2F2" w:themeFill="background1" w:themeFillShade="F2"/>
            <w:hideMark/>
          </w:tcPr>
          <w:p w14:paraId="11687DAA" w14:textId="77777777" w:rsidR="00E139C5" w:rsidRPr="00E139C5" w:rsidRDefault="00E139C5" w:rsidP="004328A5">
            <w:pPr>
              <w:spacing w:line="276" w:lineRule="auto"/>
              <w:jc w:val="right"/>
              <w:rPr>
                <w:szCs w:val="24"/>
              </w:rPr>
            </w:pPr>
            <w:r w:rsidRPr="00E139C5">
              <w:rPr>
                <w:szCs w:val="24"/>
              </w:rPr>
              <w:t xml:space="preserve">                 </w:t>
            </w:r>
          </w:p>
        </w:tc>
        <w:tc>
          <w:tcPr>
            <w:tcW w:w="1080" w:type="dxa"/>
            <w:shd w:val="clear" w:color="auto" w:fill="F2F2F2" w:themeFill="background1" w:themeFillShade="F2"/>
            <w:hideMark/>
          </w:tcPr>
          <w:p w14:paraId="70A9AA89" w14:textId="77777777" w:rsidR="00E139C5" w:rsidRPr="00E139C5" w:rsidRDefault="00E139C5" w:rsidP="004328A5">
            <w:pPr>
              <w:spacing w:line="276" w:lineRule="auto"/>
              <w:jc w:val="right"/>
              <w:rPr>
                <w:szCs w:val="24"/>
              </w:rPr>
            </w:pPr>
            <w:r w:rsidRPr="00E139C5">
              <w:rPr>
                <w:szCs w:val="24"/>
              </w:rPr>
              <w:t xml:space="preserve">                 </w:t>
            </w:r>
          </w:p>
        </w:tc>
        <w:tc>
          <w:tcPr>
            <w:tcW w:w="1260" w:type="dxa"/>
            <w:shd w:val="clear" w:color="auto" w:fill="F2F2F2" w:themeFill="background1" w:themeFillShade="F2"/>
            <w:hideMark/>
          </w:tcPr>
          <w:p w14:paraId="38004A6C" w14:textId="77777777" w:rsidR="00E139C5" w:rsidRPr="00E139C5" w:rsidRDefault="00E139C5" w:rsidP="004328A5">
            <w:pPr>
              <w:spacing w:line="276" w:lineRule="auto"/>
              <w:jc w:val="right"/>
              <w:rPr>
                <w:szCs w:val="24"/>
              </w:rPr>
            </w:pPr>
            <w:r w:rsidRPr="00E139C5">
              <w:rPr>
                <w:szCs w:val="24"/>
              </w:rPr>
              <w:t xml:space="preserve">                 </w:t>
            </w:r>
          </w:p>
        </w:tc>
        <w:tc>
          <w:tcPr>
            <w:tcW w:w="1080" w:type="dxa"/>
            <w:shd w:val="clear" w:color="auto" w:fill="F2F2F2" w:themeFill="background1" w:themeFillShade="F2"/>
            <w:hideMark/>
          </w:tcPr>
          <w:p w14:paraId="7E33E66D" w14:textId="77777777" w:rsidR="00E139C5" w:rsidRPr="00E139C5" w:rsidRDefault="00E139C5" w:rsidP="004328A5">
            <w:pPr>
              <w:spacing w:line="276" w:lineRule="auto"/>
              <w:jc w:val="right"/>
              <w:rPr>
                <w:szCs w:val="24"/>
              </w:rPr>
            </w:pPr>
            <w:r w:rsidRPr="00E139C5">
              <w:rPr>
                <w:szCs w:val="24"/>
              </w:rPr>
              <w:t xml:space="preserve">                 </w:t>
            </w:r>
          </w:p>
        </w:tc>
        <w:tc>
          <w:tcPr>
            <w:tcW w:w="1260" w:type="dxa"/>
            <w:shd w:val="clear" w:color="auto" w:fill="F2F2F2" w:themeFill="background1" w:themeFillShade="F2"/>
            <w:hideMark/>
          </w:tcPr>
          <w:p w14:paraId="281BD198" w14:textId="77777777" w:rsidR="00E139C5" w:rsidRPr="00E139C5" w:rsidRDefault="00E139C5" w:rsidP="004328A5">
            <w:pPr>
              <w:spacing w:line="276" w:lineRule="auto"/>
              <w:jc w:val="right"/>
              <w:rPr>
                <w:szCs w:val="24"/>
              </w:rPr>
            </w:pPr>
            <w:r w:rsidRPr="00E139C5">
              <w:rPr>
                <w:szCs w:val="24"/>
              </w:rPr>
              <w:t xml:space="preserve">                   </w:t>
            </w:r>
          </w:p>
        </w:tc>
        <w:tc>
          <w:tcPr>
            <w:tcW w:w="1260" w:type="dxa"/>
            <w:shd w:val="clear" w:color="auto" w:fill="F2F2F2" w:themeFill="background1" w:themeFillShade="F2"/>
            <w:hideMark/>
          </w:tcPr>
          <w:p w14:paraId="4E448092" w14:textId="77777777" w:rsidR="00E139C5" w:rsidRPr="00E139C5" w:rsidRDefault="00E139C5" w:rsidP="004328A5">
            <w:pPr>
              <w:spacing w:line="276" w:lineRule="auto"/>
              <w:jc w:val="right"/>
              <w:rPr>
                <w:szCs w:val="24"/>
              </w:rPr>
            </w:pPr>
            <w:r w:rsidRPr="00E139C5">
              <w:rPr>
                <w:szCs w:val="24"/>
              </w:rPr>
              <w:t xml:space="preserve">                  </w:t>
            </w:r>
          </w:p>
        </w:tc>
        <w:tc>
          <w:tcPr>
            <w:tcW w:w="1260" w:type="dxa"/>
            <w:shd w:val="clear" w:color="auto" w:fill="F2F2F2" w:themeFill="background1" w:themeFillShade="F2"/>
            <w:hideMark/>
          </w:tcPr>
          <w:p w14:paraId="35053E67" w14:textId="77777777" w:rsidR="00E139C5" w:rsidRPr="00E139C5" w:rsidRDefault="00E139C5" w:rsidP="004328A5">
            <w:pPr>
              <w:spacing w:line="276" w:lineRule="auto"/>
              <w:jc w:val="right"/>
              <w:rPr>
                <w:szCs w:val="24"/>
              </w:rPr>
            </w:pPr>
            <w:r w:rsidRPr="00E139C5">
              <w:rPr>
                <w:szCs w:val="24"/>
              </w:rPr>
              <w:t xml:space="preserve">                    </w:t>
            </w:r>
          </w:p>
        </w:tc>
      </w:tr>
      <w:tr w:rsidR="00E139C5" w:rsidRPr="00E139C5" w14:paraId="4C2E101C" w14:textId="77777777" w:rsidTr="00E139C5">
        <w:trPr>
          <w:divId w:val="1261141582"/>
          <w:trHeight w:val="255"/>
        </w:trPr>
        <w:tc>
          <w:tcPr>
            <w:tcW w:w="3145" w:type="dxa"/>
            <w:hideMark/>
          </w:tcPr>
          <w:p w14:paraId="65345565" w14:textId="77777777" w:rsidR="00E139C5" w:rsidRPr="00E139C5" w:rsidRDefault="00E139C5" w:rsidP="00E139C5">
            <w:pPr>
              <w:spacing w:line="276" w:lineRule="auto"/>
              <w:rPr>
                <w:szCs w:val="24"/>
              </w:rPr>
            </w:pPr>
            <w:r w:rsidRPr="00E139C5">
              <w:rPr>
                <w:szCs w:val="24"/>
              </w:rPr>
              <w:t>Kosto për buxhetin - një herë</w:t>
            </w:r>
          </w:p>
        </w:tc>
        <w:tc>
          <w:tcPr>
            <w:tcW w:w="1350" w:type="dxa"/>
            <w:hideMark/>
          </w:tcPr>
          <w:p w14:paraId="23BCE387" w14:textId="77777777" w:rsidR="00E139C5" w:rsidRPr="00E139C5" w:rsidRDefault="00E139C5" w:rsidP="004328A5">
            <w:pPr>
              <w:spacing w:line="276" w:lineRule="auto"/>
              <w:ind w:left="-108" w:firstLine="108"/>
              <w:jc w:val="right"/>
              <w:rPr>
                <w:szCs w:val="24"/>
              </w:rPr>
            </w:pPr>
            <w:r w:rsidRPr="00E139C5">
              <w:rPr>
                <w:szCs w:val="24"/>
              </w:rPr>
              <w:t xml:space="preserve">              </w:t>
            </w:r>
          </w:p>
        </w:tc>
        <w:tc>
          <w:tcPr>
            <w:tcW w:w="1170" w:type="dxa"/>
            <w:hideMark/>
          </w:tcPr>
          <w:p w14:paraId="207171BC" w14:textId="77777777" w:rsidR="00E139C5" w:rsidRPr="00E139C5" w:rsidRDefault="00E139C5" w:rsidP="00E139C5">
            <w:pPr>
              <w:spacing w:line="276" w:lineRule="auto"/>
              <w:ind w:left="-108" w:firstLine="108"/>
              <w:jc w:val="right"/>
              <w:rPr>
                <w:szCs w:val="24"/>
              </w:rPr>
            </w:pPr>
            <w:r w:rsidRPr="00E139C5">
              <w:rPr>
                <w:szCs w:val="24"/>
              </w:rPr>
              <w:t> </w:t>
            </w:r>
          </w:p>
        </w:tc>
        <w:tc>
          <w:tcPr>
            <w:tcW w:w="1080" w:type="dxa"/>
            <w:hideMark/>
          </w:tcPr>
          <w:p w14:paraId="3B24FBE9" w14:textId="77777777" w:rsidR="00E139C5" w:rsidRPr="00E139C5" w:rsidRDefault="00E139C5" w:rsidP="00E139C5">
            <w:pPr>
              <w:spacing w:line="276" w:lineRule="auto"/>
              <w:jc w:val="right"/>
              <w:rPr>
                <w:szCs w:val="24"/>
              </w:rPr>
            </w:pPr>
            <w:r w:rsidRPr="00E139C5">
              <w:rPr>
                <w:szCs w:val="24"/>
              </w:rPr>
              <w:t> </w:t>
            </w:r>
          </w:p>
        </w:tc>
        <w:tc>
          <w:tcPr>
            <w:tcW w:w="1170" w:type="dxa"/>
            <w:hideMark/>
          </w:tcPr>
          <w:p w14:paraId="14E0DF7B"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11EA3040"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6049D46D"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0B6736E3"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11B15B6A"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5C0CA6C8"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6C67261D" w14:textId="77777777" w:rsidR="00E139C5" w:rsidRPr="00E139C5" w:rsidRDefault="00E139C5" w:rsidP="00E139C5">
            <w:pPr>
              <w:spacing w:line="276" w:lineRule="auto"/>
              <w:jc w:val="right"/>
              <w:rPr>
                <w:szCs w:val="24"/>
              </w:rPr>
            </w:pPr>
            <w:r w:rsidRPr="00E139C5">
              <w:rPr>
                <w:szCs w:val="24"/>
              </w:rPr>
              <w:t> </w:t>
            </w:r>
          </w:p>
        </w:tc>
      </w:tr>
      <w:tr w:rsidR="00E139C5" w:rsidRPr="00E139C5" w14:paraId="19174704" w14:textId="77777777" w:rsidTr="00E139C5">
        <w:trPr>
          <w:divId w:val="1261141582"/>
          <w:trHeight w:val="255"/>
        </w:trPr>
        <w:tc>
          <w:tcPr>
            <w:tcW w:w="3145" w:type="dxa"/>
            <w:hideMark/>
          </w:tcPr>
          <w:p w14:paraId="1E2CD977" w14:textId="77777777" w:rsidR="00E139C5" w:rsidRPr="00E139C5" w:rsidRDefault="00E139C5" w:rsidP="00E139C5">
            <w:pPr>
              <w:spacing w:line="276" w:lineRule="auto"/>
              <w:rPr>
                <w:szCs w:val="24"/>
              </w:rPr>
            </w:pPr>
            <w:r w:rsidRPr="00E139C5">
              <w:rPr>
                <w:szCs w:val="24"/>
              </w:rPr>
              <w:t>Kosto për buxhetin - në vazhdimësi</w:t>
            </w:r>
          </w:p>
        </w:tc>
        <w:tc>
          <w:tcPr>
            <w:tcW w:w="1350" w:type="dxa"/>
            <w:hideMark/>
          </w:tcPr>
          <w:p w14:paraId="399F7529" w14:textId="77777777" w:rsidR="00E139C5" w:rsidRPr="00E139C5" w:rsidRDefault="00E139C5" w:rsidP="004328A5">
            <w:pPr>
              <w:spacing w:line="276" w:lineRule="auto"/>
              <w:ind w:left="-108" w:firstLine="108"/>
              <w:jc w:val="right"/>
              <w:rPr>
                <w:szCs w:val="24"/>
              </w:rPr>
            </w:pPr>
            <w:r w:rsidRPr="00E139C5">
              <w:rPr>
                <w:szCs w:val="24"/>
              </w:rPr>
              <w:t xml:space="preserve">              </w:t>
            </w:r>
          </w:p>
        </w:tc>
        <w:tc>
          <w:tcPr>
            <w:tcW w:w="1170" w:type="dxa"/>
            <w:hideMark/>
          </w:tcPr>
          <w:p w14:paraId="355E71F3" w14:textId="77777777" w:rsidR="00E139C5" w:rsidRPr="00E139C5" w:rsidRDefault="00E139C5" w:rsidP="004328A5">
            <w:pPr>
              <w:spacing w:line="276" w:lineRule="auto"/>
              <w:ind w:left="-108" w:firstLine="108"/>
              <w:jc w:val="right"/>
              <w:rPr>
                <w:szCs w:val="24"/>
              </w:rPr>
            </w:pPr>
            <w:r w:rsidRPr="00E139C5">
              <w:rPr>
                <w:szCs w:val="24"/>
              </w:rPr>
              <w:t xml:space="preserve">            </w:t>
            </w:r>
          </w:p>
        </w:tc>
        <w:tc>
          <w:tcPr>
            <w:tcW w:w="1080" w:type="dxa"/>
            <w:hideMark/>
          </w:tcPr>
          <w:p w14:paraId="034638C5" w14:textId="77777777" w:rsidR="00E139C5" w:rsidRPr="00E139C5" w:rsidRDefault="00E139C5" w:rsidP="004328A5">
            <w:pPr>
              <w:spacing w:line="276" w:lineRule="auto"/>
              <w:jc w:val="right"/>
              <w:rPr>
                <w:szCs w:val="24"/>
              </w:rPr>
            </w:pPr>
            <w:r w:rsidRPr="00E139C5">
              <w:rPr>
                <w:szCs w:val="24"/>
              </w:rPr>
              <w:t xml:space="preserve">            </w:t>
            </w:r>
          </w:p>
        </w:tc>
        <w:tc>
          <w:tcPr>
            <w:tcW w:w="1170" w:type="dxa"/>
            <w:hideMark/>
          </w:tcPr>
          <w:p w14:paraId="37FC879A" w14:textId="77777777" w:rsidR="00E139C5" w:rsidRPr="00E139C5" w:rsidRDefault="00E139C5" w:rsidP="004328A5">
            <w:pPr>
              <w:spacing w:line="276" w:lineRule="auto"/>
              <w:jc w:val="right"/>
              <w:rPr>
                <w:szCs w:val="24"/>
              </w:rPr>
            </w:pPr>
            <w:r w:rsidRPr="00E139C5">
              <w:rPr>
                <w:szCs w:val="24"/>
              </w:rPr>
              <w:t xml:space="preserve">            </w:t>
            </w:r>
          </w:p>
        </w:tc>
        <w:tc>
          <w:tcPr>
            <w:tcW w:w="1080" w:type="dxa"/>
            <w:hideMark/>
          </w:tcPr>
          <w:p w14:paraId="6DEAF4F6" w14:textId="77777777" w:rsidR="00E139C5" w:rsidRPr="00E139C5" w:rsidRDefault="00E139C5" w:rsidP="004328A5">
            <w:pPr>
              <w:spacing w:line="276" w:lineRule="auto"/>
              <w:jc w:val="right"/>
              <w:rPr>
                <w:szCs w:val="24"/>
              </w:rPr>
            </w:pPr>
            <w:r w:rsidRPr="00E139C5">
              <w:rPr>
                <w:szCs w:val="24"/>
              </w:rPr>
              <w:t xml:space="preserve">            </w:t>
            </w:r>
          </w:p>
        </w:tc>
        <w:tc>
          <w:tcPr>
            <w:tcW w:w="1260" w:type="dxa"/>
            <w:hideMark/>
          </w:tcPr>
          <w:p w14:paraId="69C4864A" w14:textId="77777777" w:rsidR="00E139C5" w:rsidRPr="00E139C5" w:rsidRDefault="00E139C5" w:rsidP="004328A5">
            <w:pPr>
              <w:spacing w:line="276" w:lineRule="auto"/>
              <w:jc w:val="right"/>
              <w:rPr>
                <w:szCs w:val="24"/>
              </w:rPr>
            </w:pPr>
            <w:r w:rsidRPr="00E139C5">
              <w:rPr>
                <w:szCs w:val="24"/>
              </w:rPr>
              <w:t xml:space="preserve">            </w:t>
            </w:r>
          </w:p>
        </w:tc>
        <w:tc>
          <w:tcPr>
            <w:tcW w:w="1080" w:type="dxa"/>
            <w:hideMark/>
          </w:tcPr>
          <w:p w14:paraId="3360A7B7" w14:textId="77777777" w:rsidR="00E139C5" w:rsidRPr="00E139C5" w:rsidRDefault="00E139C5" w:rsidP="004328A5">
            <w:pPr>
              <w:spacing w:line="276" w:lineRule="auto"/>
              <w:jc w:val="right"/>
              <w:rPr>
                <w:szCs w:val="24"/>
              </w:rPr>
            </w:pPr>
            <w:r w:rsidRPr="00E139C5">
              <w:rPr>
                <w:szCs w:val="24"/>
              </w:rPr>
              <w:t xml:space="preserve">            </w:t>
            </w:r>
          </w:p>
        </w:tc>
        <w:tc>
          <w:tcPr>
            <w:tcW w:w="1260" w:type="dxa"/>
            <w:hideMark/>
          </w:tcPr>
          <w:p w14:paraId="1E0EE15D" w14:textId="77777777" w:rsidR="00E139C5" w:rsidRPr="00E139C5" w:rsidRDefault="00E139C5" w:rsidP="004328A5">
            <w:pPr>
              <w:spacing w:line="276" w:lineRule="auto"/>
              <w:jc w:val="right"/>
              <w:rPr>
                <w:szCs w:val="24"/>
              </w:rPr>
            </w:pPr>
            <w:r w:rsidRPr="00E139C5">
              <w:rPr>
                <w:szCs w:val="24"/>
              </w:rPr>
              <w:t xml:space="preserve">             </w:t>
            </w:r>
          </w:p>
        </w:tc>
        <w:tc>
          <w:tcPr>
            <w:tcW w:w="1260" w:type="dxa"/>
            <w:hideMark/>
          </w:tcPr>
          <w:p w14:paraId="3BE86402" w14:textId="77777777" w:rsidR="00E139C5" w:rsidRPr="00E139C5" w:rsidRDefault="00E139C5" w:rsidP="004328A5">
            <w:pPr>
              <w:spacing w:line="276" w:lineRule="auto"/>
              <w:jc w:val="right"/>
              <w:rPr>
                <w:szCs w:val="24"/>
              </w:rPr>
            </w:pPr>
            <w:r w:rsidRPr="00E139C5">
              <w:rPr>
                <w:szCs w:val="24"/>
              </w:rPr>
              <w:t xml:space="preserve">             </w:t>
            </w:r>
          </w:p>
        </w:tc>
        <w:tc>
          <w:tcPr>
            <w:tcW w:w="1260" w:type="dxa"/>
            <w:hideMark/>
          </w:tcPr>
          <w:p w14:paraId="5D51758B" w14:textId="77777777" w:rsidR="00E139C5" w:rsidRPr="00E139C5" w:rsidRDefault="00E139C5" w:rsidP="004328A5">
            <w:pPr>
              <w:spacing w:line="276" w:lineRule="auto"/>
              <w:jc w:val="right"/>
              <w:rPr>
                <w:szCs w:val="24"/>
              </w:rPr>
            </w:pPr>
            <w:r w:rsidRPr="00E139C5">
              <w:rPr>
                <w:szCs w:val="24"/>
              </w:rPr>
              <w:t xml:space="preserve">               </w:t>
            </w:r>
          </w:p>
        </w:tc>
      </w:tr>
      <w:tr w:rsidR="00E139C5" w:rsidRPr="00E139C5" w14:paraId="5121710B" w14:textId="77777777" w:rsidTr="00E139C5">
        <w:trPr>
          <w:divId w:val="1261141582"/>
          <w:trHeight w:val="255"/>
        </w:trPr>
        <w:tc>
          <w:tcPr>
            <w:tcW w:w="3145" w:type="dxa"/>
            <w:hideMark/>
          </w:tcPr>
          <w:p w14:paraId="2D0C1F0C" w14:textId="77777777" w:rsidR="00E139C5" w:rsidRPr="00E139C5" w:rsidRDefault="00E139C5" w:rsidP="00E139C5">
            <w:pPr>
              <w:spacing w:line="276" w:lineRule="auto"/>
              <w:rPr>
                <w:szCs w:val="24"/>
              </w:rPr>
            </w:pPr>
            <w:r w:rsidRPr="00E139C5">
              <w:rPr>
                <w:szCs w:val="24"/>
              </w:rPr>
              <w:t xml:space="preserve">Kosto për bizneset - një herë </w:t>
            </w:r>
          </w:p>
        </w:tc>
        <w:tc>
          <w:tcPr>
            <w:tcW w:w="1350" w:type="dxa"/>
            <w:hideMark/>
          </w:tcPr>
          <w:p w14:paraId="450FEAD9" w14:textId="77777777" w:rsidR="00E139C5" w:rsidRPr="00E139C5" w:rsidRDefault="00E139C5" w:rsidP="004328A5">
            <w:pPr>
              <w:spacing w:line="276" w:lineRule="auto"/>
              <w:ind w:left="-108" w:firstLine="108"/>
              <w:jc w:val="right"/>
              <w:rPr>
                <w:szCs w:val="24"/>
              </w:rPr>
            </w:pPr>
            <w:r w:rsidRPr="00E139C5">
              <w:rPr>
                <w:szCs w:val="24"/>
              </w:rPr>
              <w:t xml:space="preserve">              </w:t>
            </w:r>
          </w:p>
        </w:tc>
        <w:tc>
          <w:tcPr>
            <w:tcW w:w="1170" w:type="dxa"/>
            <w:hideMark/>
          </w:tcPr>
          <w:p w14:paraId="0EB1585B" w14:textId="77777777" w:rsidR="00E139C5" w:rsidRPr="00E139C5" w:rsidRDefault="00E139C5" w:rsidP="00E139C5">
            <w:pPr>
              <w:spacing w:line="276" w:lineRule="auto"/>
              <w:ind w:left="-108" w:firstLine="108"/>
              <w:jc w:val="right"/>
              <w:rPr>
                <w:szCs w:val="24"/>
              </w:rPr>
            </w:pPr>
            <w:r w:rsidRPr="00E139C5">
              <w:rPr>
                <w:szCs w:val="24"/>
              </w:rPr>
              <w:t> </w:t>
            </w:r>
          </w:p>
        </w:tc>
        <w:tc>
          <w:tcPr>
            <w:tcW w:w="1080" w:type="dxa"/>
            <w:hideMark/>
          </w:tcPr>
          <w:p w14:paraId="44976683" w14:textId="77777777" w:rsidR="00E139C5" w:rsidRPr="00E139C5" w:rsidRDefault="00E139C5" w:rsidP="00E139C5">
            <w:pPr>
              <w:spacing w:line="276" w:lineRule="auto"/>
              <w:jc w:val="right"/>
              <w:rPr>
                <w:szCs w:val="24"/>
              </w:rPr>
            </w:pPr>
            <w:r w:rsidRPr="00E139C5">
              <w:rPr>
                <w:szCs w:val="24"/>
              </w:rPr>
              <w:t> </w:t>
            </w:r>
          </w:p>
        </w:tc>
        <w:tc>
          <w:tcPr>
            <w:tcW w:w="1170" w:type="dxa"/>
            <w:hideMark/>
          </w:tcPr>
          <w:p w14:paraId="7F44860E"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02D7B875"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28CC0D3D"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3724A17F"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135468CB"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2844FD8D"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79BFE0D6" w14:textId="77777777" w:rsidR="00E139C5" w:rsidRPr="00E139C5" w:rsidRDefault="00E139C5" w:rsidP="00E139C5">
            <w:pPr>
              <w:spacing w:line="276" w:lineRule="auto"/>
              <w:jc w:val="right"/>
              <w:rPr>
                <w:szCs w:val="24"/>
              </w:rPr>
            </w:pPr>
            <w:r w:rsidRPr="00E139C5">
              <w:rPr>
                <w:szCs w:val="24"/>
              </w:rPr>
              <w:t> </w:t>
            </w:r>
          </w:p>
        </w:tc>
      </w:tr>
      <w:tr w:rsidR="00E139C5" w:rsidRPr="00E139C5" w14:paraId="5F418B6C" w14:textId="77777777" w:rsidTr="00E139C5">
        <w:trPr>
          <w:divId w:val="1261141582"/>
          <w:trHeight w:val="255"/>
        </w:trPr>
        <w:tc>
          <w:tcPr>
            <w:tcW w:w="3145" w:type="dxa"/>
            <w:hideMark/>
          </w:tcPr>
          <w:p w14:paraId="0AFAA437" w14:textId="77777777" w:rsidR="00E139C5" w:rsidRPr="00E139C5" w:rsidRDefault="00E139C5" w:rsidP="00E139C5">
            <w:pPr>
              <w:spacing w:line="276" w:lineRule="auto"/>
              <w:rPr>
                <w:szCs w:val="24"/>
              </w:rPr>
            </w:pPr>
            <w:r w:rsidRPr="00E139C5">
              <w:rPr>
                <w:szCs w:val="24"/>
              </w:rPr>
              <w:t>Kosto për bizneset - në vazhdimësi</w:t>
            </w:r>
          </w:p>
        </w:tc>
        <w:tc>
          <w:tcPr>
            <w:tcW w:w="1350" w:type="dxa"/>
            <w:hideMark/>
          </w:tcPr>
          <w:p w14:paraId="4C7A9710" w14:textId="77777777" w:rsidR="00E139C5" w:rsidRPr="00E139C5" w:rsidRDefault="00E139C5" w:rsidP="004328A5">
            <w:pPr>
              <w:spacing w:line="276" w:lineRule="auto"/>
              <w:ind w:left="-108" w:firstLine="108"/>
              <w:jc w:val="right"/>
              <w:rPr>
                <w:szCs w:val="24"/>
              </w:rPr>
            </w:pPr>
            <w:r w:rsidRPr="00E139C5">
              <w:rPr>
                <w:szCs w:val="24"/>
              </w:rPr>
              <w:t xml:space="preserve">             </w:t>
            </w:r>
          </w:p>
        </w:tc>
        <w:tc>
          <w:tcPr>
            <w:tcW w:w="1170" w:type="dxa"/>
            <w:hideMark/>
          </w:tcPr>
          <w:p w14:paraId="16022CC9" w14:textId="77777777" w:rsidR="00E139C5" w:rsidRPr="00E139C5" w:rsidRDefault="00E139C5" w:rsidP="004328A5">
            <w:pPr>
              <w:spacing w:line="276" w:lineRule="auto"/>
              <w:ind w:left="-108" w:firstLine="108"/>
              <w:jc w:val="right"/>
              <w:rPr>
                <w:szCs w:val="24"/>
              </w:rPr>
            </w:pPr>
            <w:r w:rsidRPr="00E139C5">
              <w:rPr>
                <w:szCs w:val="24"/>
              </w:rPr>
              <w:t xml:space="preserve">           </w:t>
            </w:r>
          </w:p>
        </w:tc>
        <w:tc>
          <w:tcPr>
            <w:tcW w:w="1080" w:type="dxa"/>
            <w:hideMark/>
          </w:tcPr>
          <w:p w14:paraId="6C7CEB0A" w14:textId="77777777" w:rsidR="00E139C5" w:rsidRPr="00E139C5" w:rsidRDefault="00E139C5" w:rsidP="004328A5">
            <w:pPr>
              <w:spacing w:line="276" w:lineRule="auto"/>
              <w:jc w:val="right"/>
              <w:rPr>
                <w:szCs w:val="24"/>
              </w:rPr>
            </w:pPr>
            <w:r w:rsidRPr="00E139C5">
              <w:rPr>
                <w:szCs w:val="24"/>
              </w:rPr>
              <w:t xml:space="preserve">          </w:t>
            </w:r>
          </w:p>
        </w:tc>
        <w:tc>
          <w:tcPr>
            <w:tcW w:w="1170" w:type="dxa"/>
            <w:hideMark/>
          </w:tcPr>
          <w:p w14:paraId="0F51DE8A" w14:textId="77777777" w:rsidR="00E139C5" w:rsidRPr="00E139C5" w:rsidRDefault="00E139C5" w:rsidP="004328A5">
            <w:pPr>
              <w:spacing w:line="276" w:lineRule="auto"/>
              <w:jc w:val="right"/>
              <w:rPr>
                <w:szCs w:val="24"/>
              </w:rPr>
            </w:pPr>
            <w:r w:rsidRPr="00E139C5">
              <w:rPr>
                <w:szCs w:val="24"/>
              </w:rPr>
              <w:t xml:space="preserve">          </w:t>
            </w:r>
          </w:p>
        </w:tc>
        <w:tc>
          <w:tcPr>
            <w:tcW w:w="1080" w:type="dxa"/>
            <w:hideMark/>
          </w:tcPr>
          <w:p w14:paraId="52D30A01" w14:textId="77777777" w:rsidR="00E139C5" w:rsidRPr="00E139C5" w:rsidRDefault="00E139C5" w:rsidP="004328A5">
            <w:pPr>
              <w:spacing w:line="276" w:lineRule="auto"/>
              <w:jc w:val="right"/>
              <w:rPr>
                <w:szCs w:val="24"/>
              </w:rPr>
            </w:pPr>
            <w:r w:rsidRPr="00E139C5">
              <w:rPr>
                <w:szCs w:val="24"/>
              </w:rPr>
              <w:t xml:space="preserve">           </w:t>
            </w:r>
          </w:p>
        </w:tc>
        <w:tc>
          <w:tcPr>
            <w:tcW w:w="1260" w:type="dxa"/>
            <w:hideMark/>
          </w:tcPr>
          <w:p w14:paraId="0533B936" w14:textId="77777777" w:rsidR="00E139C5" w:rsidRPr="00E139C5" w:rsidRDefault="00E139C5" w:rsidP="004328A5">
            <w:pPr>
              <w:spacing w:line="276" w:lineRule="auto"/>
              <w:jc w:val="right"/>
              <w:rPr>
                <w:szCs w:val="24"/>
              </w:rPr>
            </w:pPr>
            <w:r w:rsidRPr="00E139C5">
              <w:rPr>
                <w:szCs w:val="24"/>
              </w:rPr>
              <w:t xml:space="preserve">          </w:t>
            </w:r>
          </w:p>
        </w:tc>
        <w:tc>
          <w:tcPr>
            <w:tcW w:w="1080" w:type="dxa"/>
            <w:hideMark/>
          </w:tcPr>
          <w:p w14:paraId="2C54EEDC" w14:textId="77777777" w:rsidR="00E139C5" w:rsidRPr="00E139C5" w:rsidRDefault="00E139C5" w:rsidP="004328A5">
            <w:pPr>
              <w:spacing w:line="276" w:lineRule="auto"/>
              <w:jc w:val="right"/>
              <w:rPr>
                <w:szCs w:val="24"/>
              </w:rPr>
            </w:pPr>
            <w:r w:rsidRPr="00E139C5">
              <w:rPr>
                <w:szCs w:val="24"/>
              </w:rPr>
              <w:t xml:space="preserve">           </w:t>
            </w:r>
          </w:p>
        </w:tc>
        <w:tc>
          <w:tcPr>
            <w:tcW w:w="1260" w:type="dxa"/>
            <w:hideMark/>
          </w:tcPr>
          <w:p w14:paraId="515C4823" w14:textId="77777777" w:rsidR="00E139C5" w:rsidRPr="00E139C5" w:rsidRDefault="00E139C5" w:rsidP="004328A5">
            <w:pPr>
              <w:spacing w:line="276" w:lineRule="auto"/>
              <w:jc w:val="right"/>
              <w:rPr>
                <w:szCs w:val="24"/>
              </w:rPr>
            </w:pPr>
            <w:r w:rsidRPr="00E139C5">
              <w:rPr>
                <w:szCs w:val="24"/>
              </w:rPr>
              <w:t xml:space="preserve">           </w:t>
            </w:r>
          </w:p>
        </w:tc>
        <w:tc>
          <w:tcPr>
            <w:tcW w:w="1260" w:type="dxa"/>
            <w:hideMark/>
          </w:tcPr>
          <w:p w14:paraId="5C4834DD" w14:textId="77777777" w:rsidR="00E139C5" w:rsidRPr="00E139C5" w:rsidRDefault="00E139C5" w:rsidP="004328A5">
            <w:pPr>
              <w:spacing w:line="276" w:lineRule="auto"/>
              <w:jc w:val="right"/>
              <w:rPr>
                <w:szCs w:val="24"/>
              </w:rPr>
            </w:pPr>
            <w:r w:rsidRPr="00E139C5">
              <w:rPr>
                <w:szCs w:val="24"/>
              </w:rPr>
              <w:t xml:space="preserve">            </w:t>
            </w:r>
          </w:p>
        </w:tc>
        <w:tc>
          <w:tcPr>
            <w:tcW w:w="1260" w:type="dxa"/>
            <w:hideMark/>
          </w:tcPr>
          <w:p w14:paraId="5920ED6E" w14:textId="77777777" w:rsidR="00E139C5" w:rsidRPr="00E139C5" w:rsidRDefault="00E139C5" w:rsidP="004328A5">
            <w:pPr>
              <w:spacing w:line="276" w:lineRule="auto"/>
              <w:jc w:val="right"/>
              <w:rPr>
                <w:szCs w:val="24"/>
              </w:rPr>
            </w:pPr>
            <w:r w:rsidRPr="00E139C5">
              <w:rPr>
                <w:szCs w:val="24"/>
              </w:rPr>
              <w:t xml:space="preserve">             </w:t>
            </w:r>
          </w:p>
        </w:tc>
      </w:tr>
      <w:tr w:rsidR="00E139C5" w:rsidRPr="00C742D0" w14:paraId="0BC608D0" w14:textId="77777777" w:rsidTr="00E139C5">
        <w:trPr>
          <w:divId w:val="1261141582"/>
          <w:trHeight w:val="255"/>
        </w:trPr>
        <w:tc>
          <w:tcPr>
            <w:tcW w:w="3145" w:type="dxa"/>
            <w:hideMark/>
          </w:tcPr>
          <w:p w14:paraId="708E8EBD" w14:textId="77777777" w:rsidR="00E139C5" w:rsidRPr="00FB3897" w:rsidRDefault="00E139C5" w:rsidP="00E139C5">
            <w:pPr>
              <w:spacing w:line="276" w:lineRule="auto"/>
              <w:rPr>
                <w:szCs w:val="24"/>
                <w:lang w:val="it-IT"/>
              </w:rPr>
            </w:pPr>
            <w:r w:rsidRPr="00FB3897">
              <w:rPr>
                <w:szCs w:val="24"/>
                <w:lang w:val="it-IT"/>
              </w:rPr>
              <w:t>Kosto për grupet e tjera - një herë</w:t>
            </w:r>
          </w:p>
        </w:tc>
        <w:tc>
          <w:tcPr>
            <w:tcW w:w="1350" w:type="dxa"/>
            <w:hideMark/>
          </w:tcPr>
          <w:p w14:paraId="2806E711" w14:textId="77777777" w:rsidR="00E139C5" w:rsidRPr="00FB3897" w:rsidRDefault="00E139C5" w:rsidP="00E139C5">
            <w:pPr>
              <w:spacing w:line="276" w:lineRule="auto"/>
              <w:ind w:left="-108" w:firstLine="108"/>
              <w:jc w:val="right"/>
              <w:rPr>
                <w:szCs w:val="24"/>
                <w:lang w:val="it-IT"/>
              </w:rPr>
            </w:pPr>
            <w:r w:rsidRPr="00FB3897">
              <w:rPr>
                <w:szCs w:val="24"/>
                <w:lang w:val="it-IT"/>
              </w:rPr>
              <w:t> </w:t>
            </w:r>
          </w:p>
        </w:tc>
        <w:tc>
          <w:tcPr>
            <w:tcW w:w="1170" w:type="dxa"/>
            <w:hideMark/>
          </w:tcPr>
          <w:p w14:paraId="2BDB3B23" w14:textId="77777777" w:rsidR="00E139C5" w:rsidRPr="00FB3897" w:rsidRDefault="00E139C5" w:rsidP="00E139C5">
            <w:pPr>
              <w:spacing w:line="276" w:lineRule="auto"/>
              <w:ind w:left="-108" w:firstLine="108"/>
              <w:jc w:val="right"/>
              <w:rPr>
                <w:szCs w:val="24"/>
                <w:lang w:val="it-IT"/>
              </w:rPr>
            </w:pPr>
            <w:r w:rsidRPr="00FB3897">
              <w:rPr>
                <w:szCs w:val="24"/>
                <w:lang w:val="it-IT"/>
              </w:rPr>
              <w:t> </w:t>
            </w:r>
          </w:p>
        </w:tc>
        <w:tc>
          <w:tcPr>
            <w:tcW w:w="1080" w:type="dxa"/>
            <w:hideMark/>
          </w:tcPr>
          <w:p w14:paraId="14787DE4" w14:textId="77777777" w:rsidR="00E139C5" w:rsidRPr="00FB3897" w:rsidRDefault="00E139C5" w:rsidP="00E139C5">
            <w:pPr>
              <w:spacing w:line="276" w:lineRule="auto"/>
              <w:jc w:val="right"/>
              <w:rPr>
                <w:szCs w:val="24"/>
                <w:lang w:val="it-IT"/>
              </w:rPr>
            </w:pPr>
            <w:r w:rsidRPr="00FB3897">
              <w:rPr>
                <w:szCs w:val="24"/>
                <w:lang w:val="it-IT"/>
              </w:rPr>
              <w:t> </w:t>
            </w:r>
          </w:p>
        </w:tc>
        <w:tc>
          <w:tcPr>
            <w:tcW w:w="1170" w:type="dxa"/>
            <w:hideMark/>
          </w:tcPr>
          <w:p w14:paraId="6D8254F0" w14:textId="77777777" w:rsidR="00E139C5" w:rsidRPr="00FB3897" w:rsidRDefault="00E139C5" w:rsidP="00E139C5">
            <w:pPr>
              <w:spacing w:line="276" w:lineRule="auto"/>
              <w:jc w:val="right"/>
              <w:rPr>
                <w:szCs w:val="24"/>
                <w:lang w:val="it-IT"/>
              </w:rPr>
            </w:pPr>
            <w:r w:rsidRPr="00FB3897">
              <w:rPr>
                <w:szCs w:val="24"/>
                <w:lang w:val="it-IT"/>
              </w:rPr>
              <w:t> </w:t>
            </w:r>
          </w:p>
        </w:tc>
        <w:tc>
          <w:tcPr>
            <w:tcW w:w="1080" w:type="dxa"/>
            <w:hideMark/>
          </w:tcPr>
          <w:p w14:paraId="3C017579" w14:textId="77777777" w:rsidR="00E139C5" w:rsidRPr="00FB3897" w:rsidRDefault="00E139C5" w:rsidP="00E139C5">
            <w:pPr>
              <w:spacing w:line="276" w:lineRule="auto"/>
              <w:jc w:val="right"/>
              <w:rPr>
                <w:szCs w:val="24"/>
                <w:lang w:val="it-IT"/>
              </w:rPr>
            </w:pPr>
            <w:r w:rsidRPr="00FB3897">
              <w:rPr>
                <w:szCs w:val="24"/>
                <w:lang w:val="it-IT"/>
              </w:rPr>
              <w:t> </w:t>
            </w:r>
          </w:p>
        </w:tc>
        <w:tc>
          <w:tcPr>
            <w:tcW w:w="1260" w:type="dxa"/>
            <w:hideMark/>
          </w:tcPr>
          <w:p w14:paraId="1F046738" w14:textId="77777777" w:rsidR="00E139C5" w:rsidRPr="00FB3897" w:rsidRDefault="00E139C5" w:rsidP="00E139C5">
            <w:pPr>
              <w:spacing w:line="276" w:lineRule="auto"/>
              <w:jc w:val="right"/>
              <w:rPr>
                <w:szCs w:val="24"/>
                <w:lang w:val="it-IT"/>
              </w:rPr>
            </w:pPr>
            <w:r w:rsidRPr="00FB3897">
              <w:rPr>
                <w:szCs w:val="24"/>
                <w:lang w:val="it-IT"/>
              </w:rPr>
              <w:t> </w:t>
            </w:r>
          </w:p>
        </w:tc>
        <w:tc>
          <w:tcPr>
            <w:tcW w:w="1080" w:type="dxa"/>
            <w:hideMark/>
          </w:tcPr>
          <w:p w14:paraId="06F89508" w14:textId="77777777" w:rsidR="00E139C5" w:rsidRPr="00FB3897" w:rsidRDefault="00E139C5" w:rsidP="00E139C5">
            <w:pPr>
              <w:spacing w:line="276" w:lineRule="auto"/>
              <w:jc w:val="right"/>
              <w:rPr>
                <w:szCs w:val="24"/>
                <w:lang w:val="it-IT"/>
              </w:rPr>
            </w:pPr>
            <w:r w:rsidRPr="00FB3897">
              <w:rPr>
                <w:szCs w:val="24"/>
                <w:lang w:val="it-IT"/>
              </w:rPr>
              <w:t> </w:t>
            </w:r>
          </w:p>
        </w:tc>
        <w:tc>
          <w:tcPr>
            <w:tcW w:w="1260" w:type="dxa"/>
            <w:hideMark/>
          </w:tcPr>
          <w:p w14:paraId="097A048A" w14:textId="77777777" w:rsidR="00E139C5" w:rsidRPr="00FB3897" w:rsidRDefault="00E139C5" w:rsidP="00E139C5">
            <w:pPr>
              <w:spacing w:line="276" w:lineRule="auto"/>
              <w:jc w:val="right"/>
              <w:rPr>
                <w:szCs w:val="24"/>
                <w:lang w:val="it-IT"/>
              </w:rPr>
            </w:pPr>
            <w:r w:rsidRPr="00FB3897">
              <w:rPr>
                <w:szCs w:val="24"/>
                <w:lang w:val="it-IT"/>
              </w:rPr>
              <w:t> </w:t>
            </w:r>
          </w:p>
        </w:tc>
        <w:tc>
          <w:tcPr>
            <w:tcW w:w="1260" w:type="dxa"/>
            <w:hideMark/>
          </w:tcPr>
          <w:p w14:paraId="290CD131" w14:textId="77777777" w:rsidR="00E139C5" w:rsidRPr="00FB3897" w:rsidRDefault="00E139C5" w:rsidP="00E139C5">
            <w:pPr>
              <w:spacing w:line="276" w:lineRule="auto"/>
              <w:jc w:val="right"/>
              <w:rPr>
                <w:szCs w:val="24"/>
                <w:lang w:val="it-IT"/>
              </w:rPr>
            </w:pPr>
            <w:r w:rsidRPr="00FB3897">
              <w:rPr>
                <w:szCs w:val="24"/>
                <w:lang w:val="it-IT"/>
              </w:rPr>
              <w:t> </w:t>
            </w:r>
          </w:p>
        </w:tc>
        <w:tc>
          <w:tcPr>
            <w:tcW w:w="1260" w:type="dxa"/>
            <w:hideMark/>
          </w:tcPr>
          <w:p w14:paraId="6BC1FAF9" w14:textId="77777777" w:rsidR="00E139C5" w:rsidRPr="00FB3897" w:rsidRDefault="00E139C5" w:rsidP="00E139C5">
            <w:pPr>
              <w:spacing w:line="276" w:lineRule="auto"/>
              <w:jc w:val="right"/>
              <w:rPr>
                <w:szCs w:val="24"/>
                <w:lang w:val="it-IT"/>
              </w:rPr>
            </w:pPr>
            <w:r w:rsidRPr="00FB3897">
              <w:rPr>
                <w:szCs w:val="24"/>
                <w:lang w:val="it-IT"/>
              </w:rPr>
              <w:t> </w:t>
            </w:r>
          </w:p>
        </w:tc>
      </w:tr>
      <w:tr w:rsidR="00E139C5" w:rsidRPr="00C742D0" w14:paraId="4C410A1A" w14:textId="77777777" w:rsidTr="00E139C5">
        <w:trPr>
          <w:divId w:val="1261141582"/>
          <w:trHeight w:val="270"/>
        </w:trPr>
        <w:tc>
          <w:tcPr>
            <w:tcW w:w="3145" w:type="dxa"/>
            <w:hideMark/>
          </w:tcPr>
          <w:p w14:paraId="474CCBD5" w14:textId="77777777" w:rsidR="00E139C5" w:rsidRPr="00FB3897" w:rsidRDefault="00E139C5" w:rsidP="00E139C5">
            <w:pPr>
              <w:spacing w:line="276" w:lineRule="auto"/>
              <w:rPr>
                <w:szCs w:val="24"/>
                <w:lang w:val="it-IT"/>
              </w:rPr>
            </w:pPr>
            <w:r w:rsidRPr="00FB3897">
              <w:rPr>
                <w:szCs w:val="24"/>
                <w:lang w:val="it-IT"/>
              </w:rPr>
              <w:t>Kosto për grupet e tjera - në vazhdimësi</w:t>
            </w:r>
          </w:p>
        </w:tc>
        <w:tc>
          <w:tcPr>
            <w:tcW w:w="1350" w:type="dxa"/>
            <w:hideMark/>
          </w:tcPr>
          <w:p w14:paraId="68349407" w14:textId="77777777" w:rsidR="00E139C5" w:rsidRPr="00FB3897" w:rsidRDefault="00E139C5" w:rsidP="00E139C5">
            <w:pPr>
              <w:spacing w:line="276" w:lineRule="auto"/>
              <w:ind w:left="-108" w:firstLine="108"/>
              <w:jc w:val="right"/>
              <w:rPr>
                <w:szCs w:val="24"/>
                <w:lang w:val="it-IT"/>
              </w:rPr>
            </w:pPr>
            <w:r w:rsidRPr="00FB3897">
              <w:rPr>
                <w:szCs w:val="24"/>
                <w:lang w:val="it-IT"/>
              </w:rPr>
              <w:t xml:space="preserve">    </w:t>
            </w:r>
          </w:p>
        </w:tc>
        <w:tc>
          <w:tcPr>
            <w:tcW w:w="1170" w:type="dxa"/>
            <w:hideMark/>
          </w:tcPr>
          <w:p w14:paraId="441FAEBA" w14:textId="77777777" w:rsidR="00E139C5" w:rsidRPr="00FB3897" w:rsidRDefault="00E139C5" w:rsidP="00E139C5">
            <w:pPr>
              <w:spacing w:line="276" w:lineRule="auto"/>
              <w:ind w:left="-108" w:firstLine="108"/>
              <w:jc w:val="right"/>
              <w:rPr>
                <w:szCs w:val="24"/>
                <w:lang w:val="it-IT"/>
              </w:rPr>
            </w:pPr>
            <w:r w:rsidRPr="00FB3897">
              <w:rPr>
                <w:szCs w:val="24"/>
                <w:lang w:val="it-IT"/>
              </w:rPr>
              <w:t> </w:t>
            </w:r>
          </w:p>
        </w:tc>
        <w:tc>
          <w:tcPr>
            <w:tcW w:w="1080" w:type="dxa"/>
            <w:hideMark/>
          </w:tcPr>
          <w:p w14:paraId="0E7EFBC7" w14:textId="77777777" w:rsidR="00E139C5" w:rsidRPr="00FB3897" w:rsidRDefault="00E139C5" w:rsidP="00E139C5">
            <w:pPr>
              <w:spacing w:line="276" w:lineRule="auto"/>
              <w:jc w:val="right"/>
              <w:rPr>
                <w:szCs w:val="24"/>
                <w:lang w:val="it-IT"/>
              </w:rPr>
            </w:pPr>
            <w:r w:rsidRPr="00FB3897">
              <w:rPr>
                <w:szCs w:val="24"/>
                <w:lang w:val="it-IT"/>
              </w:rPr>
              <w:t> </w:t>
            </w:r>
          </w:p>
        </w:tc>
        <w:tc>
          <w:tcPr>
            <w:tcW w:w="1170" w:type="dxa"/>
            <w:hideMark/>
          </w:tcPr>
          <w:p w14:paraId="388DAB7A" w14:textId="77777777" w:rsidR="00E139C5" w:rsidRPr="00FB3897" w:rsidRDefault="00E139C5" w:rsidP="00E139C5">
            <w:pPr>
              <w:spacing w:line="276" w:lineRule="auto"/>
              <w:jc w:val="right"/>
              <w:rPr>
                <w:szCs w:val="24"/>
                <w:lang w:val="it-IT"/>
              </w:rPr>
            </w:pPr>
            <w:r w:rsidRPr="00FB3897">
              <w:rPr>
                <w:szCs w:val="24"/>
                <w:lang w:val="it-IT"/>
              </w:rPr>
              <w:t> </w:t>
            </w:r>
          </w:p>
        </w:tc>
        <w:tc>
          <w:tcPr>
            <w:tcW w:w="1080" w:type="dxa"/>
            <w:hideMark/>
          </w:tcPr>
          <w:p w14:paraId="2DF84B47" w14:textId="77777777" w:rsidR="00E139C5" w:rsidRPr="00FB3897" w:rsidRDefault="00E139C5" w:rsidP="00E139C5">
            <w:pPr>
              <w:spacing w:line="276" w:lineRule="auto"/>
              <w:jc w:val="right"/>
              <w:rPr>
                <w:szCs w:val="24"/>
                <w:lang w:val="it-IT"/>
              </w:rPr>
            </w:pPr>
            <w:r w:rsidRPr="00FB3897">
              <w:rPr>
                <w:szCs w:val="24"/>
                <w:lang w:val="it-IT"/>
              </w:rPr>
              <w:t> </w:t>
            </w:r>
          </w:p>
        </w:tc>
        <w:tc>
          <w:tcPr>
            <w:tcW w:w="1260" w:type="dxa"/>
            <w:hideMark/>
          </w:tcPr>
          <w:p w14:paraId="296CA21C" w14:textId="77777777" w:rsidR="00E139C5" w:rsidRPr="00FB3897" w:rsidRDefault="00E139C5" w:rsidP="00E139C5">
            <w:pPr>
              <w:spacing w:line="276" w:lineRule="auto"/>
              <w:jc w:val="right"/>
              <w:rPr>
                <w:szCs w:val="24"/>
                <w:lang w:val="it-IT"/>
              </w:rPr>
            </w:pPr>
            <w:r w:rsidRPr="00FB3897">
              <w:rPr>
                <w:szCs w:val="24"/>
                <w:lang w:val="it-IT"/>
              </w:rPr>
              <w:t> </w:t>
            </w:r>
          </w:p>
        </w:tc>
        <w:tc>
          <w:tcPr>
            <w:tcW w:w="1080" w:type="dxa"/>
            <w:hideMark/>
          </w:tcPr>
          <w:p w14:paraId="4793D24E" w14:textId="77777777" w:rsidR="00E139C5" w:rsidRPr="00FB3897" w:rsidRDefault="00E139C5" w:rsidP="00E139C5">
            <w:pPr>
              <w:spacing w:line="276" w:lineRule="auto"/>
              <w:jc w:val="right"/>
              <w:rPr>
                <w:szCs w:val="24"/>
                <w:lang w:val="it-IT"/>
              </w:rPr>
            </w:pPr>
            <w:r w:rsidRPr="00FB3897">
              <w:rPr>
                <w:szCs w:val="24"/>
                <w:lang w:val="it-IT"/>
              </w:rPr>
              <w:t> </w:t>
            </w:r>
          </w:p>
        </w:tc>
        <w:tc>
          <w:tcPr>
            <w:tcW w:w="1260" w:type="dxa"/>
            <w:hideMark/>
          </w:tcPr>
          <w:p w14:paraId="0CF7D4C7" w14:textId="77777777" w:rsidR="00E139C5" w:rsidRPr="00FB3897" w:rsidRDefault="00E139C5" w:rsidP="00E139C5">
            <w:pPr>
              <w:spacing w:line="276" w:lineRule="auto"/>
              <w:jc w:val="right"/>
              <w:rPr>
                <w:szCs w:val="24"/>
                <w:lang w:val="it-IT"/>
              </w:rPr>
            </w:pPr>
            <w:r w:rsidRPr="00FB3897">
              <w:rPr>
                <w:szCs w:val="24"/>
                <w:lang w:val="it-IT"/>
              </w:rPr>
              <w:t> </w:t>
            </w:r>
          </w:p>
        </w:tc>
        <w:tc>
          <w:tcPr>
            <w:tcW w:w="1260" w:type="dxa"/>
            <w:hideMark/>
          </w:tcPr>
          <w:p w14:paraId="1AAA92FD" w14:textId="77777777" w:rsidR="00E139C5" w:rsidRPr="00FB3897" w:rsidRDefault="00E139C5" w:rsidP="00E139C5">
            <w:pPr>
              <w:spacing w:line="276" w:lineRule="auto"/>
              <w:jc w:val="right"/>
              <w:rPr>
                <w:szCs w:val="24"/>
                <w:lang w:val="it-IT"/>
              </w:rPr>
            </w:pPr>
            <w:r w:rsidRPr="00FB3897">
              <w:rPr>
                <w:szCs w:val="24"/>
                <w:lang w:val="it-IT"/>
              </w:rPr>
              <w:t> </w:t>
            </w:r>
          </w:p>
        </w:tc>
        <w:tc>
          <w:tcPr>
            <w:tcW w:w="1260" w:type="dxa"/>
            <w:hideMark/>
          </w:tcPr>
          <w:p w14:paraId="1CD5AC55" w14:textId="77777777" w:rsidR="00E139C5" w:rsidRPr="00FB3897" w:rsidRDefault="00E139C5" w:rsidP="00E139C5">
            <w:pPr>
              <w:spacing w:line="276" w:lineRule="auto"/>
              <w:jc w:val="right"/>
              <w:rPr>
                <w:szCs w:val="24"/>
                <w:lang w:val="it-IT"/>
              </w:rPr>
            </w:pPr>
            <w:r w:rsidRPr="00FB3897">
              <w:rPr>
                <w:szCs w:val="24"/>
                <w:lang w:val="it-IT"/>
              </w:rPr>
              <w:t> </w:t>
            </w:r>
          </w:p>
        </w:tc>
      </w:tr>
      <w:tr w:rsidR="00E139C5" w:rsidRPr="00E139C5" w14:paraId="41A5D25B" w14:textId="77777777" w:rsidTr="00E139C5">
        <w:trPr>
          <w:divId w:val="1261141582"/>
          <w:trHeight w:val="285"/>
        </w:trPr>
        <w:tc>
          <w:tcPr>
            <w:tcW w:w="3145" w:type="dxa"/>
            <w:hideMark/>
          </w:tcPr>
          <w:p w14:paraId="762D5D63" w14:textId="77777777" w:rsidR="00E139C5" w:rsidRPr="00E139C5" w:rsidRDefault="00E139C5" w:rsidP="00E139C5">
            <w:pPr>
              <w:spacing w:line="276" w:lineRule="auto"/>
              <w:rPr>
                <w:b/>
                <w:bCs/>
                <w:szCs w:val="24"/>
              </w:rPr>
            </w:pPr>
            <w:r w:rsidRPr="00E139C5">
              <w:rPr>
                <w:b/>
                <w:bCs/>
                <w:szCs w:val="24"/>
              </w:rPr>
              <w:t xml:space="preserve">Kosto në total </w:t>
            </w:r>
          </w:p>
        </w:tc>
        <w:tc>
          <w:tcPr>
            <w:tcW w:w="1350" w:type="dxa"/>
            <w:hideMark/>
          </w:tcPr>
          <w:p w14:paraId="456485EB" w14:textId="77777777" w:rsidR="00E139C5" w:rsidRPr="00E139C5" w:rsidRDefault="00E73B28" w:rsidP="004328A5">
            <w:pPr>
              <w:spacing w:line="276" w:lineRule="auto"/>
              <w:ind w:left="-108" w:firstLine="108"/>
              <w:jc w:val="right"/>
              <w:rPr>
                <w:szCs w:val="24"/>
              </w:rPr>
            </w:pPr>
            <w:r>
              <w:rPr>
                <w:szCs w:val="24"/>
              </w:rPr>
              <w:t>0</w:t>
            </w:r>
            <w:r w:rsidR="00E139C5" w:rsidRPr="00E139C5">
              <w:rPr>
                <w:szCs w:val="24"/>
              </w:rPr>
              <w:t xml:space="preserve">           </w:t>
            </w:r>
          </w:p>
        </w:tc>
        <w:tc>
          <w:tcPr>
            <w:tcW w:w="1170" w:type="dxa"/>
            <w:hideMark/>
          </w:tcPr>
          <w:p w14:paraId="3C725207" w14:textId="77777777" w:rsidR="00E139C5" w:rsidRPr="00E139C5" w:rsidRDefault="00E73B28" w:rsidP="004328A5">
            <w:pPr>
              <w:spacing w:line="276" w:lineRule="auto"/>
              <w:ind w:left="-108" w:firstLine="108"/>
              <w:jc w:val="right"/>
              <w:rPr>
                <w:szCs w:val="24"/>
              </w:rPr>
            </w:pPr>
            <w:r>
              <w:rPr>
                <w:szCs w:val="24"/>
              </w:rPr>
              <w:t>0</w:t>
            </w:r>
            <w:r w:rsidR="00E139C5" w:rsidRPr="00E139C5">
              <w:rPr>
                <w:szCs w:val="24"/>
              </w:rPr>
              <w:t xml:space="preserve">           </w:t>
            </w:r>
          </w:p>
        </w:tc>
        <w:tc>
          <w:tcPr>
            <w:tcW w:w="1080" w:type="dxa"/>
            <w:hideMark/>
          </w:tcPr>
          <w:p w14:paraId="08C19F3A" w14:textId="77777777" w:rsidR="00E139C5" w:rsidRPr="00E139C5" w:rsidRDefault="00E73B28" w:rsidP="004328A5">
            <w:pPr>
              <w:spacing w:line="276" w:lineRule="auto"/>
              <w:jc w:val="right"/>
              <w:rPr>
                <w:szCs w:val="24"/>
              </w:rPr>
            </w:pPr>
            <w:r>
              <w:rPr>
                <w:szCs w:val="24"/>
              </w:rPr>
              <w:t>0</w:t>
            </w:r>
            <w:r w:rsidR="00E139C5" w:rsidRPr="00E139C5">
              <w:rPr>
                <w:szCs w:val="24"/>
              </w:rPr>
              <w:t xml:space="preserve">          </w:t>
            </w:r>
          </w:p>
        </w:tc>
        <w:tc>
          <w:tcPr>
            <w:tcW w:w="1170" w:type="dxa"/>
            <w:hideMark/>
          </w:tcPr>
          <w:p w14:paraId="07062EE5" w14:textId="77777777" w:rsidR="00E139C5" w:rsidRPr="00E139C5" w:rsidRDefault="00E139C5" w:rsidP="004328A5">
            <w:pPr>
              <w:spacing w:line="276" w:lineRule="auto"/>
              <w:jc w:val="right"/>
              <w:rPr>
                <w:szCs w:val="24"/>
              </w:rPr>
            </w:pPr>
            <w:r w:rsidRPr="00E139C5">
              <w:rPr>
                <w:szCs w:val="24"/>
              </w:rPr>
              <w:t xml:space="preserve">          </w:t>
            </w:r>
          </w:p>
        </w:tc>
        <w:tc>
          <w:tcPr>
            <w:tcW w:w="1080" w:type="dxa"/>
            <w:hideMark/>
          </w:tcPr>
          <w:p w14:paraId="1341AADC" w14:textId="77777777" w:rsidR="00E139C5" w:rsidRPr="00E139C5" w:rsidRDefault="00E139C5" w:rsidP="004328A5">
            <w:pPr>
              <w:spacing w:line="276" w:lineRule="auto"/>
              <w:jc w:val="right"/>
              <w:rPr>
                <w:szCs w:val="24"/>
              </w:rPr>
            </w:pPr>
            <w:r w:rsidRPr="00E139C5">
              <w:rPr>
                <w:szCs w:val="24"/>
              </w:rPr>
              <w:t xml:space="preserve">           </w:t>
            </w:r>
          </w:p>
        </w:tc>
        <w:tc>
          <w:tcPr>
            <w:tcW w:w="1260" w:type="dxa"/>
            <w:hideMark/>
          </w:tcPr>
          <w:p w14:paraId="59447F14" w14:textId="77777777" w:rsidR="00E139C5" w:rsidRPr="00E139C5" w:rsidRDefault="00E139C5" w:rsidP="004328A5">
            <w:pPr>
              <w:spacing w:line="276" w:lineRule="auto"/>
              <w:jc w:val="right"/>
              <w:rPr>
                <w:szCs w:val="24"/>
              </w:rPr>
            </w:pPr>
            <w:r w:rsidRPr="00E139C5">
              <w:rPr>
                <w:szCs w:val="24"/>
              </w:rPr>
              <w:t xml:space="preserve">          </w:t>
            </w:r>
          </w:p>
        </w:tc>
        <w:tc>
          <w:tcPr>
            <w:tcW w:w="1080" w:type="dxa"/>
            <w:hideMark/>
          </w:tcPr>
          <w:p w14:paraId="33CC1535" w14:textId="77777777" w:rsidR="00E139C5" w:rsidRPr="00E139C5" w:rsidRDefault="00E139C5" w:rsidP="00543C06">
            <w:pPr>
              <w:spacing w:line="276" w:lineRule="auto"/>
              <w:jc w:val="right"/>
              <w:rPr>
                <w:szCs w:val="24"/>
              </w:rPr>
            </w:pPr>
            <w:r w:rsidRPr="00E139C5">
              <w:rPr>
                <w:szCs w:val="24"/>
              </w:rPr>
              <w:t xml:space="preserve">           </w:t>
            </w:r>
          </w:p>
        </w:tc>
        <w:tc>
          <w:tcPr>
            <w:tcW w:w="1260" w:type="dxa"/>
            <w:hideMark/>
          </w:tcPr>
          <w:p w14:paraId="37565E28" w14:textId="77777777" w:rsidR="00E139C5" w:rsidRPr="00E139C5" w:rsidRDefault="00E139C5" w:rsidP="00543C06">
            <w:pPr>
              <w:spacing w:line="276" w:lineRule="auto"/>
              <w:jc w:val="right"/>
              <w:rPr>
                <w:szCs w:val="24"/>
              </w:rPr>
            </w:pPr>
            <w:r w:rsidRPr="00E139C5">
              <w:rPr>
                <w:szCs w:val="24"/>
              </w:rPr>
              <w:t xml:space="preserve">           </w:t>
            </w:r>
          </w:p>
        </w:tc>
        <w:tc>
          <w:tcPr>
            <w:tcW w:w="1260" w:type="dxa"/>
            <w:hideMark/>
          </w:tcPr>
          <w:p w14:paraId="0766FE73" w14:textId="77777777" w:rsidR="00E139C5" w:rsidRPr="00E139C5" w:rsidRDefault="00E139C5" w:rsidP="00543C06">
            <w:pPr>
              <w:spacing w:line="276" w:lineRule="auto"/>
              <w:jc w:val="right"/>
              <w:rPr>
                <w:szCs w:val="24"/>
              </w:rPr>
            </w:pPr>
            <w:r w:rsidRPr="00E139C5">
              <w:rPr>
                <w:szCs w:val="24"/>
              </w:rPr>
              <w:t xml:space="preserve">            </w:t>
            </w:r>
          </w:p>
        </w:tc>
        <w:tc>
          <w:tcPr>
            <w:tcW w:w="1260" w:type="dxa"/>
            <w:hideMark/>
          </w:tcPr>
          <w:p w14:paraId="153C340F" w14:textId="77777777" w:rsidR="00E139C5" w:rsidRPr="00E139C5" w:rsidRDefault="00E139C5" w:rsidP="00543C06">
            <w:pPr>
              <w:spacing w:line="276" w:lineRule="auto"/>
              <w:jc w:val="right"/>
              <w:rPr>
                <w:szCs w:val="24"/>
              </w:rPr>
            </w:pPr>
            <w:r w:rsidRPr="00E139C5">
              <w:rPr>
                <w:szCs w:val="24"/>
              </w:rPr>
              <w:t xml:space="preserve">             </w:t>
            </w:r>
          </w:p>
        </w:tc>
      </w:tr>
      <w:tr w:rsidR="00E139C5" w:rsidRPr="00C742D0" w14:paraId="1F8CBF69" w14:textId="77777777" w:rsidTr="00E139C5">
        <w:trPr>
          <w:divId w:val="1261141582"/>
          <w:trHeight w:val="375"/>
        </w:trPr>
        <w:tc>
          <w:tcPr>
            <w:tcW w:w="3145" w:type="dxa"/>
            <w:hideMark/>
          </w:tcPr>
          <w:p w14:paraId="1183BBA9" w14:textId="77777777" w:rsidR="00E139C5" w:rsidRPr="00FB3897" w:rsidRDefault="00E139C5" w:rsidP="00E139C5">
            <w:pPr>
              <w:spacing w:line="276" w:lineRule="auto"/>
              <w:rPr>
                <w:bCs/>
                <w:szCs w:val="24"/>
                <w:lang w:val="it-IT"/>
              </w:rPr>
            </w:pPr>
            <w:r w:rsidRPr="00FB3897">
              <w:rPr>
                <w:b/>
                <w:bCs/>
                <w:szCs w:val="24"/>
                <w:lang w:val="it-IT"/>
              </w:rPr>
              <w:t>Kosto e zbritur</w:t>
            </w:r>
            <w:r w:rsidRPr="00FB3897">
              <w:rPr>
                <w:szCs w:val="24"/>
                <w:lang w:val="it-IT"/>
              </w:rPr>
              <w:t>= Kosto në total x Faktori zbritës</w:t>
            </w:r>
          </w:p>
        </w:tc>
        <w:tc>
          <w:tcPr>
            <w:tcW w:w="1350" w:type="dxa"/>
            <w:hideMark/>
          </w:tcPr>
          <w:p w14:paraId="05C30AA1" w14:textId="77777777" w:rsidR="00E139C5" w:rsidRPr="00FB3897" w:rsidRDefault="00E139C5" w:rsidP="00543C06">
            <w:pPr>
              <w:spacing w:line="276" w:lineRule="auto"/>
              <w:ind w:left="-108" w:firstLine="108"/>
              <w:jc w:val="right"/>
              <w:rPr>
                <w:szCs w:val="24"/>
                <w:lang w:val="it-IT"/>
              </w:rPr>
            </w:pPr>
            <w:r w:rsidRPr="00FB3897">
              <w:rPr>
                <w:szCs w:val="24"/>
                <w:lang w:val="it-IT"/>
              </w:rPr>
              <w:t xml:space="preserve">            </w:t>
            </w:r>
          </w:p>
        </w:tc>
        <w:tc>
          <w:tcPr>
            <w:tcW w:w="1170" w:type="dxa"/>
            <w:hideMark/>
          </w:tcPr>
          <w:p w14:paraId="267B79DD" w14:textId="77777777" w:rsidR="00E139C5" w:rsidRPr="00FB3897" w:rsidRDefault="00E139C5" w:rsidP="00543C06">
            <w:pPr>
              <w:spacing w:line="276" w:lineRule="auto"/>
              <w:ind w:left="-108" w:firstLine="108"/>
              <w:jc w:val="right"/>
              <w:rPr>
                <w:szCs w:val="24"/>
                <w:lang w:val="it-IT"/>
              </w:rPr>
            </w:pPr>
            <w:r w:rsidRPr="00FB3897">
              <w:rPr>
                <w:szCs w:val="24"/>
                <w:lang w:val="it-IT"/>
              </w:rPr>
              <w:t xml:space="preserve">          </w:t>
            </w:r>
          </w:p>
        </w:tc>
        <w:tc>
          <w:tcPr>
            <w:tcW w:w="1080" w:type="dxa"/>
            <w:hideMark/>
          </w:tcPr>
          <w:p w14:paraId="69FECFAD" w14:textId="77777777" w:rsidR="00E139C5" w:rsidRPr="00FB3897" w:rsidRDefault="00E139C5" w:rsidP="00543C06">
            <w:pPr>
              <w:spacing w:line="276" w:lineRule="auto"/>
              <w:jc w:val="right"/>
              <w:rPr>
                <w:szCs w:val="24"/>
                <w:lang w:val="it-IT"/>
              </w:rPr>
            </w:pPr>
            <w:r w:rsidRPr="00FB3897">
              <w:rPr>
                <w:szCs w:val="24"/>
                <w:lang w:val="it-IT"/>
              </w:rPr>
              <w:t xml:space="preserve">         </w:t>
            </w:r>
          </w:p>
        </w:tc>
        <w:tc>
          <w:tcPr>
            <w:tcW w:w="1170" w:type="dxa"/>
            <w:hideMark/>
          </w:tcPr>
          <w:p w14:paraId="6F72091F" w14:textId="77777777" w:rsidR="00E139C5" w:rsidRPr="00FB3897" w:rsidRDefault="00E139C5" w:rsidP="00543C06">
            <w:pPr>
              <w:spacing w:line="276" w:lineRule="auto"/>
              <w:jc w:val="right"/>
              <w:rPr>
                <w:szCs w:val="24"/>
                <w:lang w:val="it-IT"/>
              </w:rPr>
            </w:pPr>
            <w:r w:rsidRPr="00FB3897">
              <w:rPr>
                <w:szCs w:val="24"/>
                <w:lang w:val="it-IT"/>
              </w:rPr>
              <w:t xml:space="preserve">          </w:t>
            </w:r>
          </w:p>
        </w:tc>
        <w:tc>
          <w:tcPr>
            <w:tcW w:w="1080" w:type="dxa"/>
            <w:hideMark/>
          </w:tcPr>
          <w:p w14:paraId="04D4CBF9" w14:textId="77777777" w:rsidR="00E139C5" w:rsidRPr="00FB3897" w:rsidRDefault="00E139C5" w:rsidP="00543C06">
            <w:pPr>
              <w:spacing w:line="276" w:lineRule="auto"/>
              <w:jc w:val="right"/>
              <w:rPr>
                <w:szCs w:val="24"/>
                <w:lang w:val="it-IT"/>
              </w:rPr>
            </w:pPr>
            <w:r w:rsidRPr="00FB3897">
              <w:rPr>
                <w:szCs w:val="24"/>
                <w:lang w:val="it-IT"/>
              </w:rPr>
              <w:t xml:space="preserve">          </w:t>
            </w:r>
          </w:p>
        </w:tc>
        <w:tc>
          <w:tcPr>
            <w:tcW w:w="1260" w:type="dxa"/>
            <w:hideMark/>
          </w:tcPr>
          <w:p w14:paraId="72A1BD89" w14:textId="77777777" w:rsidR="00E139C5" w:rsidRPr="00FB3897" w:rsidRDefault="00E139C5" w:rsidP="00543C06">
            <w:pPr>
              <w:spacing w:line="276" w:lineRule="auto"/>
              <w:jc w:val="right"/>
              <w:rPr>
                <w:szCs w:val="24"/>
                <w:lang w:val="it-IT"/>
              </w:rPr>
            </w:pPr>
            <w:r w:rsidRPr="00FB3897">
              <w:rPr>
                <w:szCs w:val="24"/>
                <w:lang w:val="it-IT"/>
              </w:rPr>
              <w:t xml:space="preserve">           </w:t>
            </w:r>
          </w:p>
        </w:tc>
        <w:tc>
          <w:tcPr>
            <w:tcW w:w="1080" w:type="dxa"/>
            <w:hideMark/>
          </w:tcPr>
          <w:p w14:paraId="41F125CF" w14:textId="77777777" w:rsidR="00E139C5" w:rsidRPr="00FB3897" w:rsidRDefault="00E139C5" w:rsidP="00543C06">
            <w:pPr>
              <w:spacing w:line="276" w:lineRule="auto"/>
              <w:jc w:val="right"/>
              <w:rPr>
                <w:szCs w:val="24"/>
                <w:lang w:val="it-IT"/>
              </w:rPr>
            </w:pPr>
            <w:r w:rsidRPr="00FB3897">
              <w:rPr>
                <w:szCs w:val="24"/>
                <w:lang w:val="it-IT"/>
              </w:rPr>
              <w:t xml:space="preserve">           </w:t>
            </w:r>
          </w:p>
        </w:tc>
        <w:tc>
          <w:tcPr>
            <w:tcW w:w="1260" w:type="dxa"/>
            <w:hideMark/>
          </w:tcPr>
          <w:p w14:paraId="5B44458C" w14:textId="77777777" w:rsidR="00E139C5" w:rsidRPr="00FB3897" w:rsidRDefault="00E139C5" w:rsidP="00543C06">
            <w:pPr>
              <w:spacing w:line="276" w:lineRule="auto"/>
              <w:jc w:val="right"/>
              <w:rPr>
                <w:szCs w:val="24"/>
                <w:lang w:val="it-IT"/>
              </w:rPr>
            </w:pPr>
            <w:r w:rsidRPr="00FB3897">
              <w:rPr>
                <w:szCs w:val="24"/>
                <w:lang w:val="it-IT"/>
              </w:rPr>
              <w:t xml:space="preserve">           </w:t>
            </w:r>
          </w:p>
        </w:tc>
        <w:tc>
          <w:tcPr>
            <w:tcW w:w="1260" w:type="dxa"/>
            <w:hideMark/>
          </w:tcPr>
          <w:p w14:paraId="652CF369" w14:textId="77777777" w:rsidR="00E139C5" w:rsidRPr="00FB3897" w:rsidRDefault="00E139C5" w:rsidP="00543C06">
            <w:pPr>
              <w:spacing w:line="276" w:lineRule="auto"/>
              <w:jc w:val="right"/>
              <w:rPr>
                <w:szCs w:val="24"/>
                <w:lang w:val="it-IT"/>
              </w:rPr>
            </w:pPr>
            <w:r w:rsidRPr="00FB3897">
              <w:rPr>
                <w:szCs w:val="24"/>
                <w:lang w:val="it-IT"/>
              </w:rPr>
              <w:t xml:space="preserve">              </w:t>
            </w:r>
          </w:p>
        </w:tc>
        <w:tc>
          <w:tcPr>
            <w:tcW w:w="1260" w:type="dxa"/>
            <w:hideMark/>
          </w:tcPr>
          <w:p w14:paraId="0882DE09" w14:textId="77777777" w:rsidR="00E139C5" w:rsidRPr="00FB3897" w:rsidRDefault="00E139C5" w:rsidP="00543C06">
            <w:pPr>
              <w:spacing w:line="276" w:lineRule="auto"/>
              <w:jc w:val="right"/>
              <w:rPr>
                <w:szCs w:val="24"/>
                <w:lang w:val="it-IT"/>
              </w:rPr>
            </w:pPr>
            <w:r w:rsidRPr="00FB3897">
              <w:rPr>
                <w:szCs w:val="24"/>
                <w:lang w:val="it-IT"/>
              </w:rPr>
              <w:t xml:space="preserve">              </w:t>
            </w:r>
          </w:p>
        </w:tc>
      </w:tr>
      <w:tr w:rsidR="00E139C5" w:rsidRPr="00E139C5" w14:paraId="4F2F9153" w14:textId="77777777" w:rsidTr="00E139C5">
        <w:trPr>
          <w:divId w:val="1261141582"/>
          <w:trHeight w:val="255"/>
        </w:trPr>
        <w:tc>
          <w:tcPr>
            <w:tcW w:w="3145" w:type="dxa"/>
            <w:hideMark/>
          </w:tcPr>
          <w:p w14:paraId="7597E533" w14:textId="77777777" w:rsidR="00E139C5" w:rsidRPr="00E139C5" w:rsidRDefault="00E139C5" w:rsidP="00E139C5">
            <w:pPr>
              <w:spacing w:line="276" w:lineRule="auto"/>
              <w:rPr>
                <w:szCs w:val="24"/>
              </w:rPr>
            </w:pPr>
            <w:r w:rsidRPr="00E139C5">
              <w:rPr>
                <w:szCs w:val="24"/>
              </w:rPr>
              <w:t>Përfitimet për buxhetin – një herë</w:t>
            </w:r>
          </w:p>
        </w:tc>
        <w:tc>
          <w:tcPr>
            <w:tcW w:w="1350" w:type="dxa"/>
            <w:hideMark/>
          </w:tcPr>
          <w:p w14:paraId="5F40CF5C" w14:textId="77777777" w:rsidR="00E139C5" w:rsidRPr="00E139C5" w:rsidRDefault="00E139C5" w:rsidP="00E139C5">
            <w:pPr>
              <w:spacing w:line="276" w:lineRule="auto"/>
              <w:ind w:left="-108" w:firstLine="108"/>
              <w:jc w:val="right"/>
              <w:rPr>
                <w:szCs w:val="24"/>
              </w:rPr>
            </w:pPr>
            <w:r w:rsidRPr="00E139C5">
              <w:rPr>
                <w:szCs w:val="24"/>
              </w:rPr>
              <w:t> </w:t>
            </w:r>
          </w:p>
        </w:tc>
        <w:tc>
          <w:tcPr>
            <w:tcW w:w="1170" w:type="dxa"/>
            <w:hideMark/>
          </w:tcPr>
          <w:p w14:paraId="545FE3BF" w14:textId="77777777" w:rsidR="00E139C5" w:rsidRPr="00E139C5" w:rsidRDefault="00E139C5" w:rsidP="00E139C5">
            <w:pPr>
              <w:spacing w:line="276" w:lineRule="auto"/>
              <w:ind w:left="-108" w:firstLine="108"/>
              <w:jc w:val="right"/>
              <w:rPr>
                <w:szCs w:val="24"/>
              </w:rPr>
            </w:pPr>
            <w:r w:rsidRPr="00E139C5">
              <w:rPr>
                <w:szCs w:val="24"/>
              </w:rPr>
              <w:t> </w:t>
            </w:r>
          </w:p>
        </w:tc>
        <w:tc>
          <w:tcPr>
            <w:tcW w:w="1080" w:type="dxa"/>
            <w:hideMark/>
          </w:tcPr>
          <w:p w14:paraId="7DB102BB" w14:textId="77777777" w:rsidR="00E139C5" w:rsidRPr="00E139C5" w:rsidRDefault="00E139C5" w:rsidP="00E139C5">
            <w:pPr>
              <w:spacing w:line="276" w:lineRule="auto"/>
              <w:jc w:val="right"/>
              <w:rPr>
                <w:szCs w:val="24"/>
              </w:rPr>
            </w:pPr>
            <w:r w:rsidRPr="00E139C5">
              <w:rPr>
                <w:szCs w:val="24"/>
              </w:rPr>
              <w:t> </w:t>
            </w:r>
          </w:p>
        </w:tc>
        <w:tc>
          <w:tcPr>
            <w:tcW w:w="1170" w:type="dxa"/>
            <w:hideMark/>
          </w:tcPr>
          <w:p w14:paraId="0AC2B2CD"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6A52277B"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6CC17EAF"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5625FA15"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09F7D0DF"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0314BB4E"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4D624CF7" w14:textId="77777777" w:rsidR="00E139C5" w:rsidRPr="00E139C5" w:rsidRDefault="00E139C5" w:rsidP="00E139C5">
            <w:pPr>
              <w:spacing w:line="276" w:lineRule="auto"/>
              <w:jc w:val="right"/>
              <w:rPr>
                <w:szCs w:val="24"/>
              </w:rPr>
            </w:pPr>
            <w:r w:rsidRPr="00E139C5">
              <w:rPr>
                <w:szCs w:val="24"/>
              </w:rPr>
              <w:t> </w:t>
            </w:r>
          </w:p>
        </w:tc>
      </w:tr>
      <w:tr w:rsidR="00E139C5" w:rsidRPr="00E139C5" w14:paraId="2582A625" w14:textId="77777777" w:rsidTr="00E139C5">
        <w:trPr>
          <w:divId w:val="1261141582"/>
          <w:trHeight w:val="255"/>
        </w:trPr>
        <w:tc>
          <w:tcPr>
            <w:tcW w:w="3145" w:type="dxa"/>
            <w:hideMark/>
          </w:tcPr>
          <w:p w14:paraId="6EE6F5B7" w14:textId="77777777" w:rsidR="00E139C5" w:rsidRPr="00E139C5" w:rsidRDefault="00E139C5" w:rsidP="00E139C5">
            <w:pPr>
              <w:spacing w:line="276" w:lineRule="auto"/>
              <w:rPr>
                <w:szCs w:val="24"/>
              </w:rPr>
            </w:pPr>
            <w:r w:rsidRPr="00E139C5">
              <w:rPr>
                <w:szCs w:val="24"/>
              </w:rPr>
              <w:t>Përfitimet për buxhetin – në vazhdimësi</w:t>
            </w:r>
          </w:p>
        </w:tc>
        <w:tc>
          <w:tcPr>
            <w:tcW w:w="1350" w:type="dxa"/>
            <w:hideMark/>
          </w:tcPr>
          <w:p w14:paraId="2D6D6225" w14:textId="77777777" w:rsidR="00E139C5" w:rsidRPr="00E139C5" w:rsidRDefault="00E139C5" w:rsidP="00543C06">
            <w:pPr>
              <w:spacing w:line="276" w:lineRule="auto"/>
              <w:ind w:left="-108" w:firstLine="108"/>
              <w:jc w:val="right"/>
              <w:rPr>
                <w:szCs w:val="24"/>
              </w:rPr>
            </w:pPr>
            <w:r w:rsidRPr="00E139C5">
              <w:rPr>
                <w:szCs w:val="24"/>
              </w:rPr>
              <w:t xml:space="preserve">             </w:t>
            </w:r>
          </w:p>
        </w:tc>
        <w:tc>
          <w:tcPr>
            <w:tcW w:w="1170" w:type="dxa"/>
            <w:hideMark/>
          </w:tcPr>
          <w:p w14:paraId="585AF83C" w14:textId="77777777" w:rsidR="00E139C5" w:rsidRPr="00E139C5" w:rsidRDefault="00E139C5" w:rsidP="00543C06">
            <w:pPr>
              <w:spacing w:line="276" w:lineRule="auto"/>
              <w:ind w:left="-108" w:firstLine="108"/>
              <w:jc w:val="right"/>
              <w:rPr>
                <w:szCs w:val="24"/>
              </w:rPr>
            </w:pPr>
            <w:r w:rsidRPr="00E139C5">
              <w:rPr>
                <w:szCs w:val="24"/>
              </w:rPr>
              <w:t xml:space="preserve">           </w:t>
            </w:r>
          </w:p>
        </w:tc>
        <w:tc>
          <w:tcPr>
            <w:tcW w:w="1080" w:type="dxa"/>
            <w:hideMark/>
          </w:tcPr>
          <w:p w14:paraId="34F20AFC" w14:textId="77777777" w:rsidR="00E139C5" w:rsidRPr="00E139C5" w:rsidRDefault="00E139C5" w:rsidP="00543C06">
            <w:pPr>
              <w:spacing w:line="276" w:lineRule="auto"/>
              <w:jc w:val="right"/>
              <w:rPr>
                <w:szCs w:val="24"/>
              </w:rPr>
            </w:pPr>
            <w:r w:rsidRPr="00E139C5">
              <w:rPr>
                <w:szCs w:val="24"/>
              </w:rPr>
              <w:t xml:space="preserve">          </w:t>
            </w:r>
          </w:p>
        </w:tc>
        <w:tc>
          <w:tcPr>
            <w:tcW w:w="1170" w:type="dxa"/>
            <w:hideMark/>
          </w:tcPr>
          <w:p w14:paraId="449C42AF" w14:textId="77777777" w:rsidR="00E139C5" w:rsidRPr="00E139C5" w:rsidRDefault="00E139C5" w:rsidP="002C49FE">
            <w:pPr>
              <w:spacing w:line="276" w:lineRule="auto"/>
              <w:jc w:val="right"/>
              <w:rPr>
                <w:szCs w:val="24"/>
              </w:rPr>
            </w:pPr>
            <w:r w:rsidRPr="00E139C5">
              <w:rPr>
                <w:szCs w:val="24"/>
              </w:rPr>
              <w:t xml:space="preserve">          </w:t>
            </w:r>
          </w:p>
        </w:tc>
        <w:tc>
          <w:tcPr>
            <w:tcW w:w="1080" w:type="dxa"/>
            <w:hideMark/>
          </w:tcPr>
          <w:p w14:paraId="39B704F2" w14:textId="77777777" w:rsidR="00E139C5" w:rsidRPr="00E139C5" w:rsidRDefault="00E139C5" w:rsidP="002C49FE">
            <w:pPr>
              <w:spacing w:line="276" w:lineRule="auto"/>
              <w:jc w:val="right"/>
              <w:rPr>
                <w:szCs w:val="24"/>
              </w:rPr>
            </w:pPr>
            <w:r w:rsidRPr="00E139C5">
              <w:rPr>
                <w:szCs w:val="24"/>
              </w:rPr>
              <w:t xml:space="preserve">           </w:t>
            </w:r>
          </w:p>
        </w:tc>
        <w:tc>
          <w:tcPr>
            <w:tcW w:w="1260" w:type="dxa"/>
            <w:hideMark/>
          </w:tcPr>
          <w:p w14:paraId="3D459BCB" w14:textId="77777777" w:rsidR="00E139C5" w:rsidRPr="00E139C5" w:rsidRDefault="00E139C5" w:rsidP="002C49FE">
            <w:pPr>
              <w:spacing w:line="276" w:lineRule="auto"/>
              <w:jc w:val="right"/>
              <w:rPr>
                <w:szCs w:val="24"/>
              </w:rPr>
            </w:pPr>
            <w:r w:rsidRPr="00E139C5">
              <w:rPr>
                <w:szCs w:val="24"/>
              </w:rPr>
              <w:t xml:space="preserve">          </w:t>
            </w:r>
          </w:p>
        </w:tc>
        <w:tc>
          <w:tcPr>
            <w:tcW w:w="1080" w:type="dxa"/>
            <w:hideMark/>
          </w:tcPr>
          <w:p w14:paraId="32769975" w14:textId="77777777" w:rsidR="00E139C5" w:rsidRPr="00E139C5" w:rsidRDefault="00E139C5" w:rsidP="002C49FE">
            <w:pPr>
              <w:spacing w:line="276" w:lineRule="auto"/>
              <w:jc w:val="right"/>
              <w:rPr>
                <w:szCs w:val="24"/>
              </w:rPr>
            </w:pPr>
            <w:r w:rsidRPr="00E139C5">
              <w:rPr>
                <w:szCs w:val="24"/>
              </w:rPr>
              <w:t xml:space="preserve">           </w:t>
            </w:r>
          </w:p>
        </w:tc>
        <w:tc>
          <w:tcPr>
            <w:tcW w:w="1260" w:type="dxa"/>
            <w:hideMark/>
          </w:tcPr>
          <w:p w14:paraId="0AE9E7C3" w14:textId="77777777" w:rsidR="00E139C5" w:rsidRPr="00E139C5" w:rsidRDefault="00E139C5" w:rsidP="002C49FE">
            <w:pPr>
              <w:spacing w:line="276" w:lineRule="auto"/>
              <w:jc w:val="right"/>
              <w:rPr>
                <w:szCs w:val="24"/>
              </w:rPr>
            </w:pPr>
            <w:r w:rsidRPr="00E139C5">
              <w:rPr>
                <w:szCs w:val="24"/>
              </w:rPr>
              <w:t xml:space="preserve">           </w:t>
            </w:r>
          </w:p>
        </w:tc>
        <w:tc>
          <w:tcPr>
            <w:tcW w:w="1260" w:type="dxa"/>
            <w:hideMark/>
          </w:tcPr>
          <w:p w14:paraId="4A6CD78A" w14:textId="77777777" w:rsidR="00E139C5" w:rsidRPr="00E139C5" w:rsidRDefault="00E139C5" w:rsidP="002C49FE">
            <w:pPr>
              <w:spacing w:line="276" w:lineRule="auto"/>
              <w:jc w:val="right"/>
              <w:rPr>
                <w:szCs w:val="24"/>
              </w:rPr>
            </w:pPr>
            <w:r w:rsidRPr="00E139C5">
              <w:rPr>
                <w:szCs w:val="24"/>
              </w:rPr>
              <w:t xml:space="preserve">            </w:t>
            </w:r>
          </w:p>
        </w:tc>
        <w:tc>
          <w:tcPr>
            <w:tcW w:w="1260" w:type="dxa"/>
            <w:hideMark/>
          </w:tcPr>
          <w:p w14:paraId="4C95AFB6" w14:textId="77777777" w:rsidR="00E139C5" w:rsidRPr="00E139C5" w:rsidRDefault="00E139C5" w:rsidP="002C49FE">
            <w:pPr>
              <w:spacing w:line="276" w:lineRule="auto"/>
              <w:jc w:val="right"/>
              <w:rPr>
                <w:szCs w:val="24"/>
              </w:rPr>
            </w:pPr>
            <w:r w:rsidRPr="00E139C5">
              <w:rPr>
                <w:szCs w:val="24"/>
              </w:rPr>
              <w:t xml:space="preserve">             </w:t>
            </w:r>
          </w:p>
        </w:tc>
      </w:tr>
      <w:tr w:rsidR="00E139C5" w:rsidRPr="00E139C5" w14:paraId="01895A37" w14:textId="77777777" w:rsidTr="00E139C5">
        <w:trPr>
          <w:divId w:val="1261141582"/>
          <w:trHeight w:val="255"/>
        </w:trPr>
        <w:tc>
          <w:tcPr>
            <w:tcW w:w="3145" w:type="dxa"/>
            <w:hideMark/>
          </w:tcPr>
          <w:p w14:paraId="202CA8CB" w14:textId="77777777" w:rsidR="00E139C5" w:rsidRPr="00E139C5" w:rsidRDefault="00E139C5" w:rsidP="00E139C5">
            <w:pPr>
              <w:spacing w:line="276" w:lineRule="auto"/>
              <w:rPr>
                <w:szCs w:val="24"/>
              </w:rPr>
            </w:pPr>
            <w:r w:rsidRPr="00E139C5">
              <w:rPr>
                <w:szCs w:val="24"/>
              </w:rPr>
              <w:t>Përfitimet për grupet e tjera – një herë</w:t>
            </w:r>
          </w:p>
        </w:tc>
        <w:tc>
          <w:tcPr>
            <w:tcW w:w="1350" w:type="dxa"/>
            <w:hideMark/>
          </w:tcPr>
          <w:p w14:paraId="6C5434EE" w14:textId="77777777" w:rsidR="00E139C5" w:rsidRPr="00E139C5" w:rsidRDefault="00E139C5" w:rsidP="00E139C5">
            <w:pPr>
              <w:spacing w:line="276" w:lineRule="auto"/>
              <w:ind w:left="-108" w:firstLine="108"/>
              <w:jc w:val="right"/>
              <w:rPr>
                <w:szCs w:val="24"/>
              </w:rPr>
            </w:pPr>
            <w:r w:rsidRPr="00E139C5">
              <w:rPr>
                <w:szCs w:val="24"/>
              </w:rPr>
              <w:t> </w:t>
            </w:r>
          </w:p>
        </w:tc>
        <w:tc>
          <w:tcPr>
            <w:tcW w:w="1170" w:type="dxa"/>
            <w:hideMark/>
          </w:tcPr>
          <w:p w14:paraId="757F8FB6" w14:textId="77777777" w:rsidR="00E139C5" w:rsidRPr="00E139C5" w:rsidRDefault="00E139C5" w:rsidP="00E139C5">
            <w:pPr>
              <w:spacing w:line="276" w:lineRule="auto"/>
              <w:ind w:left="-108" w:firstLine="108"/>
              <w:jc w:val="right"/>
              <w:rPr>
                <w:szCs w:val="24"/>
              </w:rPr>
            </w:pPr>
            <w:r w:rsidRPr="00E139C5">
              <w:rPr>
                <w:szCs w:val="24"/>
              </w:rPr>
              <w:t> </w:t>
            </w:r>
          </w:p>
        </w:tc>
        <w:tc>
          <w:tcPr>
            <w:tcW w:w="1080" w:type="dxa"/>
            <w:hideMark/>
          </w:tcPr>
          <w:p w14:paraId="39B91FB2" w14:textId="77777777" w:rsidR="00E139C5" w:rsidRPr="00E139C5" w:rsidRDefault="00E139C5" w:rsidP="00E139C5">
            <w:pPr>
              <w:spacing w:line="276" w:lineRule="auto"/>
              <w:jc w:val="right"/>
              <w:rPr>
                <w:szCs w:val="24"/>
              </w:rPr>
            </w:pPr>
            <w:r w:rsidRPr="00E139C5">
              <w:rPr>
                <w:szCs w:val="24"/>
              </w:rPr>
              <w:t> </w:t>
            </w:r>
          </w:p>
        </w:tc>
        <w:tc>
          <w:tcPr>
            <w:tcW w:w="1170" w:type="dxa"/>
            <w:hideMark/>
          </w:tcPr>
          <w:p w14:paraId="0E01BCC5"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73B38185"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487CAEBF"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7248B0B9"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69B09327"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360A3960"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4147FB88" w14:textId="77777777" w:rsidR="00E139C5" w:rsidRPr="00E139C5" w:rsidRDefault="00E139C5" w:rsidP="00E139C5">
            <w:pPr>
              <w:spacing w:line="276" w:lineRule="auto"/>
              <w:jc w:val="right"/>
              <w:rPr>
                <w:szCs w:val="24"/>
              </w:rPr>
            </w:pPr>
            <w:r w:rsidRPr="00E139C5">
              <w:rPr>
                <w:szCs w:val="24"/>
              </w:rPr>
              <w:t> </w:t>
            </w:r>
          </w:p>
        </w:tc>
      </w:tr>
      <w:tr w:rsidR="00E139C5" w:rsidRPr="00E139C5" w14:paraId="45C20694" w14:textId="77777777" w:rsidTr="00E139C5">
        <w:trPr>
          <w:divId w:val="1261141582"/>
          <w:trHeight w:val="255"/>
        </w:trPr>
        <w:tc>
          <w:tcPr>
            <w:tcW w:w="3145" w:type="dxa"/>
            <w:hideMark/>
          </w:tcPr>
          <w:p w14:paraId="0D56A03D" w14:textId="77777777" w:rsidR="00E139C5" w:rsidRPr="00E139C5" w:rsidRDefault="00E139C5" w:rsidP="00E139C5">
            <w:pPr>
              <w:spacing w:line="276" w:lineRule="auto"/>
              <w:rPr>
                <w:szCs w:val="24"/>
              </w:rPr>
            </w:pPr>
            <w:r w:rsidRPr="00E139C5">
              <w:rPr>
                <w:szCs w:val="24"/>
              </w:rPr>
              <w:t>Përfitimet për grupet e tjera – në vazhdimësi</w:t>
            </w:r>
          </w:p>
        </w:tc>
        <w:tc>
          <w:tcPr>
            <w:tcW w:w="1350" w:type="dxa"/>
            <w:hideMark/>
          </w:tcPr>
          <w:p w14:paraId="4F4DF6BD" w14:textId="77777777" w:rsidR="00E139C5" w:rsidRPr="00E139C5" w:rsidRDefault="00E139C5" w:rsidP="00E139C5">
            <w:pPr>
              <w:spacing w:line="276" w:lineRule="auto"/>
              <w:ind w:left="-108" w:firstLine="108"/>
              <w:jc w:val="right"/>
              <w:rPr>
                <w:szCs w:val="24"/>
              </w:rPr>
            </w:pPr>
            <w:r w:rsidRPr="00E139C5">
              <w:rPr>
                <w:szCs w:val="24"/>
              </w:rPr>
              <w:t> </w:t>
            </w:r>
          </w:p>
        </w:tc>
        <w:tc>
          <w:tcPr>
            <w:tcW w:w="1170" w:type="dxa"/>
            <w:hideMark/>
          </w:tcPr>
          <w:p w14:paraId="7CFF86F0" w14:textId="77777777" w:rsidR="00E139C5" w:rsidRPr="00E139C5" w:rsidRDefault="00E139C5" w:rsidP="00E139C5">
            <w:pPr>
              <w:spacing w:line="276" w:lineRule="auto"/>
              <w:ind w:left="-108" w:firstLine="108"/>
              <w:jc w:val="right"/>
              <w:rPr>
                <w:szCs w:val="24"/>
              </w:rPr>
            </w:pPr>
            <w:r w:rsidRPr="00E139C5">
              <w:rPr>
                <w:szCs w:val="24"/>
              </w:rPr>
              <w:t> </w:t>
            </w:r>
          </w:p>
        </w:tc>
        <w:tc>
          <w:tcPr>
            <w:tcW w:w="1080" w:type="dxa"/>
            <w:hideMark/>
          </w:tcPr>
          <w:p w14:paraId="71E89846" w14:textId="77777777" w:rsidR="00E139C5" w:rsidRPr="00E139C5" w:rsidRDefault="00E139C5" w:rsidP="00E139C5">
            <w:pPr>
              <w:spacing w:line="276" w:lineRule="auto"/>
              <w:jc w:val="right"/>
              <w:rPr>
                <w:szCs w:val="24"/>
              </w:rPr>
            </w:pPr>
            <w:r w:rsidRPr="00E139C5">
              <w:rPr>
                <w:szCs w:val="24"/>
              </w:rPr>
              <w:t> </w:t>
            </w:r>
          </w:p>
        </w:tc>
        <w:tc>
          <w:tcPr>
            <w:tcW w:w="1170" w:type="dxa"/>
            <w:hideMark/>
          </w:tcPr>
          <w:p w14:paraId="0326B5A3"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7F12D998"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1132A2F2"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5EA1D8BB"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02046E55"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7F0951AC"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238F266E" w14:textId="77777777" w:rsidR="00E139C5" w:rsidRPr="00E139C5" w:rsidRDefault="00E139C5" w:rsidP="00E139C5">
            <w:pPr>
              <w:spacing w:line="276" w:lineRule="auto"/>
              <w:jc w:val="right"/>
              <w:rPr>
                <w:szCs w:val="24"/>
              </w:rPr>
            </w:pPr>
            <w:r w:rsidRPr="00E139C5">
              <w:rPr>
                <w:szCs w:val="24"/>
              </w:rPr>
              <w:t> </w:t>
            </w:r>
          </w:p>
        </w:tc>
      </w:tr>
      <w:tr w:rsidR="00E139C5" w:rsidRPr="00E139C5" w14:paraId="3E89BD1C" w14:textId="77777777" w:rsidTr="00E139C5">
        <w:trPr>
          <w:divId w:val="1261141582"/>
          <w:trHeight w:val="255"/>
        </w:trPr>
        <w:tc>
          <w:tcPr>
            <w:tcW w:w="3145" w:type="dxa"/>
            <w:hideMark/>
          </w:tcPr>
          <w:p w14:paraId="3F833395" w14:textId="77777777" w:rsidR="00E139C5" w:rsidRPr="00E139C5" w:rsidRDefault="00E139C5" w:rsidP="00E139C5">
            <w:pPr>
              <w:spacing w:line="276" w:lineRule="auto"/>
              <w:rPr>
                <w:szCs w:val="24"/>
              </w:rPr>
            </w:pPr>
            <w:r w:rsidRPr="00E139C5">
              <w:rPr>
                <w:szCs w:val="24"/>
              </w:rPr>
              <w:t>Përfitimet për biznesin – një herë</w:t>
            </w:r>
          </w:p>
        </w:tc>
        <w:tc>
          <w:tcPr>
            <w:tcW w:w="1350" w:type="dxa"/>
            <w:hideMark/>
          </w:tcPr>
          <w:p w14:paraId="275EB079" w14:textId="77777777" w:rsidR="00E139C5" w:rsidRPr="00E139C5" w:rsidRDefault="00E139C5" w:rsidP="002C49FE">
            <w:pPr>
              <w:spacing w:line="276" w:lineRule="auto"/>
              <w:ind w:left="-108" w:firstLine="108"/>
              <w:jc w:val="right"/>
              <w:rPr>
                <w:szCs w:val="24"/>
              </w:rPr>
            </w:pPr>
            <w:r w:rsidRPr="00E139C5">
              <w:rPr>
                <w:szCs w:val="24"/>
              </w:rPr>
              <w:t xml:space="preserve">               </w:t>
            </w:r>
          </w:p>
        </w:tc>
        <w:tc>
          <w:tcPr>
            <w:tcW w:w="1170" w:type="dxa"/>
            <w:hideMark/>
          </w:tcPr>
          <w:p w14:paraId="76A4E786" w14:textId="77777777" w:rsidR="00E139C5" w:rsidRPr="00E139C5" w:rsidRDefault="00E139C5" w:rsidP="00E139C5">
            <w:pPr>
              <w:spacing w:line="276" w:lineRule="auto"/>
              <w:ind w:left="-108" w:firstLine="108"/>
              <w:jc w:val="right"/>
              <w:rPr>
                <w:szCs w:val="24"/>
              </w:rPr>
            </w:pPr>
            <w:r w:rsidRPr="00E139C5">
              <w:rPr>
                <w:szCs w:val="24"/>
              </w:rPr>
              <w:t> </w:t>
            </w:r>
          </w:p>
        </w:tc>
        <w:tc>
          <w:tcPr>
            <w:tcW w:w="1080" w:type="dxa"/>
            <w:hideMark/>
          </w:tcPr>
          <w:p w14:paraId="2F52EA27" w14:textId="77777777" w:rsidR="00E139C5" w:rsidRPr="00E139C5" w:rsidRDefault="00E139C5" w:rsidP="00E139C5">
            <w:pPr>
              <w:spacing w:line="276" w:lineRule="auto"/>
              <w:jc w:val="right"/>
              <w:rPr>
                <w:szCs w:val="24"/>
              </w:rPr>
            </w:pPr>
            <w:r w:rsidRPr="00E139C5">
              <w:rPr>
                <w:szCs w:val="24"/>
              </w:rPr>
              <w:t> </w:t>
            </w:r>
          </w:p>
        </w:tc>
        <w:tc>
          <w:tcPr>
            <w:tcW w:w="1170" w:type="dxa"/>
            <w:hideMark/>
          </w:tcPr>
          <w:p w14:paraId="1AEDB85B"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2CC63AE6"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4BCE5A1A" w14:textId="77777777" w:rsidR="00E139C5" w:rsidRPr="00E139C5" w:rsidRDefault="00E139C5" w:rsidP="00E139C5">
            <w:pPr>
              <w:spacing w:line="276" w:lineRule="auto"/>
              <w:jc w:val="right"/>
              <w:rPr>
                <w:szCs w:val="24"/>
              </w:rPr>
            </w:pPr>
            <w:r w:rsidRPr="00E139C5">
              <w:rPr>
                <w:szCs w:val="24"/>
              </w:rPr>
              <w:t> </w:t>
            </w:r>
          </w:p>
        </w:tc>
        <w:tc>
          <w:tcPr>
            <w:tcW w:w="1080" w:type="dxa"/>
            <w:hideMark/>
          </w:tcPr>
          <w:p w14:paraId="46637B66"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7181DDBB"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1E243B6F" w14:textId="77777777" w:rsidR="00E139C5" w:rsidRPr="00E139C5" w:rsidRDefault="00E139C5" w:rsidP="00E139C5">
            <w:pPr>
              <w:spacing w:line="276" w:lineRule="auto"/>
              <w:jc w:val="right"/>
              <w:rPr>
                <w:szCs w:val="24"/>
              </w:rPr>
            </w:pPr>
            <w:r w:rsidRPr="00E139C5">
              <w:rPr>
                <w:szCs w:val="24"/>
              </w:rPr>
              <w:t> </w:t>
            </w:r>
          </w:p>
        </w:tc>
        <w:tc>
          <w:tcPr>
            <w:tcW w:w="1260" w:type="dxa"/>
            <w:hideMark/>
          </w:tcPr>
          <w:p w14:paraId="6F08C566" w14:textId="77777777" w:rsidR="00E139C5" w:rsidRPr="00E139C5" w:rsidRDefault="00E139C5" w:rsidP="00E139C5">
            <w:pPr>
              <w:spacing w:line="276" w:lineRule="auto"/>
              <w:jc w:val="right"/>
              <w:rPr>
                <w:szCs w:val="24"/>
              </w:rPr>
            </w:pPr>
            <w:r w:rsidRPr="00E139C5">
              <w:rPr>
                <w:szCs w:val="24"/>
              </w:rPr>
              <w:t> </w:t>
            </w:r>
          </w:p>
        </w:tc>
      </w:tr>
      <w:tr w:rsidR="00E139C5" w:rsidRPr="00E139C5" w14:paraId="34DEBBA5" w14:textId="77777777" w:rsidTr="00E139C5">
        <w:trPr>
          <w:divId w:val="1261141582"/>
          <w:trHeight w:val="270"/>
        </w:trPr>
        <w:tc>
          <w:tcPr>
            <w:tcW w:w="3145" w:type="dxa"/>
            <w:hideMark/>
          </w:tcPr>
          <w:p w14:paraId="4528BA1B" w14:textId="77777777" w:rsidR="00E139C5" w:rsidRPr="00E139C5" w:rsidRDefault="00E139C5" w:rsidP="00E139C5">
            <w:pPr>
              <w:spacing w:line="276" w:lineRule="auto"/>
              <w:rPr>
                <w:szCs w:val="24"/>
              </w:rPr>
            </w:pPr>
            <w:r w:rsidRPr="00E139C5">
              <w:rPr>
                <w:szCs w:val="24"/>
              </w:rPr>
              <w:lastRenderedPageBreak/>
              <w:t>Përfitimet për biznesin – në vazhdimësi</w:t>
            </w:r>
          </w:p>
        </w:tc>
        <w:tc>
          <w:tcPr>
            <w:tcW w:w="1350" w:type="dxa"/>
            <w:hideMark/>
          </w:tcPr>
          <w:p w14:paraId="46787CF8" w14:textId="77777777" w:rsidR="00E139C5" w:rsidRPr="00E139C5" w:rsidRDefault="00E139C5" w:rsidP="002C49FE">
            <w:pPr>
              <w:spacing w:line="276" w:lineRule="auto"/>
              <w:ind w:left="-108" w:firstLine="108"/>
              <w:jc w:val="right"/>
              <w:rPr>
                <w:szCs w:val="24"/>
              </w:rPr>
            </w:pPr>
            <w:r w:rsidRPr="00E139C5">
              <w:rPr>
                <w:szCs w:val="24"/>
              </w:rPr>
              <w:t xml:space="preserve">               </w:t>
            </w:r>
          </w:p>
        </w:tc>
        <w:tc>
          <w:tcPr>
            <w:tcW w:w="1170" w:type="dxa"/>
            <w:hideMark/>
          </w:tcPr>
          <w:p w14:paraId="175F03CC" w14:textId="77777777" w:rsidR="00E139C5" w:rsidRPr="00E139C5" w:rsidRDefault="00E139C5" w:rsidP="002C49FE">
            <w:pPr>
              <w:spacing w:line="276" w:lineRule="auto"/>
              <w:ind w:left="-108" w:firstLine="108"/>
              <w:jc w:val="right"/>
              <w:rPr>
                <w:szCs w:val="24"/>
              </w:rPr>
            </w:pPr>
            <w:r w:rsidRPr="00E139C5">
              <w:rPr>
                <w:szCs w:val="24"/>
              </w:rPr>
              <w:t xml:space="preserve">    </w:t>
            </w:r>
            <w:r w:rsidR="002C49FE">
              <w:rPr>
                <w:szCs w:val="24"/>
              </w:rPr>
              <w:t xml:space="preserve">          </w:t>
            </w:r>
            <w:r w:rsidRPr="00E139C5">
              <w:rPr>
                <w:szCs w:val="24"/>
              </w:rPr>
              <w:t xml:space="preserve"> </w:t>
            </w:r>
          </w:p>
        </w:tc>
        <w:tc>
          <w:tcPr>
            <w:tcW w:w="1080" w:type="dxa"/>
            <w:hideMark/>
          </w:tcPr>
          <w:p w14:paraId="33216A73" w14:textId="77777777" w:rsidR="00E139C5" w:rsidRPr="00E139C5" w:rsidRDefault="00E139C5" w:rsidP="002C49FE">
            <w:pPr>
              <w:spacing w:line="276" w:lineRule="auto"/>
              <w:jc w:val="right"/>
              <w:rPr>
                <w:szCs w:val="24"/>
              </w:rPr>
            </w:pPr>
            <w:r w:rsidRPr="00E139C5">
              <w:rPr>
                <w:szCs w:val="24"/>
              </w:rPr>
              <w:t xml:space="preserve">             </w:t>
            </w:r>
          </w:p>
        </w:tc>
        <w:tc>
          <w:tcPr>
            <w:tcW w:w="1170" w:type="dxa"/>
            <w:hideMark/>
          </w:tcPr>
          <w:p w14:paraId="23FD803E" w14:textId="77777777" w:rsidR="00E139C5" w:rsidRPr="00E139C5" w:rsidRDefault="00E139C5" w:rsidP="002C49FE">
            <w:pPr>
              <w:spacing w:line="276" w:lineRule="auto"/>
              <w:jc w:val="right"/>
              <w:rPr>
                <w:szCs w:val="24"/>
              </w:rPr>
            </w:pPr>
            <w:r w:rsidRPr="00E139C5">
              <w:rPr>
                <w:szCs w:val="24"/>
              </w:rPr>
              <w:t xml:space="preserve">             </w:t>
            </w:r>
          </w:p>
        </w:tc>
        <w:tc>
          <w:tcPr>
            <w:tcW w:w="1080" w:type="dxa"/>
            <w:hideMark/>
          </w:tcPr>
          <w:p w14:paraId="4F2D826B" w14:textId="77777777" w:rsidR="00E139C5" w:rsidRPr="00E139C5" w:rsidRDefault="00E139C5" w:rsidP="002C49FE">
            <w:pPr>
              <w:spacing w:line="276" w:lineRule="auto"/>
              <w:jc w:val="right"/>
              <w:rPr>
                <w:szCs w:val="24"/>
              </w:rPr>
            </w:pPr>
            <w:r w:rsidRPr="00E139C5">
              <w:rPr>
                <w:szCs w:val="24"/>
              </w:rPr>
              <w:t xml:space="preserve">              </w:t>
            </w:r>
          </w:p>
        </w:tc>
        <w:tc>
          <w:tcPr>
            <w:tcW w:w="1260" w:type="dxa"/>
            <w:hideMark/>
          </w:tcPr>
          <w:p w14:paraId="1FF1300B" w14:textId="77777777" w:rsidR="00E139C5" w:rsidRPr="00E139C5" w:rsidRDefault="00E139C5" w:rsidP="002C49FE">
            <w:pPr>
              <w:spacing w:line="276" w:lineRule="auto"/>
              <w:jc w:val="right"/>
              <w:rPr>
                <w:szCs w:val="24"/>
              </w:rPr>
            </w:pPr>
            <w:r w:rsidRPr="00E139C5">
              <w:rPr>
                <w:szCs w:val="24"/>
              </w:rPr>
              <w:t xml:space="preserve">               </w:t>
            </w:r>
          </w:p>
        </w:tc>
        <w:tc>
          <w:tcPr>
            <w:tcW w:w="1080" w:type="dxa"/>
            <w:hideMark/>
          </w:tcPr>
          <w:p w14:paraId="02CCE26D" w14:textId="77777777" w:rsidR="00E139C5" w:rsidRPr="00E139C5" w:rsidRDefault="00E139C5" w:rsidP="002C49FE">
            <w:pPr>
              <w:spacing w:line="276" w:lineRule="auto"/>
              <w:jc w:val="right"/>
              <w:rPr>
                <w:szCs w:val="24"/>
              </w:rPr>
            </w:pPr>
            <w:r w:rsidRPr="00E139C5">
              <w:rPr>
                <w:szCs w:val="24"/>
              </w:rPr>
              <w:t xml:space="preserve">             </w:t>
            </w:r>
          </w:p>
        </w:tc>
        <w:tc>
          <w:tcPr>
            <w:tcW w:w="1260" w:type="dxa"/>
            <w:hideMark/>
          </w:tcPr>
          <w:p w14:paraId="09172D91" w14:textId="77777777" w:rsidR="00E139C5" w:rsidRPr="00E139C5" w:rsidRDefault="00E139C5" w:rsidP="002C49FE">
            <w:pPr>
              <w:spacing w:line="276" w:lineRule="auto"/>
              <w:jc w:val="right"/>
              <w:rPr>
                <w:szCs w:val="24"/>
              </w:rPr>
            </w:pPr>
            <w:r w:rsidRPr="00E139C5">
              <w:rPr>
                <w:szCs w:val="24"/>
              </w:rPr>
              <w:t xml:space="preserve">              </w:t>
            </w:r>
          </w:p>
        </w:tc>
        <w:tc>
          <w:tcPr>
            <w:tcW w:w="1260" w:type="dxa"/>
            <w:hideMark/>
          </w:tcPr>
          <w:p w14:paraId="593BCF78" w14:textId="77777777" w:rsidR="00E139C5" w:rsidRPr="00E139C5" w:rsidRDefault="00E139C5" w:rsidP="002C49FE">
            <w:pPr>
              <w:spacing w:line="276" w:lineRule="auto"/>
              <w:jc w:val="right"/>
              <w:rPr>
                <w:szCs w:val="24"/>
              </w:rPr>
            </w:pPr>
            <w:r w:rsidRPr="00E139C5">
              <w:rPr>
                <w:szCs w:val="24"/>
              </w:rPr>
              <w:t xml:space="preserve">                </w:t>
            </w:r>
          </w:p>
        </w:tc>
        <w:tc>
          <w:tcPr>
            <w:tcW w:w="1260" w:type="dxa"/>
            <w:hideMark/>
          </w:tcPr>
          <w:p w14:paraId="66931D7A" w14:textId="77777777" w:rsidR="00E139C5" w:rsidRPr="00E139C5" w:rsidRDefault="00E139C5" w:rsidP="002C49FE">
            <w:pPr>
              <w:spacing w:line="276" w:lineRule="auto"/>
              <w:jc w:val="right"/>
              <w:rPr>
                <w:szCs w:val="24"/>
              </w:rPr>
            </w:pPr>
            <w:r w:rsidRPr="00E139C5">
              <w:rPr>
                <w:szCs w:val="24"/>
              </w:rPr>
              <w:t xml:space="preserve">                 </w:t>
            </w:r>
          </w:p>
        </w:tc>
      </w:tr>
      <w:tr w:rsidR="00E139C5" w:rsidRPr="00E139C5" w14:paraId="12C7A19E" w14:textId="77777777" w:rsidTr="00E139C5">
        <w:trPr>
          <w:divId w:val="1261141582"/>
          <w:trHeight w:val="285"/>
        </w:trPr>
        <w:tc>
          <w:tcPr>
            <w:tcW w:w="3145" w:type="dxa"/>
            <w:hideMark/>
          </w:tcPr>
          <w:p w14:paraId="5FD1791D" w14:textId="77777777" w:rsidR="00E139C5" w:rsidRPr="00E139C5" w:rsidRDefault="00E139C5" w:rsidP="00E139C5">
            <w:pPr>
              <w:spacing w:line="276" w:lineRule="auto"/>
              <w:rPr>
                <w:b/>
                <w:bCs/>
                <w:szCs w:val="24"/>
              </w:rPr>
            </w:pPr>
            <w:r w:rsidRPr="00E139C5">
              <w:rPr>
                <w:b/>
                <w:bCs/>
                <w:szCs w:val="24"/>
              </w:rPr>
              <w:t>Përfitimet totale</w:t>
            </w:r>
          </w:p>
        </w:tc>
        <w:tc>
          <w:tcPr>
            <w:tcW w:w="1350" w:type="dxa"/>
            <w:tcBorders>
              <w:bottom w:val="single" w:sz="4" w:space="0" w:color="auto"/>
            </w:tcBorders>
            <w:hideMark/>
          </w:tcPr>
          <w:p w14:paraId="02203504" w14:textId="77777777" w:rsidR="00E139C5" w:rsidRPr="00E139C5" w:rsidRDefault="00E139C5" w:rsidP="002C49FE">
            <w:pPr>
              <w:spacing w:line="276" w:lineRule="auto"/>
              <w:ind w:left="-108" w:firstLine="108"/>
              <w:jc w:val="right"/>
              <w:rPr>
                <w:szCs w:val="24"/>
              </w:rPr>
            </w:pPr>
            <w:r w:rsidRPr="00E139C5">
              <w:rPr>
                <w:szCs w:val="24"/>
              </w:rPr>
              <w:t xml:space="preserve">             </w:t>
            </w:r>
          </w:p>
        </w:tc>
        <w:tc>
          <w:tcPr>
            <w:tcW w:w="1170" w:type="dxa"/>
            <w:tcBorders>
              <w:bottom w:val="single" w:sz="4" w:space="0" w:color="auto"/>
            </w:tcBorders>
            <w:hideMark/>
          </w:tcPr>
          <w:p w14:paraId="289E8803" w14:textId="77777777" w:rsidR="00E139C5" w:rsidRPr="00E139C5" w:rsidRDefault="00E139C5" w:rsidP="002C49FE">
            <w:pPr>
              <w:spacing w:line="276" w:lineRule="auto"/>
              <w:ind w:left="-108" w:firstLine="108"/>
              <w:jc w:val="right"/>
              <w:rPr>
                <w:szCs w:val="24"/>
              </w:rPr>
            </w:pPr>
            <w:r w:rsidRPr="00E139C5">
              <w:rPr>
                <w:szCs w:val="24"/>
              </w:rPr>
              <w:t xml:space="preserve">            </w:t>
            </w:r>
          </w:p>
        </w:tc>
        <w:tc>
          <w:tcPr>
            <w:tcW w:w="1080" w:type="dxa"/>
            <w:tcBorders>
              <w:bottom w:val="single" w:sz="4" w:space="0" w:color="auto"/>
            </w:tcBorders>
            <w:hideMark/>
          </w:tcPr>
          <w:p w14:paraId="64D49F5A" w14:textId="77777777" w:rsidR="00E139C5" w:rsidRPr="00E139C5" w:rsidRDefault="00E139C5" w:rsidP="002C49FE">
            <w:pPr>
              <w:spacing w:line="276" w:lineRule="auto"/>
              <w:jc w:val="right"/>
              <w:rPr>
                <w:szCs w:val="24"/>
              </w:rPr>
            </w:pPr>
            <w:r w:rsidRPr="00E139C5">
              <w:rPr>
                <w:szCs w:val="24"/>
              </w:rPr>
              <w:t xml:space="preserve">          </w:t>
            </w:r>
          </w:p>
        </w:tc>
        <w:tc>
          <w:tcPr>
            <w:tcW w:w="1170" w:type="dxa"/>
            <w:tcBorders>
              <w:bottom w:val="single" w:sz="4" w:space="0" w:color="auto"/>
            </w:tcBorders>
            <w:hideMark/>
          </w:tcPr>
          <w:p w14:paraId="4BF21C62" w14:textId="77777777" w:rsidR="00E139C5" w:rsidRPr="00E139C5" w:rsidRDefault="00E139C5" w:rsidP="002C49FE">
            <w:pPr>
              <w:spacing w:line="276" w:lineRule="auto"/>
              <w:jc w:val="right"/>
              <w:rPr>
                <w:szCs w:val="24"/>
              </w:rPr>
            </w:pPr>
            <w:r w:rsidRPr="00E139C5">
              <w:rPr>
                <w:szCs w:val="24"/>
              </w:rPr>
              <w:t xml:space="preserve">          </w:t>
            </w:r>
          </w:p>
        </w:tc>
        <w:tc>
          <w:tcPr>
            <w:tcW w:w="1080" w:type="dxa"/>
            <w:tcBorders>
              <w:bottom w:val="single" w:sz="4" w:space="0" w:color="auto"/>
            </w:tcBorders>
            <w:hideMark/>
          </w:tcPr>
          <w:p w14:paraId="2237A987" w14:textId="77777777" w:rsidR="00E139C5" w:rsidRPr="00E139C5" w:rsidRDefault="00E139C5" w:rsidP="002C49FE">
            <w:pPr>
              <w:spacing w:line="276" w:lineRule="auto"/>
              <w:jc w:val="right"/>
              <w:rPr>
                <w:szCs w:val="24"/>
              </w:rPr>
            </w:pPr>
            <w:r w:rsidRPr="00E139C5">
              <w:rPr>
                <w:szCs w:val="24"/>
              </w:rPr>
              <w:t xml:space="preserve">           </w:t>
            </w:r>
          </w:p>
        </w:tc>
        <w:tc>
          <w:tcPr>
            <w:tcW w:w="1260" w:type="dxa"/>
            <w:tcBorders>
              <w:bottom w:val="single" w:sz="4" w:space="0" w:color="auto"/>
            </w:tcBorders>
            <w:hideMark/>
          </w:tcPr>
          <w:p w14:paraId="4C6F7649" w14:textId="77777777" w:rsidR="00E139C5" w:rsidRPr="00E139C5" w:rsidRDefault="00E139C5" w:rsidP="002C49FE">
            <w:pPr>
              <w:spacing w:line="276" w:lineRule="auto"/>
              <w:jc w:val="right"/>
              <w:rPr>
                <w:szCs w:val="24"/>
              </w:rPr>
            </w:pPr>
            <w:r w:rsidRPr="00E139C5">
              <w:rPr>
                <w:szCs w:val="24"/>
              </w:rPr>
              <w:t xml:space="preserve">           </w:t>
            </w:r>
          </w:p>
        </w:tc>
        <w:tc>
          <w:tcPr>
            <w:tcW w:w="1080" w:type="dxa"/>
            <w:tcBorders>
              <w:bottom w:val="single" w:sz="4" w:space="0" w:color="auto"/>
            </w:tcBorders>
            <w:hideMark/>
          </w:tcPr>
          <w:p w14:paraId="6B19AAFB" w14:textId="77777777" w:rsidR="00E139C5" w:rsidRPr="00E139C5" w:rsidRDefault="00E139C5" w:rsidP="002C49FE">
            <w:pPr>
              <w:spacing w:line="276" w:lineRule="auto"/>
              <w:jc w:val="right"/>
              <w:rPr>
                <w:szCs w:val="24"/>
              </w:rPr>
            </w:pPr>
            <w:r w:rsidRPr="00E139C5">
              <w:rPr>
                <w:szCs w:val="24"/>
              </w:rPr>
              <w:t xml:space="preserve">           </w:t>
            </w:r>
          </w:p>
        </w:tc>
        <w:tc>
          <w:tcPr>
            <w:tcW w:w="1260" w:type="dxa"/>
            <w:tcBorders>
              <w:bottom w:val="single" w:sz="4" w:space="0" w:color="auto"/>
            </w:tcBorders>
            <w:hideMark/>
          </w:tcPr>
          <w:p w14:paraId="52C13E91" w14:textId="77777777" w:rsidR="00E139C5" w:rsidRPr="00E139C5" w:rsidRDefault="00E139C5" w:rsidP="002C49FE">
            <w:pPr>
              <w:spacing w:line="276" w:lineRule="auto"/>
              <w:jc w:val="right"/>
              <w:rPr>
                <w:szCs w:val="24"/>
              </w:rPr>
            </w:pPr>
            <w:r w:rsidRPr="00E139C5">
              <w:rPr>
                <w:szCs w:val="24"/>
              </w:rPr>
              <w:t xml:space="preserve">           </w:t>
            </w:r>
          </w:p>
        </w:tc>
        <w:tc>
          <w:tcPr>
            <w:tcW w:w="1260" w:type="dxa"/>
            <w:tcBorders>
              <w:bottom w:val="single" w:sz="4" w:space="0" w:color="auto"/>
            </w:tcBorders>
            <w:hideMark/>
          </w:tcPr>
          <w:p w14:paraId="5A8A235B" w14:textId="77777777" w:rsidR="00E139C5" w:rsidRPr="00E139C5" w:rsidRDefault="00E139C5" w:rsidP="002C49FE">
            <w:pPr>
              <w:spacing w:line="276" w:lineRule="auto"/>
              <w:jc w:val="right"/>
              <w:rPr>
                <w:szCs w:val="24"/>
              </w:rPr>
            </w:pPr>
            <w:r w:rsidRPr="00E139C5">
              <w:rPr>
                <w:szCs w:val="24"/>
              </w:rPr>
              <w:t xml:space="preserve">            </w:t>
            </w:r>
          </w:p>
        </w:tc>
        <w:tc>
          <w:tcPr>
            <w:tcW w:w="1260" w:type="dxa"/>
            <w:tcBorders>
              <w:bottom w:val="single" w:sz="4" w:space="0" w:color="auto"/>
            </w:tcBorders>
            <w:hideMark/>
          </w:tcPr>
          <w:p w14:paraId="007B3C5E" w14:textId="77777777" w:rsidR="00E139C5" w:rsidRPr="00E139C5" w:rsidRDefault="00E139C5" w:rsidP="002C49FE">
            <w:pPr>
              <w:spacing w:line="276" w:lineRule="auto"/>
              <w:jc w:val="right"/>
              <w:rPr>
                <w:szCs w:val="24"/>
              </w:rPr>
            </w:pPr>
            <w:r w:rsidRPr="00E139C5">
              <w:rPr>
                <w:szCs w:val="24"/>
              </w:rPr>
              <w:t xml:space="preserve">             </w:t>
            </w:r>
          </w:p>
        </w:tc>
      </w:tr>
      <w:tr w:rsidR="00E139C5" w:rsidRPr="00E139C5" w14:paraId="03F4420F" w14:textId="77777777" w:rsidTr="00E139C5">
        <w:trPr>
          <w:divId w:val="1261141582"/>
          <w:trHeight w:val="390"/>
        </w:trPr>
        <w:tc>
          <w:tcPr>
            <w:tcW w:w="3145" w:type="dxa"/>
            <w:hideMark/>
          </w:tcPr>
          <w:p w14:paraId="0F8FD81C" w14:textId="77777777" w:rsidR="00E139C5" w:rsidRPr="00E139C5" w:rsidRDefault="00E139C5" w:rsidP="00E139C5">
            <w:pPr>
              <w:spacing w:line="276" w:lineRule="auto"/>
              <w:rPr>
                <w:bCs/>
                <w:szCs w:val="24"/>
              </w:rPr>
            </w:pPr>
            <w:r w:rsidRPr="00E139C5">
              <w:rPr>
                <w:b/>
                <w:bCs/>
                <w:szCs w:val="24"/>
              </w:rPr>
              <w:t>Përfitimi i zbritur</w:t>
            </w:r>
            <w:r w:rsidRPr="00E139C5">
              <w:rPr>
                <w:szCs w:val="24"/>
              </w:rPr>
              <w:t>= Përfitimi në total x faktori zbritës</w:t>
            </w:r>
          </w:p>
        </w:tc>
        <w:tc>
          <w:tcPr>
            <w:tcW w:w="1350" w:type="dxa"/>
            <w:tcBorders>
              <w:bottom w:val="single" w:sz="4" w:space="0" w:color="auto"/>
            </w:tcBorders>
            <w:hideMark/>
          </w:tcPr>
          <w:p w14:paraId="1C626182" w14:textId="77777777" w:rsidR="00E139C5" w:rsidRPr="00E139C5" w:rsidRDefault="00E139C5" w:rsidP="002C49FE">
            <w:pPr>
              <w:spacing w:line="276" w:lineRule="auto"/>
              <w:ind w:left="-108" w:firstLine="108"/>
              <w:jc w:val="right"/>
              <w:rPr>
                <w:szCs w:val="24"/>
              </w:rPr>
            </w:pPr>
            <w:r w:rsidRPr="00E139C5">
              <w:rPr>
                <w:szCs w:val="24"/>
              </w:rPr>
              <w:t xml:space="preserve">             </w:t>
            </w:r>
          </w:p>
        </w:tc>
        <w:tc>
          <w:tcPr>
            <w:tcW w:w="1170" w:type="dxa"/>
            <w:tcBorders>
              <w:bottom w:val="single" w:sz="4" w:space="0" w:color="auto"/>
            </w:tcBorders>
            <w:hideMark/>
          </w:tcPr>
          <w:p w14:paraId="05438452" w14:textId="77777777" w:rsidR="00E139C5" w:rsidRPr="00E139C5" w:rsidRDefault="00E139C5" w:rsidP="002C49FE">
            <w:pPr>
              <w:spacing w:line="276" w:lineRule="auto"/>
              <w:ind w:left="-108" w:firstLine="108"/>
              <w:jc w:val="right"/>
              <w:rPr>
                <w:szCs w:val="24"/>
              </w:rPr>
            </w:pPr>
            <w:r w:rsidRPr="00E139C5">
              <w:rPr>
                <w:szCs w:val="24"/>
              </w:rPr>
              <w:t xml:space="preserve">           </w:t>
            </w:r>
          </w:p>
        </w:tc>
        <w:tc>
          <w:tcPr>
            <w:tcW w:w="1080" w:type="dxa"/>
            <w:tcBorders>
              <w:bottom w:val="single" w:sz="4" w:space="0" w:color="auto"/>
            </w:tcBorders>
            <w:hideMark/>
          </w:tcPr>
          <w:p w14:paraId="0A37EF95" w14:textId="77777777" w:rsidR="00E139C5" w:rsidRPr="00E139C5" w:rsidRDefault="00E139C5" w:rsidP="002C49FE">
            <w:pPr>
              <w:spacing w:line="276" w:lineRule="auto"/>
              <w:jc w:val="right"/>
              <w:rPr>
                <w:szCs w:val="24"/>
              </w:rPr>
            </w:pPr>
            <w:r w:rsidRPr="00E139C5">
              <w:rPr>
                <w:szCs w:val="24"/>
              </w:rPr>
              <w:t xml:space="preserve">          </w:t>
            </w:r>
          </w:p>
        </w:tc>
        <w:tc>
          <w:tcPr>
            <w:tcW w:w="1170" w:type="dxa"/>
            <w:tcBorders>
              <w:bottom w:val="single" w:sz="4" w:space="0" w:color="auto"/>
            </w:tcBorders>
            <w:hideMark/>
          </w:tcPr>
          <w:p w14:paraId="1EEEE24A" w14:textId="77777777" w:rsidR="00E139C5" w:rsidRPr="00E139C5" w:rsidRDefault="00E139C5" w:rsidP="002C49FE">
            <w:pPr>
              <w:spacing w:line="276" w:lineRule="auto"/>
              <w:jc w:val="right"/>
              <w:rPr>
                <w:szCs w:val="24"/>
              </w:rPr>
            </w:pPr>
            <w:r w:rsidRPr="00E139C5">
              <w:rPr>
                <w:szCs w:val="24"/>
              </w:rPr>
              <w:t xml:space="preserve">          </w:t>
            </w:r>
          </w:p>
        </w:tc>
        <w:tc>
          <w:tcPr>
            <w:tcW w:w="1080" w:type="dxa"/>
            <w:tcBorders>
              <w:bottom w:val="single" w:sz="4" w:space="0" w:color="auto"/>
            </w:tcBorders>
            <w:hideMark/>
          </w:tcPr>
          <w:p w14:paraId="4D6BE0B9" w14:textId="77777777" w:rsidR="00E139C5" w:rsidRPr="00E139C5" w:rsidRDefault="00E139C5" w:rsidP="002C49FE">
            <w:pPr>
              <w:spacing w:line="276" w:lineRule="auto"/>
              <w:jc w:val="right"/>
              <w:rPr>
                <w:szCs w:val="24"/>
              </w:rPr>
            </w:pPr>
            <w:r w:rsidRPr="00E139C5">
              <w:rPr>
                <w:szCs w:val="24"/>
              </w:rPr>
              <w:t xml:space="preserve">           </w:t>
            </w:r>
          </w:p>
        </w:tc>
        <w:tc>
          <w:tcPr>
            <w:tcW w:w="1260" w:type="dxa"/>
            <w:tcBorders>
              <w:bottom w:val="single" w:sz="4" w:space="0" w:color="auto"/>
            </w:tcBorders>
            <w:hideMark/>
          </w:tcPr>
          <w:p w14:paraId="3E99055E" w14:textId="77777777" w:rsidR="00E139C5" w:rsidRPr="00E139C5" w:rsidRDefault="00E139C5" w:rsidP="002C49FE">
            <w:pPr>
              <w:spacing w:line="276" w:lineRule="auto"/>
              <w:jc w:val="right"/>
              <w:rPr>
                <w:szCs w:val="24"/>
              </w:rPr>
            </w:pPr>
            <w:r w:rsidRPr="00E139C5">
              <w:rPr>
                <w:szCs w:val="24"/>
              </w:rPr>
              <w:t xml:space="preserve">           </w:t>
            </w:r>
          </w:p>
        </w:tc>
        <w:tc>
          <w:tcPr>
            <w:tcW w:w="1080" w:type="dxa"/>
            <w:tcBorders>
              <w:bottom w:val="single" w:sz="4" w:space="0" w:color="auto"/>
            </w:tcBorders>
            <w:hideMark/>
          </w:tcPr>
          <w:p w14:paraId="0F6FB560" w14:textId="77777777" w:rsidR="00E139C5" w:rsidRPr="00E139C5" w:rsidRDefault="00E139C5" w:rsidP="002C49FE">
            <w:pPr>
              <w:spacing w:line="276" w:lineRule="auto"/>
              <w:jc w:val="right"/>
              <w:rPr>
                <w:szCs w:val="24"/>
              </w:rPr>
            </w:pPr>
            <w:r w:rsidRPr="00E139C5">
              <w:rPr>
                <w:szCs w:val="24"/>
              </w:rPr>
              <w:t xml:space="preserve">           </w:t>
            </w:r>
          </w:p>
        </w:tc>
        <w:tc>
          <w:tcPr>
            <w:tcW w:w="1260" w:type="dxa"/>
            <w:tcBorders>
              <w:bottom w:val="single" w:sz="4" w:space="0" w:color="auto"/>
            </w:tcBorders>
            <w:hideMark/>
          </w:tcPr>
          <w:p w14:paraId="4B8DEFA1" w14:textId="77777777" w:rsidR="00E139C5" w:rsidRPr="00E139C5" w:rsidRDefault="00E139C5" w:rsidP="002C49FE">
            <w:pPr>
              <w:spacing w:line="276" w:lineRule="auto"/>
              <w:jc w:val="right"/>
              <w:rPr>
                <w:szCs w:val="24"/>
              </w:rPr>
            </w:pPr>
            <w:r w:rsidRPr="00E139C5">
              <w:rPr>
                <w:szCs w:val="24"/>
              </w:rPr>
              <w:t xml:space="preserve">            </w:t>
            </w:r>
          </w:p>
        </w:tc>
        <w:tc>
          <w:tcPr>
            <w:tcW w:w="1260" w:type="dxa"/>
            <w:tcBorders>
              <w:bottom w:val="single" w:sz="4" w:space="0" w:color="auto"/>
            </w:tcBorders>
            <w:hideMark/>
          </w:tcPr>
          <w:p w14:paraId="1F2EBF78" w14:textId="77777777" w:rsidR="00E139C5" w:rsidRPr="00E139C5" w:rsidRDefault="00E139C5" w:rsidP="002C49FE">
            <w:pPr>
              <w:spacing w:line="276" w:lineRule="auto"/>
              <w:jc w:val="right"/>
              <w:rPr>
                <w:szCs w:val="24"/>
              </w:rPr>
            </w:pPr>
            <w:r w:rsidRPr="00E139C5">
              <w:rPr>
                <w:szCs w:val="24"/>
              </w:rPr>
              <w:t xml:space="preserve">              </w:t>
            </w:r>
          </w:p>
        </w:tc>
        <w:tc>
          <w:tcPr>
            <w:tcW w:w="1260" w:type="dxa"/>
            <w:tcBorders>
              <w:bottom w:val="single" w:sz="4" w:space="0" w:color="auto"/>
            </w:tcBorders>
            <w:hideMark/>
          </w:tcPr>
          <w:p w14:paraId="5F74191C" w14:textId="77777777" w:rsidR="00E139C5" w:rsidRPr="00E139C5" w:rsidRDefault="00E139C5" w:rsidP="002C49FE">
            <w:pPr>
              <w:spacing w:line="276" w:lineRule="auto"/>
              <w:jc w:val="right"/>
              <w:rPr>
                <w:szCs w:val="24"/>
              </w:rPr>
            </w:pPr>
            <w:r w:rsidRPr="00E139C5">
              <w:rPr>
                <w:szCs w:val="24"/>
              </w:rPr>
              <w:t xml:space="preserve">             </w:t>
            </w:r>
          </w:p>
        </w:tc>
      </w:tr>
      <w:tr w:rsidR="00E139C5" w:rsidRPr="00014853" w14:paraId="68DE78DF" w14:textId="77777777" w:rsidTr="00E139C5">
        <w:trPr>
          <w:divId w:val="1261141582"/>
          <w:trHeight w:val="375"/>
        </w:trPr>
        <w:tc>
          <w:tcPr>
            <w:tcW w:w="3145" w:type="dxa"/>
            <w:shd w:val="clear" w:color="auto" w:fill="F2F2F2" w:themeFill="background1" w:themeFillShade="F2"/>
            <w:hideMark/>
          </w:tcPr>
          <w:p w14:paraId="4C96E8BB" w14:textId="77777777" w:rsidR="00E139C5" w:rsidRPr="00FB3897" w:rsidRDefault="00E139C5" w:rsidP="00E139C5">
            <w:pPr>
              <w:spacing w:line="276" w:lineRule="auto"/>
              <w:rPr>
                <w:b/>
                <w:bCs/>
                <w:szCs w:val="24"/>
                <w:lang w:val="it-IT"/>
              </w:rPr>
            </w:pPr>
            <w:r w:rsidRPr="00FB3897">
              <w:rPr>
                <w:b/>
                <w:bCs/>
                <w:szCs w:val="24"/>
                <w:lang w:val="it-IT"/>
              </w:rPr>
              <w:t>Vlera prezente aktuale e përfitimit në total</w:t>
            </w:r>
          </w:p>
        </w:tc>
        <w:tc>
          <w:tcPr>
            <w:tcW w:w="1350" w:type="dxa"/>
            <w:tcBorders>
              <w:top w:val="single" w:sz="4" w:space="0" w:color="auto"/>
              <w:right w:val="single" w:sz="4" w:space="0" w:color="auto"/>
            </w:tcBorders>
            <w:shd w:val="clear" w:color="auto" w:fill="F2F2F2" w:themeFill="background1" w:themeFillShade="F2"/>
            <w:hideMark/>
          </w:tcPr>
          <w:p w14:paraId="546B1903" w14:textId="77777777" w:rsidR="00E139C5" w:rsidRPr="00FB3897" w:rsidRDefault="00E139C5" w:rsidP="002C49FE">
            <w:pPr>
              <w:spacing w:line="276" w:lineRule="auto"/>
              <w:ind w:left="-108" w:firstLine="108"/>
              <w:jc w:val="right"/>
              <w:rPr>
                <w:bCs/>
                <w:szCs w:val="24"/>
                <w:lang w:val="it-IT"/>
              </w:rPr>
            </w:pPr>
            <w:r w:rsidRPr="00FB3897">
              <w:rPr>
                <w:bCs/>
                <w:szCs w:val="24"/>
                <w:lang w:val="it-IT"/>
              </w:rPr>
              <w:t xml:space="preserve">  </w:t>
            </w:r>
          </w:p>
        </w:tc>
        <w:tc>
          <w:tcPr>
            <w:tcW w:w="10620" w:type="dxa"/>
            <w:gridSpan w:val="9"/>
            <w:tcBorders>
              <w:top w:val="single" w:sz="4" w:space="0" w:color="auto"/>
              <w:left w:val="single" w:sz="4" w:space="0" w:color="auto"/>
              <w:bottom w:val="nil"/>
              <w:right w:val="nil"/>
            </w:tcBorders>
            <w:hideMark/>
          </w:tcPr>
          <w:p w14:paraId="2BAB6215" w14:textId="77777777" w:rsidR="00E139C5" w:rsidRPr="00FB3897" w:rsidRDefault="00E139C5" w:rsidP="00E139C5">
            <w:pPr>
              <w:spacing w:line="276" w:lineRule="auto"/>
              <w:ind w:left="-108" w:firstLine="108"/>
              <w:jc w:val="right"/>
              <w:rPr>
                <w:szCs w:val="24"/>
                <w:lang w:val="it-IT"/>
              </w:rPr>
            </w:pPr>
            <w:r w:rsidRPr="00FB3897">
              <w:rPr>
                <w:szCs w:val="24"/>
                <w:lang w:val="it-IT"/>
              </w:rPr>
              <w:t> </w:t>
            </w:r>
          </w:p>
        </w:tc>
      </w:tr>
      <w:tr w:rsidR="00E139C5" w:rsidRPr="00014853" w14:paraId="3580EC3B" w14:textId="77777777" w:rsidTr="00E139C5">
        <w:trPr>
          <w:divId w:val="1261141582"/>
          <w:trHeight w:val="270"/>
        </w:trPr>
        <w:tc>
          <w:tcPr>
            <w:tcW w:w="3145" w:type="dxa"/>
            <w:shd w:val="clear" w:color="auto" w:fill="F2F2F2" w:themeFill="background1" w:themeFillShade="F2"/>
            <w:hideMark/>
          </w:tcPr>
          <w:p w14:paraId="39CFFA86" w14:textId="77777777" w:rsidR="00E139C5" w:rsidRPr="00FB3897" w:rsidRDefault="00E139C5" w:rsidP="00E139C5">
            <w:pPr>
              <w:spacing w:line="276" w:lineRule="auto"/>
              <w:rPr>
                <w:b/>
                <w:bCs/>
                <w:szCs w:val="24"/>
                <w:lang w:val="it-IT"/>
              </w:rPr>
            </w:pPr>
            <w:r w:rsidRPr="00FB3897">
              <w:rPr>
                <w:b/>
                <w:bCs/>
                <w:szCs w:val="24"/>
                <w:lang w:val="it-IT"/>
              </w:rPr>
              <w:t>Vlera prezente aktuale e kostos në total</w:t>
            </w:r>
          </w:p>
        </w:tc>
        <w:tc>
          <w:tcPr>
            <w:tcW w:w="1350" w:type="dxa"/>
            <w:tcBorders>
              <w:right w:val="single" w:sz="4" w:space="0" w:color="auto"/>
            </w:tcBorders>
            <w:shd w:val="clear" w:color="auto" w:fill="F2F2F2" w:themeFill="background1" w:themeFillShade="F2"/>
            <w:hideMark/>
          </w:tcPr>
          <w:p w14:paraId="7ACAB5A7" w14:textId="77777777" w:rsidR="00E139C5" w:rsidRPr="00FB3897" w:rsidRDefault="002C49FE" w:rsidP="00E139C5">
            <w:pPr>
              <w:spacing w:line="276" w:lineRule="auto"/>
              <w:ind w:left="-108" w:firstLine="108"/>
              <w:jc w:val="right"/>
              <w:rPr>
                <w:bCs/>
                <w:szCs w:val="24"/>
                <w:lang w:val="it-IT"/>
              </w:rPr>
            </w:pPr>
            <w:r w:rsidRPr="00FB3897">
              <w:rPr>
                <w:bCs/>
                <w:szCs w:val="24"/>
                <w:lang w:val="it-IT"/>
              </w:rPr>
              <w:t xml:space="preserve">  </w:t>
            </w:r>
            <w:r w:rsidR="00E139C5" w:rsidRPr="00FB3897">
              <w:rPr>
                <w:bCs/>
                <w:szCs w:val="24"/>
                <w:lang w:val="it-IT"/>
              </w:rPr>
              <w:t xml:space="preserve"> </w:t>
            </w:r>
          </w:p>
        </w:tc>
        <w:tc>
          <w:tcPr>
            <w:tcW w:w="10620" w:type="dxa"/>
            <w:gridSpan w:val="9"/>
            <w:tcBorders>
              <w:top w:val="nil"/>
              <w:left w:val="single" w:sz="4" w:space="0" w:color="auto"/>
              <w:bottom w:val="nil"/>
              <w:right w:val="nil"/>
            </w:tcBorders>
            <w:hideMark/>
          </w:tcPr>
          <w:p w14:paraId="4DA7B2BD" w14:textId="77777777" w:rsidR="00E139C5" w:rsidRPr="00FB3897" w:rsidRDefault="00E139C5" w:rsidP="00E139C5">
            <w:pPr>
              <w:spacing w:line="276" w:lineRule="auto"/>
              <w:ind w:left="-108" w:firstLine="108"/>
              <w:jc w:val="right"/>
              <w:rPr>
                <w:szCs w:val="24"/>
                <w:lang w:val="it-IT"/>
              </w:rPr>
            </w:pPr>
            <w:r w:rsidRPr="00FB3897">
              <w:rPr>
                <w:szCs w:val="24"/>
                <w:lang w:val="it-IT"/>
              </w:rPr>
              <w:t> </w:t>
            </w:r>
          </w:p>
        </w:tc>
      </w:tr>
      <w:tr w:rsidR="00E139C5" w:rsidRPr="00014853" w14:paraId="3704E65B" w14:textId="77777777" w:rsidTr="00E139C5">
        <w:trPr>
          <w:divId w:val="1261141582"/>
          <w:trHeight w:val="555"/>
        </w:trPr>
        <w:tc>
          <w:tcPr>
            <w:tcW w:w="3145" w:type="dxa"/>
            <w:shd w:val="clear" w:color="auto" w:fill="F2F2F2" w:themeFill="background1" w:themeFillShade="F2"/>
            <w:hideMark/>
          </w:tcPr>
          <w:p w14:paraId="2DF358AB" w14:textId="77777777" w:rsidR="00E139C5" w:rsidRPr="00FB3897" w:rsidRDefault="00E139C5" w:rsidP="00E139C5">
            <w:pPr>
              <w:spacing w:line="276" w:lineRule="auto"/>
              <w:rPr>
                <w:bCs/>
                <w:szCs w:val="24"/>
                <w:lang w:val="it-IT"/>
              </w:rPr>
            </w:pPr>
            <w:r w:rsidRPr="00FB3897">
              <w:rPr>
                <w:b/>
                <w:bCs/>
                <w:szCs w:val="24"/>
                <w:lang w:val="it-IT"/>
              </w:rPr>
              <w:t>Vlera Prezente Neto Aktuale (VAN)</w:t>
            </w:r>
            <w:r w:rsidRPr="00FB3897">
              <w:rPr>
                <w:bCs/>
                <w:szCs w:val="24"/>
                <w:lang w:val="it-IT"/>
              </w:rPr>
              <w:t xml:space="preserve"> =</w:t>
            </w:r>
            <w:r w:rsidRPr="00FB3897">
              <w:rPr>
                <w:szCs w:val="24"/>
                <w:lang w:val="it-IT"/>
              </w:rPr>
              <w:t xml:space="preserve"> Vlera aktuale e përfitimit në total – Vlera aktuale e kostos në total</w:t>
            </w:r>
          </w:p>
        </w:tc>
        <w:tc>
          <w:tcPr>
            <w:tcW w:w="1350" w:type="dxa"/>
            <w:tcBorders>
              <w:right w:val="single" w:sz="4" w:space="0" w:color="auto"/>
            </w:tcBorders>
            <w:shd w:val="clear" w:color="auto" w:fill="F2F2F2" w:themeFill="background1" w:themeFillShade="F2"/>
            <w:hideMark/>
          </w:tcPr>
          <w:p w14:paraId="6B9D6BAA" w14:textId="77777777" w:rsidR="00E139C5" w:rsidRPr="00FB3897" w:rsidRDefault="00E139C5" w:rsidP="00E139C5">
            <w:pPr>
              <w:spacing w:line="276" w:lineRule="auto"/>
              <w:ind w:left="-108" w:firstLine="108"/>
              <w:jc w:val="right"/>
              <w:rPr>
                <w:bCs/>
                <w:szCs w:val="24"/>
                <w:lang w:val="it-IT"/>
              </w:rPr>
            </w:pPr>
            <w:r w:rsidRPr="00FB3897">
              <w:rPr>
                <w:bCs/>
                <w:szCs w:val="24"/>
                <w:lang w:val="it-IT"/>
              </w:rPr>
              <w:t xml:space="preserve"> </w:t>
            </w:r>
          </w:p>
        </w:tc>
        <w:tc>
          <w:tcPr>
            <w:tcW w:w="10620" w:type="dxa"/>
            <w:gridSpan w:val="9"/>
            <w:tcBorders>
              <w:top w:val="nil"/>
              <w:left w:val="single" w:sz="4" w:space="0" w:color="auto"/>
              <w:bottom w:val="nil"/>
              <w:right w:val="nil"/>
            </w:tcBorders>
            <w:hideMark/>
          </w:tcPr>
          <w:p w14:paraId="113846E8" w14:textId="77777777" w:rsidR="00E139C5" w:rsidRPr="00FB3897" w:rsidRDefault="00E139C5" w:rsidP="00E139C5">
            <w:pPr>
              <w:spacing w:line="276" w:lineRule="auto"/>
              <w:ind w:left="-108" w:firstLine="108"/>
              <w:jc w:val="right"/>
              <w:rPr>
                <w:szCs w:val="24"/>
                <w:lang w:val="it-IT"/>
              </w:rPr>
            </w:pPr>
            <w:r w:rsidRPr="00FB3897">
              <w:rPr>
                <w:szCs w:val="24"/>
                <w:lang w:val="it-IT"/>
              </w:rPr>
              <w:t> </w:t>
            </w:r>
          </w:p>
        </w:tc>
      </w:tr>
    </w:tbl>
    <w:p w14:paraId="5206141D" w14:textId="77777777" w:rsidR="00225F7F" w:rsidRDefault="009F625C" w:rsidP="009D13F4">
      <w:pPr>
        <w:spacing w:line="276" w:lineRule="auto"/>
        <w:rPr>
          <w:b/>
          <w:szCs w:val="24"/>
          <w:lang w:val="sq-AL"/>
        </w:rPr>
        <w:sectPr w:rsidR="00225F7F" w:rsidSect="00225F7F">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p>
    <w:p w14:paraId="4E3E7B52" w14:textId="77777777" w:rsidR="002125B7" w:rsidRPr="00325A1F" w:rsidRDefault="002125B7" w:rsidP="009D13F4">
      <w:pPr>
        <w:spacing w:line="276" w:lineRule="auto"/>
        <w:rPr>
          <w:rStyle w:val="Strong"/>
          <w:szCs w:val="24"/>
          <w:lang w:val="sq-AL"/>
        </w:rPr>
      </w:pPr>
      <w:r w:rsidRPr="006B2903">
        <w:rPr>
          <w:b/>
          <w:szCs w:val="24"/>
          <w:lang w:val="sq-AL"/>
        </w:rPr>
        <w:lastRenderedPageBreak/>
        <w:t>Raporti i vlerësimit të ndikimit - Shtojca 2/b</w:t>
      </w:r>
      <w:r w:rsidRPr="00325A1F">
        <w:rPr>
          <w:b/>
          <w:szCs w:val="24"/>
          <w:lang w:val="sq-AL"/>
        </w:rPr>
        <w:t xml:space="preserve"> </w:t>
      </w:r>
    </w:p>
    <w:p w14:paraId="4E0DCA03" w14:textId="77777777" w:rsidR="002125B7" w:rsidRPr="00325A1F" w:rsidRDefault="002125B7" w:rsidP="009D13F4">
      <w:pPr>
        <w:spacing w:line="276" w:lineRule="auto"/>
        <w:rPr>
          <w:rStyle w:val="Strong"/>
          <w:b w:val="0"/>
          <w:szCs w:val="24"/>
          <w:lang w:val="sq-AL"/>
        </w:rPr>
      </w:pPr>
    </w:p>
    <w:p w14:paraId="020BAB09" w14:textId="77777777" w:rsidR="002125B7" w:rsidRPr="00325A1F" w:rsidRDefault="002125B7" w:rsidP="009D13F4">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p>
    <w:p w14:paraId="14AD38DC" w14:textId="77777777" w:rsidR="002125B7" w:rsidRPr="00325A1F" w:rsidRDefault="002125B7" w:rsidP="009D13F4">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C742D0" w14:paraId="341314A4" w14:textId="77777777" w:rsidTr="001E3B6F">
        <w:tc>
          <w:tcPr>
            <w:tcW w:w="1698" w:type="dxa"/>
            <w:vMerge w:val="restart"/>
          </w:tcPr>
          <w:p w14:paraId="546B196E"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2BBB62B6"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4EC69A1C"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2125B7" w:rsidRPr="00325A1F" w14:paraId="57283F87" w14:textId="77777777" w:rsidTr="001E3B6F">
        <w:tc>
          <w:tcPr>
            <w:tcW w:w="1698" w:type="dxa"/>
            <w:vMerge/>
          </w:tcPr>
          <w:p w14:paraId="5B0BA3B4" w14:textId="77777777" w:rsidR="002125B7" w:rsidRPr="00325A1F" w:rsidRDefault="002125B7" w:rsidP="009D13F4">
            <w:pPr>
              <w:autoSpaceDE w:val="0"/>
              <w:autoSpaceDN w:val="0"/>
              <w:adjustRightInd w:val="0"/>
              <w:spacing w:line="276" w:lineRule="auto"/>
              <w:jc w:val="both"/>
              <w:rPr>
                <w:szCs w:val="24"/>
                <w:lang w:val="sq-AL"/>
              </w:rPr>
            </w:pPr>
          </w:p>
        </w:tc>
        <w:tc>
          <w:tcPr>
            <w:tcW w:w="2258" w:type="dxa"/>
          </w:tcPr>
          <w:p w14:paraId="68941F35"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157E26E6"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23A6F596" w14:textId="77777777" w:rsidR="002125B7" w:rsidRPr="00325A1F" w:rsidRDefault="002125B7" w:rsidP="009D13F4">
            <w:pPr>
              <w:autoSpaceDE w:val="0"/>
              <w:autoSpaceDN w:val="0"/>
              <w:adjustRightInd w:val="0"/>
              <w:spacing w:line="276" w:lineRule="auto"/>
              <w:jc w:val="center"/>
              <w:rPr>
                <w:color w:val="000000"/>
                <w:szCs w:val="24"/>
                <w:lang w:val="sq-AL"/>
              </w:rPr>
            </w:pPr>
          </w:p>
        </w:tc>
      </w:tr>
      <w:tr w:rsidR="002125B7" w:rsidRPr="00325A1F" w14:paraId="74E552EB" w14:textId="77777777" w:rsidTr="001E3B6F">
        <w:tc>
          <w:tcPr>
            <w:tcW w:w="1698" w:type="dxa"/>
          </w:tcPr>
          <w:p w14:paraId="3E19F52F"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14:paraId="04DFEF6F" w14:textId="77777777"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2410" w:type="dxa"/>
          </w:tcPr>
          <w:p w14:paraId="1DF12342" w14:textId="77777777"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46E25BB7" w14:textId="77777777"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2125B7" w:rsidRPr="00325A1F" w14:paraId="49E06D51" w14:textId="77777777" w:rsidTr="001E3B6F">
        <w:tc>
          <w:tcPr>
            <w:tcW w:w="1698" w:type="dxa"/>
          </w:tcPr>
          <w:p w14:paraId="1CAB009A"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14:paraId="6742D7E7" w14:textId="77777777" w:rsidR="002125B7" w:rsidRPr="00325A1F" w:rsidRDefault="003A12EA" w:rsidP="009D13F4">
            <w:pPr>
              <w:autoSpaceDE w:val="0"/>
              <w:autoSpaceDN w:val="0"/>
              <w:adjustRightInd w:val="0"/>
              <w:spacing w:line="276" w:lineRule="auto"/>
              <w:jc w:val="right"/>
              <w:rPr>
                <w:color w:val="000000"/>
                <w:szCs w:val="24"/>
                <w:lang w:val="sq-AL"/>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14:paraId="0A61AF75" w14:textId="77777777"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6094DC9D" w14:textId="77777777"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bl>
    <w:p w14:paraId="41CEA70D" w14:textId="77777777" w:rsidR="00B6156C" w:rsidRPr="00325A1F" w:rsidRDefault="00B6156C" w:rsidP="009D13F4">
      <w:pPr>
        <w:spacing w:line="276" w:lineRule="auto"/>
        <w:rPr>
          <w:b/>
          <w:szCs w:val="24"/>
          <w:lang w:val="sq-AL"/>
        </w:rPr>
      </w:pPr>
    </w:p>
    <w:p w14:paraId="2FEB6368" w14:textId="77777777" w:rsidR="002125B7" w:rsidRPr="00325A1F" w:rsidRDefault="002125B7" w:rsidP="009D13F4">
      <w:pPr>
        <w:spacing w:line="276" w:lineRule="auto"/>
        <w:rPr>
          <w:b/>
          <w:szCs w:val="24"/>
          <w:lang w:val="sq-AL"/>
        </w:rPr>
      </w:pPr>
    </w:p>
    <w:p w14:paraId="745163C5" w14:textId="77777777" w:rsidR="002125B7" w:rsidRPr="00325A1F" w:rsidRDefault="002125B7" w:rsidP="009D13F4">
      <w:pPr>
        <w:spacing w:line="276" w:lineRule="auto"/>
        <w:jc w:val="center"/>
        <w:rPr>
          <w:b/>
          <w:szCs w:val="24"/>
          <w:lang w:val="sq-AL"/>
        </w:rPr>
      </w:pPr>
      <w:r w:rsidRPr="00325A1F">
        <w:rPr>
          <w:b/>
          <w:szCs w:val="24"/>
          <w:lang w:val="sq-AL"/>
        </w:rPr>
        <w:t>MINISTËR</w:t>
      </w:r>
    </w:p>
    <w:p w14:paraId="716D7858" w14:textId="77777777" w:rsidR="002125B7" w:rsidRPr="00325A1F" w:rsidRDefault="002125B7" w:rsidP="009D13F4">
      <w:pPr>
        <w:spacing w:line="276" w:lineRule="auto"/>
        <w:jc w:val="center"/>
        <w:rPr>
          <w:b/>
          <w:szCs w:val="24"/>
          <w:lang w:val="sq-AL"/>
        </w:rPr>
      </w:pPr>
    </w:p>
    <w:p w14:paraId="0FAECADF" w14:textId="77777777" w:rsidR="005B47AA" w:rsidRPr="0069043F" w:rsidRDefault="00277174" w:rsidP="009D13F4">
      <w:pPr>
        <w:spacing w:line="276" w:lineRule="auto"/>
        <w:jc w:val="center"/>
        <w:rPr>
          <w:b/>
          <w:szCs w:val="24"/>
          <w:lang w:val="sq-AL"/>
        </w:rPr>
      </w:pPr>
      <w:r>
        <w:rPr>
          <w:b/>
          <w:szCs w:val="24"/>
        </w:rPr>
        <w:t>Ulsi Manja</w:t>
      </w:r>
    </w:p>
    <w:p w14:paraId="3FA98D13" w14:textId="77777777" w:rsidR="002125B7" w:rsidRPr="00325A1F" w:rsidRDefault="002125B7" w:rsidP="009D13F4">
      <w:pPr>
        <w:spacing w:line="276" w:lineRule="auto"/>
        <w:rPr>
          <w:rFonts w:eastAsia="SimSun"/>
          <w:szCs w:val="24"/>
          <w:lang w:eastAsia="zh-CN"/>
        </w:rPr>
      </w:pPr>
    </w:p>
    <w:p w14:paraId="6695F75A" w14:textId="77777777" w:rsidR="002125B7" w:rsidRPr="00325A1F" w:rsidRDefault="002125B7" w:rsidP="009D13F4">
      <w:pPr>
        <w:pStyle w:val="IASpacer"/>
        <w:spacing w:line="276" w:lineRule="auto"/>
        <w:rPr>
          <w:sz w:val="24"/>
          <w:szCs w:val="24"/>
        </w:rPr>
      </w:pPr>
    </w:p>
    <w:p w14:paraId="223F35A7" w14:textId="77777777" w:rsidR="001F5DD9" w:rsidRPr="00325A1F" w:rsidRDefault="001F5DD9" w:rsidP="009D13F4">
      <w:pPr>
        <w:spacing w:line="276" w:lineRule="auto"/>
        <w:rPr>
          <w:szCs w:val="24"/>
        </w:rPr>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B7CC" w16cex:dateUtc="2022-07-14T13:42:00Z"/>
  <w16cex:commentExtensible w16cex:durableId="267A8C41" w16cex:dateUtc="2022-07-14T10:36:00Z"/>
  <w16cex:commentExtensible w16cex:durableId="267BCECD" w16cex:dateUtc="2022-07-15T09:32:00Z"/>
  <w16cex:commentExtensible w16cex:durableId="267BD1B0" w16cex:dateUtc="2022-07-15T09:44:00Z"/>
  <w16cex:commentExtensible w16cex:durableId="267A9153" w16cex:dateUtc="2022-07-14T10:57:00Z"/>
  <w16cex:commentExtensible w16cex:durableId="267A92A7" w16cex:dateUtc="2022-07-14T11:03:00Z"/>
  <w16cex:commentExtensible w16cex:durableId="267BD479" w16cex:dateUtc="2022-07-15T09:56:00Z"/>
  <w16cex:commentExtensible w16cex:durableId="267A9535" w16cex:dateUtc="2022-07-14T11:14:00Z"/>
  <w16cex:commentExtensible w16cex:durableId="267A957F" w16cex:dateUtc="2022-07-14T11:15:00Z"/>
  <w16cex:commentExtensible w16cex:durableId="267A9666" w16cex:dateUtc="2022-07-14T1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9EA36" w14:textId="77777777" w:rsidR="00BD42D9" w:rsidRDefault="00BD42D9">
      <w:r>
        <w:separator/>
      </w:r>
    </w:p>
  </w:endnote>
  <w:endnote w:type="continuationSeparator" w:id="0">
    <w:p w14:paraId="3C16101B" w14:textId="77777777" w:rsidR="00BD42D9" w:rsidRDefault="00BD42D9">
      <w:r>
        <w:continuationSeparator/>
      </w:r>
    </w:p>
  </w:endnote>
  <w:endnote w:type="continuationNotice" w:id="1">
    <w:p w14:paraId="584FBFA6" w14:textId="77777777" w:rsidR="00BD42D9" w:rsidRDefault="00BD4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3B6C" w14:textId="185CB6AE" w:rsidR="00E64271" w:rsidRPr="00EB43FD" w:rsidRDefault="00E64271"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Pr>
        <w:rStyle w:val="PageNumber"/>
        <w:b w:val="0"/>
        <w:noProof/>
        <w:szCs w:val="18"/>
      </w:rPr>
      <w:t>15</w:t>
    </w:r>
    <w:r w:rsidRPr="00EB43FD">
      <w:rPr>
        <w:rStyle w:val="PageNumber"/>
        <w:b w:val="0"/>
        <w:szCs w:val="18"/>
      </w:rPr>
      <w:fldChar w:fldCharType="end"/>
    </w:r>
  </w:p>
  <w:p w14:paraId="0D8E6066" w14:textId="77777777" w:rsidR="00E64271" w:rsidRDefault="00E64271"/>
  <w:p w14:paraId="2A14EB72" w14:textId="77777777" w:rsidR="00E64271" w:rsidRDefault="00E642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E245E" w14:textId="77777777" w:rsidR="00BD42D9" w:rsidRDefault="00BD42D9">
      <w:r>
        <w:separator/>
      </w:r>
    </w:p>
  </w:footnote>
  <w:footnote w:type="continuationSeparator" w:id="0">
    <w:p w14:paraId="0131392F" w14:textId="77777777" w:rsidR="00BD42D9" w:rsidRDefault="00BD42D9">
      <w:r>
        <w:continuationSeparator/>
      </w:r>
    </w:p>
  </w:footnote>
  <w:footnote w:type="continuationNotice" w:id="1">
    <w:p w14:paraId="2A2BFD34" w14:textId="77777777" w:rsidR="00BD42D9" w:rsidRDefault="00BD42D9"/>
  </w:footnote>
  <w:footnote w:id="2">
    <w:p w14:paraId="67BB1F1D" w14:textId="77777777" w:rsidR="00E64271" w:rsidRPr="00FB3897" w:rsidRDefault="00E64271">
      <w:pPr>
        <w:pStyle w:val="FootnoteText"/>
        <w:rPr>
          <w:lang w:val="it-IT"/>
        </w:rPr>
      </w:pPr>
      <w:r>
        <w:rPr>
          <w:rStyle w:val="FootnoteReference"/>
        </w:rPr>
        <w:footnoteRef/>
      </w:r>
      <w:r>
        <w:t xml:space="preserve"> </w:t>
      </w:r>
      <w:r>
        <w:rPr>
          <w:lang w:val="en-US"/>
        </w:rPr>
        <w:t xml:space="preserve">Agjencia e Trajtimit të Pronave publikon çdo muaj “Ditarin Mujor” me të dhëna mbi numrin e çështjeve të trajtuara. </w:t>
      </w:r>
      <w:r w:rsidRPr="00FB3897">
        <w:rPr>
          <w:lang w:val="it-IT"/>
        </w:rPr>
        <w:t xml:space="preserve">Ditari Mujor i disponueshëm në link: </w:t>
      </w:r>
      <w:hyperlink r:id="rId1" w:history="1">
        <w:r w:rsidRPr="00FB3897">
          <w:rPr>
            <w:rStyle w:val="Hyperlink"/>
            <w:lang w:val="it-IT"/>
          </w:rPr>
          <w:t>http://atp.gov.al/index.php?option=com_k2&amp;vieë=item&amp;layout=item&amp;id=791&amp;Itemid=465</w:t>
        </w:r>
      </w:hyperlink>
      <w:r w:rsidRPr="00FB3897">
        <w:rPr>
          <w:lang w:val="it-IT"/>
        </w:rPr>
        <w:t xml:space="preserve"> </w:t>
      </w:r>
    </w:p>
  </w:footnote>
  <w:footnote w:id="3">
    <w:p w14:paraId="10A58A48" w14:textId="77777777" w:rsidR="00E64271" w:rsidRPr="00FB3897" w:rsidRDefault="00E64271" w:rsidP="00D22EF6">
      <w:pPr>
        <w:pStyle w:val="FootnoteText"/>
        <w:rPr>
          <w:lang w:val="it-IT"/>
        </w:rPr>
      </w:pPr>
      <w:r>
        <w:rPr>
          <w:rStyle w:val="FootnoteReference"/>
        </w:rPr>
        <w:footnoteRef/>
      </w:r>
      <w:r w:rsidRPr="00FB3897">
        <w:rPr>
          <w:lang w:val="it-IT"/>
        </w:rPr>
        <w:t xml:space="preserve"> </w:t>
      </w:r>
      <w:r w:rsidRPr="00FB3897">
        <w:rPr>
          <w:sz w:val="20"/>
          <w:lang w:val="it-IT"/>
        </w:rPr>
        <w:t>Komentar i ligjit “Për trajtimin e pronës dhe përfundimin e procesit të kompensimit të pronave”, Tiranë 2019</w:t>
      </w:r>
    </w:p>
  </w:footnote>
  <w:footnote w:id="4">
    <w:p w14:paraId="39B6B177" w14:textId="77777777" w:rsidR="00E64271" w:rsidRPr="00FB3897" w:rsidRDefault="00E64271" w:rsidP="008249E1">
      <w:pPr>
        <w:pStyle w:val="FootnoteText"/>
        <w:jc w:val="both"/>
        <w:rPr>
          <w:sz w:val="20"/>
          <w:lang w:val="it-IT"/>
        </w:rPr>
      </w:pPr>
      <w:r w:rsidRPr="00E8574D">
        <w:rPr>
          <w:rStyle w:val="FootnoteReference"/>
          <w:sz w:val="20"/>
        </w:rPr>
        <w:footnoteRef/>
      </w:r>
      <w:r w:rsidRPr="00FB3897">
        <w:rPr>
          <w:sz w:val="20"/>
          <w:lang w:val="it-IT"/>
        </w:rPr>
        <w:t xml:space="preserve"> Objekt i kërkesës në Gjykatën Kushtetuese ishte shfuqizimi si të papajtueshëm me Kushtetutën e Republikës së Shqipërisë dhe Konventën Evropiane për të Drejtat dhe Liritë Themelore të Njeriut, të :</w:t>
      </w:r>
    </w:p>
    <w:p w14:paraId="30C2FCBF" w14:textId="77777777" w:rsidR="00E64271" w:rsidRPr="00FB3897" w:rsidRDefault="00E64271" w:rsidP="008249E1">
      <w:pPr>
        <w:pStyle w:val="FootnoteText"/>
        <w:jc w:val="both"/>
        <w:rPr>
          <w:sz w:val="20"/>
          <w:lang w:val="it-IT"/>
        </w:rPr>
      </w:pPr>
      <w:r w:rsidRPr="00FB3897">
        <w:rPr>
          <w:sz w:val="20"/>
          <w:lang w:val="it-IT"/>
        </w:rPr>
        <w:t>- Nenit nr. 6, pika 1,shkronja “b” dhe nenit 7, pika 2, shkronjat “a” dhe “b”, të Ligjit nr. 133/2015 “Për trajtimin e pronës dhe përfundimin e procesit të kompensimit të pronave”,</w:t>
      </w:r>
    </w:p>
    <w:p w14:paraId="4366EF0C" w14:textId="77777777" w:rsidR="00E64271" w:rsidRPr="00FB3897" w:rsidRDefault="00E64271" w:rsidP="008249E1">
      <w:pPr>
        <w:pStyle w:val="FootnoteText"/>
        <w:jc w:val="both"/>
        <w:rPr>
          <w:sz w:val="20"/>
          <w:lang w:val="it-IT"/>
        </w:rPr>
      </w:pPr>
      <w:r w:rsidRPr="00FB3897">
        <w:rPr>
          <w:sz w:val="20"/>
          <w:lang w:val="it-IT"/>
        </w:rPr>
        <w:t>- Vendimit nr.223, datë 23.03.2016 të Këshillit të Ministrave “Për përcaktimin e rregullave dhe të procedurave për vlerësimin dhe shpërndarjen e fondit financiar e fizik për kompensimin e pronave” dhe Vendimit nr.766, datë 20.12.2017 të Këshillit të Ministrave “Për disa ndryshime dhe shtesa në vendimin nr.223, datë 23.03.2016 të Këshillit të Ministrave “Për përcaktimin e rregullave dhe të procedurave për vlerësimin dhe shpërndarjen e fondit financiar e fizik për kompensimin e pronave”;</w:t>
      </w:r>
    </w:p>
    <w:p w14:paraId="5EED7A05" w14:textId="77777777" w:rsidR="00E64271" w:rsidRPr="00FB3897" w:rsidRDefault="00E64271" w:rsidP="008249E1">
      <w:pPr>
        <w:pStyle w:val="FootnoteText"/>
        <w:jc w:val="both"/>
        <w:rPr>
          <w:sz w:val="20"/>
          <w:lang w:val="it-IT"/>
        </w:rPr>
      </w:pPr>
      <w:r w:rsidRPr="00FB3897">
        <w:rPr>
          <w:sz w:val="20"/>
          <w:lang w:val="it-IT"/>
        </w:rPr>
        <w:t>- Vendimit nr.222, datë 23.03.2016 të Këshillit të Ministrave “Për trajtimin e kërkesave për njohje të pronës e të kompensimit të saj” dhe Vendimit nr.765, datë 20.12.2017 të Këshillit të Ministrave “Për disa ndryshime dhe shtesa në vendimin nr.222, datë 23.03.2016 të Këshillit të Ministrave “Për trajtimin e kërkesave për njohje të pronës e të kompensimit të saj”</w:t>
      </w:r>
    </w:p>
    <w:p w14:paraId="576F09C7" w14:textId="77777777" w:rsidR="00E64271" w:rsidRPr="00FB3897" w:rsidRDefault="00E64271" w:rsidP="008249E1">
      <w:pPr>
        <w:pStyle w:val="FootnoteText"/>
        <w:jc w:val="both"/>
        <w:rPr>
          <w:sz w:val="20"/>
          <w:lang w:val="it-IT"/>
        </w:rPr>
      </w:pPr>
      <w:r w:rsidRPr="00FB3897">
        <w:rPr>
          <w:sz w:val="20"/>
          <w:lang w:val="it-IT"/>
        </w:rPr>
        <w:t>- Vendimit nr.89, datë 03.02.2016 të Këshillit të Ministrave “Për miratimin e hartës së vlerës së tokës në Republikën e Shqipërisë”.</w:t>
      </w:r>
    </w:p>
  </w:footnote>
  <w:footnote w:id="5">
    <w:p w14:paraId="4E0BF720" w14:textId="77777777" w:rsidR="002140C5" w:rsidRPr="00FB3897" w:rsidRDefault="002140C5" w:rsidP="002140C5">
      <w:pPr>
        <w:pStyle w:val="FootnoteText"/>
        <w:rPr>
          <w:lang w:val="it-IT"/>
        </w:rPr>
      </w:pPr>
      <w:r>
        <w:rPr>
          <w:rStyle w:val="FootnoteReference"/>
        </w:rPr>
        <w:footnoteRef/>
      </w:r>
      <w:r>
        <w:t xml:space="preserve"> </w:t>
      </w:r>
      <w:r>
        <w:rPr>
          <w:lang w:val="en-US"/>
        </w:rPr>
        <w:t xml:space="preserve">Agjencia e Trajtimit të Pronave publikon çdo muaj “Ditarin Mujor” me të dhëna mbi numrin e çështjeve të trajtuara. </w:t>
      </w:r>
      <w:r w:rsidRPr="00FB3897">
        <w:rPr>
          <w:lang w:val="it-IT"/>
        </w:rPr>
        <w:t xml:space="preserve">Ditari Mujor i disponueshëm në link: </w:t>
      </w:r>
      <w:hyperlink r:id="rId2" w:history="1">
        <w:r w:rsidRPr="00FB3897">
          <w:rPr>
            <w:rStyle w:val="Hyperlink"/>
            <w:lang w:val="it-IT"/>
          </w:rPr>
          <w:t>http://atp.gov.al/index.php?option=com_k2&amp;vieë=item&amp;layout=item&amp;id=791&amp;Itemid=465</w:t>
        </w:r>
      </w:hyperlink>
      <w:r w:rsidRPr="00FB3897">
        <w:rPr>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F031" w14:textId="77777777" w:rsidR="00E64271" w:rsidRDefault="00E64271"/>
  <w:p w14:paraId="32B57DE4" w14:textId="77777777" w:rsidR="00E64271" w:rsidRDefault="00E642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32F5"/>
    <w:multiLevelType w:val="multilevel"/>
    <w:tmpl w:val="5B22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63978"/>
    <w:multiLevelType w:val="hybridMultilevel"/>
    <w:tmpl w:val="01AED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12E84"/>
    <w:multiLevelType w:val="hybridMultilevel"/>
    <w:tmpl w:val="6E92655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B050BB"/>
    <w:multiLevelType w:val="hybridMultilevel"/>
    <w:tmpl w:val="B67C52E4"/>
    <w:lvl w:ilvl="0" w:tplc="83E45252">
      <w:start w:val="1"/>
      <w:numFmt w:val="bullet"/>
      <w:lvlText w:val="►"/>
      <w:lvlJc w:val="left"/>
      <w:pPr>
        <w:ind w:left="720" w:hanging="360"/>
      </w:pPr>
      <w:rPr>
        <w:rFonts w:ascii="Arial" w:hAnsi="Arial" w:cs="Times New Roman" w:hint="default"/>
        <w:color w:val="auto"/>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E2DF0"/>
    <w:multiLevelType w:val="multilevel"/>
    <w:tmpl w:val="27346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8491C"/>
    <w:multiLevelType w:val="multilevel"/>
    <w:tmpl w:val="0E7E7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B811A6"/>
    <w:multiLevelType w:val="hybridMultilevel"/>
    <w:tmpl w:val="762E56E6"/>
    <w:lvl w:ilvl="0" w:tplc="A030F4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F5036"/>
    <w:multiLevelType w:val="multilevel"/>
    <w:tmpl w:val="01B84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5446D5"/>
    <w:multiLevelType w:val="hybridMultilevel"/>
    <w:tmpl w:val="1B72309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14445"/>
    <w:multiLevelType w:val="multilevel"/>
    <w:tmpl w:val="8BA4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72D47B68"/>
    <w:multiLevelType w:val="hybridMultilevel"/>
    <w:tmpl w:val="88E0A402"/>
    <w:lvl w:ilvl="0" w:tplc="05446A06">
      <w:start w:val="15"/>
      <w:numFmt w:val="decimal"/>
      <w:lvlText w:val="%1."/>
      <w:lvlJc w:val="left"/>
      <w:pPr>
        <w:ind w:left="360" w:hanging="360"/>
      </w:pPr>
      <w:rPr>
        <w:rFonts w:hint="default"/>
        <w:i w:val="0"/>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8" w15:restartNumberingAfterBreak="0">
    <w:nsid w:val="72E877E3"/>
    <w:multiLevelType w:val="multilevel"/>
    <w:tmpl w:val="2C004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9D6C28"/>
    <w:multiLevelType w:val="hybridMultilevel"/>
    <w:tmpl w:val="683A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F341B"/>
    <w:multiLevelType w:val="hybridMultilevel"/>
    <w:tmpl w:val="737E267A"/>
    <w:lvl w:ilvl="0" w:tplc="83E45252">
      <w:start w:val="1"/>
      <w:numFmt w:val="bullet"/>
      <w:lvlText w:val="►"/>
      <w:lvlJc w:val="left"/>
      <w:pPr>
        <w:ind w:left="720" w:hanging="360"/>
      </w:pPr>
      <w:rPr>
        <w:rFonts w:ascii="Arial" w:hAnsi="Arial" w:cs="Times New Roman" w:hint="default"/>
        <w:color w:val="auto"/>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22"/>
  </w:num>
  <w:num w:numId="2">
    <w:abstractNumId w:val="16"/>
  </w:num>
  <w:num w:numId="3">
    <w:abstractNumId w:val="6"/>
  </w:num>
  <w:num w:numId="4">
    <w:abstractNumId w:val="9"/>
  </w:num>
  <w:num w:numId="5">
    <w:abstractNumId w:val="21"/>
  </w:num>
  <w:num w:numId="6">
    <w:abstractNumId w:val="5"/>
  </w:num>
  <w:num w:numId="7">
    <w:abstractNumId w:val="7"/>
  </w:num>
  <w:num w:numId="8">
    <w:abstractNumId w:val="10"/>
  </w:num>
  <w:num w:numId="9">
    <w:abstractNumId w:val="2"/>
  </w:num>
  <w:num w:numId="10">
    <w:abstractNumId w:val="14"/>
  </w:num>
  <w:num w:numId="11">
    <w:abstractNumId w:val="19"/>
  </w:num>
  <w:num w:numId="12">
    <w:abstractNumId w:val="12"/>
  </w:num>
  <w:num w:numId="13">
    <w:abstractNumId w:val="4"/>
  </w:num>
  <w:num w:numId="14">
    <w:abstractNumId w:val="20"/>
  </w:num>
  <w:num w:numId="15">
    <w:abstractNumId w:val="17"/>
  </w:num>
  <w:num w:numId="16">
    <w:abstractNumId w:val="1"/>
  </w:num>
  <w:num w:numId="17">
    <w:abstractNumId w:val="3"/>
  </w:num>
  <w:num w:numId="18">
    <w:abstractNumId w:val="0"/>
  </w:num>
  <w:num w:numId="19">
    <w:abstractNumId w:val="15"/>
  </w:num>
  <w:num w:numId="20">
    <w:abstractNumId w:val="8"/>
  </w:num>
  <w:num w:numId="21">
    <w:abstractNumId w:val="13"/>
  </w:num>
  <w:num w:numId="22">
    <w:abstractNumId w:val="18"/>
  </w:num>
  <w:num w:numId="2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hyphenationZone w:val="283"/>
  <w:doNotShadeFormData/>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393"/>
    <w:rsid w:val="000019B2"/>
    <w:rsid w:val="00001E72"/>
    <w:rsid w:val="00003A70"/>
    <w:rsid w:val="000045C0"/>
    <w:rsid w:val="0000505F"/>
    <w:rsid w:val="000071A5"/>
    <w:rsid w:val="000079C0"/>
    <w:rsid w:val="00007C25"/>
    <w:rsid w:val="00010950"/>
    <w:rsid w:val="00010EE1"/>
    <w:rsid w:val="00012458"/>
    <w:rsid w:val="000142F1"/>
    <w:rsid w:val="0001460F"/>
    <w:rsid w:val="00014853"/>
    <w:rsid w:val="00015580"/>
    <w:rsid w:val="000166B7"/>
    <w:rsid w:val="00021306"/>
    <w:rsid w:val="000222F1"/>
    <w:rsid w:val="00022BE0"/>
    <w:rsid w:val="00022F52"/>
    <w:rsid w:val="00023080"/>
    <w:rsid w:val="0002370C"/>
    <w:rsid w:val="000239A7"/>
    <w:rsid w:val="00023E62"/>
    <w:rsid w:val="00024908"/>
    <w:rsid w:val="000249BD"/>
    <w:rsid w:val="000251D0"/>
    <w:rsid w:val="00025CC4"/>
    <w:rsid w:val="00026555"/>
    <w:rsid w:val="00026AC0"/>
    <w:rsid w:val="00027038"/>
    <w:rsid w:val="0003264E"/>
    <w:rsid w:val="00034FBE"/>
    <w:rsid w:val="0003786D"/>
    <w:rsid w:val="0004016B"/>
    <w:rsid w:val="00040755"/>
    <w:rsid w:val="000407D8"/>
    <w:rsid w:val="000424B2"/>
    <w:rsid w:val="00044FE7"/>
    <w:rsid w:val="00045828"/>
    <w:rsid w:val="00045BAD"/>
    <w:rsid w:val="00051235"/>
    <w:rsid w:val="00051403"/>
    <w:rsid w:val="00052338"/>
    <w:rsid w:val="00052F44"/>
    <w:rsid w:val="0005543F"/>
    <w:rsid w:val="00055F81"/>
    <w:rsid w:val="00056EE6"/>
    <w:rsid w:val="0006047F"/>
    <w:rsid w:val="0006053F"/>
    <w:rsid w:val="000611C7"/>
    <w:rsid w:val="00061D9C"/>
    <w:rsid w:val="00063FFC"/>
    <w:rsid w:val="000671A2"/>
    <w:rsid w:val="000705A0"/>
    <w:rsid w:val="00070EEB"/>
    <w:rsid w:val="00071110"/>
    <w:rsid w:val="00071299"/>
    <w:rsid w:val="00072272"/>
    <w:rsid w:val="0007271A"/>
    <w:rsid w:val="00072DF1"/>
    <w:rsid w:val="0007524C"/>
    <w:rsid w:val="0007532E"/>
    <w:rsid w:val="0007637D"/>
    <w:rsid w:val="000767AC"/>
    <w:rsid w:val="0007695E"/>
    <w:rsid w:val="00076A78"/>
    <w:rsid w:val="00076C08"/>
    <w:rsid w:val="00077398"/>
    <w:rsid w:val="00082659"/>
    <w:rsid w:val="00082B2E"/>
    <w:rsid w:val="00082BAC"/>
    <w:rsid w:val="000860CC"/>
    <w:rsid w:val="00086128"/>
    <w:rsid w:val="0008731F"/>
    <w:rsid w:val="00087E7F"/>
    <w:rsid w:val="00091089"/>
    <w:rsid w:val="00093598"/>
    <w:rsid w:val="000935B2"/>
    <w:rsid w:val="0009381F"/>
    <w:rsid w:val="00094680"/>
    <w:rsid w:val="000956FD"/>
    <w:rsid w:val="0009582F"/>
    <w:rsid w:val="000974E1"/>
    <w:rsid w:val="000A0CA4"/>
    <w:rsid w:val="000A2E76"/>
    <w:rsid w:val="000A36EE"/>
    <w:rsid w:val="000A4930"/>
    <w:rsid w:val="000A4E03"/>
    <w:rsid w:val="000A5C5D"/>
    <w:rsid w:val="000A6E4B"/>
    <w:rsid w:val="000A79FC"/>
    <w:rsid w:val="000B073A"/>
    <w:rsid w:val="000B07A1"/>
    <w:rsid w:val="000B1176"/>
    <w:rsid w:val="000B1A2E"/>
    <w:rsid w:val="000B3E49"/>
    <w:rsid w:val="000B4AF8"/>
    <w:rsid w:val="000B4C50"/>
    <w:rsid w:val="000C031E"/>
    <w:rsid w:val="000C165A"/>
    <w:rsid w:val="000C1D45"/>
    <w:rsid w:val="000C2292"/>
    <w:rsid w:val="000C2589"/>
    <w:rsid w:val="000C30D8"/>
    <w:rsid w:val="000C3CF6"/>
    <w:rsid w:val="000C4589"/>
    <w:rsid w:val="000C57D5"/>
    <w:rsid w:val="000C64FF"/>
    <w:rsid w:val="000C6A87"/>
    <w:rsid w:val="000D1CB0"/>
    <w:rsid w:val="000D31B0"/>
    <w:rsid w:val="000D55B5"/>
    <w:rsid w:val="000D58BD"/>
    <w:rsid w:val="000D5974"/>
    <w:rsid w:val="000D5ED5"/>
    <w:rsid w:val="000D747F"/>
    <w:rsid w:val="000D7F7C"/>
    <w:rsid w:val="000E02BE"/>
    <w:rsid w:val="000E224A"/>
    <w:rsid w:val="000E2FA5"/>
    <w:rsid w:val="000E3308"/>
    <w:rsid w:val="000E3FD7"/>
    <w:rsid w:val="000E4454"/>
    <w:rsid w:val="000E452D"/>
    <w:rsid w:val="000F004E"/>
    <w:rsid w:val="000F0840"/>
    <w:rsid w:val="000F0CB5"/>
    <w:rsid w:val="000F0CB9"/>
    <w:rsid w:val="000F37BB"/>
    <w:rsid w:val="000F4481"/>
    <w:rsid w:val="000F5100"/>
    <w:rsid w:val="000F57BB"/>
    <w:rsid w:val="000F6D44"/>
    <w:rsid w:val="000F7C2E"/>
    <w:rsid w:val="00101961"/>
    <w:rsid w:val="001022FD"/>
    <w:rsid w:val="00102870"/>
    <w:rsid w:val="00103BA3"/>
    <w:rsid w:val="00104125"/>
    <w:rsid w:val="00104D8B"/>
    <w:rsid w:val="00110396"/>
    <w:rsid w:val="001110DB"/>
    <w:rsid w:val="00115D70"/>
    <w:rsid w:val="00120113"/>
    <w:rsid w:val="00122950"/>
    <w:rsid w:val="001235DD"/>
    <w:rsid w:val="0012369A"/>
    <w:rsid w:val="001243CD"/>
    <w:rsid w:val="0012460B"/>
    <w:rsid w:val="00127373"/>
    <w:rsid w:val="00127BE2"/>
    <w:rsid w:val="0013023A"/>
    <w:rsid w:val="00131CE4"/>
    <w:rsid w:val="00133A17"/>
    <w:rsid w:val="00133C58"/>
    <w:rsid w:val="00134EA8"/>
    <w:rsid w:val="00135332"/>
    <w:rsid w:val="001365F4"/>
    <w:rsid w:val="0014140D"/>
    <w:rsid w:val="00141B6F"/>
    <w:rsid w:val="0014336D"/>
    <w:rsid w:val="00145A71"/>
    <w:rsid w:val="001477D1"/>
    <w:rsid w:val="00150BE6"/>
    <w:rsid w:val="00150DAE"/>
    <w:rsid w:val="0015254E"/>
    <w:rsid w:val="00152C60"/>
    <w:rsid w:val="001535F3"/>
    <w:rsid w:val="00156E0C"/>
    <w:rsid w:val="00157A83"/>
    <w:rsid w:val="00160691"/>
    <w:rsid w:val="00161542"/>
    <w:rsid w:val="00165113"/>
    <w:rsid w:val="00170056"/>
    <w:rsid w:val="001709E2"/>
    <w:rsid w:val="00171F00"/>
    <w:rsid w:val="00174C10"/>
    <w:rsid w:val="00175447"/>
    <w:rsid w:val="00182B85"/>
    <w:rsid w:val="00183038"/>
    <w:rsid w:val="00183882"/>
    <w:rsid w:val="001844B6"/>
    <w:rsid w:val="001851A3"/>
    <w:rsid w:val="001851B9"/>
    <w:rsid w:val="001855B1"/>
    <w:rsid w:val="001866C3"/>
    <w:rsid w:val="00186D01"/>
    <w:rsid w:val="00187993"/>
    <w:rsid w:val="0019021E"/>
    <w:rsid w:val="001905C3"/>
    <w:rsid w:val="00190A8C"/>
    <w:rsid w:val="00190F9A"/>
    <w:rsid w:val="00194050"/>
    <w:rsid w:val="00194745"/>
    <w:rsid w:val="00194E96"/>
    <w:rsid w:val="001A07F1"/>
    <w:rsid w:val="001A2E4B"/>
    <w:rsid w:val="001A3B0B"/>
    <w:rsid w:val="001A4332"/>
    <w:rsid w:val="001A4432"/>
    <w:rsid w:val="001A478E"/>
    <w:rsid w:val="001A4991"/>
    <w:rsid w:val="001A509E"/>
    <w:rsid w:val="001A6C3D"/>
    <w:rsid w:val="001A6E28"/>
    <w:rsid w:val="001A6FE6"/>
    <w:rsid w:val="001A7B61"/>
    <w:rsid w:val="001A7D6D"/>
    <w:rsid w:val="001B1210"/>
    <w:rsid w:val="001B239B"/>
    <w:rsid w:val="001B2F84"/>
    <w:rsid w:val="001B305C"/>
    <w:rsid w:val="001B34EB"/>
    <w:rsid w:val="001C0644"/>
    <w:rsid w:val="001C0B58"/>
    <w:rsid w:val="001C3363"/>
    <w:rsid w:val="001C4862"/>
    <w:rsid w:val="001C7C39"/>
    <w:rsid w:val="001C7EB3"/>
    <w:rsid w:val="001D09CC"/>
    <w:rsid w:val="001D0AF4"/>
    <w:rsid w:val="001D0E37"/>
    <w:rsid w:val="001D12D6"/>
    <w:rsid w:val="001D1DB5"/>
    <w:rsid w:val="001D1FC0"/>
    <w:rsid w:val="001D2096"/>
    <w:rsid w:val="001D3A43"/>
    <w:rsid w:val="001D3C11"/>
    <w:rsid w:val="001D4AA8"/>
    <w:rsid w:val="001D4D42"/>
    <w:rsid w:val="001D5EC9"/>
    <w:rsid w:val="001D65D7"/>
    <w:rsid w:val="001D6B90"/>
    <w:rsid w:val="001E0D36"/>
    <w:rsid w:val="001E152A"/>
    <w:rsid w:val="001E1DA0"/>
    <w:rsid w:val="001E3B6F"/>
    <w:rsid w:val="001E429F"/>
    <w:rsid w:val="001E6522"/>
    <w:rsid w:val="001E69A2"/>
    <w:rsid w:val="001E6DA6"/>
    <w:rsid w:val="001F02C1"/>
    <w:rsid w:val="001F42AE"/>
    <w:rsid w:val="001F4352"/>
    <w:rsid w:val="001F5423"/>
    <w:rsid w:val="001F5996"/>
    <w:rsid w:val="001F5DD9"/>
    <w:rsid w:val="001F69E9"/>
    <w:rsid w:val="001F6D51"/>
    <w:rsid w:val="001F71C9"/>
    <w:rsid w:val="001F7CF8"/>
    <w:rsid w:val="00200315"/>
    <w:rsid w:val="0020104C"/>
    <w:rsid w:val="0020151D"/>
    <w:rsid w:val="00201B79"/>
    <w:rsid w:val="00202E56"/>
    <w:rsid w:val="002033D6"/>
    <w:rsid w:val="00203758"/>
    <w:rsid w:val="00204AB1"/>
    <w:rsid w:val="00205E05"/>
    <w:rsid w:val="0020708B"/>
    <w:rsid w:val="00207B21"/>
    <w:rsid w:val="00207D2A"/>
    <w:rsid w:val="00211257"/>
    <w:rsid w:val="002122F0"/>
    <w:rsid w:val="002125B7"/>
    <w:rsid w:val="00212FBC"/>
    <w:rsid w:val="00213ACD"/>
    <w:rsid w:val="002140C5"/>
    <w:rsid w:val="002144F0"/>
    <w:rsid w:val="00215B9F"/>
    <w:rsid w:val="00216F02"/>
    <w:rsid w:val="0021731F"/>
    <w:rsid w:val="00217CA1"/>
    <w:rsid w:val="00217EF0"/>
    <w:rsid w:val="00220F29"/>
    <w:rsid w:val="00221FAD"/>
    <w:rsid w:val="0022350E"/>
    <w:rsid w:val="0022396C"/>
    <w:rsid w:val="0022490F"/>
    <w:rsid w:val="00225F7F"/>
    <w:rsid w:val="00225F9C"/>
    <w:rsid w:val="002274E5"/>
    <w:rsid w:val="0022767B"/>
    <w:rsid w:val="00227EBE"/>
    <w:rsid w:val="002306B7"/>
    <w:rsid w:val="00231C0A"/>
    <w:rsid w:val="0023355B"/>
    <w:rsid w:val="00233F75"/>
    <w:rsid w:val="002347A2"/>
    <w:rsid w:val="00235DD9"/>
    <w:rsid w:val="00236ADC"/>
    <w:rsid w:val="00241738"/>
    <w:rsid w:val="00241B3F"/>
    <w:rsid w:val="002425C2"/>
    <w:rsid w:val="00242C41"/>
    <w:rsid w:val="002437A8"/>
    <w:rsid w:val="00243B5F"/>
    <w:rsid w:val="0024459B"/>
    <w:rsid w:val="002453FE"/>
    <w:rsid w:val="00246360"/>
    <w:rsid w:val="00246AF8"/>
    <w:rsid w:val="002471FE"/>
    <w:rsid w:val="002473FE"/>
    <w:rsid w:val="00247C97"/>
    <w:rsid w:val="00250259"/>
    <w:rsid w:val="00250462"/>
    <w:rsid w:val="00251ED1"/>
    <w:rsid w:val="002530A8"/>
    <w:rsid w:val="00253F4D"/>
    <w:rsid w:val="00256714"/>
    <w:rsid w:val="0026191F"/>
    <w:rsid w:val="00262437"/>
    <w:rsid w:val="00265153"/>
    <w:rsid w:val="002658D6"/>
    <w:rsid w:val="0026604F"/>
    <w:rsid w:val="002718D6"/>
    <w:rsid w:val="00272539"/>
    <w:rsid w:val="00272F62"/>
    <w:rsid w:val="00272FA0"/>
    <w:rsid w:val="00273A3C"/>
    <w:rsid w:val="00275BA2"/>
    <w:rsid w:val="00277174"/>
    <w:rsid w:val="00281E7E"/>
    <w:rsid w:val="00282EFA"/>
    <w:rsid w:val="002837FC"/>
    <w:rsid w:val="0028396C"/>
    <w:rsid w:val="00283F88"/>
    <w:rsid w:val="00284C30"/>
    <w:rsid w:val="00286282"/>
    <w:rsid w:val="0028755A"/>
    <w:rsid w:val="00287BA8"/>
    <w:rsid w:val="00287DF9"/>
    <w:rsid w:val="00290335"/>
    <w:rsid w:val="00290DB4"/>
    <w:rsid w:val="0029158C"/>
    <w:rsid w:val="00294EFB"/>
    <w:rsid w:val="002A06DA"/>
    <w:rsid w:val="002A33A0"/>
    <w:rsid w:val="002A456F"/>
    <w:rsid w:val="002A636B"/>
    <w:rsid w:val="002A66D3"/>
    <w:rsid w:val="002A6E2B"/>
    <w:rsid w:val="002B2572"/>
    <w:rsid w:val="002B4D79"/>
    <w:rsid w:val="002B7335"/>
    <w:rsid w:val="002B77F5"/>
    <w:rsid w:val="002C1D0C"/>
    <w:rsid w:val="002C1EC2"/>
    <w:rsid w:val="002C331D"/>
    <w:rsid w:val="002C39F4"/>
    <w:rsid w:val="002C49FE"/>
    <w:rsid w:val="002C6651"/>
    <w:rsid w:val="002C76CF"/>
    <w:rsid w:val="002D133A"/>
    <w:rsid w:val="002D1AE9"/>
    <w:rsid w:val="002D2D7E"/>
    <w:rsid w:val="002D3103"/>
    <w:rsid w:val="002D4104"/>
    <w:rsid w:val="002D4177"/>
    <w:rsid w:val="002D4B8B"/>
    <w:rsid w:val="002D548B"/>
    <w:rsid w:val="002D66B1"/>
    <w:rsid w:val="002D67DE"/>
    <w:rsid w:val="002D7616"/>
    <w:rsid w:val="002D7ECF"/>
    <w:rsid w:val="002E1C94"/>
    <w:rsid w:val="002E46DE"/>
    <w:rsid w:val="002E4C13"/>
    <w:rsid w:val="002E5406"/>
    <w:rsid w:val="002E61B7"/>
    <w:rsid w:val="002E753B"/>
    <w:rsid w:val="002E78D7"/>
    <w:rsid w:val="002F13D7"/>
    <w:rsid w:val="002F1CB1"/>
    <w:rsid w:val="002F3633"/>
    <w:rsid w:val="002F4C93"/>
    <w:rsid w:val="002F5B67"/>
    <w:rsid w:val="002F653C"/>
    <w:rsid w:val="002F7D4C"/>
    <w:rsid w:val="00300CED"/>
    <w:rsid w:val="00300D77"/>
    <w:rsid w:val="00302EB7"/>
    <w:rsid w:val="003030E1"/>
    <w:rsid w:val="0030351B"/>
    <w:rsid w:val="00304280"/>
    <w:rsid w:val="00304677"/>
    <w:rsid w:val="00304C1D"/>
    <w:rsid w:val="00305A9B"/>
    <w:rsid w:val="00305BFD"/>
    <w:rsid w:val="003069E8"/>
    <w:rsid w:val="00307737"/>
    <w:rsid w:val="00307E85"/>
    <w:rsid w:val="00310269"/>
    <w:rsid w:val="0031087D"/>
    <w:rsid w:val="00310BBC"/>
    <w:rsid w:val="00310E67"/>
    <w:rsid w:val="003111DB"/>
    <w:rsid w:val="00311373"/>
    <w:rsid w:val="00311CCB"/>
    <w:rsid w:val="00313937"/>
    <w:rsid w:val="00314466"/>
    <w:rsid w:val="003149E9"/>
    <w:rsid w:val="00315292"/>
    <w:rsid w:val="00316B83"/>
    <w:rsid w:val="00317004"/>
    <w:rsid w:val="00317DAD"/>
    <w:rsid w:val="00317FF8"/>
    <w:rsid w:val="003203C7"/>
    <w:rsid w:val="00320415"/>
    <w:rsid w:val="0032145B"/>
    <w:rsid w:val="003228BF"/>
    <w:rsid w:val="00322E0B"/>
    <w:rsid w:val="00323107"/>
    <w:rsid w:val="00323C5A"/>
    <w:rsid w:val="00324485"/>
    <w:rsid w:val="00325A1F"/>
    <w:rsid w:val="003272D9"/>
    <w:rsid w:val="00327975"/>
    <w:rsid w:val="00331DCE"/>
    <w:rsid w:val="00332055"/>
    <w:rsid w:val="00332280"/>
    <w:rsid w:val="003323DB"/>
    <w:rsid w:val="00332B05"/>
    <w:rsid w:val="003330C7"/>
    <w:rsid w:val="00335C9A"/>
    <w:rsid w:val="00337BC2"/>
    <w:rsid w:val="003409BF"/>
    <w:rsid w:val="00341944"/>
    <w:rsid w:val="00341BF4"/>
    <w:rsid w:val="00345525"/>
    <w:rsid w:val="0034567B"/>
    <w:rsid w:val="00347039"/>
    <w:rsid w:val="00351302"/>
    <w:rsid w:val="0035300C"/>
    <w:rsid w:val="00354664"/>
    <w:rsid w:val="00355E73"/>
    <w:rsid w:val="00356841"/>
    <w:rsid w:val="00357DAD"/>
    <w:rsid w:val="003640B6"/>
    <w:rsid w:val="003644E6"/>
    <w:rsid w:val="00364715"/>
    <w:rsid w:val="00365687"/>
    <w:rsid w:val="003657AB"/>
    <w:rsid w:val="003709CB"/>
    <w:rsid w:val="00370A03"/>
    <w:rsid w:val="00372979"/>
    <w:rsid w:val="00372A69"/>
    <w:rsid w:val="00375732"/>
    <w:rsid w:val="00376491"/>
    <w:rsid w:val="003766CA"/>
    <w:rsid w:val="003778CF"/>
    <w:rsid w:val="00380189"/>
    <w:rsid w:val="00380A15"/>
    <w:rsid w:val="00381107"/>
    <w:rsid w:val="00381308"/>
    <w:rsid w:val="003818E8"/>
    <w:rsid w:val="00383295"/>
    <w:rsid w:val="00383B6C"/>
    <w:rsid w:val="003848EF"/>
    <w:rsid w:val="00384905"/>
    <w:rsid w:val="00385AC7"/>
    <w:rsid w:val="00385BF8"/>
    <w:rsid w:val="00386560"/>
    <w:rsid w:val="00390880"/>
    <w:rsid w:val="00393ACB"/>
    <w:rsid w:val="003946A1"/>
    <w:rsid w:val="00395DFD"/>
    <w:rsid w:val="00395F95"/>
    <w:rsid w:val="0039693C"/>
    <w:rsid w:val="00396C1A"/>
    <w:rsid w:val="003972F5"/>
    <w:rsid w:val="003A12B1"/>
    <w:rsid w:val="003A12EA"/>
    <w:rsid w:val="003A151C"/>
    <w:rsid w:val="003A1BE5"/>
    <w:rsid w:val="003A238C"/>
    <w:rsid w:val="003A3580"/>
    <w:rsid w:val="003A53C5"/>
    <w:rsid w:val="003A5EEC"/>
    <w:rsid w:val="003A6079"/>
    <w:rsid w:val="003A68AB"/>
    <w:rsid w:val="003A7572"/>
    <w:rsid w:val="003A7A4A"/>
    <w:rsid w:val="003B00FB"/>
    <w:rsid w:val="003B0287"/>
    <w:rsid w:val="003B04F0"/>
    <w:rsid w:val="003B07CA"/>
    <w:rsid w:val="003B1336"/>
    <w:rsid w:val="003B20FC"/>
    <w:rsid w:val="003B30DD"/>
    <w:rsid w:val="003B33FE"/>
    <w:rsid w:val="003B3E18"/>
    <w:rsid w:val="003B5CBC"/>
    <w:rsid w:val="003B659F"/>
    <w:rsid w:val="003B72CF"/>
    <w:rsid w:val="003B78AB"/>
    <w:rsid w:val="003C2DEE"/>
    <w:rsid w:val="003C4286"/>
    <w:rsid w:val="003C687C"/>
    <w:rsid w:val="003C6C81"/>
    <w:rsid w:val="003D11C0"/>
    <w:rsid w:val="003D2341"/>
    <w:rsid w:val="003D2D82"/>
    <w:rsid w:val="003D33A3"/>
    <w:rsid w:val="003D4444"/>
    <w:rsid w:val="003D572E"/>
    <w:rsid w:val="003D57B2"/>
    <w:rsid w:val="003D6960"/>
    <w:rsid w:val="003D7125"/>
    <w:rsid w:val="003D77EE"/>
    <w:rsid w:val="003E0510"/>
    <w:rsid w:val="003E1BBB"/>
    <w:rsid w:val="003E20A0"/>
    <w:rsid w:val="003E2295"/>
    <w:rsid w:val="003E3621"/>
    <w:rsid w:val="003E54B6"/>
    <w:rsid w:val="003E58BD"/>
    <w:rsid w:val="003E5E49"/>
    <w:rsid w:val="003E66BB"/>
    <w:rsid w:val="003E7A4D"/>
    <w:rsid w:val="003F14C7"/>
    <w:rsid w:val="003F1D29"/>
    <w:rsid w:val="003F1F49"/>
    <w:rsid w:val="003F2FA0"/>
    <w:rsid w:val="003F42A7"/>
    <w:rsid w:val="003F42E4"/>
    <w:rsid w:val="003F6045"/>
    <w:rsid w:val="003F6081"/>
    <w:rsid w:val="003F71C5"/>
    <w:rsid w:val="0040124D"/>
    <w:rsid w:val="004016DE"/>
    <w:rsid w:val="00401F60"/>
    <w:rsid w:val="004025DC"/>
    <w:rsid w:val="00402E80"/>
    <w:rsid w:val="004041B8"/>
    <w:rsid w:val="004045D6"/>
    <w:rsid w:val="00405ACA"/>
    <w:rsid w:val="00406B23"/>
    <w:rsid w:val="004073ED"/>
    <w:rsid w:val="00412A59"/>
    <w:rsid w:val="00413B4C"/>
    <w:rsid w:val="00415552"/>
    <w:rsid w:val="00416050"/>
    <w:rsid w:val="00417012"/>
    <w:rsid w:val="00417259"/>
    <w:rsid w:val="004175D4"/>
    <w:rsid w:val="004213F0"/>
    <w:rsid w:val="00422963"/>
    <w:rsid w:val="00422DDA"/>
    <w:rsid w:val="004240A9"/>
    <w:rsid w:val="0042494E"/>
    <w:rsid w:val="00426AB3"/>
    <w:rsid w:val="00430D68"/>
    <w:rsid w:val="00431235"/>
    <w:rsid w:val="00432445"/>
    <w:rsid w:val="004328A5"/>
    <w:rsid w:val="004329E2"/>
    <w:rsid w:val="00432C83"/>
    <w:rsid w:val="00433533"/>
    <w:rsid w:val="0043419B"/>
    <w:rsid w:val="0043446F"/>
    <w:rsid w:val="00435DA5"/>
    <w:rsid w:val="0043683F"/>
    <w:rsid w:val="0044034F"/>
    <w:rsid w:val="0044067F"/>
    <w:rsid w:val="004406D1"/>
    <w:rsid w:val="00440A77"/>
    <w:rsid w:val="004422A6"/>
    <w:rsid w:val="00443666"/>
    <w:rsid w:val="004442E2"/>
    <w:rsid w:val="00444DC8"/>
    <w:rsid w:val="00445634"/>
    <w:rsid w:val="00446E47"/>
    <w:rsid w:val="00447B6A"/>
    <w:rsid w:val="0045253C"/>
    <w:rsid w:val="00452B35"/>
    <w:rsid w:val="004547EA"/>
    <w:rsid w:val="00455895"/>
    <w:rsid w:val="00455EAA"/>
    <w:rsid w:val="00456494"/>
    <w:rsid w:val="00457408"/>
    <w:rsid w:val="004577E1"/>
    <w:rsid w:val="0045799A"/>
    <w:rsid w:val="00462598"/>
    <w:rsid w:val="00463490"/>
    <w:rsid w:val="00466326"/>
    <w:rsid w:val="00470048"/>
    <w:rsid w:val="00470BEA"/>
    <w:rsid w:val="00471060"/>
    <w:rsid w:val="004716AC"/>
    <w:rsid w:val="00471E07"/>
    <w:rsid w:val="004763AF"/>
    <w:rsid w:val="00481238"/>
    <w:rsid w:val="0048196D"/>
    <w:rsid w:val="00481DBF"/>
    <w:rsid w:val="0048226D"/>
    <w:rsid w:val="004832D1"/>
    <w:rsid w:val="00483E1A"/>
    <w:rsid w:val="00483FB7"/>
    <w:rsid w:val="00485114"/>
    <w:rsid w:val="004860C0"/>
    <w:rsid w:val="00487074"/>
    <w:rsid w:val="0049072A"/>
    <w:rsid w:val="00490FCE"/>
    <w:rsid w:val="00490FF7"/>
    <w:rsid w:val="00491BEF"/>
    <w:rsid w:val="004930F6"/>
    <w:rsid w:val="00493B5E"/>
    <w:rsid w:val="0049416F"/>
    <w:rsid w:val="004948C9"/>
    <w:rsid w:val="00495404"/>
    <w:rsid w:val="00497591"/>
    <w:rsid w:val="00497931"/>
    <w:rsid w:val="004A12C0"/>
    <w:rsid w:val="004A14BC"/>
    <w:rsid w:val="004A2A48"/>
    <w:rsid w:val="004A3D93"/>
    <w:rsid w:val="004A3EFD"/>
    <w:rsid w:val="004A3F27"/>
    <w:rsid w:val="004A6681"/>
    <w:rsid w:val="004A7E39"/>
    <w:rsid w:val="004B1880"/>
    <w:rsid w:val="004B3B7B"/>
    <w:rsid w:val="004B4937"/>
    <w:rsid w:val="004B4A1A"/>
    <w:rsid w:val="004B5251"/>
    <w:rsid w:val="004B69DD"/>
    <w:rsid w:val="004C0DDA"/>
    <w:rsid w:val="004C1BBB"/>
    <w:rsid w:val="004C2FF2"/>
    <w:rsid w:val="004C31D8"/>
    <w:rsid w:val="004C3CF1"/>
    <w:rsid w:val="004C4B5A"/>
    <w:rsid w:val="004C4C8F"/>
    <w:rsid w:val="004C5754"/>
    <w:rsid w:val="004D0082"/>
    <w:rsid w:val="004D0574"/>
    <w:rsid w:val="004D0C7C"/>
    <w:rsid w:val="004D118B"/>
    <w:rsid w:val="004D2085"/>
    <w:rsid w:val="004D6A72"/>
    <w:rsid w:val="004D73F7"/>
    <w:rsid w:val="004E1174"/>
    <w:rsid w:val="004E242F"/>
    <w:rsid w:val="004E29C6"/>
    <w:rsid w:val="004E3E8F"/>
    <w:rsid w:val="004E4095"/>
    <w:rsid w:val="004E5E6C"/>
    <w:rsid w:val="004E6683"/>
    <w:rsid w:val="004F4C37"/>
    <w:rsid w:val="004F5375"/>
    <w:rsid w:val="004F5E43"/>
    <w:rsid w:val="004F7801"/>
    <w:rsid w:val="004F7BA3"/>
    <w:rsid w:val="00500698"/>
    <w:rsid w:val="00500926"/>
    <w:rsid w:val="00500C9D"/>
    <w:rsid w:val="00500E43"/>
    <w:rsid w:val="00503C39"/>
    <w:rsid w:val="00506528"/>
    <w:rsid w:val="005065DB"/>
    <w:rsid w:val="00507986"/>
    <w:rsid w:val="00507E14"/>
    <w:rsid w:val="00510AC6"/>
    <w:rsid w:val="005116B1"/>
    <w:rsid w:val="00517351"/>
    <w:rsid w:val="00520444"/>
    <w:rsid w:val="005216AE"/>
    <w:rsid w:val="005216E9"/>
    <w:rsid w:val="005231E6"/>
    <w:rsid w:val="005238F6"/>
    <w:rsid w:val="0052463E"/>
    <w:rsid w:val="005250E6"/>
    <w:rsid w:val="00525511"/>
    <w:rsid w:val="00526701"/>
    <w:rsid w:val="00526B28"/>
    <w:rsid w:val="00527387"/>
    <w:rsid w:val="00527A7D"/>
    <w:rsid w:val="00531A01"/>
    <w:rsid w:val="00533D7B"/>
    <w:rsid w:val="00535433"/>
    <w:rsid w:val="005361DA"/>
    <w:rsid w:val="005409C5"/>
    <w:rsid w:val="00540A7C"/>
    <w:rsid w:val="00540F1B"/>
    <w:rsid w:val="00541013"/>
    <w:rsid w:val="005426DB"/>
    <w:rsid w:val="00543C06"/>
    <w:rsid w:val="00544292"/>
    <w:rsid w:val="005448AD"/>
    <w:rsid w:val="005456EC"/>
    <w:rsid w:val="00545EEB"/>
    <w:rsid w:val="00547154"/>
    <w:rsid w:val="00553859"/>
    <w:rsid w:val="00554795"/>
    <w:rsid w:val="00554945"/>
    <w:rsid w:val="00556DEA"/>
    <w:rsid w:val="00557938"/>
    <w:rsid w:val="00560465"/>
    <w:rsid w:val="0056070C"/>
    <w:rsid w:val="00560972"/>
    <w:rsid w:val="00562485"/>
    <w:rsid w:val="005628FC"/>
    <w:rsid w:val="00563378"/>
    <w:rsid w:val="00563F7B"/>
    <w:rsid w:val="005640A6"/>
    <w:rsid w:val="00564A9A"/>
    <w:rsid w:val="0056664A"/>
    <w:rsid w:val="005671AF"/>
    <w:rsid w:val="00570267"/>
    <w:rsid w:val="00570F8E"/>
    <w:rsid w:val="005719FD"/>
    <w:rsid w:val="00571B06"/>
    <w:rsid w:val="00572118"/>
    <w:rsid w:val="00573359"/>
    <w:rsid w:val="00574A89"/>
    <w:rsid w:val="00575461"/>
    <w:rsid w:val="00575FFA"/>
    <w:rsid w:val="00576F30"/>
    <w:rsid w:val="00580A86"/>
    <w:rsid w:val="00582997"/>
    <w:rsid w:val="00584C71"/>
    <w:rsid w:val="00586CE4"/>
    <w:rsid w:val="00586D82"/>
    <w:rsid w:val="005875FD"/>
    <w:rsid w:val="005879B8"/>
    <w:rsid w:val="00591130"/>
    <w:rsid w:val="005920A2"/>
    <w:rsid w:val="00593648"/>
    <w:rsid w:val="00593E33"/>
    <w:rsid w:val="00594141"/>
    <w:rsid w:val="005941BD"/>
    <w:rsid w:val="00594AC6"/>
    <w:rsid w:val="00594F99"/>
    <w:rsid w:val="0059679F"/>
    <w:rsid w:val="00596F19"/>
    <w:rsid w:val="00596F3F"/>
    <w:rsid w:val="005970B5"/>
    <w:rsid w:val="005978D0"/>
    <w:rsid w:val="005A0026"/>
    <w:rsid w:val="005A0B86"/>
    <w:rsid w:val="005A1CF1"/>
    <w:rsid w:val="005A2FC0"/>
    <w:rsid w:val="005A3272"/>
    <w:rsid w:val="005A3880"/>
    <w:rsid w:val="005A66F6"/>
    <w:rsid w:val="005A75DD"/>
    <w:rsid w:val="005A7A14"/>
    <w:rsid w:val="005B25A3"/>
    <w:rsid w:val="005B341F"/>
    <w:rsid w:val="005B44D6"/>
    <w:rsid w:val="005B47AA"/>
    <w:rsid w:val="005B5651"/>
    <w:rsid w:val="005B613F"/>
    <w:rsid w:val="005B7D45"/>
    <w:rsid w:val="005C00CA"/>
    <w:rsid w:val="005C0E7F"/>
    <w:rsid w:val="005C51E7"/>
    <w:rsid w:val="005C54A9"/>
    <w:rsid w:val="005C610D"/>
    <w:rsid w:val="005D0BD1"/>
    <w:rsid w:val="005D16E1"/>
    <w:rsid w:val="005D27B8"/>
    <w:rsid w:val="005D2E03"/>
    <w:rsid w:val="005D3D8B"/>
    <w:rsid w:val="005D3E03"/>
    <w:rsid w:val="005D4544"/>
    <w:rsid w:val="005D4D12"/>
    <w:rsid w:val="005D4F09"/>
    <w:rsid w:val="005D5178"/>
    <w:rsid w:val="005D6EA8"/>
    <w:rsid w:val="005D6F05"/>
    <w:rsid w:val="005E10E3"/>
    <w:rsid w:val="005E3FC7"/>
    <w:rsid w:val="005E490A"/>
    <w:rsid w:val="005E4EC4"/>
    <w:rsid w:val="005F05D8"/>
    <w:rsid w:val="005F32E7"/>
    <w:rsid w:val="005F3C17"/>
    <w:rsid w:val="005F54D7"/>
    <w:rsid w:val="005F698B"/>
    <w:rsid w:val="005F79F0"/>
    <w:rsid w:val="00600956"/>
    <w:rsid w:val="006011E1"/>
    <w:rsid w:val="00602401"/>
    <w:rsid w:val="00602636"/>
    <w:rsid w:val="00604158"/>
    <w:rsid w:val="0060499A"/>
    <w:rsid w:val="0060559A"/>
    <w:rsid w:val="006064E4"/>
    <w:rsid w:val="0060666C"/>
    <w:rsid w:val="00606C5F"/>
    <w:rsid w:val="00610969"/>
    <w:rsid w:val="0061103F"/>
    <w:rsid w:val="00614CE6"/>
    <w:rsid w:val="006158F9"/>
    <w:rsid w:val="00615CA5"/>
    <w:rsid w:val="00615D43"/>
    <w:rsid w:val="00616BCC"/>
    <w:rsid w:val="0061761A"/>
    <w:rsid w:val="00622448"/>
    <w:rsid w:val="00623DFF"/>
    <w:rsid w:val="00624299"/>
    <w:rsid w:val="006243EB"/>
    <w:rsid w:val="00625536"/>
    <w:rsid w:val="00625AC1"/>
    <w:rsid w:val="00626698"/>
    <w:rsid w:val="006267F8"/>
    <w:rsid w:val="00627BA5"/>
    <w:rsid w:val="00630966"/>
    <w:rsid w:val="00630EC4"/>
    <w:rsid w:val="00630EC9"/>
    <w:rsid w:val="00631B4C"/>
    <w:rsid w:val="00632522"/>
    <w:rsid w:val="006328B1"/>
    <w:rsid w:val="00632CB9"/>
    <w:rsid w:val="006340DF"/>
    <w:rsid w:val="00635353"/>
    <w:rsid w:val="00635BAE"/>
    <w:rsid w:val="00636D91"/>
    <w:rsid w:val="00637714"/>
    <w:rsid w:val="00641D5A"/>
    <w:rsid w:val="00642777"/>
    <w:rsid w:val="00643B89"/>
    <w:rsid w:val="00644C50"/>
    <w:rsid w:val="00644CF5"/>
    <w:rsid w:val="00645936"/>
    <w:rsid w:val="00646433"/>
    <w:rsid w:val="00646B92"/>
    <w:rsid w:val="00647402"/>
    <w:rsid w:val="00650282"/>
    <w:rsid w:val="00650A11"/>
    <w:rsid w:val="00650A1C"/>
    <w:rsid w:val="00651084"/>
    <w:rsid w:val="0065119B"/>
    <w:rsid w:val="006511BB"/>
    <w:rsid w:val="006531EF"/>
    <w:rsid w:val="006544EA"/>
    <w:rsid w:val="00655DA6"/>
    <w:rsid w:val="00656305"/>
    <w:rsid w:val="00657AFC"/>
    <w:rsid w:val="0066034A"/>
    <w:rsid w:val="006631B8"/>
    <w:rsid w:val="00663FB8"/>
    <w:rsid w:val="006656EC"/>
    <w:rsid w:val="006662EE"/>
    <w:rsid w:val="00667977"/>
    <w:rsid w:val="00667D10"/>
    <w:rsid w:val="006725A4"/>
    <w:rsid w:val="00674043"/>
    <w:rsid w:val="0067720E"/>
    <w:rsid w:val="00677C65"/>
    <w:rsid w:val="006802DD"/>
    <w:rsid w:val="0068051F"/>
    <w:rsid w:val="006812CF"/>
    <w:rsid w:val="00681B40"/>
    <w:rsid w:val="00681E91"/>
    <w:rsid w:val="006820E6"/>
    <w:rsid w:val="006824EE"/>
    <w:rsid w:val="00682BBC"/>
    <w:rsid w:val="00683ABF"/>
    <w:rsid w:val="00684490"/>
    <w:rsid w:val="00685CB3"/>
    <w:rsid w:val="006867B7"/>
    <w:rsid w:val="00686F5E"/>
    <w:rsid w:val="0069043F"/>
    <w:rsid w:val="006904A9"/>
    <w:rsid w:val="006914EF"/>
    <w:rsid w:val="00691AAC"/>
    <w:rsid w:val="0069239F"/>
    <w:rsid w:val="00692DE8"/>
    <w:rsid w:val="00693BCB"/>
    <w:rsid w:val="0069403E"/>
    <w:rsid w:val="006945C8"/>
    <w:rsid w:val="00697601"/>
    <w:rsid w:val="006A0557"/>
    <w:rsid w:val="006A0782"/>
    <w:rsid w:val="006A1B09"/>
    <w:rsid w:val="006A2A2C"/>
    <w:rsid w:val="006A2D92"/>
    <w:rsid w:val="006A56C1"/>
    <w:rsid w:val="006A5A2E"/>
    <w:rsid w:val="006B012B"/>
    <w:rsid w:val="006B04D1"/>
    <w:rsid w:val="006B131C"/>
    <w:rsid w:val="006B2903"/>
    <w:rsid w:val="006B3C41"/>
    <w:rsid w:val="006B4257"/>
    <w:rsid w:val="006B4B0D"/>
    <w:rsid w:val="006B4E05"/>
    <w:rsid w:val="006B70AF"/>
    <w:rsid w:val="006C0521"/>
    <w:rsid w:val="006C17EA"/>
    <w:rsid w:val="006C2E32"/>
    <w:rsid w:val="006C46C0"/>
    <w:rsid w:val="006C5CE3"/>
    <w:rsid w:val="006C6483"/>
    <w:rsid w:val="006C7426"/>
    <w:rsid w:val="006D01E4"/>
    <w:rsid w:val="006D1474"/>
    <w:rsid w:val="006D1F7D"/>
    <w:rsid w:val="006D29CD"/>
    <w:rsid w:val="006D2BE3"/>
    <w:rsid w:val="006D2BEB"/>
    <w:rsid w:val="006D2BF3"/>
    <w:rsid w:val="006D37CF"/>
    <w:rsid w:val="006D3DCE"/>
    <w:rsid w:val="006D6076"/>
    <w:rsid w:val="006D6CC3"/>
    <w:rsid w:val="006E11EC"/>
    <w:rsid w:val="006E17B6"/>
    <w:rsid w:val="006E1919"/>
    <w:rsid w:val="006E239F"/>
    <w:rsid w:val="006E58A2"/>
    <w:rsid w:val="006E7242"/>
    <w:rsid w:val="006E7CFB"/>
    <w:rsid w:val="006F0945"/>
    <w:rsid w:val="006F1D44"/>
    <w:rsid w:val="006F3BB8"/>
    <w:rsid w:val="006F6CFD"/>
    <w:rsid w:val="0070149F"/>
    <w:rsid w:val="00701619"/>
    <w:rsid w:val="0070240A"/>
    <w:rsid w:val="00702D40"/>
    <w:rsid w:val="00703D2D"/>
    <w:rsid w:val="00705189"/>
    <w:rsid w:val="00706FE9"/>
    <w:rsid w:val="00710BF9"/>
    <w:rsid w:val="0071191B"/>
    <w:rsid w:val="00711A36"/>
    <w:rsid w:val="00712282"/>
    <w:rsid w:val="00712914"/>
    <w:rsid w:val="0071360C"/>
    <w:rsid w:val="0071367B"/>
    <w:rsid w:val="007139B6"/>
    <w:rsid w:val="0071468E"/>
    <w:rsid w:val="007146AB"/>
    <w:rsid w:val="007148AA"/>
    <w:rsid w:val="00716249"/>
    <w:rsid w:val="0071686F"/>
    <w:rsid w:val="00716A12"/>
    <w:rsid w:val="00716D5C"/>
    <w:rsid w:val="00716E66"/>
    <w:rsid w:val="00717466"/>
    <w:rsid w:val="00717760"/>
    <w:rsid w:val="00717800"/>
    <w:rsid w:val="007208D9"/>
    <w:rsid w:val="00720AF5"/>
    <w:rsid w:val="00720C9D"/>
    <w:rsid w:val="00720FFE"/>
    <w:rsid w:val="00724C0F"/>
    <w:rsid w:val="0072500D"/>
    <w:rsid w:val="00732185"/>
    <w:rsid w:val="0073258B"/>
    <w:rsid w:val="00732BA8"/>
    <w:rsid w:val="007330B1"/>
    <w:rsid w:val="0073350E"/>
    <w:rsid w:val="00733F8C"/>
    <w:rsid w:val="00734E99"/>
    <w:rsid w:val="007359A7"/>
    <w:rsid w:val="00736976"/>
    <w:rsid w:val="00736A54"/>
    <w:rsid w:val="0074128D"/>
    <w:rsid w:val="00744ECC"/>
    <w:rsid w:val="0074677C"/>
    <w:rsid w:val="00746E21"/>
    <w:rsid w:val="0074740B"/>
    <w:rsid w:val="00747E73"/>
    <w:rsid w:val="0075393B"/>
    <w:rsid w:val="0075471A"/>
    <w:rsid w:val="0075771C"/>
    <w:rsid w:val="00757DE7"/>
    <w:rsid w:val="007608D7"/>
    <w:rsid w:val="007609E0"/>
    <w:rsid w:val="00760C0D"/>
    <w:rsid w:val="00761231"/>
    <w:rsid w:val="00762810"/>
    <w:rsid w:val="00763D76"/>
    <w:rsid w:val="00764FAA"/>
    <w:rsid w:val="007663D0"/>
    <w:rsid w:val="00767A04"/>
    <w:rsid w:val="007727C6"/>
    <w:rsid w:val="00773719"/>
    <w:rsid w:val="00773B58"/>
    <w:rsid w:val="00774343"/>
    <w:rsid w:val="007754E1"/>
    <w:rsid w:val="007767D9"/>
    <w:rsid w:val="00777487"/>
    <w:rsid w:val="007777A1"/>
    <w:rsid w:val="0078003D"/>
    <w:rsid w:val="0078273E"/>
    <w:rsid w:val="00782DCD"/>
    <w:rsid w:val="00782F88"/>
    <w:rsid w:val="0078471D"/>
    <w:rsid w:val="00784EC0"/>
    <w:rsid w:val="00785D0C"/>
    <w:rsid w:val="00786D11"/>
    <w:rsid w:val="00786D45"/>
    <w:rsid w:val="0078730F"/>
    <w:rsid w:val="0078760F"/>
    <w:rsid w:val="007913FD"/>
    <w:rsid w:val="0079221B"/>
    <w:rsid w:val="007925C2"/>
    <w:rsid w:val="00796A50"/>
    <w:rsid w:val="00797812"/>
    <w:rsid w:val="007A01E1"/>
    <w:rsid w:val="007A0F87"/>
    <w:rsid w:val="007A3115"/>
    <w:rsid w:val="007A33AC"/>
    <w:rsid w:val="007A49C2"/>
    <w:rsid w:val="007A4BDD"/>
    <w:rsid w:val="007A6B3A"/>
    <w:rsid w:val="007B05B3"/>
    <w:rsid w:val="007B14CE"/>
    <w:rsid w:val="007B33D7"/>
    <w:rsid w:val="007B5ABD"/>
    <w:rsid w:val="007B5AC7"/>
    <w:rsid w:val="007B6556"/>
    <w:rsid w:val="007B6C2F"/>
    <w:rsid w:val="007B732A"/>
    <w:rsid w:val="007B7727"/>
    <w:rsid w:val="007C08F8"/>
    <w:rsid w:val="007C10F1"/>
    <w:rsid w:val="007C1837"/>
    <w:rsid w:val="007C20E3"/>
    <w:rsid w:val="007C2377"/>
    <w:rsid w:val="007C293A"/>
    <w:rsid w:val="007C4F98"/>
    <w:rsid w:val="007D0172"/>
    <w:rsid w:val="007D0844"/>
    <w:rsid w:val="007D0CC0"/>
    <w:rsid w:val="007D16E8"/>
    <w:rsid w:val="007D2908"/>
    <w:rsid w:val="007D34BF"/>
    <w:rsid w:val="007D43F1"/>
    <w:rsid w:val="007D537B"/>
    <w:rsid w:val="007D69BF"/>
    <w:rsid w:val="007D6F3F"/>
    <w:rsid w:val="007E0D3D"/>
    <w:rsid w:val="007E1522"/>
    <w:rsid w:val="007E190E"/>
    <w:rsid w:val="007E1D58"/>
    <w:rsid w:val="007E4003"/>
    <w:rsid w:val="007E5728"/>
    <w:rsid w:val="007E6CF8"/>
    <w:rsid w:val="007E6ECC"/>
    <w:rsid w:val="007E7285"/>
    <w:rsid w:val="007F0ABE"/>
    <w:rsid w:val="007F0ED9"/>
    <w:rsid w:val="007F25A7"/>
    <w:rsid w:val="007F2645"/>
    <w:rsid w:val="007F435A"/>
    <w:rsid w:val="007F4668"/>
    <w:rsid w:val="007F571B"/>
    <w:rsid w:val="007F635D"/>
    <w:rsid w:val="007F64C7"/>
    <w:rsid w:val="008031EC"/>
    <w:rsid w:val="008034D8"/>
    <w:rsid w:val="008054F0"/>
    <w:rsid w:val="00805BD3"/>
    <w:rsid w:val="00807DB6"/>
    <w:rsid w:val="00815425"/>
    <w:rsid w:val="008155E3"/>
    <w:rsid w:val="00817638"/>
    <w:rsid w:val="00820722"/>
    <w:rsid w:val="008228A5"/>
    <w:rsid w:val="00822B3C"/>
    <w:rsid w:val="00823AC5"/>
    <w:rsid w:val="008249E1"/>
    <w:rsid w:val="00824F16"/>
    <w:rsid w:val="00826F71"/>
    <w:rsid w:val="00830ED9"/>
    <w:rsid w:val="008326DB"/>
    <w:rsid w:val="0083287F"/>
    <w:rsid w:val="00834367"/>
    <w:rsid w:val="00834AB9"/>
    <w:rsid w:val="008369A3"/>
    <w:rsid w:val="00837300"/>
    <w:rsid w:val="008376A9"/>
    <w:rsid w:val="00837F65"/>
    <w:rsid w:val="008410B6"/>
    <w:rsid w:val="00841320"/>
    <w:rsid w:val="00845B33"/>
    <w:rsid w:val="00846926"/>
    <w:rsid w:val="008478CE"/>
    <w:rsid w:val="00847C2B"/>
    <w:rsid w:val="00847E7D"/>
    <w:rsid w:val="00847F14"/>
    <w:rsid w:val="00850B48"/>
    <w:rsid w:val="00850CF7"/>
    <w:rsid w:val="00854B58"/>
    <w:rsid w:val="00855025"/>
    <w:rsid w:val="0085583B"/>
    <w:rsid w:val="008570BE"/>
    <w:rsid w:val="0085735E"/>
    <w:rsid w:val="008576E4"/>
    <w:rsid w:val="00857E85"/>
    <w:rsid w:val="00860E75"/>
    <w:rsid w:val="0086103A"/>
    <w:rsid w:val="008617EA"/>
    <w:rsid w:val="0086208D"/>
    <w:rsid w:val="008625D4"/>
    <w:rsid w:val="008629E3"/>
    <w:rsid w:val="00864321"/>
    <w:rsid w:val="00865DC8"/>
    <w:rsid w:val="00870D58"/>
    <w:rsid w:val="008710F4"/>
    <w:rsid w:val="008712A0"/>
    <w:rsid w:val="008712D5"/>
    <w:rsid w:val="008717D4"/>
    <w:rsid w:val="00872621"/>
    <w:rsid w:val="008727AA"/>
    <w:rsid w:val="008729DD"/>
    <w:rsid w:val="00873250"/>
    <w:rsid w:val="00873825"/>
    <w:rsid w:val="008739EF"/>
    <w:rsid w:val="00873ADE"/>
    <w:rsid w:val="00876F9A"/>
    <w:rsid w:val="00877C17"/>
    <w:rsid w:val="00881AEB"/>
    <w:rsid w:val="008839E5"/>
    <w:rsid w:val="00883C2B"/>
    <w:rsid w:val="00883C78"/>
    <w:rsid w:val="00887259"/>
    <w:rsid w:val="0088761A"/>
    <w:rsid w:val="00890A9E"/>
    <w:rsid w:val="00891800"/>
    <w:rsid w:val="00891E7B"/>
    <w:rsid w:val="00892576"/>
    <w:rsid w:val="00894031"/>
    <w:rsid w:val="00894601"/>
    <w:rsid w:val="00894CD3"/>
    <w:rsid w:val="00895D49"/>
    <w:rsid w:val="008967FA"/>
    <w:rsid w:val="0089699B"/>
    <w:rsid w:val="008A14FA"/>
    <w:rsid w:val="008A37B2"/>
    <w:rsid w:val="008A4654"/>
    <w:rsid w:val="008A5B54"/>
    <w:rsid w:val="008A6491"/>
    <w:rsid w:val="008A6708"/>
    <w:rsid w:val="008A70C3"/>
    <w:rsid w:val="008A7CF1"/>
    <w:rsid w:val="008B0674"/>
    <w:rsid w:val="008B0B60"/>
    <w:rsid w:val="008B0B81"/>
    <w:rsid w:val="008B0CFF"/>
    <w:rsid w:val="008B14B3"/>
    <w:rsid w:val="008B20C2"/>
    <w:rsid w:val="008B2772"/>
    <w:rsid w:val="008B333C"/>
    <w:rsid w:val="008B3CD2"/>
    <w:rsid w:val="008B5C6E"/>
    <w:rsid w:val="008B75E1"/>
    <w:rsid w:val="008C011F"/>
    <w:rsid w:val="008C0805"/>
    <w:rsid w:val="008C096C"/>
    <w:rsid w:val="008C0B6E"/>
    <w:rsid w:val="008C1CAA"/>
    <w:rsid w:val="008C1E7B"/>
    <w:rsid w:val="008C26F4"/>
    <w:rsid w:val="008C3539"/>
    <w:rsid w:val="008C4888"/>
    <w:rsid w:val="008C624A"/>
    <w:rsid w:val="008D02DB"/>
    <w:rsid w:val="008D0E00"/>
    <w:rsid w:val="008D1155"/>
    <w:rsid w:val="008D1DB1"/>
    <w:rsid w:val="008D1DF0"/>
    <w:rsid w:val="008D3892"/>
    <w:rsid w:val="008D39AA"/>
    <w:rsid w:val="008D5118"/>
    <w:rsid w:val="008D55F9"/>
    <w:rsid w:val="008D6A9C"/>
    <w:rsid w:val="008E0D56"/>
    <w:rsid w:val="008E2B2F"/>
    <w:rsid w:val="008E314D"/>
    <w:rsid w:val="008E348C"/>
    <w:rsid w:val="008E385A"/>
    <w:rsid w:val="008E4DFF"/>
    <w:rsid w:val="008E549E"/>
    <w:rsid w:val="008E54D0"/>
    <w:rsid w:val="008E5E23"/>
    <w:rsid w:val="008E67C0"/>
    <w:rsid w:val="008E7F9F"/>
    <w:rsid w:val="008F09FE"/>
    <w:rsid w:val="008F1046"/>
    <w:rsid w:val="008F18B3"/>
    <w:rsid w:val="008F1E40"/>
    <w:rsid w:val="008F2481"/>
    <w:rsid w:val="008F281A"/>
    <w:rsid w:val="008F2DC7"/>
    <w:rsid w:val="008F5890"/>
    <w:rsid w:val="008F5B59"/>
    <w:rsid w:val="008F6E9D"/>
    <w:rsid w:val="00900C12"/>
    <w:rsid w:val="00901EDF"/>
    <w:rsid w:val="00903CAE"/>
    <w:rsid w:val="00904B02"/>
    <w:rsid w:val="00904BBF"/>
    <w:rsid w:val="009050B9"/>
    <w:rsid w:val="00905752"/>
    <w:rsid w:val="00906288"/>
    <w:rsid w:val="00906E14"/>
    <w:rsid w:val="009076FD"/>
    <w:rsid w:val="00910A70"/>
    <w:rsid w:val="0091113E"/>
    <w:rsid w:val="009115A5"/>
    <w:rsid w:val="009128E8"/>
    <w:rsid w:val="00914581"/>
    <w:rsid w:val="00917C1D"/>
    <w:rsid w:val="00920962"/>
    <w:rsid w:val="00920A27"/>
    <w:rsid w:val="00924E21"/>
    <w:rsid w:val="009251AB"/>
    <w:rsid w:val="00925FB4"/>
    <w:rsid w:val="009269DC"/>
    <w:rsid w:val="0092726F"/>
    <w:rsid w:val="009308F0"/>
    <w:rsid w:val="0093251D"/>
    <w:rsid w:val="00932CDB"/>
    <w:rsid w:val="009352C6"/>
    <w:rsid w:val="00935F44"/>
    <w:rsid w:val="00936C94"/>
    <w:rsid w:val="00937CD8"/>
    <w:rsid w:val="00937DFB"/>
    <w:rsid w:val="00940A80"/>
    <w:rsid w:val="00941D69"/>
    <w:rsid w:val="00944597"/>
    <w:rsid w:val="00944936"/>
    <w:rsid w:val="00944AA7"/>
    <w:rsid w:val="0094571F"/>
    <w:rsid w:val="009457B6"/>
    <w:rsid w:val="00946AD7"/>
    <w:rsid w:val="00947C30"/>
    <w:rsid w:val="00947F91"/>
    <w:rsid w:val="0095045E"/>
    <w:rsid w:val="00950571"/>
    <w:rsid w:val="00952D7C"/>
    <w:rsid w:val="009540D9"/>
    <w:rsid w:val="009546F6"/>
    <w:rsid w:val="0095546F"/>
    <w:rsid w:val="0095626F"/>
    <w:rsid w:val="009569C9"/>
    <w:rsid w:val="00956BA1"/>
    <w:rsid w:val="00961356"/>
    <w:rsid w:val="009614FB"/>
    <w:rsid w:val="00962C9F"/>
    <w:rsid w:val="00963336"/>
    <w:rsid w:val="00963DA9"/>
    <w:rsid w:val="009644E6"/>
    <w:rsid w:val="0096455D"/>
    <w:rsid w:val="00964F55"/>
    <w:rsid w:val="00965CBF"/>
    <w:rsid w:val="00966271"/>
    <w:rsid w:val="0096786B"/>
    <w:rsid w:val="009709DA"/>
    <w:rsid w:val="0097372C"/>
    <w:rsid w:val="0097570D"/>
    <w:rsid w:val="009769C6"/>
    <w:rsid w:val="00977F47"/>
    <w:rsid w:val="009800FB"/>
    <w:rsid w:val="00980FD2"/>
    <w:rsid w:val="009837EF"/>
    <w:rsid w:val="00984BDC"/>
    <w:rsid w:val="009857E0"/>
    <w:rsid w:val="009879C1"/>
    <w:rsid w:val="00987A1D"/>
    <w:rsid w:val="009918FB"/>
    <w:rsid w:val="00991CE2"/>
    <w:rsid w:val="00996985"/>
    <w:rsid w:val="009A0497"/>
    <w:rsid w:val="009A1142"/>
    <w:rsid w:val="009A1A9A"/>
    <w:rsid w:val="009A2D21"/>
    <w:rsid w:val="009A6BEF"/>
    <w:rsid w:val="009B157C"/>
    <w:rsid w:val="009B2293"/>
    <w:rsid w:val="009B25BD"/>
    <w:rsid w:val="009B2BCF"/>
    <w:rsid w:val="009B33A6"/>
    <w:rsid w:val="009B36BF"/>
    <w:rsid w:val="009B3D55"/>
    <w:rsid w:val="009B52C5"/>
    <w:rsid w:val="009B5872"/>
    <w:rsid w:val="009B5A80"/>
    <w:rsid w:val="009B671B"/>
    <w:rsid w:val="009B6ACF"/>
    <w:rsid w:val="009B6B48"/>
    <w:rsid w:val="009B7123"/>
    <w:rsid w:val="009B7B65"/>
    <w:rsid w:val="009C0CEB"/>
    <w:rsid w:val="009C2B62"/>
    <w:rsid w:val="009C3E19"/>
    <w:rsid w:val="009C74B5"/>
    <w:rsid w:val="009C7BD2"/>
    <w:rsid w:val="009D0E47"/>
    <w:rsid w:val="009D134F"/>
    <w:rsid w:val="009D13F4"/>
    <w:rsid w:val="009D1F1C"/>
    <w:rsid w:val="009D2902"/>
    <w:rsid w:val="009D3150"/>
    <w:rsid w:val="009D3AEC"/>
    <w:rsid w:val="009D5310"/>
    <w:rsid w:val="009D791D"/>
    <w:rsid w:val="009D7957"/>
    <w:rsid w:val="009D7CE6"/>
    <w:rsid w:val="009E008F"/>
    <w:rsid w:val="009E0870"/>
    <w:rsid w:val="009E0D56"/>
    <w:rsid w:val="009E2075"/>
    <w:rsid w:val="009E262C"/>
    <w:rsid w:val="009E3B03"/>
    <w:rsid w:val="009E5387"/>
    <w:rsid w:val="009E5D8C"/>
    <w:rsid w:val="009E6430"/>
    <w:rsid w:val="009E64A4"/>
    <w:rsid w:val="009E720C"/>
    <w:rsid w:val="009E771F"/>
    <w:rsid w:val="009F471D"/>
    <w:rsid w:val="009F48BD"/>
    <w:rsid w:val="009F56A0"/>
    <w:rsid w:val="009F5F6D"/>
    <w:rsid w:val="009F625C"/>
    <w:rsid w:val="009F6692"/>
    <w:rsid w:val="00A00F82"/>
    <w:rsid w:val="00A0231F"/>
    <w:rsid w:val="00A02AB8"/>
    <w:rsid w:val="00A0444F"/>
    <w:rsid w:val="00A04738"/>
    <w:rsid w:val="00A05393"/>
    <w:rsid w:val="00A05924"/>
    <w:rsid w:val="00A12337"/>
    <w:rsid w:val="00A127AE"/>
    <w:rsid w:val="00A133AF"/>
    <w:rsid w:val="00A13C00"/>
    <w:rsid w:val="00A143E0"/>
    <w:rsid w:val="00A1527C"/>
    <w:rsid w:val="00A17A40"/>
    <w:rsid w:val="00A212FC"/>
    <w:rsid w:val="00A21C3A"/>
    <w:rsid w:val="00A22274"/>
    <w:rsid w:val="00A223AF"/>
    <w:rsid w:val="00A2267C"/>
    <w:rsid w:val="00A23419"/>
    <w:rsid w:val="00A248BB"/>
    <w:rsid w:val="00A25F19"/>
    <w:rsid w:val="00A26A41"/>
    <w:rsid w:val="00A26AAA"/>
    <w:rsid w:val="00A3018F"/>
    <w:rsid w:val="00A305D6"/>
    <w:rsid w:val="00A32793"/>
    <w:rsid w:val="00A376D1"/>
    <w:rsid w:val="00A412A4"/>
    <w:rsid w:val="00A42898"/>
    <w:rsid w:val="00A43B18"/>
    <w:rsid w:val="00A44E29"/>
    <w:rsid w:val="00A45752"/>
    <w:rsid w:val="00A46405"/>
    <w:rsid w:val="00A46BA8"/>
    <w:rsid w:val="00A47176"/>
    <w:rsid w:val="00A50320"/>
    <w:rsid w:val="00A516B1"/>
    <w:rsid w:val="00A54607"/>
    <w:rsid w:val="00A5615B"/>
    <w:rsid w:val="00A566F7"/>
    <w:rsid w:val="00A60788"/>
    <w:rsid w:val="00A624D4"/>
    <w:rsid w:val="00A63795"/>
    <w:rsid w:val="00A63817"/>
    <w:rsid w:val="00A64DFC"/>
    <w:rsid w:val="00A64E67"/>
    <w:rsid w:val="00A65352"/>
    <w:rsid w:val="00A65708"/>
    <w:rsid w:val="00A65902"/>
    <w:rsid w:val="00A73353"/>
    <w:rsid w:val="00A73631"/>
    <w:rsid w:val="00A74FE2"/>
    <w:rsid w:val="00A75DAF"/>
    <w:rsid w:val="00A76ACC"/>
    <w:rsid w:val="00A80316"/>
    <w:rsid w:val="00A80DCD"/>
    <w:rsid w:val="00A827A8"/>
    <w:rsid w:val="00A8360B"/>
    <w:rsid w:val="00A857D9"/>
    <w:rsid w:val="00A90857"/>
    <w:rsid w:val="00A90A64"/>
    <w:rsid w:val="00A90C61"/>
    <w:rsid w:val="00A90D65"/>
    <w:rsid w:val="00A91448"/>
    <w:rsid w:val="00A92245"/>
    <w:rsid w:val="00A93A78"/>
    <w:rsid w:val="00A93EBA"/>
    <w:rsid w:val="00A94548"/>
    <w:rsid w:val="00A95145"/>
    <w:rsid w:val="00A951D4"/>
    <w:rsid w:val="00A97DF5"/>
    <w:rsid w:val="00AA0CF2"/>
    <w:rsid w:val="00AA25A1"/>
    <w:rsid w:val="00AA2B6A"/>
    <w:rsid w:val="00AA3306"/>
    <w:rsid w:val="00AA4B70"/>
    <w:rsid w:val="00AA4E0F"/>
    <w:rsid w:val="00AA7756"/>
    <w:rsid w:val="00AB2055"/>
    <w:rsid w:val="00AB2960"/>
    <w:rsid w:val="00AB4A42"/>
    <w:rsid w:val="00AB574B"/>
    <w:rsid w:val="00AB6DF3"/>
    <w:rsid w:val="00AB79EC"/>
    <w:rsid w:val="00AC06AD"/>
    <w:rsid w:val="00AC1849"/>
    <w:rsid w:val="00AC1DB2"/>
    <w:rsid w:val="00AC23DD"/>
    <w:rsid w:val="00AC29B4"/>
    <w:rsid w:val="00AC4436"/>
    <w:rsid w:val="00AC6D7C"/>
    <w:rsid w:val="00AC758F"/>
    <w:rsid w:val="00AD01BB"/>
    <w:rsid w:val="00AD02B4"/>
    <w:rsid w:val="00AD09AE"/>
    <w:rsid w:val="00AD4CDC"/>
    <w:rsid w:val="00AD5620"/>
    <w:rsid w:val="00AD5C18"/>
    <w:rsid w:val="00AD5C7A"/>
    <w:rsid w:val="00AD5FA3"/>
    <w:rsid w:val="00AD640D"/>
    <w:rsid w:val="00AD6B21"/>
    <w:rsid w:val="00AD6C47"/>
    <w:rsid w:val="00AD6D7F"/>
    <w:rsid w:val="00AD738C"/>
    <w:rsid w:val="00AE0DAF"/>
    <w:rsid w:val="00AE1E77"/>
    <w:rsid w:val="00AE2076"/>
    <w:rsid w:val="00AE311C"/>
    <w:rsid w:val="00AE32FC"/>
    <w:rsid w:val="00AE3926"/>
    <w:rsid w:val="00AE46AA"/>
    <w:rsid w:val="00AE6061"/>
    <w:rsid w:val="00AF0388"/>
    <w:rsid w:val="00AF05EF"/>
    <w:rsid w:val="00AF0863"/>
    <w:rsid w:val="00AF29BB"/>
    <w:rsid w:val="00AF2B88"/>
    <w:rsid w:val="00AF32B4"/>
    <w:rsid w:val="00AF5F2E"/>
    <w:rsid w:val="00AF63A9"/>
    <w:rsid w:val="00AF739D"/>
    <w:rsid w:val="00AF78B3"/>
    <w:rsid w:val="00AF7CE2"/>
    <w:rsid w:val="00B00194"/>
    <w:rsid w:val="00B005FD"/>
    <w:rsid w:val="00B006A9"/>
    <w:rsid w:val="00B00A80"/>
    <w:rsid w:val="00B01DF9"/>
    <w:rsid w:val="00B01ECE"/>
    <w:rsid w:val="00B03B2C"/>
    <w:rsid w:val="00B03D23"/>
    <w:rsid w:val="00B06148"/>
    <w:rsid w:val="00B068F2"/>
    <w:rsid w:val="00B10278"/>
    <w:rsid w:val="00B12922"/>
    <w:rsid w:val="00B13310"/>
    <w:rsid w:val="00B154EA"/>
    <w:rsid w:val="00B16720"/>
    <w:rsid w:val="00B17990"/>
    <w:rsid w:val="00B20969"/>
    <w:rsid w:val="00B20E67"/>
    <w:rsid w:val="00B2109F"/>
    <w:rsid w:val="00B21702"/>
    <w:rsid w:val="00B21B21"/>
    <w:rsid w:val="00B21C9E"/>
    <w:rsid w:val="00B22390"/>
    <w:rsid w:val="00B2258D"/>
    <w:rsid w:val="00B225B0"/>
    <w:rsid w:val="00B2316E"/>
    <w:rsid w:val="00B24DBD"/>
    <w:rsid w:val="00B318B0"/>
    <w:rsid w:val="00B31E83"/>
    <w:rsid w:val="00B3230A"/>
    <w:rsid w:val="00B325B0"/>
    <w:rsid w:val="00B328FC"/>
    <w:rsid w:val="00B3377A"/>
    <w:rsid w:val="00B33CCA"/>
    <w:rsid w:val="00B3411C"/>
    <w:rsid w:val="00B36716"/>
    <w:rsid w:val="00B402A8"/>
    <w:rsid w:val="00B40B26"/>
    <w:rsid w:val="00B4136C"/>
    <w:rsid w:val="00B4271C"/>
    <w:rsid w:val="00B42A04"/>
    <w:rsid w:val="00B43453"/>
    <w:rsid w:val="00B450F8"/>
    <w:rsid w:val="00B4711B"/>
    <w:rsid w:val="00B47A0F"/>
    <w:rsid w:val="00B47CFD"/>
    <w:rsid w:val="00B50649"/>
    <w:rsid w:val="00B51927"/>
    <w:rsid w:val="00B51DCA"/>
    <w:rsid w:val="00B51EDA"/>
    <w:rsid w:val="00B5400D"/>
    <w:rsid w:val="00B549E8"/>
    <w:rsid w:val="00B55516"/>
    <w:rsid w:val="00B557B6"/>
    <w:rsid w:val="00B55E3F"/>
    <w:rsid w:val="00B57D4C"/>
    <w:rsid w:val="00B60A1E"/>
    <w:rsid w:val="00B6156C"/>
    <w:rsid w:val="00B61595"/>
    <w:rsid w:val="00B61F01"/>
    <w:rsid w:val="00B6327A"/>
    <w:rsid w:val="00B64B76"/>
    <w:rsid w:val="00B657A0"/>
    <w:rsid w:val="00B65FA8"/>
    <w:rsid w:val="00B66384"/>
    <w:rsid w:val="00B664D8"/>
    <w:rsid w:val="00B67EB0"/>
    <w:rsid w:val="00B7014D"/>
    <w:rsid w:val="00B7017B"/>
    <w:rsid w:val="00B70E81"/>
    <w:rsid w:val="00B722B5"/>
    <w:rsid w:val="00B73F0F"/>
    <w:rsid w:val="00B73F2E"/>
    <w:rsid w:val="00B74113"/>
    <w:rsid w:val="00B77B55"/>
    <w:rsid w:val="00B827C5"/>
    <w:rsid w:val="00B82B23"/>
    <w:rsid w:val="00B83B44"/>
    <w:rsid w:val="00B83D1F"/>
    <w:rsid w:val="00B84190"/>
    <w:rsid w:val="00B87593"/>
    <w:rsid w:val="00B879F1"/>
    <w:rsid w:val="00B9057D"/>
    <w:rsid w:val="00B91546"/>
    <w:rsid w:val="00B917D0"/>
    <w:rsid w:val="00B919DC"/>
    <w:rsid w:val="00B91D3B"/>
    <w:rsid w:val="00B92FFC"/>
    <w:rsid w:val="00B93466"/>
    <w:rsid w:val="00B93D1A"/>
    <w:rsid w:val="00B94293"/>
    <w:rsid w:val="00B94B1E"/>
    <w:rsid w:val="00B95636"/>
    <w:rsid w:val="00B97145"/>
    <w:rsid w:val="00B9718C"/>
    <w:rsid w:val="00BA1691"/>
    <w:rsid w:val="00BA2000"/>
    <w:rsid w:val="00BA2B44"/>
    <w:rsid w:val="00BA326C"/>
    <w:rsid w:val="00BA4224"/>
    <w:rsid w:val="00BB0AC0"/>
    <w:rsid w:val="00BB1709"/>
    <w:rsid w:val="00BB249D"/>
    <w:rsid w:val="00BB3E5D"/>
    <w:rsid w:val="00BB6044"/>
    <w:rsid w:val="00BB76DF"/>
    <w:rsid w:val="00BC09C0"/>
    <w:rsid w:val="00BC1511"/>
    <w:rsid w:val="00BC17BE"/>
    <w:rsid w:val="00BC18A5"/>
    <w:rsid w:val="00BC2FCC"/>
    <w:rsid w:val="00BC468A"/>
    <w:rsid w:val="00BC6331"/>
    <w:rsid w:val="00BC6D7D"/>
    <w:rsid w:val="00BC7D24"/>
    <w:rsid w:val="00BD0413"/>
    <w:rsid w:val="00BD0C96"/>
    <w:rsid w:val="00BD1479"/>
    <w:rsid w:val="00BD1A95"/>
    <w:rsid w:val="00BD2795"/>
    <w:rsid w:val="00BD2E17"/>
    <w:rsid w:val="00BD3071"/>
    <w:rsid w:val="00BD42D9"/>
    <w:rsid w:val="00BD449A"/>
    <w:rsid w:val="00BD483E"/>
    <w:rsid w:val="00BD4A55"/>
    <w:rsid w:val="00BD5307"/>
    <w:rsid w:val="00BD6E3E"/>
    <w:rsid w:val="00BD7B1A"/>
    <w:rsid w:val="00BD7B51"/>
    <w:rsid w:val="00BE0549"/>
    <w:rsid w:val="00BE1224"/>
    <w:rsid w:val="00BE2ED0"/>
    <w:rsid w:val="00BE3304"/>
    <w:rsid w:val="00BE3370"/>
    <w:rsid w:val="00BE4286"/>
    <w:rsid w:val="00BE4622"/>
    <w:rsid w:val="00BE5FB9"/>
    <w:rsid w:val="00BE647C"/>
    <w:rsid w:val="00BE650A"/>
    <w:rsid w:val="00BE655B"/>
    <w:rsid w:val="00BE7CC4"/>
    <w:rsid w:val="00BF268F"/>
    <w:rsid w:val="00BF385C"/>
    <w:rsid w:val="00BF4682"/>
    <w:rsid w:val="00BF6B96"/>
    <w:rsid w:val="00C01CBA"/>
    <w:rsid w:val="00C01F0D"/>
    <w:rsid w:val="00C03042"/>
    <w:rsid w:val="00C0349A"/>
    <w:rsid w:val="00C04A7D"/>
    <w:rsid w:val="00C057F4"/>
    <w:rsid w:val="00C05B46"/>
    <w:rsid w:val="00C06197"/>
    <w:rsid w:val="00C06A01"/>
    <w:rsid w:val="00C079DC"/>
    <w:rsid w:val="00C10A3E"/>
    <w:rsid w:val="00C120C0"/>
    <w:rsid w:val="00C123BF"/>
    <w:rsid w:val="00C13270"/>
    <w:rsid w:val="00C133FC"/>
    <w:rsid w:val="00C13EF0"/>
    <w:rsid w:val="00C140EB"/>
    <w:rsid w:val="00C14AF4"/>
    <w:rsid w:val="00C15A21"/>
    <w:rsid w:val="00C1631D"/>
    <w:rsid w:val="00C173DC"/>
    <w:rsid w:val="00C17AAA"/>
    <w:rsid w:val="00C17B5A"/>
    <w:rsid w:val="00C202C8"/>
    <w:rsid w:val="00C205C3"/>
    <w:rsid w:val="00C22EBB"/>
    <w:rsid w:val="00C235F4"/>
    <w:rsid w:val="00C23A2E"/>
    <w:rsid w:val="00C2480E"/>
    <w:rsid w:val="00C2545A"/>
    <w:rsid w:val="00C2559F"/>
    <w:rsid w:val="00C26BA5"/>
    <w:rsid w:val="00C30AB4"/>
    <w:rsid w:val="00C31CC0"/>
    <w:rsid w:val="00C31E41"/>
    <w:rsid w:val="00C3203A"/>
    <w:rsid w:val="00C33045"/>
    <w:rsid w:val="00C33C55"/>
    <w:rsid w:val="00C356D6"/>
    <w:rsid w:val="00C364F8"/>
    <w:rsid w:val="00C36C42"/>
    <w:rsid w:val="00C3732E"/>
    <w:rsid w:val="00C4170B"/>
    <w:rsid w:val="00C41A41"/>
    <w:rsid w:val="00C4306B"/>
    <w:rsid w:val="00C441E9"/>
    <w:rsid w:val="00C45162"/>
    <w:rsid w:val="00C45558"/>
    <w:rsid w:val="00C45F68"/>
    <w:rsid w:val="00C46EA7"/>
    <w:rsid w:val="00C47260"/>
    <w:rsid w:val="00C509D3"/>
    <w:rsid w:val="00C522A9"/>
    <w:rsid w:val="00C545DF"/>
    <w:rsid w:val="00C60191"/>
    <w:rsid w:val="00C60BBD"/>
    <w:rsid w:val="00C61AF4"/>
    <w:rsid w:val="00C6353A"/>
    <w:rsid w:val="00C63CA5"/>
    <w:rsid w:val="00C64E16"/>
    <w:rsid w:val="00C64FA1"/>
    <w:rsid w:val="00C67CDD"/>
    <w:rsid w:val="00C71149"/>
    <w:rsid w:val="00C734E1"/>
    <w:rsid w:val="00C742D0"/>
    <w:rsid w:val="00C74661"/>
    <w:rsid w:val="00C746AE"/>
    <w:rsid w:val="00C75C12"/>
    <w:rsid w:val="00C832E2"/>
    <w:rsid w:val="00C84F64"/>
    <w:rsid w:val="00C850F4"/>
    <w:rsid w:val="00C85510"/>
    <w:rsid w:val="00C86AEA"/>
    <w:rsid w:val="00C8797D"/>
    <w:rsid w:val="00C87999"/>
    <w:rsid w:val="00C902D7"/>
    <w:rsid w:val="00C94463"/>
    <w:rsid w:val="00C94CD6"/>
    <w:rsid w:val="00C94DD2"/>
    <w:rsid w:val="00C96388"/>
    <w:rsid w:val="00C9661C"/>
    <w:rsid w:val="00C971CD"/>
    <w:rsid w:val="00CA10EB"/>
    <w:rsid w:val="00CA31D5"/>
    <w:rsid w:val="00CA3CF2"/>
    <w:rsid w:val="00CA40EE"/>
    <w:rsid w:val="00CA5B78"/>
    <w:rsid w:val="00CA6695"/>
    <w:rsid w:val="00CA70B9"/>
    <w:rsid w:val="00CB3C7F"/>
    <w:rsid w:val="00CB4BF4"/>
    <w:rsid w:val="00CB511B"/>
    <w:rsid w:val="00CB5722"/>
    <w:rsid w:val="00CB5D76"/>
    <w:rsid w:val="00CB7299"/>
    <w:rsid w:val="00CC07CF"/>
    <w:rsid w:val="00CC3809"/>
    <w:rsid w:val="00CC3E77"/>
    <w:rsid w:val="00CC4D9E"/>
    <w:rsid w:val="00CC4F69"/>
    <w:rsid w:val="00CC7744"/>
    <w:rsid w:val="00CD058E"/>
    <w:rsid w:val="00CD2C94"/>
    <w:rsid w:val="00CD35D2"/>
    <w:rsid w:val="00CD3DAB"/>
    <w:rsid w:val="00CD3F58"/>
    <w:rsid w:val="00CD4469"/>
    <w:rsid w:val="00CD44C8"/>
    <w:rsid w:val="00CD5A0E"/>
    <w:rsid w:val="00CD74B8"/>
    <w:rsid w:val="00CD7AAF"/>
    <w:rsid w:val="00CD7C25"/>
    <w:rsid w:val="00CE015A"/>
    <w:rsid w:val="00CE0571"/>
    <w:rsid w:val="00CE30A6"/>
    <w:rsid w:val="00CE42A1"/>
    <w:rsid w:val="00CE6738"/>
    <w:rsid w:val="00CE6BDB"/>
    <w:rsid w:val="00CE7847"/>
    <w:rsid w:val="00CE7C01"/>
    <w:rsid w:val="00CF2024"/>
    <w:rsid w:val="00CF2ADA"/>
    <w:rsid w:val="00CF3FBF"/>
    <w:rsid w:val="00CF4AD8"/>
    <w:rsid w:val="00CF61B6"/>
    <w:rsid w:val="00CF671F"/>
    <w:rsid w:val="00CF7D30"/>
    <w:rsid w:val="00D00503"/>
    <w:rsid w:val="00D00846"/>
    <w:rsid w:val="00D01950"/>
    <w:rsid w:val="00D02C89"/>
    <w:rsid w:val="00D033D3"/>
    <w:rsid w:val="00D04919"/>
    <w:rsid w:val="00D052B4"/>
    <w:rsid w:val="00D061F8"/>
    <w:rsid w:val="00D07E33"/>
    <w:rsid w:val="00D10076"/>
    <w:rsid w:val="00D10137"/>
    <w:rsid w:val="00D112C4"/>
    <w:rsid w:val="00D12778"/>
    <w:rsid w:val="00D13B5A"/>
    <w:rsid w:val="00D14836"/>
    <w:rsid w:val="00D1488F"/>
    <w:rsid w:val="00D154FF"/>
    <w:rsid w:val="00D1590E"/>
    <w:rsid w:val="00D15D79"/>
    <w:rsid w:val="00D16690"/>
    <w:rsid w:val="00D201F8"/>
    <w:rsid w:val="00D20645"/>
    <w:rsid w:val="00D20D4C"/>
    <w:rsid w:val="00D21134"/>
    <w:rsid w:val="00D22AD5"/>
    <w:rsid w:val="00D22EF6"/>
    <w:rsid w:val="00D239E1"/>
    <w:rsid w:val="00D23A87"/>
    <w:rsid w:val="00D23A97"/>
    <w:rsid w:val="00D2449C"/>
    <w:rsid w:val="00D24AAD"/>
    <w:rsid w:val="00D252D1"/>
    <w:rsid w:val="00D2758D"/>
    <w:rsid w:val="00D3177D"/>
    <w:rsid w:val="00D3286E"/>
    <w:rsid w:val="00D331D5"/>
    <w:rsid w:val="00D337D1"/>
    <w:rsid w:val="00D33EFF"/>
    <w:rsid w:val="00D347DA"/>
    <w:rsid w:val="00D357D2"/>
    <w:rsid w:val="00D35822"/>
    <w:rsid w:val="00D35E5E"/>
    <w:rsid w:val="00D36E4F"/>
    <w:rsid w:val="00D3772B"/>
    <w:rsid w:val="00D406B9"/>
    <w:rsid w:val="00D41BBA"/>
    <w:rsid w:val="00D41FA2"/>
    <w:rsid w:val="00D420DA"/>
    <w:rsid w:val="00D42859"/>
    <w:rsid w:val="00D43E31"/>
    <w:rsid w:val="00D451C5"/>
    <w:rsid w:val="00D478C9"/>
    <w:rsid w:val="00D50283"/>
    <w:rsid w:val="00D5127D"/>
    <w:rsid w:val="00D52755"/>
    <w:rsid w:val="00D53300"/>
    <w:rsid w:val="00D54B50"/>
    <w:rsid w:val="00D60604"/>
    <w:rsid w:val="00D64154"/>
    <w:rsid w:val="00D65102"/>
    <w:rsid w:val="00D65698"/>
    <w:rsid w:val="00D65A18"/>
    <w:rsid w:val="00D66383"/>
    <w:rsid w:val="00D675F9"/>
    <w:rsid w:val="00D6772B"/>
    <w:rsid w:val="00D71F7D"/>
    <w:rsid w:val="00D71F97"/>
    <w:rsid w:val="00D7239D"/>
    <w:rsid w:val="00D73421"/>
    <w:rsid w:val="00D744F3"/>
    <w:rsid w:val="00D7450E"/>
    <w:rsid w:val="00D7478D"/>
    <w:rsid w:val="00D74A41"/>
    <w:rsid w:val="00D7546E"/>
    <w:rsid w:val="00D768BD"/>
    <w:rsid w:val="00D76907"/>
    <w:rsid w:val="00D81644"/>
    <w:rsid w:val="00D82041"/>
    <w:rsid w:val="00D827DF"/>
    <w:rsid w:val="00D85D6C"/>
    <w:rsid w:val="00D8754E"/>
    <w:rsid w:val="00D930EE"/>
    <w:rsid w:val="00D93449"/>
    <w:rsid w:val="00D9441D"/>
    <w:rsid w:val="00D959EC"/>
    <w:rsid w:val="00D95AEB"/>
    <w:rsid w:val="00D95F22"/>
    <w:rsid w:val="00DA02A8"/>
    <w:rsid w:val="00DA04ED"/>
    <w:rsid w:val="00DA0598"/>
    <w:rsid w:val="00DA166D"/>
    <w:rsid w:val="00DA1DE0"/>
    <w:rsid w:val="00DA35CD"/>
    <w:rsid w:val="00DA4315"/>
    <w:rsid w:val="00DA664C"/>
    <w:rsid w:val="00DA791C"/>
    <w:rsid w:val="00DB17A2"/>
    <w:rsid w:val="00DB1D74"/>
    <w:rsid w:val="00DB25E4"/>
    <w:rsid w:val="00DB3596"/>
    <w:rsid w:val="00DB36C2"/>
    <w:rsid w:val="00DB45EC"/>
    <w:rsid w:val="00DB4917"/>
    <w:rsid w:val="00DB5F07"/>
    <w:rsid w:val="00DB6524"/>
    <w:rsid w:val="00DB6D0F"/>
    <w:rsid w:val="00DB70CD"/>
    <w:rsid w:val="00DC14F0"/>
    <w:rsid w:val="00DC1945"/>
    <w:rsid w:val="00DC2CE5"/>
    <w:rsid w:val="00DC387F"/>
    <w:rsid w:val="00DC3DE0"/>
    <w:rsid w:val="00DC4D19"/>
    <w:rsid w:val="00DC5D87"/>
    <w:rsid w:val="00DC68C9"/>
    <w:rsid w:val="00DD140A"/>
    <w:rsid w:val="00DD1B1B"/>
    <w:rsid w:val="00DD32DC"/>
    <w:rsid w:val="00DD617D"/>
    <w:rsid w:val="00DD6C4A"/>
    <w:rsid w:val="00DD73C3"/>
    <w:rsid w:val="00DD7BBC"/>
    <w:rsid w:val="00DE04E0"/>
    <w:rsid w:val="00DE06E0"/>
    <w:rsid w:val="00DE1412"/>
    <w:rsid w:val="00DE39C4"/>
    <w:rsid w:val="00DE55FF"/>
    <w:rsid w:val="00DE5F6F"/>
    <w:rsid w:val="00DE79D3"/>
    <w:rsid w:val="00DE7F03"/>
    <w:rsid w:val="00DF0F58"/>
    <w:rsid w:val="00DF281F"/>
    <w:rsid w:val="00DF2F4B"/>
    <w:rsid w:val="00DF6AF8"/>
    <w:rsid w:val="00DF71A3"/>
    <w:rsid w:val="00E00448"/>
    <w:rsid w:val="00E00B23"/>
    <w:rsid w:val="00E0117D"/>
    <w:rsid w:val="00E02927"/>
    <w:rsid w:val="00E0310F"/>
    <w:rsid w:val="00E03125"/>
    <w:rsid w:val="00E04357"/>
    <w:rsid w:val="00E04D95"/>
    <w:rsid w:val="00E06464"/>
    <w:rsid w:val="00E0769B"/>
    <w:rsid w:val="00E10B5C"/>
    <w:rsid w:val="00E10BCB"/>
    <w:rsid w:val="00E11760"/>
    <w:rsid w:val="00E11897"/>
    <w:rsid w:val="00E11948"/>
    <w:rsid w:val="00E119E8"/>
    <w:rsid w:val="00E12973"/>
    <w:rsid w:val="00E139C5"/>
    <w:rsid w:val="00E141EC"/>
    <w:rsid w:val="00E14792"/>
    <w:rsid w:val="00E14DAE"/>
    <w:rsid w:val="00E155FA"/>
    <w:rsid w:val="00E16600"/>
    <w:rsid w:val="00E169CD"/>
    <w:rsid w:val="00E16DFD"/>
    <w:rsid w:val="00E17498"/>
    <w:rsid w:val="00E205A2"/>
    <w:rsid w:val="00E217A2"/>
    <w:rsid w:val="00E2280E"/>
    <w:rsid w:val="00E228DE"/>
    <w:rsid w:val="00E23208"/>
    <w:rsid w:val="00E243FE"/>
    <w:rsid w:val="00E24758"/>
    <w:rsid w:val="00E2763D"/>
    <w:rsid w:val="00E311D8"/>
    <w:rsid w:val="00E3188D"/>
    <w:rsid w:val="00E32136"/>
    <w:rsid w:val="00E3374A"/>
    <w:rsid w:val="00E345DB"/>
    <w:rsid w:val="00E3545D"/>
    <w:rsid w:val="00E3574A"/>
    <w:rsid w:val="00E35A46"/>
    <w:rsid w:val="00E35BA7"/>
    <w:rsid w:val="00E36123"/>
    <w:rsid w:val="00E40533"/>
    <w:rsid w:val="00E405B8"/>
    <w:rsid w:val="00E42318"/>
    <w:rsid w:val="00E435D8"/>
    <w:rsid w:val="00E4448D"/>
    <w:rsid w:val="00E447D9"/>
    <w:rsid w:val="00E44BF9"/>
    <w:rsid w:val="00E46F96"/>
    <w:rsid w:val="00E475AC"/>
    <w:rsid w:val="00E50D28"/>
    <w:rsid w:val="00E51807"/>
    <w:rsid w:val="00E53642"/>
    <w:rsid w:val="00E53896"/>
    <w:rsid w:val="00E55113"/>
    <w:rsid w:val="00E5597A"/>
    <w:rsid w:val="00E55ABB"/>
    <w:rsid w:val="00E5686D"/>
    <w:rsid w:val="00E57603"/>
    <w:rsid w:val="00E6038C"/>
    <w:rsid w:val="00E60846"/>
    <w:rsid w:val="00E60876"/>
    <w:rsid w:val="00E60BCA"/>
    <w:rsid w:val="00E62FEA"/>
    <w:rsid w:val="00E64271"/>
    <w:rsid w:val="00E64602"/>
    <w:rsid w:val="00E659E5"/>
    <w:rsid w:val="00E675B6"/>
    <w:rsid w:val="00E67B60"/>
    <w:rsid w:val="00E67D90"/>
    <w:rsid w:val="00E7112D"/>
    <w:rsid w:val="00E715F5"/>
    <w:rsid w:val="00E72124"/>
    <w:rsid w:val="00E72380"/>
    <w:rsid w:val="00E72931"/>
    <w:rsid w:val="00E73B28"/>
    <w:rsid w:val="00E7468B"/>
    <w:rsid w:val="00E74DC5"/>
    <w:rsid w:val="00E75380"/>
    <w:rsid w:val="00E7609A"/>
    <w:rsid w:val="00E7665D"/>
    <w:rsid w:val="00E76667"/>
    <w:rsid w:val="00E766DF"/>
    <w:rsid w:val="00E8172C"/>
    <w:rsid w:val="00E81F35"/>
    <w:rsid w:val="00E82A56"/>
    <w:rsid w:val="00E82B1A"/>
    <w:rsid w:val="00E83D8A"/>
    <w:rsid w:val="00E8540B"/>
    <w:rsid w:val="00E8574D"/>
    <w:rsid w:val="00E8673D"/>
    <w:rsid w:val="00E90731"/>
    <w:rsid w:val="00E94613"/>
    <w:rsid w:val="00E950F1"/>
    <w:rsid w:val="00E95A84"/>
    <w:rsid w:val="00E9629B"/>
    <w:rsid w:val="00E964A5"/>
    <w:rsid w:val="00E96CB5"/>
    <w:rsid w:val="00E9789E"/>
    <w:rsid w:val="00E97BF4"/>
    <w:rsid w:val="00EA0B74"/>
    <w:rsid w:val="00EA1BCD"/>
    <w:rsid w:val="00EA2A88"/>
    <w:rsid w:val="00EA3E93"/>
    <w:rsid w:val="00EA5179"/>
    <w:rsid w:val="00EA78FF"/>
    <w:rsid w:val="00EB002B"/>
    <w:rsid w:val="00EB094A"/>
    <w:rsid w:val="00EB279B"/>
    <w:rsid w:val="00EB2B22"/>
    <w:rsid w:val="00EB2CA5"/>
    <w:rsid w:val="00EB43FD"/>
    <w:rsid w:val="00EB44BE"/>
    <w:rsid w:val="00EB4682"/>
    <w:rsid w:val="00EB477D"/>
    <w:rsid w:val="00EB5C10"/>
    <w:rsid w:val="00EB7FCF"/>
    <w:rsid w:val="00EC0148"/>
    <w:rsid w:val="00EC17A1"/>
    <w:rsid w:val="00EC28E5"/>
    <w:rsid w:val="00EC5183"/>
    <w:rsid w:val="00EC543F"/>
    <w:rsid w:val="00EC5516"/>
    <w:rsid w:val="00EC6350"/>
    <w:rsid w:val="00EC6B93"/>
    <w:rsid w:val="00EC741D"/>
    <w:rsid w:val="00EC7E22"/>
    <w:rsid w:val="00ED4474"/>
    <w:rsid w:val="00ED50A0"/>
    <w:rsid w:val="00EE0673"/>
    <w:rsid w:val="00EE0868"/>
    <w:rsid w:val="00EE1372"/>
    <w:rsid w:val="00EE1BFF"/>
    <w:rsid w:val="00EE1F4E"/>
    <w:rsid w:val="00EE3CFF"/>
    <w:rsid w:val="00EE435D"/>
    <w:rsid w:val="00EE585D"/>
    <w:rsid w:val="00EE58CB"/>
    <w:rsid w:val="00EF0B62"/>
    <w:rsid w:val="00EF1989"/>
    <w:rsid w:val="00EF26E5"/>
    <w:rsid w:val="00EF3A40"/>
    <w:rsid w:val="00EF468B"/>
    <w:rsid w:val="00EF5429"/>
    <w:rsid w:val="00EF5666"/>
    <w:rsid w:val="00EF7833"/>
    <w:rsid w:val="00F0182F"/>
    <w:rsid w:val="00F026BC"/>
    <w:rsid w:val="00F02857"/>
    <w:rsid w:val="00F03424"/>
    <w:rsid w:val="00F03F21"/>
    <w:rsid w:val="00F0491D"/>
    <w:rsid w:val="00F04CDD"/>
    <w:rsid w:val="00F0606D"/>
    <w:rsid w:val="00F06858"/>
    <w:rsid w:val="00F071A7"/>
    <w:rsid w:val="00F0778D"/>
    <w:rsid w:val="00F077D3"/>
    <w:rsid w:val="00F07E0C"/>
    <w:rsid w:val="00F12AC4"/>
    <w:rsid w:val="00F1328C"/>
    <w:rsid w:val="00F13817"/>
    <w:rsid w:val="00F13939"/>
    <w:rsid w:val="00F1396A"/>
    <w:rsid w:val="00F13B21"/>
    <w:rsid w:val="00F14463"/>
    <w:rsid w:val="00F1653E"/>
    <w:rsid w:val="00F16C75"/>
    <w:rsid w:val="00F17FE9"/>
    <w:rsid w:val="00F2128C"/>
    <w:rsid w:val="00F219AD"/>
    <w:rsid w:val="00F23291"/>
    <w:rsid w:val="00F25284"/>
    <w:rsid w:val="00F26CA1"/>
    <w:rsid w:val="00F270C1"/>
    <w:rsid w:val="00F31416"/>
    <w:rsid w:val="00F3210F"/>
    <w:rsid w:val="00F33190"/>
    <w:rsid w:val="00F332A2"/>
    <w:rsid w:val="00F337B2"/>
    <w:rsid w:val="00F33D36"/>
    <w:rsid w:val="00F3521A"/>
    <w:rsid w:val="00F4080E"/>
    <w:rsid w:val="00F456EE"/>
    <w:rsid w:val="00F45799"/>
    <w:rsid w:val="00F46747"/>
    <w:rsid w:val="00F46C39"/>
    <w:rsid w:val="00F4755A"/>
    <w:rsid w:val="00F5162B"/>
    <w:rsid w:val="00F53461"/>
    <w:rsid w:val="00F547A2"/>
    <w:rsid w:val="00F555C6"/>
    <w:rsid w:val="00F60CC6"/>
    <w:rsid w:val="00F622E8"/>
    <w:rsid w:val="00F63895"/>
    <w:rsid w:val="00F63F4E"/>
    <w:rsid w:val="00F64822"/>
    <w:rsid w:val="00F65CB3"/>
    <w:rsid w:val="00F66B4C"/>
    <w:rsid w:val="00F66E2D"/>
    <w:rsid w:val="00F67396"/>
    <w:rsid w:val="00F6759D"/>
    <w:rsid w:val="00F707E3"/>
    <w:rsid w:val="00F70A77"/>
    <w:rsid w:val="00F71CD0"/>
    <w:rsid w:val="00F71F8A"/>
    <w:rsid w:val="00F71FC5"/>
    <w:rsid w:val="00F73049"/>
    <w:rsid w:val="00F7378F"/>
    <w:rsid w:val="00F7599D"/>
    <w:rsid w:val="00F77609"/>
    <w:rsid w:val="00F80AE5"/>
    <w:rsid w:val="00F81D4B"/>
    <w:rsid w:val="00F846D6"/>
    <w:rsid w:val="00F84BB5"/>
    <w:rsid w:val="00F84E50"/>
    <w:rsid w:val="00F85083"/>
    <w:rsid w:val="00F9065F"/>
    <w:rsid w:val="00F9142F"/>
    <w:rsid w:val="00F91F5A"/>
    <w:rsid w:val="00F92F01"/>
    <w:rsid w:val="00F941C2"/>
    <w:rsid w:val="00F95B2C"/>
    <w:rsid w:val="00F96349"/>
    <w:rsid w:val="00F971E5"/>
    <w:rsid w:val="00F97DDF"/>
    <w:rsid w:val="00FA0AA2"/>
    <w:rsid w:val="00FA1D26"/>
    <w:rsid w:val="00FA46C3"/>
    <w:rsid w:val="00FA509B"/>
    <w:rsid w:val="00FA5696"/>
    <w:rsid w:val="00FA5B5F"/>
    <w:rsid w:val="00FA63FD"/>
    <w:rsid w:val="00FB0C8C"/>
    <w:rsid w:val="00FB0F81"/>
    <w:rsid w:val="00FB17F6"/>
    <w:rsid w:val="00FB3004"/>
    <w:rsid w:val="00FB3263"/>
    <w:rsid w:val="00FB3897"/>
    <w:rsid w:val="00FB4DC7"/>
    <w:rsid w:val="00FB5AC9"/>
    <w:rsid w:val="00FB5BC7"/>
    <w:rsid w:val="00FB5CFE"/>
    <w:rsid w:val="00FB6ED3"/>
    <w:rsid w:val="00FB79D5"/>
    <w:rsid w:val="00FC059D"/>
    <w:rsid w:val="00FC07D5"/>
    <w:rsid w:val="00FC0D50"/>
    <w:rsid w:val="00FC3832"/>
    <w:rsid w:val="00FC4514"/>
    <w:rsid w:val="00FC4754"/>
    <w:rsid w:val="00FC6BFA"/>
    <w:rsid w:val="00FD10B3"/>
    <w:rsid w:val="00FD1CEF"/>
    <w:rsid w:val="00FD1F2A"/>
    <w:rsid w:val="00FD3D9D"/>
    <w:rsid w:val="00FD4195"/>
    <w:rsid w:val="00FD5FBF"/>
    <w:rsid w:val="00FD7EE2"/>
    <w:rsid w:val="00FE41CB"/>
    <w:rsid w:val="00FE574F"/>
    <w:rsid w:val="00FE610F"/>
    <w:rsid w:val="00FF00D5"/>
    <w:rsid w:val="00FF029E"/>
    <w:rsid w:val="00FF0793"/>
    <w:rsid w:val="00FF0918"/>
    <w:rsid w:val="00FF0A78"/>
    <w:rsid w:val="00FF0F21"/>
    <w:rsid w:val="00FF160F"/>
    <w:rsid w:val="00FF2332"/>
    <w:rsid w:val="00FF4584"/>
    <w:rsid w:val="00FF48F9"/>
    <w:rsid w:val="00FF616D"/>
    <w:rsid w:val="00FF6D35"/>
    <w:rsid w:val="00FF6F4D"/>
    <w:rsid w:val="00FF73A7"/>
    <w:rsid w:val="00FF7B29"/>
    <w:rsid w:val="0A06D75A"/>
    <w:rsid w:val="1044839F"/>
    <w:rsid w:val="219C0505"/>
    <w:rsid w:val="3804FF47"/>
    <w:rsid w:val="5D0E3F7D"/>
    <w:rsid w:val="72AAA3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10764"/>
  <w14:defaultImageDpi w14:val="96"/>
  <w15:docId w15:val="{88FD0067-9E9A-4AEF-B88E-6E8AAB90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40C5"/>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locked/>
    <w:rPr>
      <w:rFonts w:ascii="Arial" w:hAnsi="Arial" w:cs="Times New Roman"/>
      <w:sz w:val="24"/>
      <w:szCs w:val="24"/>
      <w:lang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eastAsia="en-US"/>
    </w:rPr>
  </w:style>
  <w:style w:type="paragraph" w:customStyle="1" w:styleId="EBNumber">
    <w:name w:val="EBNumber"/>
    <w:basedOn w:val="BodyText"/>
    <w:rsid w:val="002B7335"/>
    <w:pPr>
      <w:numPr>
        <w:ilvl w:val="1"/>
        <w:numId w:val="1"/>
      </w:numPr>
    </w:pPr>
  </w:style>
  <w:style w:type="paragraph" w:customStyle="1" w:styleId="EBNumberRestart">
    <w:name w:val="EBNumberRestart"/>
    <w:basedOn w:val="BodyText"/>
    <w:next w:val="EBNumber"/>
    <w:rsid w:val="002B7335"/>
    <w:pPr>
      <w:numPr>
        <w:numId w:val="1"/>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2"/>
      </w:numPr>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3"/>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link w:val="NoSpacingChar"/>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BodyTextIndent">
    <w:name w:val="Body Text Indent"/>
    <w:basedOn w:val="Normal"/>
    <w:link w:val="BodyTextIndentChar"/>
    <w:rsid w:val="00E8574D"/>
    <w:pPr>
      <w:spacing w:after="120"/>
      <w:ind w:left="360"/>
    </w:pPr>
  </w:style>
  <w:style w:type="character" w:customStyle="1" w:styleId="BodyTextIndentChar">
    <w:name w:val="Body Text Indent Char"/>
    <w:basedOn w:val="DefaultParagraphFont"/>
    <w:link w:val="BodyTextIndent"/>
    <w:rsid w:val="00E8574D"/>
  </w:style>
  <w:style w:type="character" w:customStyle="1" w:styleId="NoSpacingChar">
    <w:name w:val="No Spacing Char"/>
    <w:basedOn w:val="DefaultParagraphFont"/>
    <w:link w:val="NoSpacing"/>
    <w:uiPriority w:val="1"/>
    <w:rsid w:val="009269DC"/>
    <w:rPr>
      <w:rFonts w:ascii="Arial" w:hAnsi="Arial"/>
      <w:sz w:val="22"/>
      <w:lang w:eastAsia="en-US"/>
    </w:rPr>
  </w:style>
  <w:style w:type="paragraph" w:styleId="HTMLPreformatted">
    <w:name w:val="HTML Preformatted"/>
    <w:basedOn w:val="Normal"/>
    <w:link w:val="HTMLPreformattedChar"/>
    <w:uiPriority w:val="99"/>
    <w:unhideWhenUsed/>
    <w:rsid w:val="00D54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D54B50"/>
    <w:rPr>
      <w:rFonts w:ascii="Courier New" w:hAnsi="Courier New" w:cs="Courier New"/>
      <w:sz w:val="20"/>
      <w:lang w:val="en-US" w:eastAsia="en-US"/>
    </w:rPr>
  </w:style>
  <w:style w:type="character" w:customStyle="1" w:styleId="y2iqfc">
    <w:name w:val="y2iqfc"/>
    <w:basedOn w:val="DefaultParagraphFont"/>
    <w:rsid w:val="00D54B50"/>
  </w:style>
  <w:style w:type="paragraph" w:styleId="Revision">
    <w:name w:val="Revision"/>
    <w:hidden/>
    <w:uiPriority w:val="99"/>
    <w:semiHidden/>
    <w:rsid w:val="00AF32B4"/>
  </w:style>
  <w:style w:type="paragraph" w:customStyle="1" w:styleId="paragraph">
    <w:name w:val="paragraph"/>
    <w:basedOn w:val="Normal"/>
    <w:rsid w:val="00BE0549"/>
    <w:pPr>
      <w:spacing w:before="100" w:beforeAutospacing="1" w:after="100" w:afterAutospacing="1"/>
    </w:pPr>
    <w:rPr>
      <w:szCs w:val="24"/>
      <w:lang w:val="en-US" w:eastAsia="en-US"/>
    </w:rPr>
  </w:style>
  <w:style w:type="character" w:customStyle="1" w:styleId="normaltextrun">
    <w:name w:val="normaltextrun"/>
    <w:basedOn w:val="DefaultParagraphFont"/>
    <w:rsid w:val="00BE0549"/>
  </w:style>
  <w:style w:type="character" w:customStyle="1" w:styleId="eop">
    <w:name w:val="eop"/>
    <w:basedOn w:val="DefaultParagraphFont"/>
    <w:rsid w:val="00BE0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0722">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434902956">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721637588">
      <w:bodyDiv w:val="1"/>
      <w:marLeft w:val="0"/>
      <w:marRight w:val="0"/>
      <w:marTop w:val="0"/>
      <w:marBottom w:val="0"/>
      <w:divBdr>
        <w:top w:val="none" w:sz="0" w:space="0" w:color="auto"/>
        <w:left w:val="none" w:sz="0" w:space="0" w:color="auto"/>
        <w:bottom w:val="none" w:sz="0" w:space="0" w:color="auto"/>
        <w:right w:val="none" w:sz="0" w:space="0" w:color="auto"/>
      </w:divBdr>
      <w:divsChild>
        <w:div w:id="580410909">
          <w:marLeft w:val="0"/>
          <w:marRight w:val="0"/>
          <w:marTop w:val="0"/>
          <w:marBottom w:val="0"/>
          <w:divBdr>
            <w:top w:val="none" w:sz="0" w:space="0" w:color="auto"/>
            <w:left w:val="none" w:sz="0" w:space="0" w:color="auto"/>
            <w:bottom w:val="none" w:sz="0" w:space="0" w:color="auto"/>
            <w:right w:val="none" w:sz="0" w:space="0" w:color="auto"/>
          </w:divBdr>
          <w:divsChild>
            <w:div w:id="63766796">
              <w:marLeft w:val="0"/>
              <w:marRight w:val="165"/>
              <w:marTop w:val="150"/>
              <w:marBottom w:val="0"/>
              <w:divBdr>
                <w:top w:val="none" w:sz="0" w:space="0" w:color="auto"/>
                <w:left w:val="none" w:sz="0" w:space="0" w:color="auto"/>
                <w:bottom w:val="none" w:sz="0" w:space="0" w:color="auto"/>
                <w:right w:val="none" w:sz="0" w:space="0" w:color="auto"/>
              </w:divBdr>
              <w:divsChild>
                <w:div w:id="219829294">
                  <w:marLeft w:val="0"/>
                  <w:marRight w:val="0"/>
                  <w:marTop w:val="0"/>
                  <w:marBottom w:val="0"/>
                  <w:divBdr>
                    <w:top w:val="none" w:sz="0" w:space="0" w:color="auto"/>
                    <w:left w:val="none" w:sz="0" w:space="0" w:color="auto"/>
                    <w:bottom w:val="none" w:sz="0" w:space="0" w:color="auto"/>
                    <w:right w:val="none" w:sz="0" w:space="0" w:color="auto"/>
                  </w:divBdr>
                  <w:divsChild>
                    <w:div w:id="1386443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01425069">
          <w:marLeft w:val="0"/>
          <w:marRight w:val="0"/>
          <w:marTop w:val="0"/>
          <w:marBottom w:val="0"/>
          <w:divBdr>
            <w:top w:val="none" w:sz="0" w:space="0" w:color="auto"/>
            <w:left w:val="none" w:sz="0" w:space="0" w:color="auto"/>
            <w:bottom w:val="none" w:sz="0" w:space="0" w:color="auto"/>
            <w:right w:val="none" w:sz="0" w:space="0" w:color="auto"/>
          </w:divBdr>
        </w:div>
      </w:divsChild>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is.Bregu@drejtesia.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atp.gov.al/index.php?option=com_k2&amp;view=item&amp;layout=item&amp;id=791&amp;Itemid=465" TargetMode="External"/><Relationship Id="rId1" Type="http://schemas.openxmlformats.org/officeDocument/2006/relationships/hyperlink" Target="http://atp.gov.al/index.php?option=com_k2&amp;view=item&amp;layout=item&amp;id=791&amp;Itemid=4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CACB70A1168B411595FAC6FC6BEBF98B"/>
        <w:category>
          <w:name w:val="General"/>
          <w:gallery w:val="placeholder"/>
        </w:category>
        <w:types>
          <w:type w:val="bbPlcHdr"/>
        </w:types>
        <w:behaviors>
          <w:behavior w:val="content"/>
        </w:behaviors>
        <w:guid w:val="{B15F2C57-5C8D-4A4A-A92E-DAB31D8EF39A}"/>
      </w:docPartPr>
      <w:docPartBody>
        <w:p w:rsidR="006F1ED4" w:rsidRDefault="006F1ED4" w:rsidP="006F1ED4">
          <w:pPr>
            <w:pStyle w:val="CACB70A1168B411595FAC6FC6BEBF98B"/>
          </w:pPr>
          <w:r w:rsidRPr="00CC5954">
            <w:rPr>
              <w:rStyle w:val="PlaceholderText"/>
            </w:rPr>
            <w:t>Click here to enter text.</w:t>
          </w:r>
        </w:p>
      </w:docPartBody>
    </w:docPart>
    <w:docPart>
      <w:docPartPr>
        <w:name w:val="6DDBB321FA75409DA38DDE9CB0FD1E41"/>
        <w:category>
          <w:name w:val="General"/>
          <w:gallery w:val="placeholder"/>
        </w:category>
        <w:types>
          <w:type w:val="bbPlcHdr"/>
        </w:types>
        <w:behaviors>
          <w:behavior w:val="content"/>
        </w:behaviors>
        <w:guid w:val="{B1887427-48CB-457A-BE50-FB55EC6849FD}"/>
      </w:docPartPr>
      <w:docPartBody>
        <w:p w:rsidR="006F1ED4" w:rsidRDefault="006F1ED4" w:rsidP="006F1ED4">
          <w:pPr>
            <w:pStyle w:val="6DDBB321FA75409DA38DDE9CB0FD1E41"/>
          </w:pPr>
          <w:r w:rsidRPr="00CC5954">
            <w:rPr>
              <w:rStyle w:val="PlaceholderText"/>
            </w:rPr>
            <w:t>Click here to enter text.</w:t>
          </w:r>
        </w:p>
      </w:docPartBody>
    </w:docPart>
    <w:docPart>
      <w:docPartPr>
        <w:name w:val="1B5742A7A4F94DA1B86FBACFB3D31E60"/>
        <w:category>
          <w:name w:val="General"/>
          <w:gallery w:val="placeholder"/>
        </w:category>
        <w:types>
          <w:type w:val="bbPlcHdr"/>
        </w:types>
        <w:behaviors>
          <w:behavior w:val="content"/>
        </w:behaviors>
        <w:guid w:val="{A3FE7FB1-A2C6-4074-BD0C-FE9DACF4123D}"/>
      </w:docPartPr>
      <w:docPartBody>
        <w:p w:rsidR="006F1ED4" w:rsidRDefault="006F1ED4" w:rsidP="006F1ED4">
          <w:pPr>
            <w:pStyle w:val="1B5742A7A4F94DA1B86FBACFB3D31E60"/>
          </w:pPr>
          <w:r w:rsidRPr="00CC5954">
            <w:rPr>
              <w:rStyle w:val="PlaceholderText"/>
            </w:rPr>
            <w:t>Click here to enter text.</w:t>
          </w:r>
        </w:p>
      </w:docPartBody>
    </w:docPart>
    <w:docPart>
      <w:docPartPr>
        <w:name w:val="094A48B080684960BF3A114CBE910244"/>
        <w:category>
          <w:name w:val="General"/>
          <w:gallery w:val="placeholder"/>
        </w:category>
        <w:types>
          <w:type w:val="bbPlcHdr"/>
        </w:types>
        <w:behaviors>
          <w:behavior w:val="content"/>
        </w:behaviors>
        <w:guid w:val="{2DCBBB7A-E7C0-45CC-A6B8-941692E7A7C2}"/>
      </w:docPartPr>
      <w:docPartBody>
        <w:p w:rsidR="006F1ED4" w:rsidRDefault="006F1ED4" w:rsidP="006F1ED4">
          <w:pPr>
            <w:pStyle w:val="094A48B080684960BF3A114CBE910244"/>
          </w:pPr>
          <w:r w:rsidRPr="00CC5954">
            <w:rPr>
              <w:rStyle w:val="PlaceholderText"/>
            </w:rPr>
            <w:t>Click here to enter text.</w:t>
          </w:r>
        </w:p>
      </w:docPartBody>
    </w:docPart>
    <w:docPart>
      <w:docPartPr>
        <w:name w:val="867EF0DB10CB4A10BB29112D1FCD9786"/>
        <w:category>
          <w:name w:val="General"/>
          <w:gallery w:val="placeholder"/>
        </w:category>
        <w:types>
          <w:type w:val="bbPlcHdr"/>
        </w:types>
        <w:behaviors>
          <w:behavior w:val="content"/>
        </w:behaviors>
        <w:guid w:val="{ED142FE1-2935-4C00-8D06-E409A82D67C7}"/>
      </w:docPartPr>
      <w:docPartBody>
        <w:p w:rsidR="006F1ED4" w:rsidRDefault="006F1ED4" w:rsidP="006F1ED4">
          <w:pPr>
            <w:pStyle w:val="867EF0DB10CB4A10BB29112D1FCD9786"/>
          </w:pPr>
          <w:r w:rsidRPr="00CC5954">
            <w:rPr>
              <w:rStyle w:val="PlaceholderText"/>
            </w:rPr>
            <w:t>Click here to enter text.</w:t>
          </w:r>
        </w:p>
      </w:docPartBody>
    </w:docPart>
    <w:docPart>
      <w:docPartPr>
        <w:name w:val="2C6B1E60C1A14643A06F2DDC18E211CF"/>
        <w:category>
          <w:name w:val="General"/>
          <w:gallery w:val="placeholder"/>
        </w:category>
        <w:types>
          <w:type w:val="bbPlcHdr"/>
        </w:types>
        <w:behaviors>
          <w:behavior w:val="content"/>
        </w:behaviors>
        <w:guid w:val="{9DC8C20D-8E5A-4CC4-8E97-5AC7E3679D52}"/>
      </w:docPartPr>
      <w:docPartBody>
        <w:p w:rsidR="006F1ED4" w:rsidRDefault="006F1ED4" w:rsidP="006F1ED4">
          <w:pPr>
            <w:pStyle w:val="2C6B1E60C1A14643A06F2DDC18E211CF"/>
          </w:pPr>
          <w:r w:rsidRPr="00CC5954">
            <w:rPr>
              <w:rStyle w:val="PlaceholderText"/>
            </w:rPr>
            <w:t>Click here to enter text.</w:t>
          </w:r>
        </w:p>
      </w:docPartBody>
    </w:docPart>
    <w:docPart>
      <w:docPartPr>
        <w:name w:val="C8F0C73A25AD4069881E7BB32D9AC3FF"/>
        <w:category>
          <w:name w:val="General"/>
          <w:gallery w:val="placeholder"/>
        </w:category>
        <w:types>
          <w:type w:val="bbPlcHdr"/>
        </w:types>
        <w:behaviors>
          <w:behavior w:val="content"/>
        </w:behaviors>
        <w:guid w:val="{52B5B6C4-B8FF-43F0-9D00-423B432C5B3B}"/>
      </w:docPartPr>
      <w:docPartBody>
        <w:p w:rsidR="006F1ED4" w:rsidRDefault="006F1ED4" w:rsidP="006F1ED4">
          <w:pPr>
            <w:pStyle w:val="C8F0C73A25AD4069881E7BB32D9AC3FF"/>
          </w:pPr>
          <w:r w:rsidRPr="00CC5954">
            <w:rPr>
              <w:rStyle w:val="PlaceholderText"/>
            </w:rPr>
            <w:t>Click here to enter text.</w:t>
          </w:r>
        </w:p>
      </w:docPartBody>
    </w:docPart>
    <w:docPart>
      <w:docPartPr>
        <w:name w:val="346DADE0E4B948EEB018BC06B86F97D7"/>
        <w:category>
          <w:name w:val="General"/>
          <w:gallery w:val="placeholder"/>
        </w:category>
        <w:types>
          <w:type w:val="bbPlcHdr"/>
        </w:types>
        <w:behaviors>
          <w:behavior w:val="content"/>
        </w:behaviors>
        <w:guid w:val="{C55B73F9-8E74-489E-9465-27416A304196}"/>
      </w:docPartPr>
      <w:docPartBody>
        <w:p w:rsidR="006F1ED4" w:rsidRDefault="006F1ED4" w:rsidP="006F1ED4">
          <w:pPr>
            <w:pStyle w:val="346DADE0E4B948EEB018BC06B86F97D7"/>
          </w:pPr>
          <w:r w:rsidRPr="00CC5954">
            <w:rPr>
              <w:rStyle w:val="PlaceholderText"/>
            </w:rPr>
            <w:t>Click here to enter text.</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D861CBE38474042B6487F314DCD3331"/>
        <w:category>
          <w:name w:val="General"/>
          <w:gallery w:val="placeholder"/>
        </w:category>
        <w:types>
          <w:type w:val="bbPlcHdr"/>
        </w:types>
        <w:behaviors>
          <w:behavior w:val="content"/>
        </w:behaviors>
        <w:guid w:val="{06B41C99-623D-4A53-89E3-64EC92116808}"/>
      </w:docPartPr>
      <w:docPartBody>
        <w:p w:rsidR="00B520DD" w:rsidRDefault="006F1ED4" w:rsidP="006F1ED4">
          <w:pPr>
            <w:pStyle w:val="FD861CBE38474042B6487F314DCD33313"/>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925"/>
    <w:rsid w:val="0003006C"/>
    <w:rsid w:val="000369C9"/>
    <w:rsid w:val="00094131"/>
    <w:rsid w:val="000C5800"/>
    <w:rsid w:val="000F5B7B"/>
    <w:rsid w:val="00115E9E"/>
    <w:rsid w:val="0013419A"/>
    <w:rsid w:val="001D06C9"/>
    <w:rsid w:val="001E65D5"/>
    <w:rsid w:val="001F2B9D"/>
    <w:rsid w:val="001F3EB8"/>
    <w:rsid w:val="0025730C"/>
    <w:rsid w:val="00265E85"/>
    <w:rsid w:val="00283ECA"/>
    <w:rsid w:val="002C59FF"/>
    <w:rsid w:val="0036461E"/>
    <w:rsid w:val="00434EE4"/>
    <w:rsid w:val="005018A8"/>
    <w:rsid w:val="005830A9"/>
    <w:rsid w:val="00586785"/>
    <w:rsid w:val="005A4097"/>
    <w:rsid w:val="005A5C90"/>
    <w:rsid w:val="005B479E"/>
    <w:rsid w:val="00607D2E"/>
    <w:rsid w:val="00613314"/>
    <w:rsid w:val="00616558"/>
    <w:rsid w:val="006840D0"/>
    <w:rsid w:val="006F0E73"/>
    <w:rsid w:val="006F1ED4"/>
    <w:rsid w:val="006F6237"/>
    <w:rsid w:val="00781A6F"/>
    <w:rsid w:val="007B4F71"/>
    <w:rsid w:val="00861778"/>
    <w:rsid w:val="00862925"/>
    <w:rsid w:val="008A264C"/>
    <w:rsid w:val="008C2583"/>
    <w:rsid w:val="008E7E8D"/>
    <w:rsid w:val="009E106C"/>
    <w:rsid w:val="00A5275C"/>
    <w:rsid w:val="00A771B2"/>
    <w:rsid w:val="00AD0343"/>
    <w:rsid w:val="00B3254E"/>
    <w:rsid w:val="00B520DD"/>
    <w:rsid w:val="00B91967"/>
    <w:rsid w:val="00C569D3"/>
    <w:rsid w:val="00C75739"/>
    <w:rsid w:val="00D4065A"/>
    <w:rsid w:val="00D71EBA"/>
    <w:rsid w:val="00D878E5"/>
    <w:rsid w:val="00DA1BDD"/>
    <w:rsid w:val="00DC3C88"/>
    <w:rsid w:val="00DF3F7D"/>
    <w:rsid w:val="00E62797"/>
    <w:rsid w:val="00EE7A12"/>
    <w:rsid w:val="00F32E27"/>
    <w:rsid w:val="00F80994"/>
    <w:rsid w:val="00F947DF"/>
    <w:rsid w:val="00F97C61"/>
    <w:rsid w:val="00FB1E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61E"/>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 w:type="paragraph" w:customStyle="1" w:styleId="CACB70A1168B411595FAC6FC6BEBF98B">
    <w:name w:val="CACB70A1168B411595FAC6FC6BEBF98B"/>
    <w:rsid w:val="006F1ED4"/>
  </w:style>
  <w:style w:type="paragraph" w:customStyle="1" w:styleId="6DDBB321FA75409DA38DDE9CB0FD1E41">
    <w:name w:val="6DDBB321FA75409DA38DDE9CB0FD1E41"/>
    <w:rsid w:val="006F1ED4"/>
  </w:style>
  <w:style w:type="paragraph" w:customStyle="1" w:styleId="1B5742A7A4F94DA1B86FBACFB3D31E60">
    <w:name w:val="1B5742A7A4F94DA1B86FBACFB3D31E60"/>
    <w:rsid w:val="006F1ED4"/>
  </w:style>
  <w:style w:type="paragraph" w:customStyle="1" w:styleId="094A48B080684960BF3A114CBE910244">
    <w:name w:val="094A48B080684960BF3A114CBE910244"/>
    <w:rsid w:val="006F1ED4"/>
  </w:style>
  <w:style w:type="paragraph" w:customStyle="1" w:styleId="867EF0DB10CB4A10BB29112D1FCD9786">
    <w:name w:val="867EF0DB10CB4A10BB29112D1FCD9786"/>
    <w:rsid w:val="006F1ED4"/>
  </w:style>
  <w:style w:type="paragraph" w:customStyle="1" w:styleId="2C6B1E60C1A14643A06F2DDC18E211CF">
    <w:name w:val="2C6B1E60C1A14643A06F2DDC18E211CF"/>
    <w:rsid w:val="006F1ED4"/>
  </w:style>
  <w:style w:type="paragraph" w:customStyle="1" w:styleId="C8F0C73A25AD4069881E7BB32D9AC3FF">
    <w:name w:val="C8F0C73A25AD4069881E7BB32D9AC3FF"/>
    <w:rsid w:val="006F1ED4"/>
  </w:style>
  <w:style w:type="paragraph" w:customStyle="1" w:styleId="346DADE0E4B948EEB018BC06B86F97D7">
    <w:name w:val="346DADE0E4B948EEB018BC06B86F97D7"/>
    <w:rsid w:val="006F1ED4"/>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626F-2372-429F-9643-256C31E2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18</Pages>
  <Words>8722</Words>
  <Characters>49718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58324</CharactersWithSpaces>
  <SharedDoc>false</SharedDoc>
  <HLinks>
    <vt:vector size="12" baseType="variant">
      <vt:variant>
        <vt:i4>131122</vt:i4>
      </vt:variant>
      <vt:variant>
        <vt:i4>24</vt:i4>
      </vt:variant>
      <vt:variant>
        <vt:i4>0</vt:i4>
      </vt:variant>
      <vt:variant>
        <vt:i4>5</vt:i4>
      </vt:variant>
      <vt:variant>
        <vt:lpwstr>mailto:Enis.Bregu@drejtesia.gov.al</vt:lpwstr>
      </vt:variant>
      <vt:variant>
        <vt:lpwstr/>
      </vt:variant>
      <vt:variant>
        <vt:i4>4915249</vt:i4>
      </vt:variant>
      <vt:variant>
        <vt:i4>0</vt:i4>
      </vt:variant>
      <vt:variant>
        <vt:i4>0</vt:i4>
      </vt:variant>
      <vt:variant>
        <vt:i4>5</vt:i4>
      </vt:variant>
      <vt:variant>
        <vt:lpwstr>http://atp.gov.al/index.php?option=com_k2&amp;view=item&amp;layout=item&amp;id=791&amp;Itemid=465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Enis Bregu</cp:lastModifiedBy>
  <cp:revision>62</cp:revision>
  <cp:lastPrinted>2019-12-30T00:36:00Z</cp:lastPrinted>
  <dcterms:created xsi:type="dcterms:W3CDTF">2022-07-14T20:20:00Z</dcterms:created>
  <dcterms:modified xsi:type="dcterms:W3CDTF">2024-12-02T11:03:00Z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