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7324D" w14:textId="61F0C90A" w:rsidR="00CA0C10" w:rsidRPr="00F01A0B" w:rsidRDefault="0027304B" w:rsidP="00591477">
      <w:pPr>
        <w:spacing w:line="276" w:lineRule="auto"/>
        <w:rPr>
          <w:rFonts w:ascii="Times New Roman" w:hAnsi="Times New Roman"/>
          <w:b/>
          <w:sz w:val="24"/>
          <w:szCs w:val="24"/>
          <w:lang w:val="sq-AL" w:bidi="en-GB"/>
        </w:rPr>
      </w:pPr>
      <w:r w:rsidRPr="00F01A0B">
        <w:rPr>
          <w:rFonts w:ascii="Times New Roman" w:hAnsi="Times New Roman"/>
          <w:b/>
          <w:noProof/>
          <w:sz w:val="24"/>
          <w:szCs w:val="24"/>
          <w:lang w:val="en-US"/>
        </w:rPr>
        <w:drawing>
          <wp:inline distT="0" distB="0" distL="0" distR="0" wp14:anchorId="4108F256" wp14:editId="527E67FA">
            <wp:extent cx="6086475" cy="1447800"/>
            <wp:effectExtent l="0" t="0" r="9525" b="0"/>
            <wp:docPr id="1664232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1447800"/>
                    </a:xfrm>
                    <a:prstGeom prst="rect">
                      <a:avLst/>
                    </a:prstGeom>
                    <a:noFill/>
                  </pic:spPr>
                </pic:pic>
              </a:graphicData>
            </a:graphic>
          </wp:inline>
        </w:drawing>
      </w:r>
    </w:p>
    <w:p w14:paraId="2CCC3CEE" w14:textId="77777777" w:rsidR="0027304B" w:rsidRPr="00F01A0B" w:rsidRDefault="0027304B" w:rsidP="00591477">
      <w:pPr>
        <w:pStyle w:val="Heading1"/>
        <w:spacing w:before="0" w:line="276" w:lineRule="auto"/>
        <w:jc w:val="center"/>
        <w:rPr>
          <w:rFonts w:ascii="Times New Roman" w:hAnsi="Times New Roman" w:cs="Times New Roman"/>
          <w:b/>
          <w:color w:val="auto"/>
          <w:sz w:val="24"/>
          <w:szCs w:val="24"/>
          <w:lang w:val="sq-AL" w:bidi="en-GB"/>
        </w:rPr>
      </w:pPr>
    </w:p>
    <w:p w14:paraId="64E6AEF3" w14:textId="77777777" w:rsidR="0027304B" w:rsidRPr="00F01A0B" w:rsidRDefault="0027304B" w:rsidP="00591477">
      <w:pPr>
        <w:pStyle w:val="Heading1"/>
        <w:spacing w:before="0" w:line="276" w:lineRule="auto"/>
        <w:jc w:val="center"/>
        <w:rPr>
          <w:rFonts w:ascii="Times New Roman" w:hAnsi="Times New Roman" w:cs="Times New Roman"/>
          <w:b/>
          <w:color w:val="auto"/>
          <w:sz w:val="24"/>
          <w:szCs w:val="24"/>
          <w:lang w:val="sq-AL" w:bidi="en-GB"/>
        </w:rPr>
      </w:pPr>
    </w:p>
    <w:p w14:paraId="783199A6" w14:textId="324A3BD8" w:rsidR="00CA0C10" w:rsidRPr="00F01A0B" w:rsidRDefault="00CA0C10" w:rsidP="00591477">
      <w:pPr>
        <w:pStyle w:val="Heading1"/>
        <w:spacing w:before="0" w:line="276" w:lineRule="auto"/>
        <w:jc w:val="center"/>
        <w:rPr>
          <w:rFonts w:ascii="Times New Roman" w:hAnsi="Times New Roman" w:cs="Times New Roman"/>
          <w:b/>
          <w:color w:val="auto"/>
          <w:sz w:val="24"/>
          <w:szCs w:val="24"/>
          <w:lang w:val="sq-AL" w:bidi="en-GB"/>
        </w:rPr>
      </w:pPr>
      <w:r w:rsidRPr="00F01A0B">
        <w:rPr>
          <w:rFonts w:ascii="Times New Roman" w:hAnsi="Times New Roman" w:cs="Times New Roman"/>
          <w:b/>
          <w:color w:val="auto"/>
          <w:sz w:val="24"/>
          <w:szCs w:val="24"/>
          <w:lang w:val="sq-AL" w:bidi="en-GB"/>
        </w:rPr>
        <w:t>RAPORT</w:t>
      </w:r>
    </w:p>
    <w:p w14:paraId="21E061CE" w14:textId="77777777" w:rsidR="00CA0C10" w:rsidRPr="00F01A0B" w:rsidRDefault="00CA0C10" w:rsidP="00591477">
      <w:pPr>
        <w:spacing w:line="276" w:lineRule="auto"/>
        <w:jc w:val="center"/>
        <w:rPr>
          <w:rFonts w:ascii="Times New Roman" w:hAnsi="Times New Roman"/>
          <w:b/>
          <w:sz w:val="24"/>
          <w:szCs w:val="24"/>
          <w:lang w:val="sq-AL" w:bidi="en-GB"/>
        </w:rPr>
      </w:pPr>
    </w:p>
    <w:p w14:paraId="3814CFE9" w14:textId="5DE3FC39" w:rsidR="00CA0C10" w:rsidRPr="00F01A0B" w:rsidRDefault="00CA0C10" w:rsidP="00591477">
      <w:pPr>
        <w:pStyle w:val="Heading1"/>
        <w:spacing w:before="0" w:line="276" w:lineRule="auto"/>
        <w:jc w:val="center"/>
        <w:rPr>
          <w:rFonts w:ascii="Times New Roman" w:hAnsi="Times New Roman" w:cs="Times New Roman"/>
          <w:b/>
          <w:color w:val="auto"/>
          <w:sz w:val="24"/>
          <w:szCs w:val="24"/>
          <w:lang w:val="sq-AL"/>
        </w:rPr>
      </w:pPr>
      <w:r w:rsidRPr="00F01A0B">
        <w:rPr>
          <w:rFonts w:ascii="Times New Roman" w:hAnsi="Times New Roman" w:cs="Times New Roman"/>
          <w:b/>
          <w:color w:val="auto"/>
          <w:sz w:val="24"/>
          <w:szCs w:val="24"/>
          <w:lang w:val="sq-AL" w:bidi="en-GB"/>
        </w:rPr>
        <w:t xml:space="preserve">PËR REZULTATET E KONSULTIMIT PUBLIK TË </w:t>
      </w:r>
      <w:r w:rsidRPr="00F01A0B">
        <w:rPr>
          <w:rFonts w:ascii="Times New Roman" w:hAnsi="Times New Roman" w:cs="Times New Roman"/>
          <w:b/>
          <w:color w:val="auto"/>
          <w:sz w:val="24"/>
          <w:szCs w:val="24"/>
          <w:lang w:val="sq-AL"/>
        </w:rPr>
        <w:t>PROJEKTLIGJIT</w:t>
      </w:r>
    </w:p>
    <w:p w14:paraId="03801058" w14:textId="77777777" w:rsidR="00B46C0F" w:rsidRPr="00F01A0B" w:rsidRDefault="00B46C0F" w:rsidP="00591477">
      <w:pPr>
        <w:pStyle w:val="Default"/>
        <w:spacing w:line="276" w:lineRule="auto"/>
        <w:jc w:val="center"/>
        <w:rPr>
          <w:b/>
          <w:iCs/>
          <w:lang w:val="sq-AL"/>
        </w:rPr>
      </w:pPr>
    </w:p>
    <w:p w14:paraId="38F8D02D" w14:textId="2B5AA41A" w:rsidR="00CA0C10" w:rsidRPr="00F01A0B" w:rsidRDefault="000F3158" w:rsidP="00591477">
      <w:pPr>
        <w:pStyle w:val="Default"/>
        <w:spacing w:line="276" w:lineRule="auto"/>
        <w:jc w:val="center"/>
        <w:rPr>
          <w:b/>
          <w:bCs/>
          <w:lang w:val="sq-AL"/>
        </w:rPr>
      </w:pPr>
      <w:r w:rsidRPr="00F01A0B">
        <w:rPr>
          <w:b/>
          <w:iCs/>
          <w:lang w:val="sq-AL"/>
        </w:rPr>
        <w:t xml:space="preserve">PËR </w:t>
      </w:r>
      <w:r w:rsidR="00D174C5" w:rsidRPr="00F01A0B">
        <w:rPr>
          <w:b/>
          <w:iCs/>
          <w:lang w:val="sq-AL"/>
        </w:rPr>
        <w:t xml:space="preserve">DISA </w:t>
      </w:r>
      <w:r w:rsidR="00B46C0F" w:rsidRPr="00F01A0B">
        <w:rPr>
          <w:b/>
          <w:iCs/>
          <w:lang w:val="sq-AL"/>
        </w:rPr>
        <w:t xml:space="preserve">SHTESA DHE </w:t>
      </w:r>
      <w:r w:rsidR="00D174C5" w:rsidRPr="00F01A0B">
        <w:rPr>
          <w:b/>
          <w:iCs/>
          <w:lang w:val="sq-AL"/>
        </w:rPr>
        <w:t xml:space="preserve">NDRYSHIME NË LIGJIN NR. </w:t>
      </w:r>
      <w:r w:rsidR="00B46C0F" w:rsidRPr="00F01A0B">
        <w:rPr>
          <w:b/>
          <w:iCs/>
          <w:lang w:val="sq-AL"/>
        </w:rPr>
        <w:t>10304, DAT</w:t>
      </w:r>
      <w:r w:rsidR="00B46C0F" w:rsidRPr="00F01A0B">
        <w:rPr>
          <w:b/>
          <w:bCs/>
          <w:lang w:val="sq-AL"/>
        </w:rPr>
        <w:t>Ë</w:t>
      </w:r>
      <w:r w:rsidR="00B46C0F" w:rsidRPr="00F01A0B">
        <w:rPr>
          <w:b/>
          <w:iCs/>
          <w:lang w:val="sq-AL"/>
        </w:rPr>
        <w:t xml:space="preserve"> 15.7.2010 </w:t>
      </w:r>
      <w:r w:rsidR="00B46C0F" w:rsidRPr="00F01A0B">
        <w:rPr>
          <w:b/>
          <w:bCs/>
          <w:lang w:val="sq-AL"/>
        </w:rPr>
        <w:t>“PËR SEKTORIN MINERAR NË REPUBLIKËN E SHQIPËRISË”, TË NDRYSHUAR””</w:t>
      </w:r>
    </w:p>
    <w:p w14:paraId="33B2FABA" w14:textId="77777777" w:rsidR="005B6D2B" w:rsidRPr="00F01A0B" w:rsidRDefault="005B6D2B" w:rsidP="00591477">
      <w:pPr>
        <w:spacing w:line="276" w:lineRule="auto"/>
        <w:rPr>
          <w:rFonts w:ascii="Times New Roman" w:hAnsi="Times New Roman"/>
          <w:sz w:val="24"/>
          <w:szCs w:val="24"/>
          <w:lang w:val="sq-AL"/>
        </w:rPr>
      </w:pPr>
    </w:p>
    <w:p w14:paraId="2824BD7A" w14:textId="77777777" w:rsidR="00175D1D" w:rsidRPr="00F01A0B" w:rsidRDefault="00175D1D" w:rsidP="00591477">
      <w:pPr>
        <w:spacing w:line="276" w:lineRule="auto"/>
        <w:rPr>
          <w:rFonts w:ascii="Times New Roman" w:hAnsi="Times New Roman"/>
          <w:sz w:val="24"/>
          <w:szCs w:val="24"/>
          <w:lang w:val="sq-AL"/>
        </w:rPr>
      </w:pPr>
    </w:p>
    <w:p w14:paraId="74497D18" w14:textId="77777777" w:rsidR="005B6D2B" w:rsidRPr="00F01A0B" w:rsidRDefault="005B6D2B" w:rsidP="00591477">
      <w:pPr>
        <w:pStyle w:val="ListParagraph"/>
        <w:numPr>
          <w:ilvl w:val="0"/>
          <w:numId w:val="1"/>
        </w:numPr>
        <w:spacing w:line="276" w:lineRule="auto"/>
        <w:jc w:val="both"/>
        <w:rPr>
          <w:rFonts w:ascii="Times New Roman" w:hAnsi="Times New Roman"/>
          <w:b/>
          <w:bCs/>
          <w:sz w:val="24"/>
          <w:szCs w:val="24"/>
          <w:lang w:val="sq-AL"/>
        </w:rPr>
      </w:pPr>
      <w:r w:rsidRPr="00F01A0B">
        <w:rPr>
          <w:rFonts w:ascii="Times New Roman" w:hAnsi="Times New Roman"/>
          <w:b/>
          <w:bCs/>
          <w:sz w:val="24"/>
          <w:szCs w:val="24"/>
          <w:lang w:val="sq-AL"/>
        </w:rPr>
        <w:t>Titulli i draft aktit</w:t>
      </w:r>
      <w:r w:rsidR="00910D3D" w:rsidRPr="00F01A0B">
        <w:rPr>
          <w:rFonts w:ascii="Times New Roman" w:hAnsi="Times New Roman"/>
          <w:b/>
          <w:bCs/>
          <w:sz w:val="24"/>
          <w:szCs w:val="24"/>
          <w:lang w:val="sq-AL"/>
        </w:rPr>
        <w:t>/dokumentit</w:t>
      </w:r>
    </w:p>
    <w:p w14:paraId="6241A4B3" w14:textId="77777777" w:rsidR="00B46C0F" w:rsidRPr="00F01A0B" w:rsidRDefault="00B46C0F" w:rsidP="00591477">
      <w:pPr>
        <w:spacing w:line="276" w:lineRule="auto"/>
        <w:jc w:val="both"/>
        <w:rPr>
          <w:rFonts w:ascii="Times New Roman" w:hAnsi="Times New Roman"/>
          <w:sz w:val="24"/>
          <w:szCs w:val="24"/>
          <w:lang w:val="sq-AL"/>
        </w:rPr>
      </w:pPr>
    </w:p>
    <w:p w14:paraId="7078FC08" w14:textId="0E162619" w:rsidR="007978AB" w:rsidRPr="005C02C0" w:rsidRDefault="007978AB" w:rsidP="00591477">
      <w:pPr>
        <w:spacing w:line="276" w:lineRule="auto"/>
        <w:jc w:val="both"/>
        <w:rPr>
          <w:rFonts w:ascii="Times New Roman" w:hAnsi="Times New Roman"/>
          <w:sz w:val="24"/>
          <w:szCs w:val="24"/>
          <w:lang w:val="sq-AL"/>
        </w:rPr>
      </w:pPr>
      <w:r w:rsidRPr="005C02C0">
        <w:rPr>
          <w:rFonts w:ascii="Times New Roman" w:hAnsi="Times New Roman"/>
          <w:sz w:val="24"/>
          <w:szCs w:val="24"/>
          <w:lang w:val="sq-AL"/>
        </w:rPr>
        <w:t xml:space="preserve">Projektligji </w:t>
      </w:r>
      <w:r w:rsidRPr="005C02C0">
        <w:rPr>
          <w:rFonts w:ascii="Times New Roman" w:hAnsi="Times New Roman"/>
          <w:color w:val="000000"/>
          <w:sz w:val="24"/>
          <w:szCs w:val="24"/>
          <w:shd w:val="clear" w:color="auto" w:fill="FFFFFF"/>
          <w:lang w:val="sq-AL"/>
        </w:rPr>
        <w:t>“</w:t>
      </w:r>
      <w:r w:rsidR="005C02C0" w:rsidRPr="005C02C0">
        <w:rPr>
          <w:rFonts w:ascii="Times New Roman" w:hAnsi="Times New Roman"/>
          <w:iCs/>
          <w:sz w:val="24"/>
          <w:szCs w:val="22"/>
          <w:lang w:val="sq-AL"/>
        </w:rPr>
        <w:t>Për disa shtesa dhe ndryshime në ligjin nr. 10304, dat</w:t>
      </w:r>
      <w:r w:rsidR="005C02C0" w:rsidRPr="005C02C0">
        <w:rPr>
          <w:rFonts w:ascii="Times New Roman" w:hAnsi="Times New Roman"/>
          <w:sz w:val="24"/>
          <w:szCs w:val="22"/>
          <w:lang w:val="sq-AL"/>
        </w:rPr>
        <w:t>ë</w:t>
      </w:r>
      <w:r w:rsidR="005C02C0" w:rsidRPr="005C02C0">
        <w:rPr>
          <w:rFonts w:ascii="Times New Roman" w:hAnsi="Times New Roman"/>
          <w:iCs/>
          <w:sz w:val="24"/>
          <w:szCs w:val="22"/>
          <w:lang w:val="sq-AL"/>
        </w:rPr>
        <w:t xml:space="preserve"> 15.7.2010 </w:t>
      </w:r>
      <w:r w:rsidR="00CF5FF0">
        <w:rPr>
          <w:rFonts w:ascii="Times New Roman" w:hAnsi="Times New Roman"/>
          <w:sz w:val="24"/>
          <w:szCs w:val="22"/>
          <w:lang w:val="sq-AL"/>
        </w:rPr>
        <w:t>“Për sektorin minerar në Republikën e S</w:t>
      </w:r>
      <w:r w:rsidR="005C02C0" w:rsidRPr="005C02C0">
        <w:rPr>
          <w:rFonts w:ascii="Times New Roman" w:hAnsi="Times New Roman"/>
          <w:sz w:val="24"/>
          <w:szCs w:val="22"/>
          <w:lang w:val="sq-AL"/>
        </w:rPr>
        <w:t>hqipërisë”, të ndryshuar”</w:t>
      </w:r>
      <w:r w:rsidR="00F67805">
        <w:rPr>
          <w:rFonts w:ascii="Times New Roman" w:hAnsi="Times New Roman"/>
          <w:sz w:val="24"/>
          <w:szCs w:val="22"/>
          <w:lang w:val="sq-AL"/>
        </w:rPr>
        <w:t>.</w:t>
      </w:r>
    </w:p>
    <w:p w14:paraId="115268CA" w14:textId="64F89C59" w:rsidR="00D174C5" w:rsidRPr="00F01A0B" w:rsidRDefault="00D174C5" w:rsidP="00591477">
      <w:pPr>
        <w:pStyle w:val="Default"/>
        <w:spacing w:line="276" w:lineRule="auto"/>
        <w:jc w:val="both"/>
        <w:rPr>
          <w:b/>
          <w:bCs/>
          <w:lang w:val="sq-AL"/>
        </w:rPr>
      </w:pPr>
    </w:p>
    <w:p w14:paraId="6E2505CA" w14:textId="77777777" w:rsidR="00A23F2A" w:rsidRPr="00F01A0B" w:rsidRDefault="005B6D2B" w:rsidP="00591477">
      <w:pPr>
        <w:pStyle w:val="ListParagraph"/>
        <w:numPr>
          <w:ilvl w:val="0"/>
          <w:numId w:val="1"/>
        </w:numPr>
        <w:spacing w:line="276" w:lineRule="auto"/>
        <w:jc w:val="both"/>
        <w:rPr>
          <w:rFonts w:ascii="Times New Roman" w:hAnsi="Times New Roman"/>
          <w:b/>
          <w:iCs/>
          <w:sz w:val="24"/>
          <w:szCs w:val="24"/>
          <w:lang w:val="sq-AL"/>
        </w:rPr>
      </w:pPr>
      <w:r w:rsidRPr="00F01A0B">
        <w:rPr>
          <w:rFonts w:ascii="Times New Roman" w:hAnsi="Times New Roman"/>
          <w:b/>
          <w:bCs/>
          <w:sz w:val="24"/>
          <w:szCs w:val="24"/>
          <w:lang w:val="sq-AL"/>
        </w:rPr>
        <w:t>Kohëzgjatja e konsultimeve</w:t>
      </w:r>
    </w:p>
    <w:p w14:paraId="09A65487" w14:textId="77777777" w:rsidR="00F15746" w:rsidRPr="00F01A0B" w:rsidRDefault="00F15746"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064113EE" w14:textId="77777777" w:rsidR="00F15746" w:rsidRPr="00F01A0B" w:rsidRDefault="00F15746" w:rsidP="00591477">
      <w:pPr>
        <w:pStyle w:val="ListParagraph"/>
        <w:spacing w:line="276" w:lineRule="auto"/>
        <w:ind w:left="720" w:firstLine="0"/>
        <w:jc w:val="both"/>
        <w:rPr>
          <w:rFonts w:ascii="Times New Roman" w:hAnsi="Times New Roman"/>
          <w:b/>
          <w:iCs/>
          <w:sz w:val="24"/>
          <w:szCs w:val="24"/>
          <w:lang w:val="sq-AL"/>
        </w:rPr>
      </w:pPr>
    </w:p>
    <w:p w14:paraId="1D5C18D6" w14:textId="3F83D9D6" w:rsidR="00CC3801" w:rsidRPr="00F01A0B" w:rsidRDefault="008E6B76" w:rsidP="00591477">
      <w:pPr>
        <w:spacing w:line="276" w:lineRule="auto"/>
        <w:jc w:val="both"/>
        <w:rPr>
          <w:rFonts w:ascii="Times New Roman" w:hAnsi="Times New Roman"/>
          <w:sz w:val="24"/>
          <w:szCs w:val="24"/>
          <w:lang w:val="sq-AL"/>
        </w:rPr>
      </w:pPr>
      <w:r w:rsidRPr="00F01A0B">
        <w:rPr>
          <w:rFonts w:ascii="Times New Roman" w:hAnsi="Times New Roman"/>
          <w:sz w:val="24"/>
          <w:szCs w:val="24"/>
          <w:lang w:val="sq-AL"/>
        </w:rPr>
        <w:t xml:space="preserve">Ky projektligj </w:t>
      </w:r>
      <w:r w:rsidR="007F0918" w:rsidRPr="00F01A0B">
        <w:rPr>
          <w:rFonts w:ascii="Times New Roman" w:hAnsi="Times New Roman"/>
          <w:sz w:val="24"/>
          <w:szCs w:val="24"/>
          <w:lang w:val="sq-AL"/>
        </w:rPr>
        <w:t>ë</w:t>
      </w:r>
      <w:r w:rsidR="00887F8B" w:rsidRPr="00F01A0B">
        <w:rPr>
          <w:rFonts w:ascii="Times New Roman" w:hAnsi="Times New Roman"/>
          <w:sz w:val="24"/>
          <w:szCs w:val="24"/>
          <w:lang w:val="sq-AL"/>
        </w:rPr>
        <w:t>sht</w:t>
      </w:r>
      <w:r w:rsidR="0051336A" w:rsidRPr="00F01A0B">
        <w:rPr>
          <w:rFonts w:ascii="Times New Roman" w:hAnsi="Times New Roman"/>
          <w:sz w:val="24"/>
          <w:szCs w:val="24"/>
          <w:lang w:val="sq-AL"/>
        </w:rPr>
        <w:t>ë</w:t>
      </w:r>
      <w:r w:rsidR="00887F8B" w:rsidRPr="00F01A0B">
        <w:rPr>
          <w:rFonts w:ascii="Times New Roman" w:hAnsi="Times New Roman"/>
          <w:sz w:val="24"/>
          <w:szCs w:val="24"/>
          <w:lang w:val="sq-AL"/>
        </w:rPr>
        <w:t xml:space="preserve"> publikuar </w:t>
      </w:r>
      <w:r w:rsidR="00910D3D" w:rsidRPr="00F01A0B">
        <w:rPr>
          <w:rFonts w:ascii="Times New Roman" w:hAnsi="Times New Roman"/>
          <w:sz w:val="24"/>
          <w:szCs w:val="24"/>
          <w:lang w:val="sq-AL"/>
        </w:rPr>
        <w:t xml:space="preserve">në regjistrin elektronik për njoftimet dhe konsultimet publike </w:t>
      </w:r>
      <w:r w:rsidR="00A23F2A" w:rsidRPr="00F01A0B">
        <w:rPr>
          <w:rFonts w:ascii="Times New Roman" w:hAnsi="Times New Roman"/>
          <w:sz w:val="24"/>
          <w:szCs w:val="24"/>
          <w:lang w:val="sq-AL"/>
        </w:rPr>
        <w:t>(në nivel eksperti dhe qytetari)</w:t>
      </w:r>
      <w:r w:rsidR="007F0918" w:rsidRPr="00F01A0B">
        <w:rPr>
          <w:rFonts w:ascii="Times New Roman" w:hAnsi="Times New Roman"/>
          <w:sz w:val="24"/>
          <w:szCs w:val="24"/>
          <w:lang w:val="sq-AL"/>
        </w:rPr>
        <w:t xml:space="preserve"> në datë </w:t>
      </w:r>
      <w:r w:rsidR="000F3553" w:rsidRPr="00F01A0B">
        <w:rPr>
          <w:rFonts w:ascii="Times New Roman" w:hAnsi="Times New Roman"/>
          <w:bCs/>
          <w:sz w:val="24"/>
          <w:szCs w:val="24"/>
          <w:lang w:val="sq-AL"/>
        </w:rPr>
        <w:t>1</w:t>
      </w:r>
      <w:r w:rsidR="00CF5FF0">
        <w:rPr>
          <w:rFonts w:ascii="Times New Roman" w:hAnsi="Times New Roman"/>
          <w:bCs/>
          <w:sz w:val="24"/>
          <w:szCs w:val="24"/>
          <w:lang w:val="sq-AL"/>
        </w:rPr>
        <w:t xml:space="preserve"> Nëntor 2024</w:t>
      </w:r>
      <w:r w:rsidR="000F3553" w:rsidRPr="00F01A0B">
        <w:rPr>
          <w:rFonts w:ascii="Times New Roman" w:hAnsi="Times New Roman"/>
          <w:bCs/>
          <w:sz w:val="24"/>
          <w:szCs w:val="24"/>
          <w:lang w:val="sq-AL"/>
        </w:rPr>
        <w:t xml:space="preserve"> deri </w:t>
      </w:r>
      <w:r w:rsidR="000F3553" w:rsidRPr="00F01A0B">
        <w:rPr>
          <w:rFonts w:ascii="Times New Roman" w:hAnsi="Times New Roman"/>
          <w:sz w:val="24"/>
          <w:szCs w:val="24"/>
          <w:lang w:val="sq-AL"/>
        </w:rPr>
        <w:t>në</w:t>
      </w:r>
      <w:r w:rsidR="000F3553" w:rsidRPr="00F01A0B">
        <w:rPr>
          <w:rFonts w:ascii="Times New Roman" w:hAnsi="Times New Roman"/>
          <w:bCs/>
          <w:sz w:val="24"/>
          <w:szCs w:val="24"/>
          <w:lang w:val="sq-AL"/>
        </w:rPr>
        <w:t xml:space="preserve"> 29 Nëntor 2024</w:t>
      </w:r>
      <w:r w:rsidR="008D202D" w:rsidRPr="00F01A0B">
        <w:rPr>
          <w:rFonts w:ascii="Times New Roman" w:hAnsi="Times New Roman"/>
          <w:sz w:val="24"/>
          <w:szCs w:val="24"/>
          <w:lang w:val="sq-AL"/>
        </w:rPr>
        <w:t>, për një periudhë 20 ditë pune, në respektim të afatit ligjor të konsultimit.</w:t>
      </w:r>
    </w:p>
    <w:p w14:paraId="552C1EE3" w14:textId="77777777" w:rsidR="008D202D" w:rsidRPr="00F01A0B" w:rsidRDefault="008D202D" w:rsidP="00591477">
      <w:pPr>
        <w:spacing w:line="276" w:lineRule="auto"/>
        <w:ind w:left="360"/>
        <w:jc w:val="both"/>
        <w:rPr>
          <w:rFonts w:ascii="Times New Roman" w:hAnsi="Times New Roman"/>
          <w:sz w:val="24"/>
          <w:szCs w:val="24"/>
          <w:lang w:val="sq-AL"/>
        </w:rPr>
      </w:pPr>
    </w:p>
    <w:p w14:paraId="413EAE17" w14:textId="7B894E28" w:rsidR="00D34D46" w:rsidRPr="00F01A0B" w:rsidRDefault="00496C6F" w:rsidP="00591477">
      <w:pPr>
        <w:spacing w:line="276" w:lineRule="auto"/>
        <w:jc w:val="both"/>
        <w:rPr>
          <w:rFonts w:ascii="Times New Roman" w:hAnsi="Times New Roman"/>
          <w:sz w:val="24"/>
          <w:szCs w:val="24"/>
          <w:lang w:val="sq-AL"/>
        </w:rPr>
      </w:pPr>
      <w:hyperlink r:id="rId9" w:history="1">
        <w:r w:rsidRPr="00C65E19">
          <w:rPr>
            <w:rStyle w:val="Hyperlink"/>
            <w:rFonts w:ascii="Times New Roman" w:hAnsi="Times New Roman"/>
            <w:sz w:val="24"/>
            <w:szCs w:val="24"/>
            <w:lang w:val="sq-AL"/>
          </w:rPr>
          <w:t>https://www.konsultimipublik.gov.al/Konsultime/Detaje/795</w:t>
        </w:r>
      </w:hyperlink>
      <w:r w:rsidR="00D34D46" w:rsidRPr="00F01A0B">
        <w:rPr>
          <w:rFonts w:ascii="Times New Roman" w:hAnsi="Times New Roman"/>
          <w:sz w:val="24"/>
          <w:szCs w:val="24"/>
          <w:lang w:val="sq-AL"/>
        </w:rPr>
        <w:t xml:space="preserve"> </w:t>
      </w:r>
    </w:p>
    <w:p w14:paraId="07E81A60" w14:textId="1C19B314" w:rsidR="002C7E2D" w:rsidRPr="00F01A0B" w:rsidRDefault="00496C6F" w:rsidP="00591477">
      <w:pPr>
        <w:spacing w:line="276" w:lineRule="auto"/>
        <w:jc w:val="both"/>
        <w:rPr>
          <w:rFonts w:ascii="Times New Roman" w:hAnsi="Times New Roman"/>
          <w:sz w:val="24"/>
          <w:szCs w:val="24"/>
          <w:lang w:val="sq-AL"/>
        </w:rPr>
      </w:pPr>
      <w:hyperlink r:id="rId10" w:history="1">
        <w:r w:rsidRPr="00C65E19">
          <w:rPr>
            <w:rStyle w:val="Hyperlink"/>
            <w:rFonts w:ascii="Times New Roman" w:hAnsi="Times New Roman"/>
            <w:sz w:val="24"/>
            <w:szCs w:val="24"/>
            <w:lang w:val="sq-AL"/>
          </w:rPr>
          <w:t>https://www.konsultimipublik.gov.al/Konsultime/Detaje/794</w:t>
        </w:r>
      </w:hyperlink>
    </w:p>
    <w:p w14:paraId="54EDE46F" w14:textId="5C89B6A5" w:rsidR="007755F2" w:rsidRPr="00F01A0B" w:rsidRDefault="007755F2" w:rsidP="00591477">
      <w:pPr>
        <w:spacing w:line="276" w:lineRule="auto"/>
        <w:jc w:val="both"/>
        <w:rPr>
          <w:rFonts w:ascii="Times New Roman" w:hAnsi="Times New Roman"/>
          <w:sz w:val="24"/>
          <w:szCs w:val="24"/>
          <w:lang w:val="sq-AL"/>
        </w:rPr>
      </w:pPr>
    </w:p>
    <w:p w14:paraId="4561558F" w14:textId="77777777" w:rsidR="00D67B83" w:rsidRPr="00F01A0B" w:rsidRDefault="005B6D2B" w:rsidP="00591477">
      <w:pPr>
        <w:pStyle w:val="ListParagraph"/>
        <w:numPr>
          <w:ilvl w:val="0"/>
          <w:numId w:val="1"/>
        </w:numPr>
        <w:spacing w:line="276" w:lineRule="auto"/>
        <w:jc w:val="both"/>
        <w:rPr>
          <w:rFonts w:ascii="Times New Roman" w:hAnsi="Times New Roman"/>
          <w:b/>
          <w:sz w:val="24"/>
          <w:szCs w:val="24"/>
          <w:lang w:val="sq-AL"/>
        </w:rPr>
      </w:pPr>
      <w:r w:rsidRPr="00F01A0B">
        <w:rPr>
          <w:rFonts w:ascii="Times New Roman" w:hAnsi="Times New Roman"/>
          <w:b/>
          <w:bCs/>
          <w:sz w:val="24"/>
          <w:szCs w:val="24"/>
          <w:lang w:val="sq-AL"/>
        </w:rPr>
        <w:t>Metoda e konsultimit</w:t>
      </w:r>
    </w:p>
    <w:p w14:paraId="00D691EC" w14:textId="77777777" w:rsidR="00F15746" w:rsidRPr="00F01A0B" w:rsidRDefault="00F15746"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p>
    <w:p w14:paraId="42A8BB10" w14:textId="77777777" w:rsidR="00F15746" w:rsidRPr="00F01A0B" w:rsidRDefault="00F15746"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Shpjegoni se si u shpërnda informacioni mbi konsultimet e hapura, si u ftuan palët e interesuara të kontribuojnë.</w:t>
      </w:r>
    </w:p>
    <w:p w14:paraId="5E1D34B8" w14:textId="77777777" w:rsidR="00F15746" w:rsidRPr="00F01A0B" w:rsidRDefault="00F15746"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Përfshini gjithashtu aktivitete nga konsultimet paraprake nëse janë organizuar të tilla).</w:t>
      </w:r>
    </w:p>
    <w:p w14:paraId="07847DB1" w14:textId="77777777" w:rsidR="00F15746" w:rsidRPr="00F01A0B" w:rsidRDefault="00F15746" w:rsidP="00591477">
      <w:pPr>
        <w:pStyle w:val="ListParagraph"/>
        <w:spacing w:line="276" w:lineRule="auto"/>
        <w:ind w:left="720" w:firstLine="0"/>
        <w:jc w:val="both"/>
        <w:rPr>
          <w:rFonts w:ascii="Times New Roman" w:hAnsi="Times New Roman"/>
          <w:b/>
          <w:sz w:val="24"/>
          <w:szCs w:val="24"/>
          <w:lang w:val="sq-AL"/>
        </w:rPr>
      </w:pPr>
    </w:p>
    <w:p w14:paraId="421C239E" w14:textId="3FC3E50E" w:rsidR="00091664" w:rsidRPr="00F01A0B" w:rsidRDefault="00B37B00" w:rsidP="00591477">
      <w:pPr>
        <w:pStyle w:val="Default"/>
        <w:spacing w:line="276" w:lineRule="auto"/>
        <w:jc w:val="both"/>
        <w:rPr>
          <w:lang w:val="sq-AL"/>
        </w:rPr>
      </w:pPr>
      <w:r w:rsidRPr="00F01A0B">
        <w:rPr>
          <w:lang w:val="sq-AL"/>
        </w:rPr>
        <w:lastRenderedPageBreak/>
        <w:t>Projektligji “</w:t>
      </w:r>
      <w:r w:rsidR="00476889" w:rsidRPr="00F01A0B">
        <w:rPr>
          <w:lang w:val="sq-AL"/>
        </w:rPr>
        <w:t>Për disa shtesa dhe ndryshime në ligjin nr. 10304, datë 15.7.2010 “Për sektorin minerar në Republikën e Shqipërisë”, të ndryshuar</w:t>
      </w:r>
      <w:r w:rsidRPr="00F01A0B">
        <w:rPr>
          <w:iCs/>
          <w:lang w:val="sq-AL"/>
        </w:rPr>
        <w:t>””</w:t>
      </w:r>
      <w:r w:rsidR="00476889" w:rsidRPr="00F01A0B">
        <w:rPr>
          <w:iCs/>
          <w:lang w:val="sq-AL"/>
        </w:rPr>
        <w:t xml:space="preserve">, </w:t>
      </w:r>
      <w:r w:rsidRPr="00F01A0B">
        <w:rPr>
          <w:iCs/>
          <w:lang w:val="sq-AL"/>
        </w:rPr>
        <w:t xml:space="preserve">u konsultua: </w:t>
      </w:r>
    </w:p>
    <w:p w14:paraId="4C8F47FA" w14:textId="77777777" w:rsidR="00AF7BA7" w:rsidRPr="00F01A0B" w:rsidRDefault="00AF7BA7" w:rsidP="00591477">
      <w:pPr>
        <w:pStyle w:val="BodyText"/>
        <w:tabs>
          <w:tab w:val="clear" w:pos="567"/>
          <w:tab w:val="left" w:pos="270"/>
        </w:tabs>
        <w:spacing w:after="0" w:line="276" w:lineRule="auto"/>
        <w:ind w:left="360" w:hanging="90"/>
        <w:jc w:val="both"/>
        <w:rPr>
          <w:rFonts w:ascii="Times New Roman" w:hAnsi="Times New Roman"/>
          <w:sz w:val="24"/>
          <w:szCs w:val="24"/>
          <w:lang w:val="sq-AL"/>
        </w:rPr>
      </w:pPr>
    </w:p>
    <w:p w14:paraId="2FC92B05" w14:textId="52A4153C" w:rsidR="00E757D2" w:rsidRPr="00F01A0B" w:rsidRDefault="00B37B00" w:rsidP="00591477">
      <w:pPr>
        <w:pStyle w:val="BodyText"/>
        <w:numPr>
          <w:ilvl w:val="0"/>
          <w:numId w:val="8"/>
        </w:numPr>
        <w:tabs>
          <w:tab w:val="clear" w:pos="567"/>
          <w:tab w:val="left" w:pos="630"/>
        </w:tabs>
        <w:spacing w:after="0" w:line="276" w:lineRule="auto"/>
        <w:ind w:left="810" w:hanging="270"/>
        <w:jc w:val="both"/>
        <w:rPr>
          <w:rFonts w:ascii="Times New Roman" w:hAnsi="Times New Roman"/>
          <w:sz w:val="24"/>
          <w:szCs w:val="24"/>
          <w:lang w:val="sq-AL"/>
        </w:rPr>
      </w:pPr>
      <w:r w:rsidRPr="00F01A0B">
        <w:rPr>
          <w:rFonts w:ascii="Times New Roman" w:hAnsi="Times New Roman"/>
          <w:sz w:val="24"/>
          <w:szCs w:val="24"/>
          <w:lang w:val="sq-AL"/>
        </w:rPr>
        <w:t>Nëpërmjet publikimit</w:t>
      </w:r>
      <w:r w:rsidR="009553BA" w:rsidRPr="00F01A0B">
        <w:rPr>
          <w:rFonts w:ascii="Times New Roman" w:hAnsi="Times New Roman"/>
          <w:sz w:val="24"/>
          <w:szCs w:val="24"/>
          <w:lang w:val="sq-AL"/>
        </w:rPr>
        <w:t xml:space="preserve"> në R</w:t>
      </w:r>
      <w:r w:rsidR="00E757D2" w:rsidRPr="00F01A0B">
        <w:rPr>
          <w:rFonts w:ascii="Times New Roman" w:hAnsi="Times New Roman"/>
          <w:sz w:val="24"/>
          <w:szCs w:val="24"/>
          <w:lang w:val="sq-AL"/>
        </w:rPr>
        <w:t>egjistr</w:t>
      </w:r>
      <w:r w:rsidR="00626AE5" w:rsidRPr="00F01A0B">
        <w:rPr>
          <w:rFonts w:ascii="Times New Roman" w:hAnsi="Times New Roman"/>
          <w:sz w:val="24"/>
          <w:szCs w:val="24"/>
          <w:lang w:val="sq-AL"/>
        </w:rPr>
        <w:t>in elektronik për njoftimet dhe</w:t>
      </w:r>
      <w:r w:rsidRPr="00F01A0B">
        <w:rPr>
          <w:rFonts w:ascii="Times New Roman" w:hAnsi="Times New Roman"/>
          <w:sz w:val="24"/>
          <w:szCs w:val="24"/>
          <w:lang w:val="sq-AL"/>
        </w:rPr>
        <w:t xml:space="preserve"> konsultimet publike nga data </w:t>
      </w:r>
      <w:r w:rsidR="00476889" w:rsidRPr="00F01A0B">
        <w:rPr>
          <w:rFonts w:ascii="Times New Roman" w:hAnsi="Times New Roman"/>
          <w:sz w:val="24"/>
          <w:szCs w:val="24"/>
          <w:lang w:val="sq-AL"/>
        </w:rPr>
        <w:t xml:space="preserve">1 deri në 29 Nëntor </w:t>
      </w:r>
      <w:r w:rsidRPr="00F01A0B">
        <w:rPr>
          <w:rFonts w:ascii="Times New Roman" w:hAnsi="Times New Roman"/>
          <w:sz w:val="24"/>
          <w:szCs w:val="24"/>
          <w:lang w:val="sq-AL"/>
        </w:rPr>
        <w:t>2024;</w:t>
      </w:r>
    </w:p>
    <w:p w14:paraId="5384398E" w14:textId="24F57FCE" w:rsidR="00AF7BA7" w:rsidRPr="00F01A0B" w:rsidRDefault="00A04234" w:rsidP="00591477">
      <w:pPr>
        <w:pStyle w:val="BodyText"/>
        <w:numPr>
          <w:ilvl w:val="0"/>
          <w:numId w:val="8"/>
        </w:numPr>
        <w:tabs>
          <w:tab w:val="clear" w:pos="567"/>
          <w:tab w:val="left" w:pos="630"/>
        </w:tabs>
        <w:spacing w:after="0" w:line="276" w:lineRule="auto"/>
        <w:ind w:left="810" w:hanging="270"/>
        <w:jc w:val="both"/>
        <w:rPr>
          <w:rFonts w:ascii="Times New Roman" w:hAnsi="Times New Roman"/>
          <w:sz w:val="24"/>
          <w:szCs w:val="24"/>
          <w:lang w:val="sq-AL"/>
        </w:rPr>
      </w:pPr>
      <w:r w:rsidRPr="00F01A0B">
        <w:rPr>
          <w:rFonts w:ascii="Times New Roman" w:hAnsi="Times New Roman"/>
          <w:sz w:val="24"/>
          <w:szCs w:val="24"/>
          <w:lang w:val="sq-AL"/>
        </w:rPr>
        <w:t>Nëpërmjet publikimit</w:t>
      </w:r>
      <w:r w:rsidR="00B37B00" w:rsidRPr="00F01A0B">
        <w:rPr>
          <w:rFonts w:ascii="Times New Roman" w:hAnsi="Times New Roman"/>
          <w:sz w:val="24"/>
          <w:szCs w:val="24"/>
          <w:lang w:val="sq-AL"/>
        </w:rPr>
        <w:t xml:space="preserve"> </w:t>
      </w:r>
      <w:r w:rsidR="00AF7BA7" w:rsidRPr="00F01A0B">
        <w:rPr>
          <w:rFonts w:ascii="Times New Roman" w:hAnsi="Times New Roman"/>
          <w:sz w:val="24"/>
          <w:szCs w:val="24"/>
          <w:lang w:val="sq-AL"/>
        </w:rPr>
        <w:t xml:space="preserve">në </w:t>
      </w:r>
      <w:r w:rsidR="00F46035" w:rsidRPr="00F01A0B">
        <w:rPr>
          <w:rFonts w:ascii="Times New Roman" w:hAnsi="Times New Roman"/>
          <w:sz w:val="24"/>
          <w:szCs w:val="24"/>
          <w:lang w:val="sq-AL"/>
        </w:rPr>
        <w:t>faqen</w:t>
      </w:r>
      <w:r w:rsidR="00416C05" w:rsidRPr="00F01A0B">
        <w:rPr>
          <w:rFonts w:ascii="Times New Roman" w:hAnsi="Times New Roman"/>
          <w:sz w:val="24"/>
          <w:szCs w:val="24"/>
          <w:lang w:val="sq-AL"/>
        </w:rPr>
        <w:t xml:space="preserve"> zyrtar</w:t>
      </w:r>
      <w:r w:rsidR="00F46035" w:rsidRPr="00F01A0B">
        <w:rPr>
          <w:rFonts w:ascii="Times New Roman" w:hAnsi="Times New Roman"/>
          <w:sz w:val="24"/>
          <w:szCs w:val="24"/>
          <w:lang w:val="sq-AL"/>
        </w:rPr>
        <w:t>e</w:t>
      </w:r>
      <w:r w:rsidR="00AF7BA7" w:rsidRPr="00F01A0B">
        <w:rPr>
          <w:rFonts w:ascii="Times New Roman" w:hAnsi="Times New Roman"/>
          <w:sz w:val="24"/>
          <w:szCs w:val="24"/>
          <w:lang w:val="sq-AL"/>
        </w:rPr>
        <w:t xml:space="preserve"> të M</w:t>
      </w:r>
      <w:r w:rsidR="00F46035" w:rsidRPr="00F01A0B">
        <w:rPr>
          <w:rFonts w:ascii="Times New Roman" w:hAnsi="Times New Roman"/>
          <w:sz w:val="24"/>
          <w:szCs w:val="24"/>
          <w:lang w:val="sq-AL"/>
        </w:rPr>
        <w:t>inistrisë së Infrastrukturës dhe Energjisë</w:t>
      </w:r>
      <w:r w:rsidR="00A70C10" w:rsidRPr="00F01A0B">
        <w:rPr>
          <w:rFonts w:ascii="Times New Roman" w:hAnsi="Times New Roman"/>
          <w:sz w:val="24"/>
          <w:szCs w:val="24"/>
          <w:lang w:val="sq-AL"/>
        </w:rPr>
        <w:t xml:space="preserve"> në</w:t>
      </w:r>
      <w:r w:rsidR="00AF7BA7" w:rsidRPr="00F01A0B">
        <w:rPr>
          <w:rFonts w:ascii="Times New Roman" w:hAnsi="Times New Roman"/>
          <w:sz w:val="24"/>
          <w:szCs w:val="24"/>
          <w:lang w:val="sq-AL"/>
        </w:rPr>
        <w:t xml:space="preserve"> datë </w:t>
      </w:r>
      <w:r w:rsidR="00476889" w:rsidRPr="00F01A0B">
        <w:rPr>
          <w:rFonts w:ascii="Times New Roman" w:hAnsi="Times New Roman"/>
          <w:sz w:val="24"/>
          <w:szCs w:val="24"/>
          <w:lang w:val="sq-AL"/>
        </w:rPr>
        <w:t xml:space="preserve">1 Nëntor </w:t>
      </w:r>
      <w:r w:rsidR="000B7A45" w:rsidRPr="00F01A0B">
        <w:rPr>
          <w:rFonts w:ascii="Times New Roman" w:hAnsi="Times New Roman"/>
          <w:bCs/>
          <w:color w:val="000000"/>
          <w:sz w:val="24"/>
          <w:szCs w:val="24"/>
          <w:lang w:val="sq-AL" w:eastAsia="sl-SI"/>
        </w:rPr>
        <w:t xml:space="preserve">2024 </w:t>
      </w:r>
      <w:r w:rsidR="00AF7BA7" w:rsidRPr="00F01A0B">
        <w:rPr>
          <w:rFonts w:ascii="Times New Roman" w:hAnsi="Times New Roman"/>
          <w:sz w:val="24"/>
          <w:szCs w:val="24"/>
          <w:lang w:val="sq-AL"/>
        </w:rPr>
        <w:t>dhe paketës shoqëruese;</w:t>
      </w:r>
    </w:p>
    <w:p w14:paraId="12A0D527" w14:textId="10E9F838" w:rsidR="00EB0243" w:rsidRPr="00F01A0B" w:rsidRDefault="00C00C8F" w:rsidP="00591477">
      <w:pPr>
        <w:pStyle w:val="BodyText"/>
        <w:numPr>
          <w:ilvl w:val="0"/>
          <w:numId w:val="8"/>
        </w:numPr>
        <w:tabs>
          <w:tab w:val="clear" w:pos="567"/>
          <w:tab w:val="left" w:pos="630"/>
        </w:tabs>
        <w:spacing w:after="0" w:line="276" w:lineRule="auto"/>
        <w:ind w:left="810" w:hanging="270"/>
        <w:jc w:val="both"/>
        <w:rPr>
          <w:rFonts w:ascii="Times New Roman" w:hAnsi="Times New Roman"/>
          <w:sz w:val="24"/>
          <w:szCs w:val="24"/>
          <w:lang w:val="sq-AL"/>
        </w:rPr>
      </w:pPr>
      <w:r w:rsidRPr="00F01A0B">
        <w:rPr>
          <w:rFonts w:ascii="Times New Roman" w:hAnsi="Times New Roman"/>
          <w:sz w:val="24"/>
          <w:szCs w:val="24"/>
          <w:lang w:val="sq-AL"/>
        </w:rPr>
        <w:t>N</w:t>
      </w:r>
      <w:r w:rsidR="008930F2" w:rsidRPr="00F01A0B">
        <w:rPr>
          <w:rFonts w:ascii="Times New Roman" w:hAnsi="Times New Roman"/>
          <w:sz w:val="24"/>
          <w:szCs w:val="24"/>
          <w:lang w:val="sq-AL"/>
        </w:rPr>
        <w:t>d</w:t>
      </w:r>
      <w:r w:rsidR="007C630B" w:rsidRPr="00F01A0B">
        <w:rPr>
          <w:rFonts w:ascii="Times New Roman" w:hAnsi="Times New Roman"/>
          <w:sz w:val="24"/>
          <w:szCs w:val="24"/>
          <w:lang w:val="sq-AL"/>
        </w:rPr>
        <w:t>ë</w:t>
      </w:r>
      <w:r w:rsidR="008930F2" w:rsidRPr="00F01A0B">
        <w:rPr>
          <w:rFonts w:ascii="Times New Roman" w:hAnsi="Times New Roman"/>
          <w:sz w:val="24"/>
          <w:szCs w:val="24"/>
          <w:lang w:val="sq-AL"/>
        </w:rPr>
        <w:t>rmjet post</w:t>
      </w:r>
      <w:r w:rsidR="007C630B" w:rsidRPr="00F01A0B">
        <w:rPr>
          <w:rFonts w:ascii="Times New Roman" w:hAnsi="Times New Roman"/>
          <w:sz w:val="24"/>
          <w:szCs w:val="24"/>
          <w:lang w:val="sq-AL"/>
        </w:rPr>
        <w:t>ë</w:t>
      </w:r>
      <w:r w:rsidR="008930F2" w:rsidRPr="00F01A0B">
        <w:rPr>
          <w:rFonts w:ascii="Times New Roman" w:hAnsi="Times New Roman"/>
          <w:sz w:val="24"/>
          <w:szCs w:val="24"/>
          <w:lang w:val="sq-AL"/>
        </w:rPr>
        <w:t>s elektronike</w:t>
      </w:r>
      <w:r w:rsidR="00B37B00" w:rsidRPr="00F01A0B">
        <w:rPr>
          <w:rFonts w:ascii="Times New Roman" w:hAnsi="Times New Roman"/>
          <w:sz w:val="24"/>
          <w:szCs w:val="24"/>
          <w:lang w:val="sq-AL"/>
        </w:rPr>
        <w:t xml:space="preserve"> të koordinatorit</w:t>
      </w:r>
      <w:r w:rsidR="001A228B" w:rsidRPr="00F01A0B">
        <w:rPr>
          <w:rFonts w:ascii="Times New Roman" w:hAnsi="Times New Roman"/>
          <w:sz w:val="24"/>
          <w:szCs w:val="24"/>
          <w:lang w:val="sq-AL"/>
        </w:rPr>
        <w:t xml:space="preserve"> për njoftim dhe konsultim publik</w:t>
      </w:r>
      <w:r w:rsidR="008930F2" w:rsidRPr="00F01A0B">
        <w:rPr>
          <w:rFonts w:ascii="Times New Roman" w:hAnsi="Times New Roman"/>
          <w:sz w:val="24"/>
          <w:szCs w:val="24"/>
          <w:lang w:val="sq-AL"/>
        </w:rPr>
        <w:t>:</w:t>
      </w:r>
      <w:r w:rsidR="00017646" w:rsidRPr="00F01A0B">
        <w:rPr>
          <w:rFonts w:ascii="Times New Roman" w:hAnsi="Times New Roman"/>
          <w:sz w:val="24"/>
          <w:szCs w:val="24"/>
          <w:lang w:val="sq-AL"/>
        </w:rPr>
        <w:t xml:space="preserve"> </w:t>
      </w:r>
      <w:hyperlink r:id="rId11" w:history="1">
        <w:r w:rsidR="00497261" w:rsidRPr="00F01A0B">
          <w:rPr>
            <w:rStyle w:val="Hyperlink"/>
            <w:rFonts w:ascii="Times New Roman" w:hAnsi="Times New Roman"/>
            <w:sz w:val="24"/>
            <w:szCs w:val="24"/>
            <w:lang w:val="sq-AL"/>
          </w:rPr>
          <w:t>vilma.davidhi@infrastruktura.gov.al</w:t>
        </w:r>
      </w:hyperlink>
      <w:r w:rsidR="00017646" w:rsidRPr="00F01A0B">
        <w:rPr>
          <w:rFonts w:ascii="Times New Roman" w:hAnsi="Times New Roman"/>
          <w:sz w:val="24"/>
          <w:szCs w:val="24"/>
          <w:lang w:val="sq-AL"/>
        </w:rPr>
        <w:t>.</w:t>
      </w:r>
    </w:p>
    <w:p w14:paraId="3F1E0778" w14:textId="77777777" w:rsidR="00332DB4" w:rsidRPr="00F01A0B" w:rsidRDefault="00332DB4" w:rsidP="00591477">
      <w:pPr>
        <w:tabs>
          <w:tab w:val="left" w:pos="630"/>
        </w:tabs>
        <w:spacing w:line="276" w:lineRule="auto"/>
        <w:ind w:left="450" w:firstLine="90"/>
        <w:jc w:val="both"/>
        <w:rPr>
          <w:rFonts w:ascii="Times New Roman" w:hAnsi="Times New Roman"/>
          <w:sz w:val="24"/>
          <w:szCs w:val="24"/>
          <w:lang w:val="sq-AL"/>
        </w:rPr>
      </w:pPr>
    </w:p>
    <w:p w14:paraId="7E115950" w14:textId="2E536301" w:rsidR="007C630B" w:rsidRPr="00F01A0B" w:rsidRDefault="005B6D2B" w:rsidP="00591477">
      <w:pPr>
        <w:pStyle w:val="ListParagraph"/>
        <w:numPr>
          <w:ilvl w:val="0"/>
          <w:numId w:val="8"/>
        </w:numPr>
        <w:spacing w:line="276" w:lineRule="auto"/>
        <w:jc w:val="both"/>
        <w:rPr>
          <w:rFonts w:ascii="Times New Roman" w:hAnsi="Times New Roman"/>
          <w:b/>
          <w:bCs/>
          <w:sz w:val="24"/>
          <w:szCs w:val="24"/>
          <w:lang w:val="sq-AL"/>
        </w:rPr>
      </w:pPr>
      <w:r w:rsidRPr="00F01A0B">
        <w:rPr>
          <w:rFonts w:ascii="Times New Roman" w:hAnsi="Times New Roman"/>
          <w:b/>
          <w:bCs/>
          <w:sz w:val="24"/>
          <w:szCs w:val="24"/>
          <w:lang w:val="sq-AL"/>
        </w:rPr>
        <w:t>Palët e interesit të përfshira</w:t>
      </w:r>
    </w:p>
    <w:p w14:paraId="32E5622E" w14:textId="77777777" w:rsidR="009B7A7D" w:rsidRPr="00F01A0B" w:rsidRDefault="009B7A7D" w:rsidP="00591477">
      <w:pPr>
        <w:spacing w:line="276" w:lineRule="auto"/>
        <w:jc w:val="both"/>
        <w:rPr>
          <w:rFonts w:ascii="Times New Roman" w:hAnsi="Times New Roman"/>
          <w:i/>
          <w:sz w:val="24"/>
          <w:szCs w:val="24"/>
          <w:lang w:val="sq-AL"/>
        </w:rPr>
      </w:pPr>
      <w:r w:rsidRPr="00F01A0B">
        <w:rPr>
          <w:rFonts w:ascii="Times New Roman" w:hAnsi="Times New Roman"/>
          <w:i/>
          <w:sz w:val="24"/>
          <w:szCs w:val="24"/>
          <w:lang w:val="sq-AL"/>
        </w:rPr>
        <w:t>Listoni të gjithë palët e interesuara, qoftë organizata apo individë, të cilët kanë dhënë komente/kontribut në konsultimet publike përmes metodave të ndryshme të konsultimit, gjatë gjithë procesit të hartimit.</w:t>
      </w:r>
    </w:p>
    <w:p w14:paraId="24F45D46" w14:textId="77777777" w:rsidR="009B7A7D" w:rsidRPr="00F01A0B" w:rsidRDefault="009B7A7D" w:rsidP="00591477">
      <w:pPr>
        <w:spacing w:line="276" w:lineRule="auto"/>
        <w:jc w:val="both"/>
        <w:rPr>
          <w:rFonts w:ascii="Times New Roman" w:hAnsi="Times New Roman"/>
          <w:i/>
          <w:sz w:val="24"/>
          <w:szCs w:val="24"/>
          <w:lang w:val="sq-AL"/>
        </w:rPr>
      </w:pPr>
      <w:r w:rsidRPr="00F01A0B">
        <w:rPr>
          <w:rFonts w:ascii="Times New Roman" w:hAnsi="Times New Roman"/>
          <w:i/>
          <w:sz w:val="24"/>
          <w:szCs w:val="24"/>
          <w:lang w:val="sq-AL"/>
        </w:rPr>
        <w:t>Përmendni gjithashtu numrin dhe strukturën e palëve të interesuara që morën pjesë në takime publike ose seanca të organeve këshilluese.</w:t>
      </w:r>
    </w:p>
    <w:p w14:paraId="4DAB02BF" w14:textId="77777777" w:rsidR="009B7A7D" w:rsidRPr="00F01A0B" w:rsidRDefault="009B7A7D" w:rsidP="00591477">
      <w:pPr>
        <w:spacing w:line="276" w:lineRule="auto"/>
        <w:jc w:val="both"/>
        <w:rPr>
          <w:rFonts w:ascii="Times New Roman" w:hAnsi="Times New Roman"/>
          <w:i/>
          <w:sz w:val="24"/>
          <w:szCs w:val="24"/>
          <w:lang w:val="sq-AL"/>
        </w:rPr>
      </w:pPr>
      <w:r w:rsidRPr="00F01A0B">
        <w:rPr>
          <w:rFonts w:ascii="Times New Roman" w:hAnsi="Times New Roman"/>
          <w:i/>
          <w:sz w:val="24"/>
          <w:szCs w:val="24"/>
          <w:lang w:val="sq-AL"/>
        </w:rPr>
        <w:t>Specifikoni palët e interesuara që morën pjesë në grupin e punës për hartimin e aktit.</w:t>
      </w:r>
    </w:p>
    <w:p w14:paraId="699276D3" w14:textId="77777777" w:rsidR="009B7A7D" w:rsidRPr="00F01A0B" w:rsidRDefault="009B7A7D" w:rsidP="00591477">
      <w:pPr>
        <w:pStyle w:val="ListParagraph"/>
        <w:spacing w:line="276" w:lineRule="auto"/>
        <w:ind w:left="720" w:firstLine="0"/>
        <w:jc w:val="both"/>
        <w:rPr>
          <w:rFonts w:ascii="Times New Roman" w:hAnsi="Times New Roman"/>
          <w:b/>
          <w:bCs/>
          <w:sz w:val="24"/>
          <w:szCs w:val="24"/>
          <w:lang w:val="sq-AL"/>
        </w:rPr>
      </w:pPr>
    </w:p>
    <w:p w14:paraId="1235B50E" w14:textId="4FDD5720" w:rsidR="00F46E3A" w:rsidRPr="00F01A0B" w:rsidRDefault="00B37B00" w:rsidP="00591477">
      <w:pPr>
        <w:spacing w:line="276" w:lineRule="auto"/>
        <w:jc w:val="both"/>
        <w:rPr>
          <w:rFonts w:ascii="Times New Roman" w:hAnsi="Times New Roman"/>
          <w:iCs/>
          <w:sz w:val="24"/>
          <w:szCs w:val="24"/>
          <w:lang w:val="sq-AL"/>
        </w:rPr>
      </w:pPr>
      <w:r w:rsidRPr="00F01A0B">
        <w:rPr>
          <w:rFonts w:ascii="Times New Roman" w:hAnsi="Times New Roman"/>
          <w:iCs/>
          <w:sz w:val="24"/>
          <w:szCs w:val="24"/>
          <w:lang w:val="sq-AL"/>
        </w:rPr>
        <w:t>Palët e interesuara, të cilat morën pjesë në hartimin e këtij projektakti janë</w:t>
      </w:r>
      <w:r w:rsidR="004D7AA0">
        <w:rPr>
          <w:rFonts w:ascii="Times New Roman" w:hAnsi="Times New Roman"/>
          <w:iCs/>
          <w:sz w:val="24"/>
          <w:szCs w:val="24"/>
          <w:lang w:val="sq-AL"/>
        </w:rPr>
        <w:t>:</w:t>
      </w:r>
      <w:r w:rsidRPr="00F01A0B">
        <w:rPr>
          <w:rFonts w:ascii="Times New Roman" w:hAnsi="Times New Roman"/>
          <w:iCs/>
          <w:sz w:val="24"/>
          <w:szCs w:val="24"/>
          <w:lang w:val="sq-AL"/>
        </w:rPr>
        <w:t xml:space="preserve"> </w:t>
      </w:r>
      <w:r w:rsidR="00F46E3A" w:rsidRPr="00F01A0B">
        <w:rPr>
          <w:rFonts w:ascii="Times New Roman" w:hAnsi="Times New Roman"/>
          <w:sz w:val="24"/>
          <w:szCs w:val="24"/>
          <w:lang w:val="sq-AL"/>
        </w:rPr>
        <w:t>Ministri</w:t>
      </w:r>
      <w:r w:rsidR="00982737" w:rsidRPr="00F01A0B">
        <w:rPr>
          <w:rFonts w:ascii="Times New Roman" w:hAnsi="Times New Roman"/>
          <w:sz w:val="24"/>
          <w:szCs w:val="24"/>
          <w:lang w:val="sq-AL"/>
        </w:rPr>
        <w:t>a</w:t>
      </w:r>
      <w:r w:rsidR="00F46E3A" w:rsidRPr="00F01A0B">
        <w:rPr>
          <w:rFonts w:ascii="Times New Roman" w:hAnsi="Times New Roman"/>
          <w:sz w:val="24"/>
          <w:szCs w:val="24"/>
          <w:lang w:val="sq-AL"/>
        </w:rPr>
        <w:t xml:space="preserve"> e Drejtësisë, Ministri</w:t>
      </w:r>
      <w:r w:rsidR="00982737" w:rsidRPr="00F01A0B">
        <w:rPr>
          <w:rFonts w:ascii="Times New Roman" w:hAnsi="Times New Roman"/>
          <w:sz w:val="24"/>
          <w:szCs w:val="24"/>
          <w:lang w:val="sq-AL"/>
        </w:rPr>
        <w:t>a</w:t>
      </w:r>
      <w:r w:rsidR="00F46E3A" w:rsidRPr="00F01A0B">
        <w:rPr>
          <w:rFonts w:ascii="Times New Roman" w:hAnsi="Times New Roman"/>
          <w:sz w:val="24"/>
          <w:szCs w:val="24"/>
          <w:lang w:val="sq-AL"/>
        </w:rPr>
        <w:t xml:space="preserve"> e Financave</w:t>
      </w:r>
      <w:r w:rsidR="005A65AA" w:rsidRPr="00F01A0B">
        <w:rPr>
          <w:rFonts w:ascii="Times New Roman" w:hAnsi="Times New Roman"/>
          <w:sz w:val="24"/>
          <w:szCs w:val="24"/>
          <w:lang w:val="sq-AL"/>
        </w:rPr>
        <w:t>,</w:t>
      </w:r>
      <w:r w:rsidR="002D5C4F" w:rsidRPr="00F01A0B">
        <w:rPr>
          <w:rFonts w:ascii="Times New Roman" w:hAnsi="Times New Roman"/>
          <w:sz w:val="24"/>
          <w:szCs w:val="24"/>
          <w:lang w:val="sq-AL"/>
        </w:rPr>
        <w:t xml:space="preserve"> </w:t>
      </w:r>
      <w:r w:rsidR="00982737" w:rsidRPr="00F01A0B">
        <w:rPr>
          <w:rFonts w:ascii="Times New Roman" w:hAnsi="Times New Roman"/>
          <w:sz w:val="24"/>
          <w:szCs w:val="24"/>
          <w:lang w:val="sq-AL"/>
        </w:rPr>
        <w:t xml:space="preserve">Ministria e </w:t>
      </w:r>
      <w:r w:rsidR="005A65AA" w:rsidRPr="00F01A0B">
        <w:rPr>
          <w:rFonts w:ascii="Times New Roman" w:hAnsi="Times New Roman"/>
          <w:sz w:val="24"/>
          <w:szCs w:val="24"/>
          <w:lang w:val="sq-AL"/>
        </w:rPr>
        <w:t>Turizmit dhe Mjedisit</w:t>
      </w:r>
      <w:r w:rsidR="004D7AA0">
        <w:rPr>
          <w:rFonts w:ascii="Times New Roman" w:hAnsi="Times New Roman"/>
          <w:sz w:val="24"/>
          <w:szCs w:val="24"/>
          <w:lang w:val="sq-AL"/>
        </w:rPr>
        <w:t>, Agjencia Kombëtare e Burimeve Natyrore, Shërbimi Gjeologjik Shqiptar, A</w:t>
      </w:r>
      <w:r w:rsidR="00644CF1">
        <w:rPr>
          <w:rFonts w:ascii="Times New Roman" w:hAnsi="Times New Roman"/>
          <w:sz w:val="24"/>
          <w:szCs w:val="24"/>
          <w:lang w:val="sq-AL"/>
        </w:rPr>
        <w:t>utoriteti Kombëtar për Sigurinë</w:t>
      </w:r>
      <w:r w:rsidR="004D7AA0">
        <w:rPr>
          <w:rFonts w:ascii="Times New Roman" w:hAnsi="Times New Roman"/>
          <w:sz w:val="24"/>
          <w:szCs w:val="24"/>
          <w:lang w:val="sq-AL"/>
        </w:rPr>
        <w:t xml:space="preserve"> dhe </w:t>
      </w:r>
      <w:r w:rsidR="00644CF1">
        <w:rPr>
          <w:rFonts w:ascii="Times New Roman" w:hAnsi="Times New Roman"/>
          <w:sz w:val="24"/>
          <w:szCs w:val="24"/>
          <w:lang w:val="sq-AL"/>
        </w:rPr>
        <w:t xml:space="preserve">Emergjencat në Miniera si dhe </w:t>
      </w:r>
      <w:r w:rsidR="004D7AA0">
        <w:rPr>
          <w:rFonts w:ascii="Times New Roman" w:hAnsi="Times New Roman"/>
          <w:sz w:val="24"/>
          <w:szCs w:val="24"/>
          <w:lang w:val="sq-AL"/>
        </w:rPr>
        <w:t>Fakulteti i Gjeologji-Minierave.</w:t>
      </w:r>
    </w:p>
    <w:p w14:paraId="575AEB7D" w14:textId="77777777" w:rsidR="0037579B" w:rsidRPr="00F01A0B" w:rsidRDefault="0065643C" w:rsidP="00591477">
      <w:pPr>
        <w:tabs>
          <w:tab w:val="left" w:pos="7552"/>
        </w:tabs>
        <w:spacing w:line="276" w:lineRule="auto"/>
        <w:jc w:val="both"/>
        <w:rPr>
          <w:rFonts w:ascii="Times New Roman" w:hAnsi="Times New Roman"/>
          <w:sz w:val="24"/>
          <w:szCs w:val="24"/>
          <w:lang w:val="sq-AL" w:eastAsia="en-GB"/>
        </w:rPr>
      </w:pPr>
      <w:r w:rsidRPr="00F01A0B">
        <w:rPr>
          <w:rFonts w:ascii="Times New Roman" w:hAnsi="Times New Roman"/>
          <w:sz w:val="24"/>
          <w:szCs w:val="24"/>
          <w:lang w:val="sq-AL" w:eastAsia="en-GB"/>
        </w:rPr>
        <w:t xml:space="preserve">     </w:t>
      </w:r>
    </w:p>
    <w:p w14:paraId="5608F273" w14:textId="10747D95" w:rsidR="005B6D2B" w:rsidRPr="00F01A0B" w:rsidRDefault="005B6D2B" w:rsidP="00591477">
      <w:pPr>
        <w:pStyle w:val="ListParagraph"/>
        <w:numPr>
          <w:ilvl w:val="0"/>
          <w:numId w:val="8"/>
        </w:numPr>
        <w:spacing w:line="276" w:lineRule="auto"/>
        <w:jc w:val="both"/>
        <w:rPr>
          <w:rFonts w:ascii="Times New Roman" w:hAnsi="Times New Roman"/>
          <w:i/>
          <w:iCs/>
          <w:sz w:val="24"/>
          <w:szCs w:val="24"/>
          <w:lang w:val="sq-AL"/>
        </w:rPr>
      </w:pPr>
      <w:r w:rsidRPr="00F01A0B">
        <w:rPr>
          <w:rFonts w:ascii="Times New Roman" w:hAnsi="Times New Roman"/>
          <w:b/>
          <w:bCs/>
          <w:sz w:val="24"/>
          <w:szCs w:val="24"/>
          <w:lang w:val="sq-AL"/>
        </w:rPr>
        <w:t>Pasqyra e komenteve të pranuara me arsyetimin e komenteve të pranuara/ refuzuara</w:t>
      </w:r>
    </w:p>
    <w:p w14:paraId="3E608D97" w14:textId="77777777" w:rsidR="00835FB2" w:rsidRPr="00F01A0B" w:rsidRDefault="00835FB2"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Gruponi komentet/ propozimit e pranuara sipas çështjes që ato ngritën;</w:t>
      </w:r>
    </w:p>
    <w:p w14:paraId="1924A277" w14:textId="2AA57176" w:rsidR="00835FB2" w:rsidRPr="00F01A0B" w:rsidRDefault="00835FB2"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Gruponi komente të ngjashme së bashku dhe renditni palët e interesuara që i ngritën ato;</w:t>
      </w:r>
    </w:p>
    <w:p w14:paraId="2D796315" w14:textId="77777777" w:rsidR="00835FB2" w:rsidRPr="00F01A0B" w:rsidRDefault="00835FB2" w:rsidP="00591477">
      <w:pPr>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Shpjegoni cili ishte vendimi i marrë dhe sqaroni shkurtimisht arsyet për të.</w:t>
      </w:r>
    </w:p>
    <w:p w14:paraId="2455A5C0" w14:textId="77777777" w:rsidR="00D6009E" w:rsidRPr="00F01A0B" w:rsidRDefault="00D6009E" w:rsidP="00591477">
      <w:pPr>
        <w:spacing w:line="276" w:lineRule="auto"/>
        <w:ind w:left="360"/>
        <w:jc w:val="both"/>
        <w:rPr>
          <w:rFonts w:ascii="Times New Roman" w:hAnsi="Times New Roman"/>
          <w:iCs/>
          <w:sz w:val="24"/>
          <w:szCs w:val="24"/>
          <w:lang w:val="sq-AL"/>
        </w:rPr>
      </w:pPr>
    </w:p>
    <w:p w14:paraId="42F1ECD8" w14:textId="64FAC5E7" w:rsidR="00C24135" w:rsidRDefault="002C2F44" w:rsidP="00591477">
      <w:pPr>
        <w:pStyle w:val="Default"/>
        <w:spacing w:line="276" w:lineRule="auto"/>
        <w:jc w:val="both"/>
        <w:rPr>
          <w:bCs/>
          <w:lang w:val="sq-AL" w:eastAsia="sl-SI"/>
        </w:rPr>
      </w:pPr>
      <w:r w:rsidRPr="00F01A0B">
        <w:rPr>
          <w:lang w:val="sq-AL"/>
        </w:rPr>
        <w:t xml:space="preserve">Projektligji </w:t>
      </w:r>
      <w:r w:rsidR="00FD340E" w:rsidRPr="00F01A0B">
        <w:rPr>
          <w:lang w:val="sq-AL"/>
        </w:rPr>
        <w:t>“</w:t>
      </w:r>
      <w:r w:rsidR="0091547D" w:rsidRPr="00F01A0B">
        <w:rPr>
          <w:lang w:val="sq-AL"/>
        </w:rPr>
        <w:t>Për disa shtesa dhe ndryshime në ligjin nr. 10</w:t>
      </w:r>
      <w:r w:rsidR="004D7AA0">
        <w:rPr>
          <w:lang w:val="sq-AL"/>
        </w:rPr>
        <w:t xml:space="preserve"> </w:t>
      </w:r>
      <w:r w:rsidR="0091547D" w:rsidRPr="00F01A0B">
        <w:rPr>
          <w:lang w:val="sq-AL"/>
        </w:rPr>
        <w:t>304, datë 15.7.2010 “Për sektorin minerar në Republikën e Shqipërisë”, të ndryshuar”</w:t>
      </w:r>
      <w:r w:rsidR="00FD340E" w:rsidRPr="00F01A0B">
        <w:rPr>
          <w:lang w:val="sq-AL"/>
        </w:rPr>
        <w:t xml:space="preserve">, </w:t>
      </w:r>
      <w:r w:rsidR="00912681" w:rsidRPr="00F01A0B">
        <w:rPr>
          <w:lang w:val="sq-AL"/>
        </w:rPr>
        <w:t>ka pasur 1</w:t>
      </w:r>
      <w:r w:rsidR="0091547D" w:rsidRPr="00F01A0B">
        <w:rPr>
          <w:lang w:val="sq-AL"/>
        </w:rPr>
        <w:t>08</w:t>
      </w:r>
      <w:r w:rsidR="00836D08" w:rsidRPr="00F01A0B">
        <w:rPr>
          <w:lang w:val="sq-AL"/>
        </w:rPr>
        <w:t xml:space="preserve"> </w:t>
      </w:r>
      <w:r w:rsidR="00912681" w:rsidRPr="00F01A0B">
        <w:rPr>
          <w:lang w:val="sq-AL"/>
        </w:rPr>
        <w:t>lexime nga qytetarët</w:t>
      </w:r>
      <w:r w:rsidR="00C24135">
        <w:rPr>
          <w:lang w:val="sq-AL"/>
        </w:rPr>
        <w:t xml:space="preserve">, </w:t>
      </w:r>
      <w:r w:rsidR="00836D08" w:rsidRPr="00F01A0B">
        <w:rPr>
          <w:lang w:val="sq-AL"/>
        </w:rPr>
        <w:t>1</w:t>
      </w:r>
      <w:r w:rsidR="0091547D" w:rsidRPr="00F01A0B">
        <w:rPr>
          <w:lang w:val="sq-AL"/>
        </w:rPr>
        <w:t>76</w:t>
      </w:r>
      <w:r w:rsidR="00912681" w:rsidRPr="00F01A0B">
        <w:rPr>
          <w:lang w:val="sq-AL"/>
        </w:rPr>
        <w:t xml:space="preserve"> lexime nga ekspertët</w:t>
      </w:r>
      <w:r w:rsidR="00C24135">
        <w:rPr>
          <w:lang w:val="sq-AL"/>
        </w:rPr>
        <w:t xml:space="preserve"> dhe 1 reagim nga </w:t>
      </w:r>
      <w:r w:rsidR="00C24135" w:rsidRPr="00F01A0B">
        <w:rPr>
          <w:lang w:val="sq-AL"/>
        </w:rPr>
        <w:t>Shoqata e Investitorëve të huaj në Shqipëri</w:t>
      </w:r>
      <w:r w:rsidR="00C24135">
        <w:rPr>
          <w:lang w:val="sq-AL"/>
        </w:rPr>
        <w:t xml:space="preserve"> n</w:t>
      </w:r>
      <w:r w:rsidR="00591477">
        <w:rPr>
          <w:lang w:val="sq-AL"/>
        </w:rPr>
        <w:t>ë</w:t>
      </w:r>
      <w:r w:rsidR="00C24135">
        <w:rPr>
          <w:lang w:val="sq-AL"/>
        </w:rPr>
        <w:t>p</w:t>
      </w:r>
      <w:r w:rsidR="00591477">
        <w:rPr>
          <w:lang w:val="sq-AL"/>
        </w:rPr>
        <w:t>ë</w:t>
      </w:r>
      <w:r w:rsidR="00C24135">
        <w:rPr>
          <w:lang w:val="sq-AL"/>
        </w:rPr>
        <w:t xml:space="preserve">rmjet </w:t>
      </w:r>
      <w:r w:rsidR="00F01A0B">
        <w:rPr>
          <w:bCs/>
          <w:lang w:val="sq-AL" w:eastAsia="sl-SI"/>
        </w:rPr>
        <w:t>faqe</w:t>
      </w:r>
      <w:r w:rsidR="00C24135">
        <w:rPr>
          <w:bCs/>
          <w:lang w:val="sq-AL" w:eastAsia="sl-SI"/>
        </w:rPr>
        <w:t>s</w:t>
      </w:r>
      <w:r w:rsidR="00F01A0B">
        <w:rPr>
          <w:bCs/>
          <w:lang w:val="sq-AL" w:eastAsia="sl-SI"/>
        </w:rPr>
        <w:t xml:space="preserve"> </w:t>
      </w:r>
      <w:r w:rsidR="00C24135">
        <w:rPr>
          <w:bCs/>
          <w:lang w:val="sq-AL" w:eastAsia="sl-SI"/>
        </w:rPr>
        <w:t>s</w:t>
      </w:r>
      <w:r w:rsidR="00591477">
        <w:rPr>
          <w:bCs/>
          <w:lang w:val="sq-AL" w:eastAsia="sl-SI"/>
        </w:rPr>
        <w:t>ë</w:t>
      </w:r>
      <w:r w:rsidR="00F01A0B">
        <w:rPr>
          <w:bCs/>
          <w:lang w:val="sq-AL" w:eastAsia="sl-SI"/>
        </w:rPr>
        <w:t xml:space="preserve"> Regjistrit Elektronik t</w:t>
      </w:r>
      <w:r w:rsidR="00A03535">
        <w:rPr>
          <w:bCs/>
          <w:lang w:val="sq-AL" w:eastAsia="sl-SI"/>
        </w:rPr>
        <w:t>ë</w:t>
      </w:r>
      <w:r w:rsidR="00F01A0B">
        <w:rPr>
          <w:bCs/>
          <w:lang w:val="sq-AL" w:eastAsia="sl-SI"/>
        </w:rPr>
        <w:t xml:space="preserve"> Njoftimit dhe Konsultimit Publik</w:t>
      </w:r>
      <w:r w:rsidR="00C24135">
        <w:rPr>
          <w:bCs/>
          <w:lang w:val="sq-AL" w:eastAsia="sl-SI"/>
        </w:rPr>
        <w:t>.</w:t>
      </w:r>
    </w:p>
    <w:p w14:paraId="6F1E56B7" w14:textId="77777777" w:rsidR="00C24135" w:rsidRDefault="00C24135" w:rsidP="00591477">
      <w:pPr>
        <w:pStyle w:val="Default"/>
        <w:spacing w:line="276" w:lineRule="auto"/>
        <w:jc w:val="both"/>
        <w:rPr>
          <w:bCs/>
          <w:lang w:val="sq-AL" w:eastAsia="sl-SI"/>
        </w:rPr>
      </w:pPr>
    </w:p>
    <w:p w14:paraId="1DA6B5FB" w14:textId="0FAB2D48" w:rsidR="00F01A0B" w:rsidRPr="00C24135" w:rsidRDefault="00C24135" w:rsidP="00591477">
      <w:pPr>
        <w:pStyle w:val="Default"/>
        <w:spacing w:line="276" w:lineRule="auto"/>
        <w:jc w:val="both"/>
        <w:rPr>
          <w:lang w:val="sq-AL"/>
        </w:rPr>
      </w:pPr>
      <w:r>
        <w:rPr>
          <w:lang w:val="sq-AL"/>
        </w:rPr>
        <w:t>N</w:t>
      </w:r>
      <w:r w:rsidR="00A03535">
        <w:rPr>
          <w:lang w:val="sq-AL"/>
        </w:rPr>
        <w:t xml:space="preserve">ë tabelën </w:t>
      </w:r>
      <w:r>
        <w:rPr>
          <w:lang w:val="sq-AL"/>
        </w:rPr>
        <w:t>si më poshtë gjenden të reflektu</w:t>
      </w:r>
      <w:r w:rsidR="00CF5FF0">
        <w:rPr>
          <w:lang w:val="sq-AL"/>
        </w:rPr>
        <w:t>a</w:t>
      </w:r>
      <w:r>
        <w:rPr>
          <w:lang w:val="sq-AL"/>
        </w:rPr>
        <w:t>ra</w:t>
      </w:r>
      <w:r w:rsidR="0007659B">
        <w:rPr>
          <w:lang w:val="sq-AL"/>
        </w:rPr>
        <w:t xml:space="preserve"> 7</w:t>
      </w:r>
      <w:r>
        <w:rPr>
          <w:lang w:val="sq-AL"/>
        </w:rPr>
        <w:t xml:space="preserve"> komentet e </w:t>
      </w:r>
      <w:r w:rsidRPr="00F01A0B">
        <w:rPr>
          <w:lang w:val="sq-AL"/>
        </w:rPr>
        <w:t>Shoqat</w:t>
      </w:r>
      <w:r>
        <w:rPr>
          <w:lang w:val="sq-AL"/>
        </w:rPr>
        <w:t>ës</w:t>
      </w:r>
      <w:r w:rsidRPr="00F01A0B">
        <w:rPr>
          <w:lang w:val="sq-AL"/>
        </w:rPr>
        <w:t xml:space="preserve"> </w:t>
      </w:r>
      <w:r>
        <w:rPr>
          <w:lang w:val="sq-AL"/>
        </w:rPr>
        <w:t>së</w:t>
      </w:r>
      <w:r w:rsidRPr="00F01A0B">
        <w:rPr>
          <w:lang w:val="sq-AL"/>
        </w:rPr>
        <w:t xml:space="preserve"> Investitorëve të huaj në Shqipëri</w:t>
      </w:r>
      <w:r w:rsidR="00A03535">
        <w:rPr>
          <w:lang w:val="sq-AL"/>
        </w:rPr>
        <w:t>:</w:t>
      </w:r>
    </w:p>
    <w:p w14:paraId="3F2D125B" w14:textId="77777777" w:rsidR="00A03535" w:rsidRDefault="00A03535" w:rsidP="00591477">
      <w:pPr>
        <w:shd w:val="clear" w:color="auto" w:fill="FFFFFF"/>
        <w:spacing w:line="276" w:lineRule="auto"/>
        <w:ind w:left="360"/>
        <w:jc w:val="both"/>
        <w:rPr>
          <w:rFonts w:ascii="Times New Roman" w:hAnsi="Times New Roman"/>
          <w:bCs/>
          <w:sz w:val="24"/>
          <w:szCs w:val="24"/>
          <w:lang w:val="sq-AL" w:eastAsia="sl-SI"/>
        </w:rPr>
      </w:pPr>
    </w:p>
    <w:p w14:paraId="353ADDDE"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75FD005B"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6D394560"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05922393"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7E13C0E2" w14:textId="77777777" w:rsidR="00C24135"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092C2AB6" w14:textId="77777777" w:rsidR="00C24135" w:rsidRDefault="00C24135" w:rsidP="00591477">
      <w:pPr>
        <w:pStyle w:val="BodyText"/>
        <w:spacing w:line="276" w:lineRule="auto"/>
        <w:jc w:val="both"/>
        <w:rPr>
          <w:rFonts w:ascii="Times New Roman" w:hAnsi="Times New Roman"/>
          <w:sz w:val="24"/>
          <w:szCs w:val="24"/>
          <w:lang w:val="sq-AL"/>
        </w:rPr>
        <w:sectPr w:rsidR="00C24135" w:rsidSect="0027304B">
          <w:pgSz w:w="11900" w:h="16840"/>
          <w:pgMar w:top="900" w:right="1417" w:bottom="1417" w:left="1417" w:header="708" w:footer="708"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800"/>
        <w:gridCol w:w="5054"/>
        <w:gridCol w:w="1555"/>
        <w:gridCol w:w="1523"/>
        <w:gridCol w:w="1749"/>
      </w:tblGrid>
      <w:tr w:rsidR="000F3158" w:rsidRPr="00F01A0B" w14:paraId="248CEFD7" w14:textId="77777777" w:rsidTr="00C24135">
        <w:trPr>
          <w:jc w:val="center"/>
        </w:trPr>
        <w:tc>
          <w:tcPr>
            <w:tcW w:w="625" w:type="dxa"/>
            <w:tcBorders>
              <w:top w:val="single" w:sz="4" w:space="0" w:color="auto"/>
              <w:left w:val="single" w:sz="4" w:space="0" w:color="auto"/>
              <w:bottom w:val="single" w:sz="4" w:space="0" w:color="auto"/>
              <w:right w:val="single" w:sz="4" w:space="0" w:color="auto"/>
            </w:tcBorders>
          </w:tcPr>
          <w:p w14:paraId="3E07D069"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lastRenderedPageBreak/>
              <w:t>Nr.</w:t>
            </w:r>
          </w:p>
        </w:tc>
        <w:tc>
          <w:tcPr>
            <w:tcW w:w="1800" w:type="dxa"/>
            <w:tcBorders>
              <w:top w:val="single" w:sz="4" w:space="0" w:color="auto"/>
              <w:left w:val="single" w:sz="4" w:space="0" w:color="auto"/>
              <w:bottom w:val="single" w:sz="4" w:space="0" w:color="auto"/>
              <w:right w:val="single" w:sz="4" w:space="0" w:color="auto"/>
            </w:tcBorders>
            <w:hideMark/>
          </w:tcPr>
          <w:p w14:paraId="4CD316C6"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Çështja e  adresuar</w:t>
            </w:r>
          </w:p>
          <w:p w14:paraId="591D8078" w14:textId="77777777" w:rsidR="000F3158" w:rsidRPr="00F01A0B" w:rsidRDefault="000F3158" w:rsidP="00591477">
            <w:pPr>
              <w:pStyle w:val="BodyText"/>
              <w:spacing w:line="276" w:lineRule="auto"/>
              <w:jc w:val="both"/>
              <w:rPr>
                <w:rFonts w:ascii="Times New Roman" w:hAnsi="Times New Roman"/>
                <w:i/>
                <w:iCs/>
                <w:sz w:val="24"/>
                <w:szCs w:val="24"/>
                <w:lang w:val="sq-AL"/>
              </w:rPr>
            </w:pPr>
            <w:r w:rsidRPr="00F01A0B">
              <w:rPr>
                <w:rFonts w:ascii="Times New Roman" w:hAnsi="Times New Roman"/>
                <w:sz w:val="24"/>
                <w:szCs w:val="24"/>
                <w:lang w:val="sq-AL"/>
              </w:rPr>
              <w:t>(</w:t>
            </w:r>
            <w:r w:rsidRPr="00F01A0B">
              <w:rPr>
                <w:rFonts w:ascii="Times New Roman" w:hAnsi="Times New Roman"/>
                <w:i/>
                <w:sz w:val="24"/>
                <w:szCs w:val="24"/>
                <w:lang w:val="sq-AL"/>
              </w:rPr>
              <w:t>psh. përkufizimi i ri i…, kushtet për regjistrimin e…, rregullimi i…, etj.)</w:t>
            </w:r>
          </w:p>
        </w:tc>
        <w:tc>
          <w:tcPr>
            <w:tcW w:w="5054" w:type="dxa"/>
            <w:tcBorders>
              <w:top w:val="single" w:sz="4" w:space="0" w:color="auto"/>
              <w:left w:val="single" w:sz="4" w:space="0" w:color="auto"/>
              <w:bottom w:val="single" w:sz="4" w:space="0" w:color="auto"/>
              <w:right w:val="single" w:sz="4" w:space="0" w:color="auto"/>
            </w:tcBorders>
            <w:hideMark/>
          </w:tcPr>
          <w:p w14:paraId="5BD673ED"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Komenti</w:t>
            </w:r>
          </w:p>
          <w:p w14:paraId="4D2A405C" w14:textId="77777777" w:rsidR="000F3158" w:rsidRPr="00F01A0B" w:rsidRDefault="000F3158" w:rsidP="00591477">
            <w:pPr>
              <w:pStyle w:val="BodyText"/>
              <w:spacing w:line="276" w:lineRule="auto"/>
              <w:jc w:val="both"/>
              <w:rPr>
                <w:rFonts w:ascii="Times New Roman" w:hAnsi="Times New Roman"/>
                <w:i/>
                <w:iCs/>
                <w:sz w:val="24"/>
                <w:szCs w:val="24"/>
                <w:lang w:val="sq-AL"/>
              </w:rPr>
            </w:pPr>
            <w:r w:rsidRPr="00F01A0B">
              <w:rPr>
                <w:rFonts w:ascii="Times New Roman" w:hAnsi="Times New Roman"/>
                <w:i/>
                <w:iCs/>
                <w:sz w:val="24"/>
                <w:szCs w:val="24"/>
                <w:lang w:val="sq-AL"/>
              </w:rPr>
              <w:t xml:space="preserve">(grumbulloni dhe përmblidhni komente identike/të ngjashme nga palët e ndryshme të interesuara së bashku) </w:t>
            </w:r>
          </w:p>
        </w:tc>
        <w:tc>
          <w:tcPr>
            <w:tcW w:w="1555" w:type="dxa"/>
            <w:tcBorders>
              <w:top w:val="single" w:sz="4" w:space="0" w:color="auto"/>
              <w:left w:val="single" w:sz="4" w:space="0" w:color="auto"/>
              <w:bottom w:val="single" w:sz="4" w:space="0" w:color="auto"/>
              <w:right w:val="single" w:sz="4" w:space="0" w:color="auto"/>
            </w:tcBorders>
            <w:hideMark/>
          </w:tcPr>
          <w:p w14:paraId="68F3ED86"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 xml:space="preserve">Palët e interesuara </w:t>
            </w:r>
            <w:r w:rsidRPr="00F01A0B">
              <w:rPr>
                <w:rFonts w:ascii="Times New Roman" w:hAnsi="Times New Roman"/>
                <w:i/>
                <w:iCs/>
                <w:sz w:val="24"/>
                <w:szCs w:val="24"/>
                <w:lang w:val="sq-AL"/>
              </w:rPr>
              <w:t>(renditni të gjithë ata që adresuan çështjen në mënyrë të ngjashme)</w:t>
            </w:r>
          </w:p>
        </w:tc>
        <w:tc>
          <w:tcPr>
            <w:tcW w:w="1523" w:type="dxa"/>
            <w:tcBorders>
              <w:top w:val="single" w:sz="4" w:space="0" w:color="auto"/>
              <w:left w:val="single" w:sz="4" w:space="0" w:color="auto"/>
              <w:bottom w:val="single" w:sz="4" w:space="0" w:color="auto"/>
              <w:right w:val="single" w:sz="4" w:space="0" w:color="auto"/>
            </w:tcBorders>
            <w:hideMark/>
          </w:tcPr>
          <w:p w14:paraId="70EC214B"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 xml:space="preserve">Vendimi (I pranuar/I pranuar pjesërisht/I refuzuar) </w:t>
            </w:r>
          </w:p>
        </w:tc>
        <w:tc>
          <w:tcPr>
            <w:tcW w:w="1749" w:type="dxa"/>
            <w:tcBorders>
              <w:top w:val="single" w:sz="4" w:space="0" w:color="auto"/>
              <w:left w:val="single" w:sz="4" w:space="0" w:color="auto"/>
              <w:bottom w:val="single" w:sz="4" w:space="0" w:color="auto"/>
              <w:right w:val="single" w:sz="4" w:space="0" w:color="auto"/>
            </w:tcBorders>
            <w:hideMark/>
          </w:tcPr>
          <w:p w14:paraId="2DC61E80" w14:textId="77777777" w:rsidR="000F3158" w:rsidRPr="00F01A0B" w:rsidRDefault="000F3158"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Justifikimi</w:t>
            </w:r>
          </w:p>
        </w:tc>
      </w:tr>
      <w:tr w:rsidR="004E7F05" w:rsidRPr="00F01A0B" w14:paraId="6911F56F" w14:textId="77777777" w:rsidTr="00C24135">
        <w:trPr>
          <w:jc w:val="center"/>
        </w:trPr>
        <w:tc>
          <w:tcPr>
            <w:tcW w:w="625" w:type="dxa"/>
            <w:tcBorders>
              <w:top w:val="single" w:sz="4" w:space="0" w:color="auto"/>
              <w:left w:val="single" w:sz="4" w:space="0" w:color="auto"/>
              <w:bottom w:val="single" w:sz="4" w:space="0" w:color="auto"/>
              <w:right w:val="single" w:sz="4" w:space="0" w:color="auto"/>
            </w:tcBorders>
          </w:tcPr>
          <w:p w14:paraId="669AB5EA" w14:textId="20980641"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1.</w:t>
            </w:r>
          </w:p>
        </w:tc>
        <w:tc>
          <w:tcPr>
            <w:tcW w:w="1800" w:type="dxa"/>
            <w:tcBorders>
              <w:top w:val="single" w:sz="4" w:space="0" w:color="auto"/>
              <w:left w:val="single" w:sz="4" w:space="0" w:color="auto"/>
              <w:bottom w:val="single" w:sz="4" w:space="0" w:color="auto"/>
              <w:right w:val="single" w:sz="4" w:space="0" w:color="auto"/>
            </w:tcBorders>
          </w:tcPr>
          <w:p w14:paraId="5841B357" w14:textId="03D9F5F8"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Neni 2, pika 8</w:t>
            </w:r>
          </w:p>
        </w:tc>
        <w:tc>
          <w:tcPr>
            <w:tcW w:w="5054" w:type="dxa"/>
            <w:tcBorders>
              <w:top w:val="single" w:sz="4" w:space="0" w:color="auto"/>
              <w:left w:val="single" w:sz="4" w:space="0" w:color="auto"/>
              <w:bottom w:val="single" w:sz="4" w:space="0" w:color="auto"/>
              <w:right w:val="single" w:sz="4" w:space="0" w:color="auto"/>
            </w:tcBorders>
          </w:tcPr>
          <w:p w14:paraId="5BBDD2F4" w14:textId="77777777" w:rsidR="004E7F05" w:rsidRPr="00F01A0B" w:rsidRDefault="004E7F05" w:rsidP="00591477">
            <w:pPr>
              <w:spacing w:before="120" w:after="120" w:line="276" w:lineRule="auto"/>
              <w:rPr>
                <w:rFonts w:ascii="Times New Roman" w:eastAsiaTheme="minorHAnsi" w:hAnsi="Times New Roman"/>
                <w:kern w:val="2"/>
                <w:sz w:val="24"/>
                <w:szCs w:val="24"/>
                <w:lang w:val="sq-AL"/>
                <w14:ligatures w14:val="standardContextual"/>
              </w:rPr>
            </w:pPr>
            <w:r w:rsidRPr="00F01A0B">
              <w:rPr>
                <w:rFonts w:ascii="Times New Roman" w:eastAsiaTheme="minorHAnsi" w:hAnsi="Times New Roman"/>
                <w:kern w:val="2"/>
                <w:sz w:val="24"/>
                <w:szCs w:val="24"/>
                <w:lang w:val="sq-AL"/>
                <w14:ligatures w14:val="standardContextual"/>
              </w:rPr>
              <w:t xml:space="preserve">Zëvendësimi në ligj i fjalës “karrierë” me fjalët “minierë sipërfaqësore”, me qëllim saktësimin e këtij termi duhet rishikuar. </w:t>
            </w:r>
          </w:p>
          <w:p w14:paraId="6B89E892" w14:textId="1C52CCC2"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eastAsiaTheme="minorHAnsi" w:hAnsi="Times New Roman"/>
                <w:kern w:val="2"/>
                <w:sz w:val="24"/>
                <w:szCs w:val="24"/>
                <w:lang w:val="sq-AL"/>
                <w14:ligatures w14:val="standardContextual"/>
              </w:rPr>
              <w:t>Në fakt në terminologjinë minerare nuk ekziston minierë sipërfaqësore përdoret “shfrytëzim minerar në qiell të hapur”.</w:t>
            </w:r>
          </w:p>
        </w:tc>
        <w:tc>
          <w:tcPr>
            <w:tcW w:w="1555" w:type="dxa"/>
            <w:tcBorders>
              <w:top w:val="single" w:sz="4" w:space="0" w:color="auto"/>
              <w:left w:val="single" w:sz="4" w:space="0" w:color="auto"/>
              <w:bottom w:val="single" w:sz="4" w:space="0" w:color="auto"/>
              <w:right w:val="single" w:sz="4" w:space="0" w:color="auto"/>
            </w:tcBorders>
          </w:tcPr>
          <w:p w14:paraId="24AC0C52" w14:textId="2F85FA75"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Shoqata e Investitorëve të huaj në Shqipëri</w:t>
            </w:r>
          </w:p>
        </w:tc>
        <w:tc>
          <w:tcPr>
            <w:tcW w:w="1523" w:type="dxa"/>
            <w:tcBorders>
              <w:top w:val="single" w:sz="4" w:space="0" w:color="auto"/>
              <w:left w:val="single" w:sz="4" w:space="0" w:color="auto"/>
              <w:bottom w:val="single" w:sz="4" w:space="0" w:color="auto"/>
              <w:right w:val="single" w:sz="4" w:space="0" w:color="auto"/>
            </w:tcBorders>
          </w:tcPr>
          <w:p w14:paraId="77617330" w14:textId="41E61506"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I refuzuar</w:t>
            </w:r>
          </w:p>
        </w:tc>
        <w:tc>
          <w:tcPr>
            <w:tcW w:w="1749" w:type="dxa"/>
            <w:tcBorders>
              <w:top w:val="single" w:sz="4" w:space="0" w:color="auto"/>
              <w:left w:val="single" w:sz="4" w:space="0" w:color="auto"/>
              <w:bottom w:val="single" w:sz="4" w:space="0" w:color="auto"/>
              <w:right w:val="single" w:sz="4" w:space="0" w:color="auto"/>
            </w:tcBorders>
          </w:tcPr>
          <w:p w14:paraId="708CEAA0" w14:textId="1BB058E8" w:rsidR="004E7F05" w:rsidRPr="00F01A0B" w:rsidRDefault="006B5CF2" w:rsidP="006B5CF2">
            <w:pPr>
              <w:pStyle w:val="BodyText"/>
              <w:spacing w:line="276" w:lineRule="auto"/>
              <w:jc w:val="both"/>
              <w:rPr>
                <w:rFonts w:ascii="Times New Roman" w:hAnsi="Times New Roman"/>
                <w:sz w:val="24"/>
                <w:szCs w:val="24"/>
                <w:lang w:val="sq-AL"/>
              </w:rPr>
            </w:pPr>
            <w:r>
              <w:rPr>
                <w:rFonts w:ascii="Times New Roman" w:eastAsiaTheme="minorHAnsi" w:hAnsi="Times New Roman"/>
                <w:kern w:val="2"/>
                <w:sz w:val="24"/>
                <w:szCs w:val="24"/>
                <w:lang w:val="sq-AL"/>
                <w14:ligatures w14:val="standardContextual"/>
              </w:rPr>
              <w:t>Ndryshimi i terminologjisë së përdorur në këtë rast e bënë më të kuptueshëm llojin e aktivitetit që do të zhvillohet në këtë zonë minerare për këtë arsye është zgjedhur  t</w:t>
            </w:r>
            <w:r w:rsidR="004E7F05" w:rsidRPr="00F01A0B">
              <w:rPr>
                <w:rFonts w:ascii="Times New Roman" w:eastAsiaTheme="minorHAnsi" w:hAnsi="Times New Roman"/>
                <w:kern w:val="2"/>
                <w:sz w:val="24"/>
                <w:szCs w:val="24"/>
                <w:lang w:val="sq-AL"/>
                <w14:ligatures w14:val="standardContextual"/>
              </w:rPr>
              <w:t>ermi “minierë sipërfaqësore”</w:t>
            </w:r>
            <w:r>
              <w:rPr>
                <w:rFonts w:ascii="Times New Roman" w:eastAsiaTheme="minorHAnsi" w:hAnsi="Times New Roman"/>
                <w:kern w:val="2"/>
                <w:sz w:val="24"/>
                <w:szCs w:val="24"/>
                <w:lang w:val="sq-AL"/>
                <w14:ligatures w14:val="standardContextual"/>
              </w:rPr>
              <w:t xml:space="preserve"> nga termi “Karrierë”</w:t>
            </w:r>
            <w:r w:rsidR="004E7F05" w:rsidRPr="00F01A0B">
              <w:rPr>
                <w:rFonts w:ascii="Times New Roman" w:eastAsiaTheme="minorHAnsi" w:hAnsi="Times New Roman"/>
                <w:kern w:val="2"/>
                <w:sz w:val="24"/>
                <w:szCs w:val="24"/>
                <w:lang w:val="sq-AL"/>
                <w14:ligatures w14:val="standardContextual"/>
              </w:rPr>
              <w:t xml:space="preserve"> </w:t>
            </w:r>
            <w:r>
              <w:rPr>
                <w:rFonts w:ascii="Times New Roman" w:eastAsiaTheme="minorHAnsi" w:hAnsi="Times New Roman"/>
                <w:kern w:val="2"/>
                <w:sz w:val="24"/>
                <w:szCs w:val="24"/>
                <w:lang w:val="sq-AL"/>
                <w14:ligatures w14:val="standardContextual"/>
              </w:rPr>
              <w:t xml:space="preserve">i cili është aktualisht në ligj dhe </w:t>
            </w:r>
            <w:r w:rsidR="004E7F05" w:rsidRPr="00F01A0B">
              <w:rPr>
                <w:rFonts w:ascii="Times New Roman" w:eastAsiaTheme="minorHAnsi" w:hAnsi="Times New Roman"/>
                <w:kern w:val="2"/>
                <w:sz w:val="24"/>
                <w:szCs w:val="24"/>
                <w:lang w:val="sq-AL"/>
                <w14:ligatures w14:val="standardContextual"/>
              </w:rPr>
              <w:lastRenderedPageBreak/>
              <w:t>përshtatet më mirë me llojin e aktivitetit që kryhet në këto raste.</w:t>
            </w:r>
          </w:p>
        </w:tc>
      </w:tr>
      <w:tr w:rsidR="004E7F05" w:rsidRPr="00F01A0B" w14:paraId="635DE74F" w14:textId="77777777" w:rsidTr="00C24135">
        <w:trPr>
          <w:jc w:val="center"/>
        </w:trPr>
        <w:tc>
          <w:tcPr>
            <w:tcW w:w="625" w:type="dxa"/>
            <w:tcBorders>
              <w:top w:val="single" w:sz="4" w:space="0" w:color="auto"/>
              <w:left w:val="single" w:sz="4" w:space="0" w:color="auto"/>
              <w:bottom w:val="single" w:sz="4" w:space="0" w:color="auto"/>
              <w:right w:val="single" w:sz="4" w:space="0" w:color="auto"/>
            </w:tcBorders>
          </w:tcPr>
          <w:p w14:paraId="2FEBC3DD" w14:textId="60651308"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lastRenderedPageBreak/>
              <w:t>2.</w:t>
            </w:r>
          </w:p>
        </w:tc>
        <w:tc>
          <w:tcPr>
            <w:tcW w:w="1800" w:type="dxa"/>
            <w:tcBorders>
              <w:top w:val="single" w:sz="4" w:space="0" w:color="auto"/>
              <w:left w:val="single" w:sz="4" w:space="0" w:color="auto"/>
              <w:bottom w:val="single" w:sz="4" w:space="0" w:color="auto"/>
              <w:right w:val="single" w:sz="4" w:space="0" w:color="auto"/>
            </w:tcBorders>
          </w:tcPr>
          <w:p w14:paraId="02C5B61A" w14:textId="77777777" w:rsidR="004E7F05" w:rsidRPr="00F01A0B" w:rsidRDefault="004E7F05" w:rsidP="00591477">
            <w:pPr>
              <w:pStyle w:val="BodyText"/>
              <w:spacing w:line="276" w:lineRule="auto"/>
              <w:jc w:val="both"/>
              <w:rPr>
                <w:rFonts w:ascii="Times New Roman" w:hAnsi="Times New Roman"/>
                <w:sz w:val="24"/>
                <w:szCs w:val="24"/>
                <w:lang w:val="sq-AL"/>
              </w:rPr>
            </w:pPr>
          </w:p>
        </w:tc>
        <w:tc>
          <w:tcPr>
            <w:tcW w:w="5054" w:type="dxa"/>
            <w:tcBorders>
              <w:top w:val="single" w:sz="4" w:space="0" w:color="auto"/>
              <w:left w:val="single" w:sz="4" w:space="0" w:color="auto"/>
              <w:bottom w:val="single" w:sz="4" w:space="0" w:color="auto"/>
              <w:right w:val="single" w:sz="4" w:space="0" w:color="auto"/>
            </w:tcBorders>
          </w:tcPr>
          <w:p w14:paraId="75E7BB7D" w14:textId="478CB131"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Për lejet e kërkim-zbulimit, vendimi përfundimtar i miratimit të lejes njoftohet dhe hyn në fuqi në datën e publikimit në Regjistrin Kombëtar të Licencave dhe Lejeve, sipas legjisla</w:t>
            </w:r>
            <w:bookmarkStart w:id="0" w:name="_GoBack"/>
            <w:bookmarkEnd w:id="0"/>
            <w:r w:rsidRPr="00F01A0B">
              <w:rPr>
                <w:rFonts w:ascii="Times New Roman" w:hAnsi="Times New Roman"/>
                <w:sz w:val="24"/>
                <w:szCs w:val="24"/>
                <w:lang w:val="sq-AL"/>
              </w:rPr>
              <w:t>cionit në fuqi.</w:t>
            </w:r>
          </w:p>
        </w:tc>
        <w:tc>
          <w:tcPr>
            <w:tcW w:w="1555" w:type="dxa"/>
            <w:tcBorders>
              <w:top w:val="single" w:sz="4" w:space="0" w:color="auto"/>
              <w:left w:val="single" w:sz="4" w:space="0" w:color="auto"/>
              <w:bottom w:val="single" w:sz="4" w:space="0" w:color="auto"/>
              <w:right w:val="single" w:sz="4" w:space="0" w:color="auto"/>
            </w:tcBorders>
          </w:tcPr>
          <w:p w14:paraId="5610A585" w14:textId="7B767785"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Shoqata e Investitorëve të huaj në Shqipëri</w:t>
            </w:r>
          </w:p>
        </w:tc>
        <w:tc>
          <w:tcPr>
            <w:tcW w:w="1523" w:type="dxa"/>
            <w:tcBorders>
              <w:top w:val="single" w:sz="4" w:space="0" w:color="auto"/>
              <w:left w:val="single" w:sz="4" w:space="0" w:color="auto"/>
              <w:bottom w:val="single" w:sz="4" w:space="0" w:color="auto"/>
              <w:right w:val="single" w:sz="4" w:space="0" w:color="auto"/>
            </w:tcBorders>
          </w:tcPr>
          <w:p w14:paraId="57AABA81" w14:textId="0AD4178A"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I refuzuar</w:t>
            </w:r>
          </w:p>
        </w:tc>
        <w:tc>
          <w:tcPr>
            <w:tcW w:w="1749" w:type="dxa"/>
            <w:tcBorders>
              <w:top w:val="single" w:sz="4" w:space="0" w:color="auto"/>
              <w:left w:val="single" w:sz="4" w:space="0" w:color="auto"/>
              <w:bottom w:val="single" w:sz="4" w:space="0" w:color="auto"/>
              <w:right w:val="single" w:sz="4" w:space="0" w:color="auto"/>
            </w:tcBorders>
          </w:tcPr>
          <w:p w14:paraId="4BC1C2E0" w14:textId="62C6782C"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 xml:space="preserve">Ky parashikim është i përcaktuar në  Ligjin Nr.10 081, datë 23.02.2009 </w:t>
            </w:r>
            <w:r w:rsidR="006B5CF2">
              <w:rPr>
                <w:rFonts w:ascii="Times New Roman" w:hAnsi="Times New Roman"/>
                <w:sz w:val="24"/>
                <w:szCs w:val="24"/>
                <w:lang w:val="sq-AL"/>
              </w:rPr>
              <w:t xml:space="preserve">“për Licensat, Aurorizimet dhe lejet në Republikën e Shqipërisë” </w:t>
            </w:r>
            <w:r w:rsidRPr="00F01A0B">
              <w:rPr>
                <w:rFonts w:ascii="Times New Roman" w:hAnsi="Times New Roman"/>
                <w:sz w:val="24"/>
                <w:szCs w:val="24"/>
                <w:lang w:val="sq-AL"/>
              </w:rPr>
              <w:t>(i ndryshuar).</w:t>
            </w:r>
          </w:p>
        </w:tc>
      </w:tr>
      <w:tr w:rsidR="004E7F05" w:rsidRPr="00F01A0B" w14:paraId="03520E0B" w14:textId="77777777" w:rsidTr="00C24135">
        <w:trPr>
          <w:jc w:val="center"/>
        </w:trPr>
        <w:tc>
          <w:tcPr>
            <w:tcW w:w="625" w:type="dxa"/>
            <w:tcBorders>
              <w:top w:val="single" w:sz="4" w:space="0" w:color="auto"/>
              <w:left w:val="single" w:sz="4" w:space="0" w:color="auto"/>
              <w:bottom w:val="single" w:sz="4" w:space="0" w:color="auto"/>
              <w:right w:val="single" w:sz="4" w:space="0" w:color="auto"/>
            </w:tcBorders>
          </w:tcPr>
          <w:p w14:paraId="08DD47CF" w14:textId="1432153A"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3.</w:t>
            </w:r>
          </w:p>
        </w:tc>
        <w:tc>
          <w:tcPr>
            <w:tcW w:w="1800" w:type="dxa"/>
            <w:tcBorders>
              <w:top w:val="single" w:sz="4" w:space="0" w:color="auto"/>
              <w:left w:val="single" w:sz="4" w:space="0" w:color="auto"/>
              <w:bottom w:val="single" w:sz="4" w:space="0" w:color="auto"/>
              <w:right w:val="single" w:sz="4" w:space="0" w:color="auto"/>
            </w:tcBorders>
          </w:tcPr>
          <w:p w14:paraId="2C18864D" w14:textId="77777777" w:rsidR="004E7F05" w:rsidRPr="00F01A0B" w:rsidRDefault="004E7F05" w:rsidP="00591477">
            <w:pPr>
              <w:pStyle w:val="BodyText"/>
              <w:spacing w:line="276" w:lineRule="auto"/>
              <w:jc w:val="both"/>
              <w:rPr>
                <w:rFonts w:ascii="Times New Roman" w:hAnsi="Times New Roman"/>
                <w:sz w:val="24"/>
                <w:szCs w:val="24"/>
                <w:lang w:val="sq-AL"/>
              </w:rPr>
            </w:pPr>
          </w:p>
        </w:tc>
        <w:tc>
          <w:tcPr>
            <w:tcW w:w="5054" w:type="dxa"/>
            <w:tcBorders>
              <w:top w:val="single" w:sz="4" w:space="0" w:color="auto"/>
              <w:left w:val="single" w:sz="4" w:space="0" w:color="auto"/>
              <w:bottom w:val="single" w:sz="4" w:space="0" w:color="auto"/>
              <w:right w:val="single" w:sz="4" w:space="0" w:color="auto"/>
            </w:tcBorders>
          </w:tcPr>
          <w:p w14:paraId="0BE11EED" w14:textId="77777777" w:rsidR="004E7F05" w:rsidRPr="00F01A0B" w:rsidRDefault="004E7F05" w:rsidP="00591477">
            <w:pPr>
              <w:spacing w:before="120" w:after="120" w:line="276" w:lineRule="auto"/>
              <w:rPr>
                <w:rFonts w:ascii="Times New Roman" w:eastAsiaTheme="minorHAnsi" w:hAnsi="Times New Roman"/>
                <w:kern w:val="2"/>
                <w:sz w:val="24"/>
                <w:szCs w:val="24"/>
                <w:lang w:val="sq-AL"/>
                <w14:ligatures w14:val="standardContextual"/>
              </w:rPr>
            </w:pPr>
            <w:r w:rsidRPr="00F01A0B">
              <w:rPr>
                <w:rFonts w:ascii="Times New Roman" w:eastAsiaTheme="minorHAnsi" w:hAnsi="Times New Roman"/>
                <w:kern w:val="2"/>
                <w:sz w:val="24"/>
                <w:szCs w:val="24"/>
                <w:lang w:val="sq-AL"/>
                <w14:ligatures w14:val="standardContextual"/>
              </w:rPr>
              <w:t>Për lejet e kërkim-zbulimit, vendimi përfundimtar i miratimit të lejes njoftohet dhe hyn në fuqi në datën e publikimit në Regjistrin Kombëtar të Licencave dhe Lejeve, sipas legjislacionit në fuqi.</w:t>
            </w:r>
          </w:p>
          <w:p w14:paraId="43E4F0FE" w14:textId="77777777" w:rsidR="004E7F05" w:rsidRPr="00F01A0B" w:rsidRDefault="004E7F05" w:rsidP="00591477">
            <w:pPr>
              <w:pStyle w:val="BodyText"/>
              <w:spacing w:line="276" w:lineRule="auto"/>
              <w:jc w:val="both"/>
              <w:rPr>
                <w:rFonts w:ascii="Times New Roman" w:hAnsi="Times New Roman"/>
                <w:sz w:val="24"/>
                <w:szCs w:val="24"/>
                <w:lang w:val="sq-AL"/>
              </w:rPr>
            </w:pPr>
          </w:p>
        </w:tc>
        <w:tc>
          <w:tcPr>
            <w:tcW w:w="1555" w:type="dxa"/>
            <w:tcBorders>
              <w:top w:val="single" w:sz="4" w:space="0" w:color="auto"/>
              <w:left w:val="single" w:sz="4" w:space="0" w:color="auto"/>
              <w:bottom w:val="single" w:sz="4" w:space="0" w:color="auto"/>
              <w:right w:val="single" w:sz="4" w:space="0" w:color="auto"/>
            </w:tcBorders>
          </w:tcPr>
          <w:p w14:paraId="40FE22E1" w14:textId="566C2EF5"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Shoqata e Investitorëve të huaj në Shqipëri</w:t>
            </w:r>
          </w:p>
        </w:tc>
        <w:tc>
          <w:tcPr>
            <w:tcW w:w="1523" w:type="dxa"/>
            <w:tcBorders>
              <w:top w:val="single" w:sz="4" w:space="0" w:color="auto"/>
              <w:left w:val="single" w:sz="4" w:space="0" w:color="auto"/>
              <w:bottom w:val="single" w:sz="4" w:space="0" w:color="auto"/>
              <w:right w:val="single" w:sz="4" w:space="0" w:color="auto"/>
            </w:tcBorders>
          </w:tcPr>
          <w:p w14:paraId="708CED13" w14:textId="0F524413"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I refuzuar</w:t>
            </w:r>
          </w:p>
        </w:tc>
        <w:tc>
          <w:tcPr>
            <w:tcW w:w="1749" w:type="dxa"/>
            <w:tcBorders>
              <w:top w:val="single" w:sz="4" w:space="0" w:color="auto"/>
              <w:left w:val="single" w:sz="4" w:space="0" w:color="auto"/>
              <w:bottom w:val="single" w:sz="4" w:space="0" w:color="auto"/>
              <w:right w:val="single" w:sz="4" w:space="0" w:color="auto"/>
            </w:tcBorders>
          </w:tcPr>
          <w:p w14:paraId="696FDBD9" w14:textId="35D2945E"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Ky parashikim është i përcaktuar në  Ligjin Nr.10 081,</w:t>
            </w:r>
            <w:r w:rsidR="006B5CF2">
              <w:t xml:space="preserve"> </w:t>
            </w:r>
            <w:r w:rsidR="006B5CF2" w:rsidRPr="006B5CF2">
              <w:rPr>
                <w:rFonts w:ascii="Times New Roman" w:hAnsi="Times New Roman"/>
                <w:sz w:val="24"/>
                <w:szCs w:val="24"/>
                <w:lang w:val="sq-AL"/>
              </w:rPr>
              <w:t>“p</w:t>
            </w:r>
            <w:r w:rsidR="006B5CF2">
              <w:rPr>
                <w:rFonts w:ascii="Times New Roman" w:hAnsi="Times New Roman"/>
                <w:sz w:val="24"/>
                <w:szCs w:val="24"/>
                <w:lang w:val="sq-AL"/>
              </w:rPr>
              <w:t>ë</w:t>
            </w:r>
            <w:r w:rsidR="006B5CF2" w:rsidRPr="006B5CF2">
              <w:rPr>
                <w:rFonts w:ascii="Times New Roman" w:hAnsi="Times New Roman"/>
                <w:sz w:val="24"/>
                <w:szCs w:val="24"/>
                <w:lang w:val="sq-AL"/>
              </w:rPr>
              <w:t>r Licensat, Aurorizimet dhe lejet n</w:t>
            </w:r>
            <w:r w:rsidR="006B5CF2">
              <w:rPr>
                <w:rFonts w:ascii="Times New Roman" w:hAnsi="Times New Roman"/>
                <w:sz w:val="24"/>
                <w:szCs w:val="24"/>
                <w:lang w:val="sq-AL"/>
              </w:rPr>
              <w:t>ë</w:t>
            </w:r>
            <w:r w:rsidR="006B5CF2" w:rsidRPr="006B5CF2">
              <w:rPr>
                <w:rFonts w:ascii="Times New Roman" w:hAnsi="Times New Roman"/>
                <w:sz w:val="24"/>
                <w:szCs w:val="24"/>
                <w:lang w:val="sq-AL"/>
              </w:rPr>
              <w:t xml:space="preserve"> Republik</w:t>
            </w:r>
            <w:r w:rsidR="006B5CF2">
              <w:rPr>
                <w:rFonts w:ascii="Times New Roman" w:hAnsi="Times New Roman"/>
                <w:sz w:val="24"/>
                <w:szCs w:val="24"/>
                <w:lang w:val="sq-AL"/>
              </w:rPr>
              <w:t>ë</w:t>
            </w:r>
            <w:r w:rsidR="006B5CF2" w:rsidRPr="006B5CF2">
              <w:rPr>
                <w:rFonts w:ascii="Times New Roman" w:hAnsi="Times New Roman"/>
                <w:sz w:val="24"/>
                <w:szCs w:val="24"/>
                <w:lang w:val="sq-AL"/>
              </w:rPr>
              <w:t>n e Shqip</w:t>
            </w:r>
            <w:r w:rsidR="006B5CF2">
              <w:rPr>
                <w:rFonts w:ascii="Times New Roman" w:hAnsi="Times New Roman"/>
                <w:sz w:val="24"/>
                <w:szCs w:val="24"/>
                <w:lang w:val="sq-AL"/>
              </w:rPr>
              <w:t>ë</w:t>
            </w:r>
            <w:r w:rsidR="006B5CF2" w:rsidRPr="006B5CF2">
              <w:rPr>
                <w:rFonts w:ascii="Times New Roman" w:hAnsi="Times New Roman"/>
                <w:sz w:val="24"/>
                <w:szCs w:val="24"/>
                <w:lang w:val="sq-AL"/>
              </w:rPr>
              <w:t>ris</w:t>
            </w:r>
            <w:r w:rsidR="006B5CF2">
              <w:rPr>
                <w:rFonts w:ascii="Times New Roman" w:hAnsi="Times New Roman"/>
                <w:sz w:val="24"/>
                <w:szCs w:val="24"/>
                <w:lang w:val="sq-AL"/>
              </w:rPr>
              <w:t>ë</w:t>
            </w:r>
            <w:r w:rsidR="006B5CF2" w:rsidRPr="006B5CF2">
              <w:rPr>
                <w:rFonts w:ascii="Times New Roman" w:hAnsi="Times New Roman"/>
                <w:sz w:val="24"/>
                <w:szCs w:val="24"/>
                <w:lang w:val="sq-AL"/>
              </w:rPr>
              <w:t>”</w:t>
            </w:r>
            <w:r w:rsidRPr="00F01A0B">
              <w:rPr>
                <w:rFonts w:ascii="Times New Roman" w:hAnsi="Times New Roman"/>
                <w:sz w:val="24"/>
                <w:szCs w:val="24"/>
                <w:lang w:val="sq-AL"/>
              </w:rPr>
              <w:t xml:space="preserve"> </w:t>
            </w:r>
            <w:r w:rsidRPr="00F01A0B">
              <w:rPr>
                <w:rFonts w:ascii="Times New Roman" w:hAnsi="Times New Roman"/>
                <w:sz w:val="24"/>
                <w:szCs w:val="24"/>
                <w:lang w:val="sq-AL"/>
              </w:rPr>
              <w:lastRenderedPageBreak/>
              <w:t>datë 23.02.2009 (i ndryshuar).</w:t>
            </w:r>
          </w:p>
        </w:tc>
      </w:tr>
      <w:tr w:rsidR="004E7F05" w:rsidRPr="00F01A0B" w14:paraId="52A340AD" w14:textId="77777777" w:rsidTr="00C24135">
        <w:trPr>
          <w:jc w:val="center"/>
        </w:trPr>
        <w:tc>
          <w:tcPr>
            <w:tcW w:w="625" w:type="dxa"/>
            <w:tcBorders>
              <w:top w:val="single" w:sz="4" w:space="0" w:color="auto"/>
              <w:left w:val="single" w:sz="4" w:space="0" w:color="auto"/>
              <w:bottom w:val="single" w:sz="4" w:space="0" w:color="auto"/>
              <w:right w:val="single" w:sz="4" w:space="0" w:color="auto"/>
            </w:tcBorders>
          </w:tcPr>
          <w:p w14:paraId="43E3A95C" w14:textId="3E606C93"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lastRenderedPageBreak/>
              <w:t>4.</w:t>
            </w:r>
          </w:p>
        </w:tc>
        <w:tc>
          <w:tcPr>
            <w:tcW w:w="1800" w:type="dxa"/>
            <w:tcBorders>
              <w:top w:val="single" w:sz="4" w:space="0" w:color="auto"/>
              <w:left w:val="single" w:sz="4" w:space="0" w:color="auto"/>
              <w:bottom w:val="single" w:sz="4" w:space="0" w:color="auto"/>
              <w:right w:val="single" w:sz="4" w:space="0" w:color="auto"/>
            </w:tcBorders>
          </w:tcPr>
          <w:p w14:paraId="0FE502F2" w14:textId="77777777" w:rsidR="004E7F05" w:rsidRPr="00F01A0B" w:rsidRDefault="004E7F05" w:rsidP="00591477">
            <w:pPr>
              <w:pStyle w:val="BodyText"/>
              <w:spacing w:line="276" w:lineRule="auto"/>
              <w:jc w:val="both"/>
              <w:rPr>
                <w:rFonts w:ascii="Times New Roman" w:hAnsi="Times New Roman"/>
                <w:sz w:val="24"/>
                <w:szCs w:val="24"/>
                <w:lang w:val="sq-AL"/>
              </w:rPr>
            </w:pPr>
          </w:p>
        </w:tc>
        <w:tc>
          <w:tcPr>
            <w:tcW w:w="5054" w:type="dxa"/>
            <w:tcBorders>
              <w:top w:val="single" w:sz="4" w:space="0" w:color="auto"/>
              <w:left w:val="single" w:sz="4" w:space="0" w:color="auto"/>
              <w:bottom w:val="single" w:sz="4" w:space="0" w:color="auto"/>
              <w:right w:val="single" w:sz="4" w:space="0" w:color="auto"/>
            </w:tcBorders>
          </w:tcPr>
          <w:p w14:paraId="5FAEAD31" w14:textId="53987432"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eastAsiaTheme="minorHAnsi" w:hAnsi="Times New Roman"/>
                <w:kern w:val="2"/>
                <w:sz w:val="24"/>
                <w:szCs w:val="24"/>
                <w:lang w:val="sq-AL"/>
                <w14:ligatures w14:val="standardContextual"/>
              </w:rPr>
              <w:t>Për lejet, që përfshijnë shfrytëzimin, vendimi përfundimtar i miratimit, përveç rasteve kur, sipas këtij ligji, parashikohet miratimi nga Këshilli i Ministrave ose nga Kuvendi, njoftohet nëpërmjet publikimit në Regjistrin Kombëtar të Licencave dhe Lejeve, në përputhje me legjislacionin në fuqi.</w:t>
            </w:r>
          </w:p>
        </w:tc>
        <w:tc>
          <w:tcPr>
            <w:tcW w:w="1555" w:type="dxa"/>
            <w:tcBorders>
              <w:top w:val="single" w:sz="4" w:space="0" w:color="auto"/>
              <w:left w:val="single" w:sz="4" w:space="0" w:color="auto"/>
              <w:bottom w:val="single" w:sz="4" w:space="0" w:color="auto"/>
              <w:right w:val="single" w:sz="4" w:space="0" w:color="auto"/>
            </w:tcBorders>
          </w:tcPr>
          <w:p w14:paraId="4B37223E" w14:textId="77777777" w:rsidR="004E7F05" w:rsidRPr="00F01A0B" w:rsidRDefault="004E7F05" w:rsidP="00591477">
            <w:pPr>
              <w:pStyle w:val="BodyText"/>
              <w:spacing w:line="276" w:lineRule="auto"/>
              <w:jc w:val="both"/>
              <w:rPr>
                <w:rFonts w:ascii="Times New Roman" w:hAnsi="Times New Roman"/>
                <w:sz w:val="24"/>
                <w:szCs w:val="24"/>
                <w:lang w:val="sq-AL"/>
              </w:rPr>
            </w:pPr>
          </w:p>
        </w:tc>
        <w:tc>
          <w:tcPr>
            <w:tcW w:w="1523" w:type="dxa"/>
            <w:tcBorders>
              <w:top w:val="single" w:sz="4" w:space="0" w:color="auto"/>
              <w:left w:val="single" w:sz="4" w:space="0" w:color="auto"/>
              <w:bottom w:val="single" w:sz="4" w:space="0" w:color="auto"/>
              <w:right w:val="single" w:sz="4" w:space="0" w:color="auto"/>
            </w:tcBorders>
          </w:tcPr>
          <w:p w14:paraId="1D297E84" w14:textId="3A1CAF4A" w:rsidR="004E7F05" w:rsidRPr="00F01A0B" w:rsidRDefault="00DD4DB7" w:rsidP="00591477">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I refuzuar</w:t>
            </w:r>
          </w:p>
        </w:tc>
        <w:tc>
          <w:tcPr>
            <w:tcW w:w="1749" w:type="dxa"/>
            <w:tcBorders>
              <w:top w:val="single" w:sz="4" w:space="0" w:color="auto"/>
              <w:left w:val="single" w:sz="4" w:space="0" w:color="auto"/>
              <w:bottom w:val="single" w:sz="4" w:space="0" w:color="auto"/>
              <w:right w:val="single" w:sz="4" w:space="0" w:color="auto"/>
            </w:tcBorders>
          </w:tcPr>
          <w:p w14:paraId="5BE74732" w14:textId="1AAE7D94"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Ky parashikim është i përcaktuar në  Ligjin Nr.10 081, datë 23.02.2009 (i ndryshuar).</w:t>
            </w:r>
          </w:p>
        </w:tc>
      </w:tr>
      <w:tr w:rsidR="004E7F05" w:rsidRPr="00F01A0B" w14:paraId="2BF3C8F1" w14:textId="77777777" w:rsidTr="00C24135">
        <w:trPr>
          <w:trHeight w:val="1873"/>
          <w:jc w:val="center"/>
        </w:trPr>
        <w:tc>
          <w:tcPr>
            <w:tcW w:w="625" w:type="dxa"/>
            <w:tcBorders>
              <w:top w:val="single" w:sz="4" w:space="0" w:color="auto"/>
              <w:left w:val="single" w:sz="4" w:space="0" w:color="auto"/>
              <w:bottom w:val="single" w:sz="4" w:space="0" w:color="auto"/>
              <w:right w:val="single" w:sz="4" w:space="0" w:color="auto"/>
            </w:tcBorders>
          </w:tcPr>
          <w:p w14:paraId="3EE498C7" w14:textId="26379BCA"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5.</w:t>
            </w:r>
          </w:p>
        </w:tc>
        <w:tc>
          <w:tcPr>
            <w:tcW w:w="1800" w:type="dxa"/>
            <w:tcBorders>
              <w:top w:val="single" w:sz="4" w:space="0" w:color="auto"/>
              <w:left w:val="single" w:sz="4" w:space="0" w:color="auto"/>
              <w:bottom w:val="single" w:sz="4" w:space="0" w:color="auto"/>
              <w:right w:val="single" w:sz="4" w:space="0" w:color="auto"/>
            </w:tcBorders>
          </w:tcPr>
          <w:p w14:paraId="2411B196" w14:textId="77777777"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Neni 6 per ndryshimet ne nenin 15</w:t>
            </w:r>
          </w:p>
          <w:p w14:paraId="2559F2AA"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71128F1B"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22575CD8"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47795D7A"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322FF53C"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4B4A2E18"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126FDC51"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57415DB1"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783654C3"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699B2B41"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5DD794B6"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349A74F4"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3164A59E"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124D2414"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752019A7"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6DBBBE0C"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263C7E49"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2B2BCC00"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44919BD9"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324EA609"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73A9F165"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364D8745"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79C501CA"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3230CA11" w14:textId="77777777" w:rsidR="004E7F05" w:rsidRPr="00F01A0B" w:rsidRDefault="004E7F05" w:rsidP="00591477">
            <w:pPr>
              <w:pStyle w:val="BodyText"/>
              <w:spacing w:line="276" w:lineRule="auto"/>
              <w:jc w:val="both"/>
              <w:rPr>
                <w:rFonts w:ascii="Times New Roman" w:hAnsi="Times New Roman"/>
                <w:sz w:val="24"/>
                <w:szCs w:val="24"/>
                <w:lang w:val="sq-AL"/>
              </w:rPr>
            </w:pPr>
          </w:p>
          <w:p w14:paraId="62C5EBC6" w14:textId="328C03E1" w:rsidR="004E7F05" w:rsidRPr="00F01A0B" w:rsidRDefault="004E7F05" w:rsidP="00591477">
            <w:pPr>
              <w:pStyle w:val="BodyText"/>
              <w:spacing w:line="276" w:lineRule="auto"/>
              <w:jc w:val="both"/>
              <w:rPr>
                <w:rFonts w:ascii="Times New Roman" w:hAnsi="Times New Roman"/>
                <w:sz w:val="24"/>
                <w:szCs w:val="24"/>
                <w:lang w:val="sq-AL"/>
              </w:rPr>
            </w:pPr>
          </w:p>
        </w:tc>
        <w:tc>
          <w:tcPr>
            <w:tcW w:w="5054" w:type="dxa"/>
            <w:tcBorders>
              <w:top w:val="single" w:sz="4" w:space="0" w:color="auto"/>
              <w:left w:val="single" w:sz="4" w:space="0" w:color="auto"/>
              <w:bottom w:val="single" w:sz="4" w:space="0" w:color="auto"/>
              <w:right w:val="single" w:sz="4" w:space="0" w:color="auto"/>
            </w:tcBorders>
          </w:tcPr>
          <w:p w14:paraId="407D9D43" w14:textId="77777777" w:rsidR="004E7F05" w:rsidRPr="00F01A0B" w:rsidRDefault="004E7F05" w:rsidP="00591477">
            <w:pPr>
              <w:spacing w:before="120" w:after="120" w:line="276" w:lineRule="auto"/>
              <w:rPr>
                <w:rFonts w:ascii="Times New Roman" w:eastAsiaTheme="minorHAnsi" w:hAnsi="Times New Roman"/>
                <w:kern w:val="2"/>
                <w:sz w:val="24"/>
                <w:szCs w:val="24"/>
                <w:lang w:val="sq-AL"/>
                <w14:ligatures w14:val="standardContextual"/>
              </w:rPr>
            </w:pPr>
            <w:r w:rsidRPr="00F01A0B">
              <w:rPr>
                <w:rFonts w:ascii="Times New Roman" w:eastAsiaTheme="minorHAnsi" w:hAnsi="Times New Roman"/>
                <w:kern w:val="2"/>
                <w:sz w:val="24"/>
                <w:szCs w:val="24"/>
                <w:lang w:val="sq-AL"/>
                <w14:ligatures w14:val="standardContextual"/>
              </w:rPr>
              <w:lastRenderedPageBreak/>
              <w:t>Riformulim me tekstin: “Sipërfaqja e tokës e miratuar me vendim të Këshillit të Ministrave për Programin tre vjeçar të veprimit për zbatimin e strategjisë minerare vlerësohet paraprakisht sipërfaqe e miratuar nga Këshilli i Ministrave për heqje nga fondi pyjor e kullosor pronë shtetërore “Tokë e zënë, tokë me bimësi pyjore”, dhe regjistrimi i pjesëve të kësaj sipërfaqe si zona të lejuara të lejeve minerare regjistrohen në zërin “Tokë e zënë, objekt shfrytëzimi për ushtrimin e veprimtarisë minerare” me miratimin e çdo leje minerare të shfrytëzimit për zonat minerare pjesë të këtij programi tre vjeçar. Dokumentit të miratimit të lejes duhet ti bashkëngjitet dhe dokumenti i ndryshimit të zërit kadastral të fondit pyjor e kullosor në zërin për ushtrimin e veprimtarisë minerare.</w:t>
            </w:r>
          </w:p>
          <w:p w14:paraId="20EFB40E" w14:textId="77777777" w:rsidR="004E7F05" w:rsidRPr="00F01A0B" w:rsidRDefault="004E7F05" w:rsidP="00591477">
            <w:pPr>
              <w:pStyle w:val="BodyText"/>
              <w:spacing w:line="276" w:lineRule="auto"/>
              <w:jc w:val="both"/>
              <w:rPr>
                <w:rFonts w:ascii="Times New Roman" w:eastAsiaTheme="minorHAnsi" w:hAnsi="Times New Roman"/>
                <w:kern w:val="2"/>
                <w:sz w:val="24"/>
                <w:szCs w:val="24"/>
                <w:lang w:val="sq-AL"/>
                <w14:ligatures w14:val="standardContextual"/>
              </w:rPr>
            </w:pPr>
            <w:r w:rsidRPr="00F01A0B">
              <w:rPr>
                <w:rFonts w:ascii="Times New Roman" w:eastAsiaTheme="minorHAnsi" w:hAnsi="Times New Roman"/>
                <w:kern w:val="2"/>
                <w:sz w:val="24"/>
                <w:szCs w:val="24"/>
                <w:lang w:val="sq-AL"/>
                <w14:ligatures w14:val="standardContextual"/>
              </w:rPr>
              <w:lastRenderedPageBreak/>
              <w:t>Këto ndryshime të jenë të njëjta në të gjitha nenet që trajtojnë çështjen e heqjes së sipërfaqes së zonës së lejuar nga fondi pyjor në nenin 24, etj.</w:t>
            </w:r>
          </w:p>
          <w:p w14:paraId="4546EEEE" w14:textId="77777777" w:rsidR="004E7F05" w:rsidRPr="00F01A0B" w:rsidRDefault="004E7F05" w:rsidP="00591477">
            <w:pPr>
              <w:pStyle w:val="BodyText"/>
              <w:spacing w:line="276" w:lineRule="auto"/>
              <w:jc w:val="both"/>
              <w:rPr>
                <w:rFonts w:ascii="Times New Roman" w:hAnsi="Times New Roman"/>
                <w:kern w:val="2"/>
                <w:sz w:val="24"/>
                <w:szCs w:val="24"/>
                <w:lang w:val="sq-AL"/>
                <w14:ligatures w14:val="standardContextual"/>
              </w:rPr>
            </w:pPr>
          </w:p>
          <w:p w14:paraId="011C4BA7" w14:textId="77777777" w:rsidR="004E7F05" w:rsidRPr="00F01A0B" w:rsidRDefault="004E7F05" w:rsidP="00591477">
            <w:pPr>
              <w:pStyle w:val="BodyText"/>
              <w:spacing w:line="276" w:lineRule="auto"/>
              <w:jc w:val="both"/>
              <w:rPr>
                <w:rFonts w:ascii="Times New Roman" w:hAnsi="Times New Roman"/>
                <w:kern w:val="2"/>
                <w:sz w:val="24"/>
                <w:szCs w:val="24"/>
                <w:lang w:val="sq-AL"/>
                <w14:ligatures w14:val="standardContextual"/>
              </w:rPr>
            </w:pPr>
          </w:p>
          <w:p w14:paraId="48749810" w14:textId="77777777" w:rsidR="004E7F05" w:rsidRPr="00F01A0B" w:rsidRDefault="004E7F05" w:rsidP="00591477">
            <w:pPr>
              <w:pStyle w:val="BodyText"/>
              <w:spacing w:line="276" w:lineRule="auto"/>
              <w:jc w:val="both"/>
              <w:rPr>
                <w:rFonts w:ascii="Times New Roman" w:hAnsi="Times New Roman"/>
                <w:kern w:val="2"/>
                <w:sz w:val="24"/>
                <w:szCs w:val="24"/>
                <w:lang w:val="sq-AL"/>
                <w14:ligatures w14:val="standardContextual"/>
              </w:rPr>
            </w:pPr>
          </w:p>
          <w:p w14:paraId="141D6436" w14:textId="77777777" w:rsidR="004E7F05" w:rsidRPr="00F01A0B" w:rsidRDefault="004E7F05" w:rsidP="00591477">
            <w:pPr>
              <w:pStyle w:val="BodyText"/>
              <w:spacing w:line="276" w:lineRule="auto"/>
              <w:jc w:val="both"/>
              <w:rPr>
                <w:rFonts w:ascii="Times New Roman" w:hAnsi="Times New Roman"/>
                <w:kern w:val="2"/>
                <w:sz w:val="24"/>
                <w:szCs w:val="24"/>
                <w:lang w:val="sq-AL"/>
                <w14:ligatures w14:val="standardContextual"/>
              </w:rPr>
            </w:pPr>
          </w:p>
          <w:p w14:paraId="5DF2F0D5" w14:textId="2E06FAF8" w:rsidR="004E7F05" w:rsidRPr="00F01A0B" w:rsidRDefault="004E7F05" w:rsidP="00591477">
            <w:pPr>
              <w:pStyle w:val="BodyText"/>
              <w:spacing w:line="276" w:lineRule="auto"/>
              <w:jc w:val="both"/>
              <w:rPr>
                <w:rFonts w:ascii="Times New Roman" w:hAnsi="Times New Roman"/>
                <w:sz w:val="24"/>
                <w:szCs w:val="24"/>
                <w:lang w:val="sq-AL"/>
              </w:rPr>
            </w:pPr>
          </w:p>
        </w:tc>
        <w:tc>
          <w:tcPr>
            <w:tcW w:w="1555" w:type="dxa"/>
            <w:tcBorders>
              <w:top w:val="single" w:sz="4" w:space="0" w:color="auto"/>
              <w:left w:val="single" w:sz="4" w:space="0" w:color="auto"/>
              <w:bottom w:val="single" w:sz="4" w:space="0" w:color="auto"/>
              <w:right w:val="single" w:sz="4" w:space="0" w:color="auto"/>
            </w:tcBorders>
          </w:tcPr>
          <w:p w14:paraId="4C0DF66B" w14:textId="5CD6B796"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lastRenderedPageBreak/>
              <w:t>Shoqata e Investitorëve të huaj në Shqipëri</w:t>
            </w:r>
          </w:p>
        </w:tc>
        <w:tc>
          <w:tcPr>
            <w:tcW w:w="1523" w:type="dxa"/>
            <w:tcBorders>
              <w:top w:val="single" w:sz="4" w:space="0" w:color="auto"/>
              <w:left w:val="single" w:sz="4" w:space="0" w:color="auto"/>
              <w:bottom w:val="single" w:sz="4" w:space="0" w:color="auto"/>
              <w:right w:val="single" w:sz="4" w:space="0" w:color="auto"/>
            </w:tcBorders>
          </w:tcPr>
          <w:p w14:paraId="4EB334F2" w14:textId="344DD7E0"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I refuzuar</w:t>
            </w:r>
          </w:p>
        </w:tc>
        <w:tc>
          <w:tcPr>
            <w:tcW w:w="1749" w:type="dxa"/>
            <w:tcBorders>
              <w:top w:val="single" w:sz="4" w:space="0" w:color="auto"/>
              <w:left w:val="single" w:sz="4" w:space="0" w:color="auto"/>
              <w:bottom w:val="single" w:sz="4" w:space="0" w:color="auto"/>
              <w:right w:val="single" w:sz="4" w:space="0" w:color="auto"/>
            </w:tcBorders>
          </w:tcPr>
          <w:p w14:paraId="295F72CF" w14:textId="77777777"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Ky ndryshim nuk mund të bëhet në ligjin minerar.</w:t>
            </w:r>
          </w:p>
          <w:p w14:paraId="4DC43F26" w14:textId="77777777"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Akti nenligjor për heqjen nga fondi pyjor është:</w:t>
            </w:r>
          </w:p>
          <w:p w14:paraId="7CB7675F" w14:textId="77777777" w:rsidR="004E7F05" w:rsidRPr="00F01A0B" w:rsidRDefault="004E7F05" w:rsidP="00591477">
            <w:pPr>
              <w:spacing w:line="276" w:lineRule="auto"/>
              <w:rPr>
                <w:rFonts w:ascii="Times New Roman" w:hAnsi="Times New Roman"/>
                <w:i/>
                <w:iCs/>
                <w:sz w:val="24"/>
                <w:szCs w:val="24"/>
                <w:lang w:val="sq-AL"/>
              </w:rPr>
            </w:pPr>
            <w:r w:rsidRPr="00F01A0B">
              <w:rPr>
                <w:rFonts w:ascii="Times New Roman" w:hAnsi="Times New Roman"/>
                <w:color w:val="000000"/>
                <w:sz w:val="24"/>
                <w:szCs w:val="24"/>
                <w:lang w:val="sq-AL"/>
              </w:rPr>
              <w:t xml:space="preserve">VKM Nr. 888, datë 27.12.2022 </w:t>
            </w:r>
            <w:r w:rsidRPr="00F01A0B">
              <w:rPr>
                <w:rFonts w:ascii="Times New Roman" w:hAnsi="Times New Roman"/>
                <w:i/>
                <w:iCs/>
                <w:color w:val="000000"/>
                <w:sz w:val="24"/>
                <w:szCs w:val="24"/>
                <w:lang w:val="sq-AL"/>
              </w:rPr>
              <w:t xml:space="preserve">“Për rastet e dhënies në përdorim dhe për ndryshimin e kategorisë së përdorimit, </w:t>
            </w:r>
            <w:r w:rsidRPr="00F01A0B">
              <w:rPr>
                <w:rFonts w:ascii="Times New Roman" w:hAnsi="Times New Roman"/>
                <w:i/>
                <w:iCs/>
                <w:color w:val="000000"/>
                <w:sz w:val="24"/>
                <w:szCs w:val="24"/>
                <w:lang w:val="sq-AL"/>
              </w:rPr>
              <w:lastRenderedPageBreak/>
              <w:t>procedurat dhe dokumentacioni përkatës për ndryshimet e sipërfaqeve dhe pakësimin në volum nga fondi pyjor kombëtar apo zgjerimin e tyre”</w:t>
            </w:r>
            <w:r w:rsidRPr="00F01A0B">
              <w:rPr>
                <w:rFonts w:ascii="Times New Roman" w:hAnsi="Times New Roman"/>
                <w:i/>
                <w:iCs/>
                <w:sz w:val="24"/>
                <w:szCs w:val="24"/>
                <w:lang w:val="sq-AL"/>
              </w:rPr>
              <w:t xml:space="preserve"> </w:t>
            </w:r>
          </w:p>
          <w:p w14:paraId="2305AE29" w14:textId="77777777" w:rsidR="004E7F05" w:rsidRPr="00F01A0B" w:rsidRDefault="004E7F05" w:rsidP="00591477">
            <w:pPr>
              <w:spacing w:line="276" w:lineRule="auto"/>
              <w:rPr>
                <w:rFonts w:ascii="Times New Roman" w:hAnsi="Times New Roman"/>
                <w:color w:val="000000"/>
                <w:sz w:val="24"/>
                <w:szCs w:val="24"/>
                <w:lang w:val="sq-AL"/>
              </w:rPr>
            </w:pPr>
          </w:p>
          <w:p w14:paraId="4C030C18" w14:textId="77777777" w:rsidR="004E7F05" w:rsidRPr="00F01A0B" w:rsidRDefault="004E7F05" w:rsidP="00591477">
            <w:pPr>
              <w:pStyle w:val="BodyText"/>
              <w:spacing w:line="276" w:lineRule="auto"/>
              <w:jc w:val="both"/>
              <w:rPr>
                <w:rFonts w:ascii="Times New Roman" w:hAnsi="Times New Roman"/>
                <w:sz w:val="24"/>
                <w:szCs w:val="24"/>
                <w:lang w:val="sq-AL"/>
              </w:rPr>
            </w:pPr>
          </w:p>
        </w:tc>
      </w:tr>
      <w:tr w:rsidR="004E7F05" w:rsidRPr="00F01A0B" w14:paraId="05819081" w14:textId="77777777" w:rsidTr="00C24135">
        <w:trPr>
          <w:jc w:val="center"/>
        </w:trPr>
        <w:tc>
          <w:tcPr>
            <w:tcW w:w="625" w:type="dxa"/>
            <w:tcBorders>
              <w:top w:val="single" w:sz="4" w:space="0" w:color="auto"/>
              <w:left w:val="single" w:sz="4" w:space="0" w:color="auto"/>
              <w:bottom w:val="single" w:sz="4" w:space="0" w:color="auto"/>
              <w:right w:val="single" w:sz="4" w:space="0" w:color="auto"/>
            </w:tcBorders>
          </w:tcPr>
          <w:p w14:paraId="158B6B2C" w14:textId="5758CF86"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lastRenderedPageBreak/>
              <w:t>6.</w:t>
            </w:r>
          </w:p>
        </w:tc>
        <w:tc>
          <w:tcPr>
            <w:tcW w:w="1800" w:type="dxa"/>
            <w:tcBorders>
              <w:top w:val="single" w:sz="4" w:space="0" w:color="auto"/>
              <w:left w:val="single" w:sz="4" w:space="0" w:color="auto"/>
              <w:bottom w:val="single" w:sz="4" w:space="0" w:color="auto"/>
              <w:right w:val="single" w:sz="4" w:space="0" w:color="auto"/>
            </w:tcBorders>
          </w:tcPr>
          <w:p w14:paraId="209B255E" w14:textId="446CB7BE"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Neni 15 per ndryshimet ne nenin 38</w:t>
            </w:r>
          </w:p>
        </w:tc>
        <w:tc>
          <w:tcPr>
            <w:tcW w:w="5054" w:type="dxa"/>
            <w:tcBorders>
              <w:top w:val="single" w:sz="4" w:space="0" w:color="auto"/>
              <w:left w:val="single" w:sz="4" w:space="0" w:color="auto"/>
              <w:bottom w:val="single" w:sz="4" w:space="0" w:color="auto"/>
              <w:right w:val="single" w:sz="4" w:space="0" w:color="auto"/>
            </w:tcBorders>
          </w:tcPr>
          <w:p w14:paraId="19D1D210" w14:textId="77777777" w:rsidR="004E7F05" w:rsidRPr="00F01A0B" w:rsidRDefault="004E7F05" w:rsidP="00591477">
            <w:pPr>
              <w:spacing w:before="120" w:after="120" w:line="276" w:lineRule="auto"/>
              <w:rPr>
                <w:rFonts w:ascii="Times New Roman" w:eastAsiaTheme="minorHAnsi" w:hAnsi="Times New Roman"/>
                <w:kern w:val="2"/>
                <w:sz w:val="24"/>
                <w:szCs w:val="24"/>
                <w:lang w:val="sq-AL"/>
                <w14:ligatures w14:val="standardContextual"/>
              </w:rPr>
            </w:pPr>
            <w:r w:rsidRPr="00F01A0B">
              <w:rPr>
                <w:rFonts w:ascii="Times New Roman" w:eastAsiaTheme="minorHAnsi" w:hAnsi="Times New Roman"/>
                <w:kern w:val="2"/>
                <w:sz w:val="24"/>
                <w:szCs w:val="24"/>
                <w:lang w:val="sq-AL"/>
                <w14:ligatures w14:val="standardContextual"/>
              </w:rPr>
              <w:t xml:space="preserve">Shtohet pika 10, me këtë përmbajtje: “10. Mbetjet minerare të ripërpunueshme në vendet e depozitimit të mineraleve metalorë, do të ruhen nga ana e subjektit dhe do të trajtohen si stok, shoqëruar me dokumentacion përkatës teknik dhe financiar, me treguesit sasior, cilësor dhe financiar”. Koncepti financiar del jashtë kontekstit, pasi në asnjë veprimtari nuk ka </w:t>
            </w:r>
            <w:r w:rsidRPr="00F01A0B">
              <w:rPr>
                <w:rFonts w:ascii="Times New Roman" w:eastAsiaTheme="minorHAnsi" w:hAnsi="Times New Roman"/>
                <w:kern w:val="2"/>
                <w:sz w:val="24"/>
                <w:szCs w:val="24"/>
                <w:lang w:val="sq-AL"/>
                <w14:ligatures w14:val="standardContextual"/>
              </w:rPr>
              <w:lastRenderedPageBreak/>
              <w:t>dokument financiar për mbetjet, ka detyrime që rrjedhin nga plani i menaxhimit të sigurtë të mbetjeve që miratohet me lejen minerare në lidhje me menaxhimin e mbetjeve minerare, depozitimin, trajtimin, riciklimin, si dhe përcaktime për sasinë, për përmbajtjet, por fjala financiar është e pakuptimtë në këtë përcaktim.</w:t>
            </w:r>
          </w:p>
          <w:p w14:paraId="7AF54B54" w14:textId="77777777" w:rsidR="004E7F05" w:rsidRPr="00F01A0B" w:rsidRDefault="004E7F05" w:rsidP="00591477">
            <w:pPr>
              <w:pStyle w:val="BodyText"/>
              <w:spacing w:line="276" w:lineRule="auto"/>
              <w:jc w:val="both"/>
              <w:rPr>
                <w:rFonts w:ascii="Times New Roman" w:hAnsi="Times New Roman"/>
                <w:sz w:val="24"/>
                <w:szCs w:val="24"/>
                <w:lang w:val="sq-AL"/>
              </w:rPr>
            </w:pPr>
          </w:p>
        </w:tc>
        <w:tc>
          <w:tcPr>
            <w:tcW w:w="1555" w:type="dxa"/>
            <w:tcBorders>
              <w:top w:val="single" w:sz="4" w:space="0" w:color="auto"/>
              <w:left w:val="single" w:sz="4" w:space="0" w:color="auto"/>
              <w:bottom w:val="single" w:sz="4" w:space="0" w:color="auto"/>
              <w:right w:val="single" w:sz="4" w:space="0" w:color="auto"/>
            </w:tcBorders>
          </w:tcPr>
          <w:p w14:paraId="2F57E0F5" w14:textId="217461B8"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lastRenderedPageBreak/>
              <w:t>Shoqata e Investitorëve të huaj në Shqipëri</w:t>
            </w:r>
          </w:p>
        </w:tc>
        <w:tc>
          <w:tcPr>
            <w:tcW w:w="1523" w:type="dxa"/>
            <w:tcBorders>
              <w:top w:val="single" w:sz="4" w:space="0" w:color="auto"/>
              <w:left w:val="single" w:sz="4" w:space="0" w:color="auto"/>
              <w:bottom w:val="single" w:sz="4" w:space="0" w:color="auto"/>
              <w:right w:val="single" w:sz="4" w:space="0" w:color="auto"/>
            </w:tcBorders>
          </w:tcPr>
          <w:p w14:paraId="595DF231" w14:textId="08D58246"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I refuzuar</w:t>
            </w:r>
          </w:p>
        </w:tc>
        <w:tc>
          <w:tcPr>
            <w:tcW w:w="1749" w:type="dxa"/>
            <w:tcBorders>
              <w:top w:val="single" w:sz="4" w:space="0" w:color="auto"/>
              <w:left w:val="single" w:sz="4" w:space="0" w:color="auto"/>
              <w:bottom w:val="single" w:sz="4" w:space="0" w:color="auto"/>
              <w:right w:val="single" w:sz="4" w:space="0" w:color="auto"/>
            </w:tcBorders>
          </w:tcPr>
          <w:p w14:paraId="04211DD1" w14:textId="737F5652" w:rsidR="004E7F05" w:rsidRPr="00F01A0B" w:rsidRDefault="004E7F05"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Mbetjet e ripunueshme janë sende që hy</w:t>
            </w:r>
            <w:r w:rsidR="0007659B">
              <w:rPr>
                <w:rFonts w:ascii="Times New Roman" w:hAnsi="Times New Roman"/>
                <w:sz w:val="24"/>
                <w:szCs w:val="24"/>
                <w:lang w:val="sq-AL"/>
              </w:rPr>
              <w:t>j</w:t>
            </w:r>
            <w:r w:rsidRPr="00F01A0B">
              <w:rPr>
                <w:rFonts w:ascii="Times New Roman" w:hAnsi="Times New Roman"/>
                <w:sz w:val="24"/>
                <w:szCs w:val="24"/>
                <w:lang w:val="sq-AL"/>
              </w:rPr>
              <w:t>n</w:t>
            </w:r>
            <w:r w:rsidR="0007659B">
              <w:rPr>
                <w:rFonts w:ascii="Times New Roman" w:hAnsi="Times New Roman"/>
                <w:sz w:val="24"/>
                <w:szCs w:val="24"/>
                <w:lang w:val="sq-AL"/>
              </w:rPr>
              <w:t>ë</w:t>
            </w:r>
            <w:r w:rsidRPr="00F01A0B">
              <w:rPr>
                <w:rFonts w:ascii="Times New Roman" w:hAnsi="Times New Roman"/>
                <w:sz w:val="24"/>
                <w:szCs w:val="24"/>
                <w:lang w:val="sq-AL"/>
              </w:rPr>
              <w:t xml:space="preserve"> në qarkullim civil dhe krijojnë të ardhura financiare.</w:t>
            </w:r>
          </w:p>
        </w:tc>
      </w:tr>
      <w:tr w:rsidR="006F36AF" w:rsidRPr="00F01A0B" w14:paraId="36EB9A06" w14:textId="77777777" w:rsidTr="00C24135">
        <w:trPr>
          <w:jc w:val="center"/>
        </w:trPr>
        <w:tc>
          <w:tcPr>
            <w:tcW w:w="625" w:type="dxa"/>
            <w:tcBorders>
              <w:top w:val="single" w:sz="4" w:space="0" w:color="auto"/>
              <w:left w:val="single" w:sz="4" w:space="0" w:color="auto"/>
              <w:bottom w:val="single" w:sz="4" w:space="0" w:color="auto"/>
              <w:right w:val="single" w:sz="4" w:space="0" w:color="auto"/>
            </w:tcBorders>
          </w:tcPr>
          <w:p w14:paraId="5D12F758" w14:textId="6C155FB2" w:rsidR="006F36AF" w:rsidRPr="00F01A0B" w:rsidRDefault="006F36AF"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7.</w:t>
            </w:r>
          </w:p>
        </w:tc>
        <w:tc>
          <w:tcPr>
            <w:tcW w:w="1800" w:type="dxa"/>
            <w:tcBorders>
              <w:top w:val="single" w:sz="4" w:space="0" w:color="auto"/>
              <w:left w:val="single" w:sz="4" w:space="0" w:color="auto"/>
              <w:bottom w:val="single" w:sz="4" w:space="0" w:color="auto"/>
              <w:right w:val="single" w:sz="4" w:space="0" w:color="auto"/>
            </w:tcBorders>
          </w:tcPr>
          <w:p w14:paraId="3BA7DE22" w14:textId="3ECC6F36" w:rsidR="006F36AF" w:rsidRPr="00F01A0B" w:rsidRDefault="006F36AF"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Neni 16 per ndryshimet ne nenin 45</w:t>
            </w:r>
          </w:p>
        </w:tc>
        <w:tc>
          <w:tcPr>
            <w:tcW w:w="5054" w:type="dxa"/>
            <w:tcBorders>
              <w:top w:val="single" w:sz="4" w:space="0" w:color="auto"/>
              <w:left w:val="single" w:sz="4" w:space="0" w:color="auto"/>
              <w:bottom w:val="single" w:sz="4" w:space="0" w:color="auto"/>
              <w:right w:val="single" w:sz="4" w:space="0" w:color="auto"/>
            </w:tcBorders>
          </w:tcPr>
          <w:p w14:paraId="32019F29" w14:textId="43D34235" w:rsidR="006F36AF" w:rsidRPr="00F01A0B" w:rsidRDefault="006F36AF" w:rsidP="00591477">
            <w:pPr>
              <w:spacing w:before="120" w:after="120" w:line="276" w:lineRule="auto"/>
              <w:rPr>
                <w:rFonts w:ascii="Times New Roman" w:eastAsiaTheme="minorHAnsi" w:hAnsi="Times New Roman"/>
                <w:kern w:val="2"/>
                <w:sz w:val="24"/>
                <w:szCs w:val="24"/>
                <w:lang w:val="sq-AL"/>
                <w14:ligatures w14:val="standardContextual"/>
              </w:rPr>
            </w:pPr>
            <w:r w:rsidRPr="00F01A0B">
              <w:rPr>
                <w:rFonts w:ascii="Times New Roman" w:eastAsiaTheme="minorHAnsi" w:hAnsi="Times New Roman"/>
                <w:kern w:val="2"/>
                <w:sz w:val="24"/>
                <w:szCs w:val="24"/>
                <w:lang w:val="sq-AL"/>
                <w14:ligatures w14:val="standardContextual"/>
              </w:rPr>
              <w:t xml:space="preserve">Shtohet pika 8 me këtë përmbajtje: “Të ardhurat nga gjobat për shkeljet e përcaktuara nga ky ligj i kalojnë në masën 60 përqind strukturës që ka verifikuar shkeljen, me qëllim përmirësimin e shërbimit në zbatim të këtij ligji, kurse 40 përqind i kalojnë shtetit. Kalimi i të ardhurave në buxhet bëhet sa herë që kryhen pagesat në bankë, duke respektuar raportin e lartpërmendur.” Shtimi i këtij përcaktimi do të stimulonte tendencat e strukturave përgjegjëse për gjobitje subjektive dhe për arsye që me situatën e sistemit gjyqësor veç do të shtonte problematikat. Ndarja e përfitimit nga gjobat ndërmjet shtetit dhe strukturave përgjegjëse mund të jetë pjesë e programimeve buxhetore për këto struktura dhe jo pjesë e legjislacionit minerar. Kjo shkon në tendencat për shtim të tarifave kundrejt biznesit që u vërejt dhe me VKM nr. 506, datë 1.08.2024 “Për disa ndryshime dhe shtesa në vendimin </w:t>
            </w:r>
            <w:r w:rsidRPr="00F01A0B">
              <w:rPr>
                <w:rFonts w:ascii="Times New Roman" w:eastAsiaTheme="minorHAnsi" w:hAnsi="Times New Roman"/>
                <w:kern w:val="2"/>
                <w:sz w:val="24"/>
                <w:szCs w:val="24"/>
                <w:lang w:val="sq-AL"/>
                <w14:ligatures w14:val="standardContextual"/>
              </w:rPr>
              <w:lastRenderedPageBreak/>
              <w:t>nr.547, datë 9.8.2006, të Këshillit të Ministrave, “Për krijimin e Agjencisë Kombëtare të Burimeve Natyrore” të ndryshuar, e cila ka impaktuar dhe klimën e biznesit në këtë sektor duke ulur numrin e investimeve të reja nga ky perceptim. Nuk vlerësojmë se kjo qasje do të ndihmonte në një monitorim e mbikqyrje më të mirë. Vlerësoj se ky draft me formulimet e tij nuk i plotëson pritshmëritë për të zgjidhur këto problematika.</w:t>
            </w:r>
          </w:p>
        </w:tc>
        <w:tc>
          <w:tcPr>
            <w:tcW w:w="1555" w:type="dxa"/>
            <w:tcBorders>
              <w:top w:val="single" w:sz="4" w:space="0" w:color="auto"/>
              <w:left w:val="single" w:sz="4" w:space="0" w:color="auto"/>
              <w:bottom w:val="single" w:sz="4" w:space="0" w:color="auto"/>
              <w:right w:val="single" w:sz="4" w:space="0" w:color="auto"/>
            </w:tcBorders>
          </w:tcPr>
          <w:p w14:paraId="0343B573" w14:textId="34120318" w:rsidR="006F36AF" w:rsidRPr="00F01A0B" w:rsidRDefault="006F36AF"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lastRenderedPageBreak/>
              <w:t>Shoqata e Investitorëve të huaj në Shqipëri</w:t>
            </w:r>
          </w:p>
        </w:tc>
        <w:tc>
          <w:tcPr>
            <w:tcW w:w="1523" w:type="dxa"/>
            <w:tcBorders>
              <w:top w:val="single" w:sz="4" w:space="0" w:color="auto"/>
              <w:left w:val="single" w:sz="4" w:space="0" w:color="auto"/>
              <w:bottom w:val="single" w:sz="4" w:space="0" w:color="auto"/>
              <w:right w:val="single" w:sz="4" w:space="0" w:color="auto"/>
            </w:tcBorders>
          </w:tcPr>
          <w:p w14:paraId="5794B02D" w14:textId="320D7BD9" w:rsidR="006F36AF" w:rsidRPr="00F01A0B" w:rsidRDefault="006F36AF"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I refuzuar</w:t>
            </w:r>
          </w:p>
        </w:tc>
        <w:tc>
          <w:tcPr>
            <w:tcW w:w="1749" w:type="dxa"/>
            <w:tcBorders>
              <w:top w:val="single" w:sz="4" w:space="0" w:color="auto"/>
              <w:left w:val="single" w:sz="4" w:space="0" w:color="auto"/>
              <w:bottom w:val="single" w:sz="4" w:space="0" w:color="auto"/>
              <w:right w:val="single" w:sz="4" w:space="0" w:color="auto"/>
            </w:tcBorders>
          </w:tcPr>
          <w:p w14:paraId="4A54FC4A" w14:textId="77777777" w:rsidR="006F36AF" w:rsidRPr="00F01A0B" w:rsidRDefault="006F36AF" w:rsidP="00591477">
            <w:pPr>
              <w:pStyle w:val="BodyText"/>
              <w:spacing w:line="276" w:lineRule="auto"/>
              <w:rPr>
                <w:rFonts w:ascii="Times New Roman" w:hAnsi="Times New Roman"/>
                <w:sz w:val="24"/>
                <w:szCs w:val="24"/>
                <w:lang w:val="sq-AL"/>
              </w:rPr>
            </w:pPr>
            <w:r w:rsidRPr="00F01A0B">
              <w:rPr>
                <w:rFonts w:ascii="Times New Roman" w:hAnsi="Times New Roman"/>
                <w:sz w:val="24"/>
                <w:szCs w:val="24"/>
                <w:lang w:val="sq-AL"/>
              </w:rPr>
              <w:t>Masat administrative nga struktura përgjegjëse vendosen pasi është konstatuar se shoqëria nuk ka plotësuar detyrimet e përcaktuara në ligjin minerar.</w:t>
            </w:r>
          </w:p>
          <w:p w14:paraId="7E379F6A" w14:textId="395F6F29" w:rsidR="006F36AF" w:rsidRPr="00F01A0B" w:rsidRDefault="006F36AF" w:rsidP="00591477">
            <w:pPr>
              <w:pStyle w:val="BodyText"/>
              <w:spacing w:line="276" w:lineRule="auto"/>
              <w:jc w:val="both"/>
              <w:rPr>
                <w:rFonts w:ascii="Times New Roman" w:hAnsi="Times New Roman"/>
                <w:sz w:val="24"/>
                <w:szCs w:val="24"/>
                <w:lang w:val="sq-AL"/>
              </w:rPr>
            </w:pPr>
            <w:r w:rsidRPr="00F01A0B">
              <w:rPr>
                <w:rFonts w:ascii="Times New Roman" w:hAnsi="Times New Roman"/>
                <w:sz w:val="24"/>
                <w:szCs w:val="24"/>
                <w:lang w:val="sq-AL"/>
              </w:rPr>
              <w:t xml:space="preserve">Gjithashtu, referuar ligjit, shoqëritë minerare kanë të drejtën e ankimimit të </w:t>
            </w:r>
            <w:r w:rsidRPr="00F01A0B">
              <w:rPr>
                <w:rFonts w:ascii="Times New Roman" w:hAnsi="Times New Roman"/>
                <w:sz w:val="24"/>
                <w:szCs w:val="24"/>
                <w:lang w:val="sq-AL"/>
              </w:rPr>
              <w:lastRenderedPageBreak/>
              <w:t>masës administrative.</w:t>
            </w:r>
          </w:p>
        </w:tc>
      </w:tr>
    </w:tbl>
    <w:p w14:paraId="10EECE81" w14:textId="77777777" w:rsidR="00B855D0" w:rsidRPr="00F01A0B" w:rsidRDefault="00B855D0" w:rsidP="00591477">
      <w:pPr>
        <w:spacing w:line="276" w:lineRule="auto"/>
        <w:ind w:left="360"/>
        <w:jc w:val="both"/>
        <w:rPr>
          <w:rFonts w:ascii="Times New Roman" w:hAnsi="Times New Roman"/>
          <w:i/>
          <w:iCs/>
          <w:sz w:val="24"/>
          <w:szCs w:val="24"/>
          <w:lang w:val="sq-AL"/>
        </w:rPr>
      </w:pPr>
    </w:p>
    <w:p w14:paraId="02CC0354" w14:textId="77777777" w:rsidR="005B6D2B" w:rsidRPr="00F01A0B" w:rsidRDefault="005B6D2B" w:rsidP="00591477">
      <w:pPr>
        <w:spacing w:line="276" w:lineRule="auto"/>
        <w:jc w:val="both"/>
        <w:rPr>
          <w:rFonts w:ascii="Times New Roman" w:hAnsi="Times New Roman"/>
          <w:sz w:val="24"/>
          <w:szCs w:val="24"/>
          <w:lang w:val="sq-AL"/>
        </w:rPr>
      </w:pPr>
    </w:p>
    <w:sectPr w:rsidR="005B6D2B" w:rsidRPr="00F01A0B" w:rsidSect="00C24135">
      <w:pgSz w:w="16840" w:h="11900" w:orient="landscape"/>
      <w:pgMar w:top="1411" w:right="907" w:bottom="1411" w:left="1411"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76D9ED8" w16cex:dateUtc="2024-12-18T14:21:00Z"/>
  <w16cex:commentExtensible w16cex:durableId="1751CA53" w16cex:dateUtc="2024-12-18T14:22:00Z"/>
  <w16cex:commentExtensible w16cex:durableId="0268260C" w16cex:dateUtc="2024-12-18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D43B9F" w16cid:durableId="676D9ED8"/>
  <w16cid:commentId w16cid:paraId="592E670B" w16cid:durableId="1751CA53"/>
  <w16cid:commentId w16cid:paraId="1E99E3D1" w16cid:durableId="026826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218EE" w14:textId="77777777" w:rsidR="00E711F1" w:rsidRDefault="00E711F1" w:rsidP="009553BA">
      <w:r>
        <w:separator/>
      </w:r>
    </w:p>
  </w:endnote>
  <w:endnote w:type="continuationSeparator" w:id="0">
    <w:p w14:paraId="4BC6C62A" w14:textId="77777777" w:rsidR="00E711F1" w:rsidRDefault="00E711F1" w:rsidP="009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2FAEE" w14:textId="77777777" w:rsidR="00E711F1" w:rsidRDefault="00E711F1" w:rsidP="009553BA">
      <w:r>
        <w:separator/>
      </w:r>
    </w:p>
  </w:footnote>
  <w:footnote w:type="continuationSeparator" w:id="0">
    <w:p w14:paraId="5D893D48" w14:textId="77777777" w:rsidR="00E711F1" w:rsidRDefault="00E711F1" w:rsidP="00955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502"/>
    <w:multiLevelType w:val="hybridMultilevel"/>
    <w:tmpl w:val="E828D0FA"/>
    <w:lvl w:ilvl="0" w:tplc="A964CD4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056B3"/>
    <w:multiLevelType w:val="hybridMultilevel"/>
    <w:tmpl w:val="D1228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80EE6"/>
    <w:multiLevelType w:val="hybridMultilevel"/>
    <w:tmpl w:val="B5E48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72608"/>
    <w:multiLevelType w:val="hybridMultilevel"/>
    <w:tmpl w:val="8832500E"/>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5582A"/>
    <w:multiLevelType w:val="hybridMultilevel"/>
    <w:tmpl w:val="F7AAD044"/>
    <w:lvl w:ilvl="0" w:tplc="0409000F">
      <w:start w:val="1"/>
      <w:numFmt w:val="decimal"/>
      <w:lvlText w:val="%1."/>
      <w:lvlJc w:val="left"/>
      <w:pPr>
        <w:ind w:left="1080" w:hanging="360"/>
      </w:pPr>
    </w:lvl>
    <w:lvl w:ilvl="1" w:tplc="53F42ED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5"/>
  </w:num>
  <w:num w:numId="3">
    <w:abstractNumId w:val="7"/>
  </w:num>
  <w:num w:numId="4">
    <w:abstractNumId w:val="4"/>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1163E"/>
    <w:rsid w:val="000144DC"/>
    <w:rsid w:val="00017646"/>
    <w:rsid w:val="00040195"/>
    <w:rsid w:val="0004166D"/>
    <w:rsid w:val="00063E84"/>
    <w:rsid w:val="00072515"/>
    <w:rsid w:val="0007659B"/>
    <w:rsid w:val="00091664"/>
    <w:rsid w:val="000B2589"/>
    <w:rsid w:val="000B7A45"/>
    <w:rsid w:val="000C4A3E"/>
    <w:rsid w:val="000E067D"/>
    <w:rsid w:val="000F3158"/>
    <w:rsid w:val="000F3553"/>
    <w:rsid w:val="000F47E9"/>
    <w:rsid w:val="000F602F"/>
    <w:rsid w:val="001263B7"/>
    <w:rsid w:val="001438AC"/>
    <w:rsid w:val="001556EE"/>
    <w:rsid w:val="00161C01"/>
    <w:rsid w:val="001752F9"/>
    <w:rsid w:val="00175D1D"/>
    <w:rsid w:val="00180497"/>
    <w:rsid w:val="00182909"/>
    <w:rsid w:val="00185C5F"/>
    <w:rsid w:val="00190B72"/>
    <w:rsid w:val="00196392"/>
    <w:rsid w:val="001A228B"/>
    <w:rsid w:val="001B0D9A"/>
    <w:rsid w:val="001B497E"/>
    <w:rsid w:val="001C0182"/>
    <w:rsid w:val="001C589D"/>
    <w:rsid w:val="001D075B"/>
    <w:rsid w:val="00235578"/>
    <w:rsid w:val="00260E60"/>
    <w:rsid w:val="0027304B"/>
    <w:rsid w:val="002972DD"/>
    <w:rsid w:val="002A1AAA"/>
    <w:rsid w:val="002B161B"/>
    <w:rsid w:val="002C2F44"/>
    <w:rsid w:val="002C7E2D"/>
    <w:rsid w:val="002D5C4F"/>
    <w:rsid w:val="002F29C1"/>
    <w:rsid w:val="00303188"/>
    <w:rsid w:val="00332DB4"/>
    <w:rsid w:val="00346443"/>
    <w:rsid w:val="003515F1"/>
    <w:rsid w:val="0037579B"/>
    <w:rsid w:val="00375967"/>
    <w:rsid w:val="0037703A"/>
    <w:rsid w:val="00385956"/>
    <w:rsid w:val="00385C91"/>
    <w:rsid w:val="00394CFC"/>
    <w:rsid w:val="003B4369"/>
    <w:rsid w:val="003D12F3"/>
    <w:rsid w:val="003E593F"/>
    <w:rsid w:val="00416C05"/>
    <w:rsid w:val="004215C0"/>
    <w:rsid w:val="0042167B"/>
    <w:rsid w:val="004343D0"/>
    <w:rsid w:val="00435429"/>
    <w:rsid w:val="00436236"/>
    <w:rsid w:val="00445CC3"/>
    <w:rsid w:val="00447CCB"/>
    <w:rsid w:val="004519D8"/>
    <w:rsid w:val="0045527B"/>
    <w:rsid w:val="00462BE9"/>
    <w:rsid w:val="00476889"/>
    <w:rsid w:val="00496C6F"/>
    <w:rsid w:val="00497261"/>
    <w:rsid w:val="004C711D"/>
    <w:rsid w:val="004D7AA0"/>
    <w:rsid w:val="004E5D7E"/>
    <w:rsid w:val="004E7F05"/>
    <w:rsid w:val="00507ACB"/>
    <w:rsid w:val="00510919"/>
    <w:rsid w:val="0051336A"/>
    <w:rsid w:val="005240D6"/>
    <w:rsid w:val="00577C3B"/>
    <w:rsid w:val="00591477"/>
    <w:rsid w:val="005A5F14"/>
    <w:rsid w:val="005A65AA"/>
    <w:rsid w:val="005B1920"/>
    <w:rsid w:val="005B1B23"/>
    <w:rsid w:val="005B6D2B"/>
    <w:rsid w:val="005C02C0"/>
    <w:rsid w:val="005C4EF2"/>
    <w:rsid w:val="005D4E2F"/>
    <w:rsid w:val="0060297D"/>
    <w:rsid w:val="006179B4"/>
    <w:rsid w:val="00626AE5"/>
    <w:rsid w:val="00627696"/>
    <w:rsid w:val="00636D23"/>
    <w:rsid w:val="00644CF1"/>
    <w:rsid w:val="0065643C"/>
    <w:rsid w:val="006565B0"/>
    <w:rsid w:val="00656BB0"/>
    <w:rsid w:val="006604BE"/>
    <w:rsid w:val="00681C13"/>
    <w:rsid w:val="00683047"/>
    <w:rsid w:val="00693215"/>
    <w:rsid w:val="006B5CF2"/>
    <w:rsid w:val="006D3833"/>
    <w:rsid w:val="006F36AF"/>
    <w:rsid w:val="007043D2"/>
    <w:rsid w:val="00741C60"/>
    <w:rsid w:val="0074484D"/>
    <w:rsid w:val="0074531D"/>
    <w:rsid w:val="00765F3C"/>
    <w:rsid w:val="00767281"/>
    <w:rsid w:val="007755F2"/>
    <w:rsid w:val="007936BA"/>
    <w:rsid w:val="007978AB"/>
    <w:rsid w:val="007A5806"/>
    <w:rsid w:val="007C630B"/>
    <w:rsid w:val="007C6BE9"/>
    <w:rsid w:val="007E1E19"/>
    <w:rsid w:val="007F0918"/>
    <w:rsid w:val="0083101D"/>
    <w:rsid w:val="00833286"/>
    <w:rsid w:val="00833C32"/>
    <w:rsid w:val="00835FB2"/>
    <w:rsid w:val="00836D08"/>
    <w:rsid w:val="00852D05"/>
    <w:rsid w:val="00855CEC"/>
    <w:rsid w:val="00864B36"/>
    <w:rsid w:val="00865310"/>
    <w:rsid w:val="008862BB"/>
    <w:rsid w:val="00887F8B"/>
    <w:rsid w:val="008930F2"/>
    <w:rsid w:val="008A3DC0"/>
    <w:rsid w:val="008B3F36"/>
    <w:rsid w:val="008C7456"/>
    <w:rsid w:val="008D202D"/>
    <w:rsid w:val="008D4F94"/>
    <w:rsid w:val="008E6B76"/>
    <w:rsid w:val="008F44B1"/>
    <w:rsid w:val="0091093C"/>
    <w:rsid w:val="00910D3D"/>
    <w:rsid w:val="00912681"/>
    <w:rsid w:val="00915038"/>
    <w:rsid w:val="0091547D"/>
    <w:rsid w:val="00926417"/>
    <w:rsid w:val="009553BA"/>
    <w:rsid w:val="009602A4"/>
    <w:rsid w:val="00963283"/>
    <w:rsid w:val="00965584"/>
    <w:rsid w:val="00982737"/>
    <w:rsid w:val="009975AF"/>
    <w:rsid w:val="009B696C"/>
    <w:rsid w:val="009B7A7D"/>
    <w:rsid w:val="009C45B3"/>
    <w:rsid w:val="009D4807"/>
    <w:rsid w:val="009D73C1"/>
    <w:rsid w:val="009E3F09"/>
    <w:rsid w:val="009E40AD"/>
    <w:rsid w:val="009E6EA5"/>
    <w:rsid w:val="00A03535"/>
    <w:rsid w:val="00A04234"/>
    <w:rsid w:val="00A05174"/>
    <w:rsid w:val="00A05D5E"/>
    <w:rsid w:val="00A06DA1"/>
    <w:rsid w:val="00A121AB"/>
    <w:rsid w:val="00A16ED5"/>
    <w:rsid w:val="00A23F2A"/>
    <w:rsid w:val="00A3438A"/>
    <w:rsid w:val="00A451F5"/>
    <w:rsid w:val="00A70C10"/>
    <w:rsid w:val="00A873F2"/>
    <w:rsid w:val="00AB3F93"/>
    <w:rsid w:val="00AF3236"/>
    <w:rsid w:val="00AF7BA7"/>
    <w:rsid w:val="00B05725"/>
    <w:rsid w:val="00B102AF"/>
    <w:rsid w:val="00B274E5"/>
    <w:rsid w:val="00B33196"/>
    <w:rsid w:val="00B37B00"/>
    <w:rsid w:val="00B4152B"/>
    <w:rsid w:val="00B46C0F"/>
    <w:rsid w:val="00B5089B"/>
    <w:rsid w:val="00B52A2E"/>
    <w:rsid w:val="00B76CE3"/>
    <w:rsid w:val="00B77529"/>
    <w:rsid w:val="00B855D0"/>
    <w:rsid w:val="00BB0E87"/>
    <w:rsid w:val="00BD68FD"/>
    <w:rsid w:val="00BE1866"/>
    <w:rsid w:val="00BF4391"/>
    <w:rsid w:val="00BF570A"/>
    <w:rsid w:val="00BF774C"/>
    <w:rsid w:val="00C00C8F"/>
    <w:rsid w:val="00C20DD3"/>
    <w:rsid w:val="00C24135"/>
    <w:rsid w:val="00C35401"/>
    <w:rsid w:val="00C43337"/>
    <w:rsid w:val="00C8181B"/>
    <w:rsid w:val="00C85BBC"/>
    <w:rsid w:val="00CA04DD"/>
    <w:rsid w:val="00CA0C10"/>
    <w:rsid w:val="00CA3A91"/>
    <w:rsid w:val="00CC3801"/>
    <w:rsid w:val="00CE0202"/>
    <w:rsid w:val="00CF5FF0"/>
    <w:rsid w:val="00D0226B"/>
    <w:rsid w:val="00D061DA"/>
    <w:rsid w:val="00D174C5"/>
    <w:rsid w:val="00D17B5C"/>
    <w:rsid w:val="00D25C95"/>
    <w:rsid w:val="00D32941"/>
    <w:rsid w:val="00D34D46"/>
    <w:rsid w:val="00D43B48"/>
    <w:rsid w:val="00D44D3E"/>
    <w:rsid w:val="00D450A9"/>
    <w:rsid w:val="00D46120"/>
    <w:rsid w:val="00D472ED"/>
    <w:rsid w:val="00D47F5C"/>
    <w:rsid w:val="00D6009E"/>
    <w:rsid w:val="00D6029F"/>
    <w:rsid w:val="00D67B83"/>
    <w:rsid w:val="00DC0588"/>
    <w:rsid w:val="00DD17EC"/>
    <w:rsid w:val="00DD387B"/>
    <w:rsid w:val="00DD4DB7"/>
    <w:rsid w:val="00DD5D4E"/>
    <w:rsid w:val="00DD6C84"/>
    <w:rsid w:val="00E27F24"/>
    <w:rsid w:val="00E56EDF"/>
    <w:rsid w:val="00E610F3"/>
    <w:rsid w:val="00E711F1"/>
    <w:rsid w:val="00E757D2"/>
    <w:rsid w:val="00EB0243"/>
    <w:rsid w:val="00ED4055"/>
    <w:rsid w:val="00EF0386"/>
    <w:rsid w:val="00F00D75"/>
    <w:rsid w:val="00F01A0B"/>
    <w:rsid w:val="00F03EFF"/>
    <w:rsid w:val="00F10A25"/>
    <w:rsid w:val="00F15746"/>
    <w:rsid w:val="00F27DE5"/>
    <w:rsid w:val="00F36FF0"/>
    <w:rsid w:val="00F45E74"/>
    <w:rsid w:val="00F46035"/>
    <w:rsid w:val="00F46E3A"/>
    <w:rsid w:val="00F51BE6"/>
    <w:rsid w:val="00F534A8"/>
    <w:rsid w:val="00F55C9B"/>
    <w:rsid w:val="00F67805"/>
    <w:rsid w:val="00F8351E"/>
    <w:rsid w:val="00F94494"/>
    <w:rsid w:val="00F97A9A"/>
    <w:rsid w:val="00FA3AE0"/>
    <w:rsid w:val="00FC09CE"/>
    <w:rsid w:val="00FD340E"/>
    <w:rsid w:val="00FD5AFC"/>
    <w:rsid w:val="00FE1FAA"/>
    <w:rsid w:val="00FF23B1"/>
    <w:rsid w:val="00F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CD63"/>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D2B"/>
    <w:rPr>
      <w:rFonts w:ascii="Arial" w:eastAsia="Times New Roman" w:hAnsi="Arial" w:cs="Times New Roman"/>
      <w:sz w:val="22"/>
      <w:szCs w:val="20"/>
      <w:lang w:val="en-GB"/>
    </w:rPr>
  </w:style>
  <w:style w:type="paragraph" w:styleId="Heading1">
    <w:name w:val="heading 1"/>
    <w:basedOn w:val="Normal"/>
    <w:next w:val="Normal"/>
    <w:link w:val="Heading1Char"/>
    <w:uiPriority w:val="9"/>
    <w:qFormat/>
    <w:rsid w:val="00CA0C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A2E"/>
    <w:pPr>
      <w:keepNext/>
      <w:keepLines/>
      <w:tabs>
        <w:tab w:val="left" w:pos="567"/>
      </w:tabs>
      <w:spacing w:before="240" w:after="240"/>
      <w:ind w:left="567" w:hanging="567"/>
      <w:outlineLvl w:val="1"/>
    </w:pPr>
    <w:rPr>
      <w:rFonts w:ascii="Calibri" w:hAnsi="Calibri"/>
      <w:b/>
      <w:bCs/>
      <w:i/>
      <w:sz w:val="24"/>
      <w:szCs w:val="26"/>
    </w:rPr>
  </w:style>
  <w:style w:type="paragraph" w:styleId="Heading3">
    <w:name w:val="heading 3"/>
    <w:basedOn w:val="Normal"/>
    <w:next w:val="Normal"/>
    <w:link w:val="Heading3Char"/>
    <w:uiPriority w:val="9"/>
    <w:semiHidden/>
    <w:unhideWhenUsed/>
    <w:qFormat/>
    <w:rsid w:val="004E7F0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unhideWhenUsed/>
    <w:rsid w:val="00332DB4"/>
    <w:rPr>
      <w:sz w:val="20"/>
    </w:rPr>
  </w:style>
  <w:style w:type="character" w:customStyle="1" w:styleId="CommentTextChar">
    <w:name w:val="Comment Text Char"/>
    <w:basedOn w:val="DefaultParagraphFont"/>
    <w:link w:val="CommentText"/>
    <w:uiPriority w:val="99"/>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character" w:customStyle="1" w:styleId="Heading2Char">
    <w:name w:val="Heading 2 Char"/>
    <w:basedOn w:val="DefaultParagraphFont"/>
    <w:link w:val="Heading2"/>
    <w:uiPriority w:val="9"/>
    <w:rsid w:val="00B52A2E"/>
    <w:rPr>
      <w:rFonts w:ascii="Calibri" w:eastAsia="Times New Roman" w:hAnsi="Calibri" w:cs="Times New Roman"/>
      <w:b/>
      <w:bCs/>
      <w:i/>
      <w:szCs w:val="26"/>
      <w:lang w:val="en-GB"/>
    </w:rPr>
  </w:style>
  <w:style w:type="character" w:styleId="Emphasis">
    <w:name w:val="Emphasis"/>
    <w:basedOn w:val="DefaultParagraphFont"/>
    <w:uiPriority w:val="20"/>
    <w:qFormat/>
    <w:rsid w:val="007E1E19"/>
    <w:rPr>
      <w:i/>
      <w:iCs/>
    </w:rPr>
  </w:style>
  <w:style w:type="paragraph" w:customStyle="1" w:styleId="xmsonormal">
    <w:name w:val="x_msonormal"/>
    <w:basedOn w:val="Normal"/>
    <w:rsid w:val="00A23F2A"/>
    <w:pPr>
      <w:spacing w:before="100" w:beforeAutospacing="1" w:after="100" w:afterAutospacing="1"/>
    </w:pPr>
    <w:rPr>
      <w:rFonts w:ascii="Times New Roman" w:hAnsi="Times New Roman"/>
      <w:sz w:val="24"/>
      <w:szCs w:val="24"/>
      <w:lang w:val="sq-AL" w:eastAsia="sq-AL"/>
    </w:rPr>
  </w:style>
  <w:style w:type="paragraph" w:customStyle="1" w:styleId="Default">
    <w:name w:val="Default"/>
    <w:rsid w:val="0074484D"/>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447CCB"/>
    <w:rPr>
      <w:color w:val="954F72" w:themeColor="followedHyperlink"/>
      <w:u w:val="single"/>
    </w:rPr>
  </w:style>
  <w:style w:type="character" w:customStyle="1" w:styleId="UnresolvedMention2">
    <w:name w:val="Unresolved Mention2"/>
    <w:basedOn w:val="DefaultParagraphFont"/>
    <w:uiPriority w:val="99"/>
    <w:semiHidden/>
    <w:unhideWhenUsed/>
    <w:rsid w:val="00ED4055"/>
    <w:rPr>
      <w:color w:val="605E5C"/>
      <w:shd w:val="clear" w:color="auto" w:fill="E1DFDD"/>
    </w:rPr>
  </w:style>
  <w:style w:type="paragraph" w:styleId="Header">
    <w:name w:val="header"/>
    <w:basedOn w:val="Normal"/>
    <w:link w:val="HeaderChar"/>
    <w:uiPriority w:val="99"/>
    <w:unhideWhenUsed/>
    <w:rsid w:val="009553BA"/>
    <w:pPr>
      <w:tabs>
        <w:tab w:val="center" w:pos="4680"/>
        <w:tab w:val="right" w:pos="9360"/>
      </w:tabs>
    </w:pPr>
  </w:style>
  <w:style w:type="character" w:customStyle="1" w:styleId="HeaderChar">
    <w:name w:val="Header Char"/>
    <w:basedOn w:val="DefaultParagraphFont"/>
    <w:link w:val="Header"/>
    <w:uiPriority w:val="99"/>
    <w:rsid w:val="009553BA"/>
    <w:rPr>
      <w:rFonts w:ascii="Arial" w:eastAsia="Times New Roman" w:hAnsi="Arial" w:cs="Times New Roman"/>
      <w:sz w:val="22"/>
      <w:szCs w:val="20"/>
      <w:lang w:val="en-GB"/>
    </w:rPr>
  </w:style>
  <w:style w:type="paragraph" w:styleId="Footer">
    <w:name w:val="footer"/>
    <w:basedOn w:val="Normal"/>
    <w:link w:val="FooterChar"/>
    <w:uiPriority w:val="99"/>
    <w:unhideWhenUsed/>
    <w:rsid w:val="009553BA"/>
    <w:pPr>
      <w:tabs>
        <w:tab w:val="center" w:pos="4680"/>
        <w:tab w:val="right" w:pos="9360"/>
      </w:tabs>
    </w:pPr>
  </w:style>
  <w:style w:type="character" w:customStyle="1" w:styleId="FooterChar">
    <w:name w:val="Footer Char"/>
    <w:basedOn w:val="DefaultParagraphFont"/>
    <w:link w:val="Footer"/>
    <w:uiPriority w:val="99"/>
    <w:rsid w:val="009553BA"/>
    <w:rPr>
      <w:rFonts w:ascii="Arial" w:eastAsia="Times New Roman" w:hAnsi="Arial" w:cs="Times New Roman"/>
      <w:sz w:val="22"/>
      <w:szCs w:val="20"/>
      <w:lang w:val="en-GB"/>
    </w:rPr>
  </w:style>
  <w:style w:type="paragraph" w:styleId="Revision">
    <w:name w:val="Revision"/>
    <w:hidden/>
    <w:uiPriority w:val="99"/>
    <w:semiHidden/>
    <w:rsid w:val="009553BA"/>
    <w:rPr>
      <w:rFonts w:ascii="Arial" w:eastAsia="Times New Roman" w:hAnsi="Arial" w:cs="Times New Roman"/>
      <w:sz w:val="22"/>
      <w:szCs w:val="20"/>
      <w:lang w:val="en-GB"/>
    </w:rPr>
  </w:style>
  <w:style w:type="character" w:customStyle="1" w:styleId="Heading1Char">
    <w:name w:val="Heading 1 Char"/>
    <w:basedOn w:val="DefaultParagraphFont"/>
    <w:link w:val="Heading1"/>
    <w:uiPriority w:val="9"/>
    <w:rsid w:val="00CA0C10"/>
    <w:rPr>
      <w:rFonts w:asciiTheme="majorHAnsi" w:eastAsiaTheme="majorEastAsia" w:hAnsiTheme="majorHAnsi" w:cstheme="majorBidi"/>
      <w:color w:val="2F5496" w:themeColor="accent1" w:themeShade="BF"/>
      <w:sz w:val="32"/>
      <w:szCs w:val="32"/>
      <w:lang w:val="en-GB"/>
    </w:rPr>
  </w:style>
  <w:style w:type="character" w:customStyle="1" w:styleId="UnresolvedMention3">
    <w:name w:val="Unresolved Mention3"/>
    <w:basedOn w:val="DefaultParagraphFont"/>
    <w:uiPriority w:val="99"/>
    <w:semiHidden/>
    <w:unhideWhenUsed/>
    <w:rsid w:val="002C7E2D"/>
    <w:rPr>
      <w:color w:val="605E5C"/>
      <w:shd w:val="clear" w:color="auto" w:fill="E1DFDD"/>
    </w:rPr>
  </w:style>
  <w:style w:type="paragraph" w:styleId="NoSpacing">
    <w:name w:val="No Spacing"/>
    <w:uiPriority w:val="1"/>
    <w:qFormat/>
    <w:rsid w:val="00B46C0F"/>
    <w:rPr>
      <w:rFonts w:ascii="Arial" w:eastAsia="Times New Roman" w:hAnsi="Arial" w:cs="Times New Roman"/>
      <w:sz w:val="22"/>
      <w:szCs w:val="20"/>
      <w:lang w:val="sq-AL"/>
    </w:rPr>
  </w:style>
  <w:style w:type="character" w:customStyle="1" w:styleId="UnresolvedMention4">
    <w:name w:val="Unresolved Mention4"/>
    <w:basedOn w:val="DefaultParagraphFont"/>
    <w:uiPriority w:val="99"/>
    <w:semiHidden/>
    <w:unhideWhenUsed/>
    <w:rsid w:val="00D34D46"/>
    <w:rPr>
      <w:color w:val="605E5C"/>
      <w:shd w:val="clear" w:color="auto" w:fill="E1DFDD"/>
    </w:rPr>
  </w:style>
  <w:style w:type="character" w:customStyle="1" w:styleId="Heading3Char">
    <w:name w:val="Heading 3 Char"/>
    <w:basedOn w:val="DefaultParagraphFont"/>
    <w:link w:val="Heading3"/>
    <w:uiPriority w:val="9"/>
    <w:semiHidden/>
    <w:rsid w:val="004E7F05"/>
    <w:rPr>
      <w:rFonts w:eastAsiaTheme="majorEastAsia"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20504">
      <w:bodyDiv w:val="1"/>
      <w:marLeft w:val="0"/>
      <w:marRight w:val="0"/>
      <w:marTop w:val="0"/>
      <w:marBottom w:val="0"/>
      <w:divBdr>
        <w:top w:val="none" w:sz="0" w:space="0" w:color="auto"/>
        <w:left w:val="none" w:sz="0" w:space="0" w:color="auto"/>
        <w:bottom w:val="none" w:sz="0" w:space="0" w:color="auto"/>
        <w:right w:val="none" w:sz="0" w:space="0" w:color="auto"/>
      </w:divBdr>
      <w:divsChild>
        <w:div w:id="586236245">
          <w:marLeft w:val="0"/>
          <w:marRight w:val="0"/>
          <w:marTop w:val="0"/>
          <w:marBottom w:val="0"/>
          <w:divBdr>
            <w:top w:val="none" w:sz="0" w:space="0" w:color="auto"/>
            <w:left w:val="none" w:sz="0" w:space="0" w:color="auto"/>
            <w:bottom w:val="none" w:sz="0" w:space="0" w:color="auto"/>
            <w:right w:val="none" w:sz="0" w:space="0" w:color="auto"/>
          </w:divBdr>
        </w:div>
        <w:div w:id="1725982475">
          <w:marLeft w:val="0"/>
          <w:marRight w:val="0"/>
          <w:marTop w:val="0"/>
          <w:marBottom w:val="0"/>
          <w:divBdr>
            <w:top w:val="none" w:sz="0" w:space="0" w:color="auto"/>
            <w:left w:val="none" w:sz="0" w:space="0" w:color="auto"/>
            <w:bottom w:val="none" w:sz="0" w:space="0" w:color="auto"/>
            <w:right w:val="none" w:sz="0" w:space="0" w:color="auto"/>
          </w:divBdr>
        </w:div>
        <w:div w:id="971642764">
          <w:marLeft w:val="0"/>
          <w:marRight w:val="0"/>
          <w:marTop w:val="0"/>
          <w:marBottom w:val="0"/>
          <w:divBdr>
            <w:top w:val="none" w:sz="0" w:space="0" w:color="auto"/>
            <w:left w:val="none" w:sz="0" w:space="0" w:color="auto"/>
            <w:bottom w:val="none" w:sz="0" w:space="0" w:color="auto"/>
            <w:right w:val="none" w:sz="0" w:space="0" w:color="auto"/>
          </w:divBdr>
        </w:div>
        <w:div w:id="1413551603">
          <w:marLeft w:val="0"/>
          <w:marRight w:val="0"/>
          <w:marTop w:val="0"/>
          <w:marBottom w:val="0"/>
          <w:divBdr>
            <w:top w:val="none" w:sz="0" w:space="0" w:color="auto"/>
            <w:left w:val="none" w:sz="0" w:space="0" w:color="auto"/>
            <w:bottom w:val="none" w:sz="0" w:space="0" w:color="auto"/>
            <w:right w:val="none" w:sz="0" w:space="0" w:color="auto"/>
          </w:divBdr>
        </w:div>
      </w:divsChild>
    </w:div>
    <w:div w:id="743256243">
      <w:bodyDiv w:val="1"/>
      <w:marLeft w:val="0"/>
      <w:marRight w:val="0"/>
      <w:marTop w:val="0"/>
      <w:marBottom w:val="0"/>
      <w:divBdr>
        <w:top w:val="none" w:sz="0" w:space="0" w:color="auto"/>
        <w:left w:val="none" w:sz="0" w:space="0" w:color="auto"/>
        <w:bottom w:val="none" w:sz="0" w:space="0" w:color="auto"/>
        <w:right w:val="none" w:sz="0" w:space="0" w:color="auto"/>
      </w:divBdr>
    </w:div>
    <w:div w:id="19365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ma.davidhi@infrastruktura.gov.al" TargetMode="External"/><Relationship Id="rId5" Type="http://schemas.openxmlformats.org/officeDocument/2006/relationships/webSettings" Target="webSettings.xml"/><Relationship Id="rId10" Type="http://schemas.openxmlformats.org/officeDocument/2006/relationships/hyperlink" Target="https://www.konsultimipublik.gov.al/Konsultime/Detaje/794" TargetMode="External"/><Relationship Id="rId4" Type="http://schemas.openxmlformats.org/officeDocument/2006/relationships/settings" Target="settings.xml"/><Relationship Id="rId9" Type="http://schemas.openxmlformats.org/officeDocument/2006/relationships/hyperlink" Target="https://www.konsultimipublik.gov.al/Konsultime/Detaje/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A29F-C194-475E-9AA9-B00BFDF6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Ardena Torollari</cp:lastModifiedBy>
  <cp:revision>7</cp:revision>
  <dcterms:created xsi:type="dcterms:W3CDTF">2024-12-19T10:41:00Z</dcterms:created>
  <dcterms:modified xsi:type="dcterms:W3CDTF">2024-12-19T12:28:00Z</dcterms:modified>
</cp:coreProperties>
</file>