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FCC0" w14:textId="78106E4D" w:rsidR="0006777A" w:rsidRPr="0006777A" w:rsidRDefault="0006777A" w:rsidP="0006777A">
      <w:pPr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bookmarkStart w:id="0" w:name="_Hlk185592083"/>
      <w:r w:rsidRPr="0006777A">
        <w:rPr>
          <w:rFonts w:ascii="Times New Roman" w:hAnsi="Times New Roman"/>
          <w:b/>
          <w:bCs/>
          <w:iCs/>
          <w:noProof/>
          <w:sz w:val="24"/>
          <w:szCs w:val="24"/>
          <w:lang w:val="sq-AL" w:bidi="en-GB"/>
        </w:rPr>
        <w:drawing>
          <wp:anchor distT="0" distB="0" distL="114300" distR="114300" simplePos="0" relativeHeight="251659264" behindDoc="0" locked="0" layoutInCell="1" allowOverlap="1" wp14:anchorId="0FFE51D9" wp14:editId="1002EC9E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5848350" cy="6000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82471377"/>
      <w:r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                                               </w:t>
      </w:r>
      <w:r w:rsidRPr="0006777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REPUBLIKA E SHQIPËRISË</w:t>
      </w:r>
    </w:p>
    <w:p w14:paraId="6DBD3DF2" w14:textId="77777777" w:rsidR="0006777A" w:rsidRPr="0006777A" w:rsidRDefault="0006777A" w:rsidP="0006777A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06777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       MINISTRIA E EKONOMISË, KULTURËS DHE INOVACIONIT</w:t>
      </w:r>
    </w:p>
    <w:bookmarkEnd w:id="1"/>
    <w:p w14:paraId="39923432" w14:textId="77777777" w:rsidR="0006777A" w:rsidRDefault="0006777A" w:rsidP="000D3BB1">
      <w:pPr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</w:p>
    <w:p w14:paraId="3A03105B" w14:textId="530AC61F" w:rsidR="00CE770B" w:rsidRPr="00C27676" w:rsidRDefault="00CE770B" w:rsidP="00CE770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C27676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individual për rezultatin e konsultimit publik për</w:t>
      </w:r>
    </w:p>
    <w:p w14:paraId="1FE13713" w14:textId="66ED72F3" w:rsidR="00CE770B" w:rsidRPr="00C27676" w:rsidRDefault="00A12552" w:rsidP="00CE770B">
      <w:pPr>
        <w:ind w:left="36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12552">
        <w:rPr>
          <w:rFonts w:ascii="Times New Roman" w:hAnsi="Times New Roman"/>
          <w:b/>
          <w:sz w:val="24"/>
          <w:szCs w:val="24"/>
        </w:rPr>
        <w:t>Projektligj</w:t>
      </w:r>
      <w:r>
        <w:rPr>
          <w:rFonts w:ascii="Times New Roman" w:hAnsi="Times New Roman"/>
          <w:b/>
          <w:sz w:val="24"/>
          <w:szCs w:val="24"/>
        </w:rPr>
        <w:t>in</w:t>
      </w:r>
      <w:r w:rsidRPr="00A12552">
        <w:rPr>
          <w:rFonts w:ascii="Times New Roman" w:hAnsi="Times New Roman"/>
          <w:b/>
          <w:sz w:val="24"/>
          <w:szCs w:val="24"/>
        </w:rPr>
        <w:t xml:space="preserve"> “Për njohjen e periudhave të punësimit në institucionet shtetërore, në ish-ndërmarrjet shtetërore, në ish-ndërmarrjet bujqësore dhe në ish-kooperativat bujqësore për efekt pensioni në sistemin e sigurimeve shoqërore”</w:t>
      </w:r>
    </w:p>
    <w:p w14:paraId="19A4301D" w14:textId="77777777" w:rsidR="00E31072" w:rsidRPr="00C27676" w:rsidRDefault="00E31072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4AD6878D" w14:textId="21C7C4B6" w:rsidR="005B6D2B" w:rsidRPr="00C27676" w:rsidRDefault="005B6D2B" w:rsidP="008A6A2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Ref91580073"/>
      <w:r w:rsidRPr="00C27676">
        <w:rPr>
          <w:rFonts w:ascii="Times New Roman" w:hAnsi="Times New Roman"/>
          <w:b/>
          <w:bCs/>
          <w:sz w:val="24"/>
          <w:szCs w:val="24"/>
        </w:rPr>
        <w:t xml:space="preserve">Titulli i </w:t>
      </w:r>
      <w:bookmarkEnd w:id="2"/>
      <w:r w:rsidR="008A6A21" w:rsidRPr="00C27676">
        <w:rPr>
          <w:rFonts w:ascii="Times New Roman" w:hAnsi="Times New Roman"/>
          <w:b/>
          <w:bCs/>
          <w:sz w:val="24"/>
          <w:szCs w:val="24"/>
        </w:rPr>
        <w:t>projek</w:t>
      </w:r>
      <w:r w:rsidR="00811B78" w:rsidRPr="00C27676">
        <w:rPr>
          <w:rFonts w:ascii="Times New Roman" w:hAnsi="Times New Roman"/>
          <w:b/>
          <w:bCs/>
          <w:sz w:val="24"/>
          <w:szCs w:val="24"/>
        </w:rPr>
        <w:t>t</w:t>
      </w:r>
      <w:r w:rsidR="008A6A21" w:rsidRPr="00C27676">
        <w:rPr>
          <w:rFonts w:ascii="Times New Roman" w:hAnsi="Times New Roman"/>
          <w:b/>
          <w:bCs/>
          <w:sz w:val="24"/>
          <w:szCs w:val="24"/>
        </w:rPr>
        <w:t>ligji</w:t>
      </w:r>
      <w:r w:rsidR="00587235">
        <w:rPr>
          <w:rFonts w:ascii="Times New Roman" w:hAnsi="Times New Roman"/>
          <w:b/>
          <w:bCs/>
          <w:sz w:val="24"/>
          <w:szCs w:val="24"/>
        </w:rPr>
        <w:t>t</w:t>
      </w:r>
    </w:p>
    <w:p w14:paraId="33A13EE3" w14:textId="537DF25D" w:rsidR="00A121AB" w:rsidRPr="00C27676" w:rsidRDefault="00A12552" w:rsidP="00A1255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12552">
        <w:rPr>
          <w:rFonts w:ascii="Times New Roman" w:hAnsi="Times New Roman"/>
          <w:sz w:val="24"/>
          <w:szCs w:val="24"/>
        </w:rPr>
        <w:t xml:space="preserve"> “Për njohjen e periudhave të punësimit në institucionet shtetërore, në ish-ndërmarrjet shtetërore, në ish-ndërmarrjet bujqësore dhe në ish-kooperativat bujqësore për efekt pensioni në sistemin e sigurimeve shoqërore”</w:t>
      </w:r>
      <w:r w:rsidR="00C3212D" w:rsidRPr="00A12552"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14:paraId="4BF650F9" w14:textId="77777777" w:rsidR="00CE770B" w:rsidRPr="00C27676" w:rsidRDefault="00CE770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922C54" w14:textId="1CC0177A" w:rsidR="008A6A21" w:rsidRPr="000D3BB1" w:rsidRDefault="008A6A21" w:rsidP="00D2345D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C276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D2B" w:rsidRPr="00C27676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37EB3D8B" w14:textId="64E2F3A1" w:rsidR="007755F2" w:rsidRPr="00C27676" w:rsidRDefault="00D2345D" w:rsidP="00EB650F">
      <w:pPr>
        <w:jc w:val="both"/>
        <w:rPr>
          <w:rFonts w:ascii="Times New Roman" w:hAnsi="Times New Roman"/>
          <w:iCs/>
          <w:sz w:val="24"/>
          <w:szCs w:val="24"/>
        </w:rPr>
      </w:pPr>
      <w:r w:rsidRPr="00C27676">
        <w:rPr>
          <w:rFonts w:ascii="Times New Roman" w:hAnsi="Times New Roman"/>
          <w:iCs/>
          <w:sz w:val="24"/>
          <w:szCs w:val="24"/>
        </w:rPr>
        <w:t>Procesi i konsultimit filloi me publikimin</w:t>
      </w:r>
      <w:r w:rsidR="00587235" w:rsidRPr="00E13A72">
        <w:rPr>
          <w:rFonts w:ascii="Times New Roman" w:hAnsi="Times New Roman"/>
          <w:sz w:val="24"/>
          <w:szCs w:val="24"/>
        </w:rPr>
        <w:t xml:space="preserve"> në portalin e Regjistrit Elektronik për Njoftimet dhe Konsultimet Publike</w:t>
      </w:r>
      <w:r w:rsidR="00587235">
        <w:rPr>
          <w:rFonts w:ascii="Times New Roman" w:hAnsi="Times New Roman"/>
          <w:sz w:val="24"/>
          <w:szCs w:val="24"/>
        </w:rPr>
        <w:t xml:space="preserve"> </w:t>
      </w:r>
      <w:r w:rsidR="00685D4F">
        <w:rPr>
          <w:rFonts w:ascii="Times New Roman" w:hAnsi="Times New Roman"/>
          <w:sz w:val="24"/>
          <w:szCs w:val="24"/>
        </w:rPr>
        <w:t>i</w:t>
      </w:r>
      <w:r w:rsidR="00587235">
        <w:rPr>
          <w:rFonts w:ascii="Times New Roman" w:hAnsi="Times New Roman"/>
          <w:sz w:val="24"/>
          <w:szCs w:val="24"/>
        </w:rPr>
        <w:t xml:space="preserve"> cili </w:t>
      </w:r>
      <w:r w:rsidR="00587235" w:rsidRPr="00E13A72">
        <w:rPr>
          <w:rFonts w:ascii="Times New Roman" w:hAnsi="Times New Roman"/>
          <w:sz w:val="24"/>
          <w:szCs w:val="24"/>
        </w:rPr>
        <w:t>ka</w:t>
      </w:r>
      <w:r w:rsidR="00587235">
        <w:rPr>
          <w:rFonts w:ascii="Times New Roman" w:hAnsi="Times New Roman"/>
          <w:sz w:val="24"/>
          <w:szCs w:val="24"/>
        </w:rPr>
        <w:t xml:space="preserve"> </w:t>
      </w:r>
      <w:r w:rsidR="00587235" w:rsidRPr="00E13A72">
        <w:rPr>
          <w:rFonts w:ascii="Times New Roman" w:hAnsi="Times New Roman"/>
          <w:sz w:val="24"/>
          <w:szCs w:val="24"/>
        </w:rPr>
        <w:t>zgjatur 20 ditë pune</w:t>
      </w:r>
      <w:r w:rsidR="00587235">
        <w:rPr>
          <w:rFonts w:ascii="Times New Roman" w:hAnsi="Times New Roman"/>
          <w:iCs/>
          <w:sz w:val="24"/>
          <w:szCs w:val="24"/>
        </w:rPr>
        <w:t xml:space="preserve">, nga data </w:t>
      </w:r>
      <w:r w:rsidR="00A12552" w:rsidRPr="00A12552">
        <w:rPr>
          <w:rFonts w:ascii="Times New Roman" w:hAnsi="Times New Roman"/>
          <w:iCs/>
          <w:sz w:val="24"/>
          <w:szCs w:val="24"/>
        </w:rPr>
        <w:t>18.10.2024 d</w:t>
      </w:r>
      <w:r w:rsidR="00A12552">
        <w:rPr>
          <w:rFonts w:ascii="Times New Roman" w:hAnsi="Times New Roman"/>
          <w:iCs/>
          <w:sz w:val="24"/>
          <w:szCs w:val="24"/>
        </w:rPr>
        <w:t xml:space="preserve">eri </w:t>
      </w:r>
      <w:r w:rsidR="00A12552" w:rsidRPr="00A12552">
        <w:rPr>
          <w:rFonts w:ascii="Times New Roman" w:hAnsi="Times New Roman"/>
          <w:iCs/>
          <w:sz w:val="24"/>
          <w:szCs w:val="24"/>
        </w:rPr>
        <w:t xml:space="preserve">në </w:t>
      </w:r>
      <w:r w:rsidR="00587235">
        <w:rPr>
          <w:rFonts w:ascii="Times New Roman" w:hAnsi="Times New Roman"/>
          <w:iCs/>
          <w:sz w:val="24"/>
          <w:szCs w:val="24"/>
        </w:rPr>
        <w:t>dat</w:t>
      </w:r>
      <w:r w:rsidR="00685D4F">
        <w:rPr>
          <w:rFonts w:ascii="Times New Roman" w:hAnsi="Times New Roman"/>
          <w:iCs/>
          <w:sz w:val="24"/>
          <w:szCs w:val="24"/>
        </w:rPr>
        <w:t>ë</w:t>
      </w:r>
      <w:r w:rsidR="00587235">
        <w:rPr>
          <w:rFonts w:ascii="Times New Roman" w:hAnsi="Times New Roman"/>
          <w:iCs/>
          <w:sz w:val="24"/>
          <w:szCs w:val="24"/>
        </w:rPr>
        <w:t xml:space="preserve">n </w:t>
      </w:r>
      <w:r w:rsidR="00A12552" w:rsidRPr="00A12552">
        <w:rPr>
          <w:rFonts w:ascii="Times New Roman" w:hAnsi="Times New Roman"/>
          <w:iCs/>
          <w:sz w:val="24"/>
          <w:szCs w:val="24"/>
        </w:rPr>
        <w:t>15.11.2024</w:t>
      </w:r>
      <w:r w:rsidR="00587235">
        <w:rPr>
          <w:rFonts w:ascii="Times New Roman" w:hAnsi="Times New Roman"/>
          <w:iCs/>
          <w:sz w:val="24"/>
          <w:szCs w:val="24"/>
        </w:rPr>
        <w:t>.</w:t>
      </w:r>
    </w:p>
    <w:p w14:paraId="48A32DCC" w14:textId="77777777" w:rsidR="00D2345D" w:rsidRPr="00C27676" w:rsidRDefault="00D2345D" w:rsidP="00EB650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6A4C534" w14:textId="77777777" w:rsidR="005B6D2B" w:rsidRPr="00C27676" w:rsidRDefault="005B6D2B" w:rsidP="008A6A2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27676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28D603DC" w14:textId="6843F919" w:rsidR="00EB650F" w:rsidRPr="00C27676" w:rsidRDefault="00EB650F" w:rsidP="00EB650F">
      <w:pPr>
        <w:jc w:val="both"/>
        <w:rPr>
          <w:rFonts w:ascii="Times New Roman" w:hAnsi="Times New Roman"/>
          <w:sz w:val="24"/>
          <w:szCs w:val="24"/>
        </w:rPr>
      </w:pPr>
      <w:r w:rsidRPr="00C27676">
        <w:rPr>
          <w:rFonts w:ascii="Times New Roman" w:hAnsi="Times New Roman"/>
          <w:sz w:val="24"/>
          <w:szCs w:val="24"/>
        </w:rPr>
        <w:t>Metodat e konsultimit të përdorura për Projektligjin “</w:t>
      </w:r>
      <w:r w:rsidR="00D04DEA" w:rsidRPr="00A12552">
        <w:rPr>
          <w:rFonts w:ascii="Times New Roman" w:hAnsi="Times New Roman"/>
          <w:sz w:val="24"/>
          <w:szCs w:val="24"/>
        </w:rPr>
        <w:t>Për njohjen e periudhave të punësimit në institucionet shtetërore, në ish-ndërmarrjet shtetërore, në ish-ndërmarrjet bujqësore dhe në ish-kooperativat bujqësore për efekt pensioni në sistemin e sigurimeve shoqërore</w:t>
      </w:r>
      <w:r w:rsidRPr="00C27676">
        <w:rPr>
          <w:rFonts w:ascii="Times New Roman" w:hAnsi="Times New Roman"/>
          <w:sz w:val="24"/>
          <w:szCs w:val="24"/>
        </w:rPr>
        <w:t>”, jan</w:t>
      </w:r>
      <w:r w:rsidR="00125234" w:rsidRPr="00C27676">
        <w:rPr>
          <w:rFonts w:ascii="Times New Roman" w:hAnsi="Times New Roman"/>
          <w:sz w:val="24"/>
          <w:szCs w:val="24"/>
        </w:rPr>
        <w:t>ë</w:t>
      </w:r>
      <w:r w:rsidRPr="00C27676">
        <w:rPr>
          <w:rFonts w:ascii="Times New Roman" w:hAnsi="Times New Roman"/>
          <w:sz w:val="24"/>
          <w:szCs w:val="24"/>
        </w:rPr>
        <w:t xml:space="preserve"> si më</w:t>
      </w:r>
      <w:r w:rsidR="00125234" w:rsidRPr="00C27676">
        <w:rPr>
          <w:rFonts w:ascii="Times New Roman" w:hAnsi="Times New Roman"/>
          <w:sz w:val="24"/>
          <w:szCs w:val="24"/>
        </w:rPr>
        <w:t xml:space="preserve"> </w:t>
      </w:r>
      <w:r w:rsidRPr="00C27676">
        <w:rPr>
          <w:rFonts w:ascii="Times New Roman" w:hAnsi="Times New Roman"/>
          <w:sz w:val="24"/>
          <w:szCs w:val="24"/>
        </w:rPr>
        <w:t>poshtë vijon:</w:t>
      </w:r>
    </w:p>
    <w:p w14:paraId="518365C6" w14:textId="77777777" w:rsidR="008A6A21" w:rsidRPr="00C27676" w:rsidRDefault="008A6A21" w:rsidP="008A6A21">
      <w:pPr>
        <w:rPr>
          <w:rFonts w:ascii="Times New Roman" w:hAnsi="Times New Roman"/>
          <w:b/>
          <w:iCs/>
          <w:sz w:val="24"/>
          <w:szCs w:val="24"/>
        </w:rPr>
      </w:pPr>
    </w:p>
    <w:p w14:paraId="7D718C59" w14:textId="77777777" w:rsidR="00844807" w:rsidRDefault="00811B78" w:rsidP="000F2C44">
      <w:pPr>
        <w:jc w:val="both"/>
        <w:rPr>
          <w:rFonts w:ascii="Times New Roman" w:hAnsi="Times New Roman"/>
          <w:iCs/>
          <w:sz w:val="24"/>
          <w:szCs w:val="24"/>
        </w:rPr>
      </w:pPr>
      <w:r w:rsidRPr="00C27676">
        <w:rPr>
          <w:rFonts w:ascii="Times New Roman" w:hAnsi="Times New Roman"/>
          <w:b/>
          <w:iCs/>
          <w:sz w:val="24"/>
          <w:szCs w:val="24"/>
        </w:rPr>
        <w:t>Publikimi në Regjistrin Elektronik për Njoftimet dhe Konsultimet P</w:t>
      </w:r>
      <w:r w:rsidR="00EB650F" w:rsidRPr="00C27676">
        <w:rPr>
          <w:rFonts w:ascii="Times New Roman" w:hAnsi="Times New Roman"/>
          <w:b/>
          <w:iCs/>
          <w:sz w:val="24"/>
          <w:szCs w:val="24"/>
        </w:rPr>
        <w:t>ublike</w:t>
      </w:r>
      <w:r w:rsidR="00EB650F" w:rsidRPr="00C27676">
        <w:rPr>
          <w:rFonts w:ascii="Times New Roman" w:hAnsi="Times New Roman"/>
          <w:iCs/>
          <w:sz w:val="24"/>
          <w:szCs w:val="24"/>
        </w:rPr>
        <w:t xml:space="preserve"> në linkun</w:t>
      </w:r>
      <w:r w:rsidR="008A6A21" w:rsidRPr="00C27676">
        <w:rPr>
          <w:rFonts w:ascii="Times New Roman" w:hAnsi="Times New Roman"/>
          <w:iCs/>
          <w:sz w:val="24"/>
          <w:szCs w:val="24"/>
        </w:rPr>
        <w:t xml:space="preserve"> </w:t>
      </w:r>
      <w:hyperlink r:id="rId9" w:history="1">
        <w:r w:rsidR="00D04DEA" w:rsidRPr="003532A4">
          <w:rPr>
            <w:rStyle w:val="Hyperlink"/>
          </w:rPr>
          <w:t>https://konsultimipublik.gov.al/Konsultime/Detaje/787 3.4.2023</w:t>
        </w:r>
      </w:hyperlink>
      <w:r w:rsidR="006C5223" w:rsidRPr="00C27676">
        <w:rPr>
          <w:rFonts w:ascii="Times New Roman" w:hAnsi="Times New Roman"/>
          <w:iCs/>
          <w:sz w:val="24"/>
          <w:szCs w:val="24"/>
        </w:rPr>
        <w:t>.</w:t>
      </w:r>
      <w:r w:rsidR="008A6A21" w:rsidRPr="00C27676">
        <w:rPr>
          <w:rFonts w:ascii="Times New Roman" w:hAnsi="Times New Roman"/>
          <w:iCs/>
          <w:sz w:val="24"/>
          <w:szCs w:val="24"/>
        </w:rPr>
        <w:t xml:space="preserve"> </w:t>
      </w:r>
    </w:p>
    <w:p w14:paraId="38E44CB9" w14:textId="08221B76" w:rsidR="00EB650F" w:rsidRPr="00C27676" w:rsidRDefault="0027148E" w:rsidP="000F2C44">
      <w:pPr>
        <w:jc w:val="both"/>
        <w:rPr>
          <w:rFonts w:ascii="Times New Roman" w:hAnsi="Times New Roman"/>
          <w:iCs/>
          <w:sz w:val="24"/>
          <w:szCs w:val="24"/>
        </w:rPr>
      </w:pPr>
      <w:r w:rsidRPr="00C27676">
        <w:rPr>
          <w:rFonts w:ascii="Times New Roman" w:hAnsi="Times New Roman"/>
          <w:sz w:val="24"/>
          <w:szCs w:val="24"/>
        </w:rPr>
        <w:t>N</w:t>
      </w:r>
      <w:r w:rsidR="00CC2B1A">
        <w:rPr>
          <w:rFonts w:ascii="Times New Roman" w:hAnsi="Times New Roman"/>
          <w:sz w:val="24"/>
          <w:szCs w:val="24"/>
        </w:rPr>
        <w:t>ë</w:t>
      </w:r>
      <w:r w:rsidRPr="00C27676">
        <w:rPr>
          <w:rFonts w:ascii="Times New Roman" w:hAnsi="Times New Roman"/>
          <w:sz w:val="24"/>
          <w:szCs w:val="24"/>
        </w:rPr>
        <w:t xml:space="preserve"> regjist</w:t>
      </w:r>
      <w:r w:rsidR="00CC2B1A">
        <w:rPr>
          <w:rFonts w:ascii="Times New Roman" w:hAnsi="Times New Roman"/>
          <w:sz w:val="24"/>
          <w:szCs w:val="24"/>
        </w:rPr>
        <w:t>ë</w:t>
      </w:r>
      <w:r w:rsidRPr="00C27676">
        <w:rPr>
          <w:rFonts w:ascii="Times New Roman" w:hAnsi="Times New Roman"/>
          <w:sz w:val="24"/>
          <w:szCs w:val="24"/>
        </w:rPr>
        <w:t>r kan</w:t>
      </w:r>
      <w:r w:rsidR="00CC2B1A">
        <w:rPr>
          <w:rFonts w:ascii="Times New Roman" w:hAnsi="Times New Roman"/>
          <w:sz w:val="24"/>
          <w:szCs w:val="24"/>
        </w:rPr>
        <w:t>ë</w:t>
      </w:r>
      <w:r w:rsidRPr="00C27676">
        <w:rPr>
          <w:rFonts w:ascii="Times New Roman" w:hAnsi="Times New Roman"/>
          <w:sz w:val="24"/>
          <w:szCs w:val="24"/>
        </w:rPr>
        <w:t xml:space="preserve"> ardhur </w:t>
      </w:r>
      <w:r w:rsidR="00D04DEA">
        <w:rPr>
          <w:rFonts w:ascii="Times New Roman" w:hAnsi="Times New Roman"/>
          <w:sz w:val="24"/>
          <w:szCs w:val="24"/>
        </w:rPr>
        <w:t xml:space="preserve">tre </w:t>
      </w:r>
      <w:r w:rsidRPr="00C27676">
        <w:rPr>
          <w:rFonts w:ascii="Times New Roman" w:hAnsi="Times New Roman"/>
          <w:sz w:val="24"/>
          <w:szCs w:val="24"/>
        </w:rPr>
        <w:t>komente</w:t>
      </w:r>
      <w:r w:rsidR="000F2C44" w:rsidRPr="00C27676">
        <w:rPr>
          <w:rFonts w:ascii="Times New Roman" w:hAnsi="Times New Roman"/>
          <w:sz w:val="24"/>
          <w:szCs w:val="24"/>
        </w:rPr>
        <w:t>.</w:t>
      </w:r>
    </w:p>
    <w:p w14:paraId="6A053083" w14:textId="77777777" w:rsidR="00332DB4" w:rsidRPr="00C27676" w:rsidRDefault="00332DB4" w:rsidP="000D3BB1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6710BF0" w14:textId="6E8629B4" w:rsidR="000D3BB1" w:rsidRDefault="000D3BB1" w:rsidP="000D3BB1">
      <w:pPr>
        <w:pStyle w:val="ListParagraph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 w:rsidRPr="000D3BB1">
        <w:rPr>
          <w:rFonts w:ascii="Times New Roman" w:hAnsi="Times New Roman"/>
          <w:b/>
          <w:sz w:val="24"/>
          <w:szCs w:val="24"/>
        </w:rPr>
        <w:t>Pal</w:t>
      </w:r>
      <w:r>
        <w:rPr>
          <w:rFonts w:ascii="Times New Roman" w:hAnsi="Times New Roman"/>
          <w:b/>
          <w:sz w:val="24"/>
          <w:szCs w:val="24"/>
        </w:rPr>
        <w:t>ë</w:t>
      </w:r>
      <w:r w:rsidRPr="000D3BB1">
        <w:rPr>
          <w:rFonts w:ascii="Times New Roman" w:hAnsi="Times New Roman"/>
          <w:b/>
          <w:sz w:val="24"/>
          <w:szCs w:val="24"/>
        </w:rPr>
        <w:t>t e interesuara</w:t>
      </w:r>
      <w:r w:rsidRPr="000D3BB1">
        <w:rPr>
          <w:color w:val="000000"/>
          <w:sz w:val="27"/>
          <w:szCs w:val="27"/>
        </w:rPr>
        <w:t xml:space="preserve"> </w:t>
      </w:r>
    </w:p>
    <w:p w14:paraId="014306F2" w14:textId="329B2F44" w:rsidR="00CC2B1A" w:rsidRPr="000D3BB1" w:rsidRDefault="000D3BB1" w:rsidP="000D3BB1">
      <w:pPr>
        <w:pStyle w:val="ListParagraph"/>
        <w:ind w:left="0" w:firstLine="0"/>
        <w:jc w:val="both"/>
        <w:rPr>
          <w:color w:val="000000"/>
          <w:sz w:val="27"/>
          <w:szCs w:val="27"/>
        </w:rPr>
      </w:pPr>
      <w:r w:rsidRPr="000D3BB1">
        <w:rPr>
          <w:rFonts w:ascii="Times New Roman" w:hAnsi="Times New Roman"/>
          <w:color w:val="000000"/>
          <w:sz w:val="24"/>
          <w:szCs w:val="24"/>
        </w:rPr>
        <w:t>Për hartimin e këtij projekt akti kanë kontribuar Instituti i Sigurimeve Shoqërore dhe Ministria e Ekonomisë, Kulturës dhe Inovacionit.</w:t>
      </w:r>
    </w:p>
    <w:p w14:paraId="324185A6" w14:textId="77777777" w:rsidR="00CC2B1A" w:rsidRDefault="00CC2B1A" w:rsidP="007B1063">
      <w:pPr>
        <w:jc w:val="both"/>
        <w:rPr>
          <w:rFonts w:ascii="Times New Roman" w:hAnsi="Times New Roman"/>
          <w:b/>
          <w:sz w:val="24"/>
          <w:szCs w:val="24"/>
        </w:rPr>
      </w:pPr>
    </w:p>
    <w:p w14:paraId="1CB7B5B3" w14:textId="77777777" w:rsidR="00CC2B1A" w:rsidRDefault="00CC2B1A" w:rsidP="007B1063">
      <w:pPr>
        <w:jc w:val="both"/>
        <w:rPr>
          <w:rFonts w:ascii="Times New Roman" w:hAnsi="Times New Roman"/>
          <w:b/>
          <w:sz w:val="24"/>
          <w:szCs w:val="24"/>
        </w:rPr>
      </w:pPr>
    </w:p>
    <w:p w14:paraId="245A6633" w14:textId="081F44B3" w:rsidR="00587235" w:rsidRPr="000D3BB1" w:rsidRDefault="00CC2B1A" w:rsidP="000D3BB1">
      <w:pPr>
        <w:jc w:val="both"/>
        <w:rPr>
          <w:rFonts w:ascii="Times New Roman" w:hAnsi="Times New Roman"/>
          <w:b/>
          <w:sz w:val="24"/>
          <w:szCs w:val="24"/>
        </w:rPr>
      </w:pPr>
      <w:r w:rsidRPr="00CC2B1A">
        <w:rPr>
          <w:rFonts w:ascii="Times New Roman" w:hAnsi="Times New Roman"/>
          <w:b/>
          <w:sz w:val="24"/>
          <w:szCs w:val="24"/>
        </w:rPr>
        <w:lastRenderedPageBreak/>
        <w:t>Pasqyra e komenteve të pranuara me arsyetimin e komenteve të pranuara/ refuzuara</w:t>
      </w:r>
    </w:p>
    <w:tbl>
      <w:tblPr>
        <w:tblStyle w:val="TableGrid"/>
        <w:tblpPr w:leftFromText="180" w:rightFromText="180" w:vertAnchor="page" w:horzAnchor="margin" w:tblpXSpec="center" w:tblpY="2074"/>
        <w:tblW w:w="5063" w:type="pct"/>
        <w:tblLook w:val="04A0" w:firstRow="1" w:lastRow="0" w:firstColumn="1" w:lastColumn="0" w:noHBand="0" w:noVBand="1"/>
      </w:tblPr>
      <w:tblGrid>
        <w:gridCol w:w="1350"/>
        <w:gridCol w:w="2073"/>
        <w:gridCol w:w="1459"/>
        <w:gridCol w:w="1885"/>
        <w:gridCol w:w="2380"/>
      </w:tblGrid>
      <w:tr w:rsidR="00685D4F" w:rsidRPr="00C27676" w14:paraId="5FA52E9F" w14:textId="77777777" w:rsidTr="00560DE2">
        <w:trPr>
          <w:trHeight w:val="730"/>
        </w:trPr>
        <w:tc>
          <w:tcPr>
            <w:tcW w:w="452" w:type="pct"/>
          </w:tcPr>
          <w:p w14:paraId="79E17DEA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7676">
              <w:rPr>
                <w:rFonts w:ascii="Times New Roman" w:hAnsi="Times New Roman"/>
                <w:b/>
                <w:sz w:val="24"/>
                <w:szCs w:val="24"/>
              </w:rPr>
              <w:t xml:space="preserve">Çështja e adresuar </w:t>
            </w:r>
          </w:p>
        </w:tc>
        <w:tc>
          <w:tcPr>
            <w:tcW w:w="1205" w:type="pct"/>
          </w:tcPr>
          <w:p w14:paraId="5AA882D3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nb-NO"/>
              </w:rPr>
            </w:pPr>
            <w:r w:rsidRPr="00C27676">
              <w:rPr>
                <w:rFonts w:ascii="Times New Roman" w:hAnsi="Times New Roman"/>
                <w:b/>
                <w:sz w:val="24"/>
                <w:szCs w:val="24"/>
                <w:lang w:val="nb-NO"/>
              </w:rPr>
              <w:t xml:space="preserve">Komentet për çështje me rëndësi </w:t>
            </w:r>
          </w:p>
        </w:tc>
        <w:tc>
          <w:tcPr>
            <w:tcW w:w="869" w:type="pct"/>
          </w:tcPr>
          <w:p w14:paraId="0DAFCC92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2767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Palët e interesuara </w:t>
            </w:r>
          </w:p>
        </w:tc>
        <w:tc>
          <w:tcPr>
            <w:tcW w:w="1102" w:type="pct"/>
          </w:tcPr>
          <w:p w14:paraId="2C47B071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2767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Vendimi</w:t>
            </w:r>
          </w:p>
        </w:tc>
        <w:tc>
          <w:tcPr>
            <w:tcW w:w="1372" w:type="pct"/>
          </w:tcPr>
          <w:p w14:paraId="5548A9C1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2767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Argumentet</w:t>
            </w:r>
          </w:p>
        </w:tc>
      </w:tr>
      <w:tr w:rsidR="00685D4F" w:rsidRPr="00C27676" w14:paraId="059741A5" w14:textId="77777777" w:rsidTr="00560DE2">
        <w:trPr>
          <w:trHeight w:val="1499"/>
        </w:trPr>
        <w:tc>
          <w:tcPr>
            <w:tcW w:w="452" w:type="pct"/>
          </w:tcPr>
          <w:p w14:paraId="5EFA7DF9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C27676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Neni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6 i</w:t>
            </w:r>
            <w:r w:rsidRPr="00C27676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projektligjit</w:t>
            </w:r>
          </w:p>
        </w:tc>
        <w:tc>
          <w:tcPr>
            <w:tcW w:w="1205" w:type="pct"/>
          </w:tcPr>
          <w:p w14:paraId="4ABFAF18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864058">
              <w:rPr>
                <w:rFonts w:ascii="Times New Roman" w:hAnsi="Times New Roman"/>
                <w:color w:val="000000"/>
                <w:sz w:val="24"/>
                <w:szCs w:val="24"/>
              </w:rPr>
              <w:t>ë bëhet një shtesë në nenin 6/1, pikë a, për personat që kanë filluar punë para moshës 18 vjeç dhe e kanë të dokumentuar. Duhet të njihet si periudhë pune për efekt të vjetërësisë. Kjo, pasi ka shumë individë që kanë filluar punë para moshës 18 vjeç, dhe kjo dispozitë i penalizon. Për rrjedhojë, duhet të bëhet një shtesë që të njihet kjo periudhë, por të jetë e dokumentuar me librezë pune ose dokument tjetër.</w:t>
            </w:r>
            <w:r w:rsidRPr="0086405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869" w:type="pct"/>
          </w:tcPr>
          <w:p w14:paraId="36AD0C4D" w14:textId="55163A9A" w:rsidR="00685D4F" w:rsidRPr="00C27676" w:rsidRDefault="00181D0E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Qytetar</w:t>
            </w:r>
          </w:p>
        </w:tc>
        <w:tc>
          <w:tcPr>
            <w:tcW w:w="1102" w:type="pct"/>
          </w:tcPr>
          <w:p w14:paraId="27BDC4FC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2767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Komenti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</w:t>
            </w:r>
            <w:r w:rsidRPr="00C2767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 pranua  </w:t>
            </w:r>
          </w:p>
        </w:tc>
        <w:tc>
          <w:tcPr>
            <w:tcW w:w="1372" w:type="pct"/>
          </w:tcPr>
          <w:p w14:paraId="363AB750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64058">
              <w:rPr>
                <w:rFonts w:ascii="Times New Roman" w:hAnsi="Times New Roman"/>
                <w:sz w:val="24"/>
                <w:szCs w:val="24"/>
                <w:lang w:val="it-IT"/>
              </w:rPr>
              <w:t>Sqarojmë se, ky projektligj nuk i heq të drejtat e njohjes së periudhave të punës për ata që e kanë të dokumentuar punën para moshës 18 vjeç, por e vendos si kusht moshën mbi 18 vjeç, për individët që kanë probleme në dokumentacion, përkatësisht individët që kanë punuar në institucionet dhe në ish-ndërmarrjet shtetërore deri në datën e hyrjes në fuqi  të ligjit nr. 7703/1993, datë 1.10.1993, në ish-ndërmarrjet bujqësore deri më datën e hyrjes në fuqi të VKM nr. 452, datë 17.10.1992 “Për ristrukturimin e Ndërmarrjeve Bujqësore”, i ndryshuar dhe në ish-kooperativat bujqësore deri më datë 19.7.1991, data e hyrjes në fuqi e ligjit nr. 7501, datë 19.7.1991 “Për tokën”, i ndryshuar.</w:t>
            </w:r>
          </w:p>
        </w:tc>
      </w:tr>
      <w:tr w:rsidR="00685D4F" w:rsidRPr="00C27676" w14:paraId="7691D649" w14:textId="77777777" w:rsidTr="00560DE2">
        <w:trPr>
          <w:trHeight w:val="1499"/>
        </w:trPr>
        <w:tc>
          <w:tcPr>
            <w:tcW w:w="452" w:type="pct"/>
          </w:tcPr>
          <w:p w14:paraId="16BE18A8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lastRenderedPageBreak/>
              <w:t xml:space="preserve">Projektligji </w:t>
            </w:r>
          </w:p>
        </w:tc>
        <w:tc>
          <w:tcPr>
            <w:tcW w:w="1205" w:type="pct"/>
          </w:tcPr>
          <w:p w14:paraId="15C4A3F9" w14:textId="77777777" w:rsidR="00685D4F" w:rsidRDefault="00685D4F" w:rsidP="00560DE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864058">
              <w:rPr>
                <w:rFonts w:ascii="Times New Roman" w:hAnsi="Times New Roman"/>
                <w:color w:val="000000"/>
                <w:sz w:val="24"/>
                <w:szCs w:val="24"/>
              </w:rPr>
              <w:t>johjen e periudhës së asistencës së punës, pasi ndodh që, edhe pse asistenca e punës, sipas ligjit të asaj kohe, përfitohej për 1 vit për çdo punonjës, ka raste kur jo të gjithë muajt e asistencës njihen nga ISSH, për shkak të humbjes së disa muajve të asistencës.</w:t>
            </w:r>
          </w:p>
        </w:tc>
        <w:tc>
          <w:tcPr>
            <w:tcW w:w="869" w:type="pct"/>
          </w:tcPr>
          <w:p w14:paraId="33D3511D" w14:textId="1703C167" w:rsidR="00685D4F" w:rsidRPr="00C27676" w:rsidRDefault="00181D0E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Qytetar</w:t>
            </w:r>
          </w:p>
        </w:tc>
        <w:tc>
          <w:tcPr>
            <w:tcW w:w="1102" w:type="pct"/>
          </w:tcPr>
          <w:p w14:paraId="4CDB8E37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2767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Komenti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</w:t>
            </w:r>
            <w:r w:rsidRPr="00C2767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 pranua  </w:t>
            </w:r>
          </w:p>
        </w:tc>
        <w:tc>
          <w:tcPr>
            <w:tcW w:w="1372" w:type="pct"/>
          </w:tcPr>
          <w:p w14:paraId="1DEBB52A" w14:textId="77777777" w:rsidR="00685D4F" w:rsidRPr="00864058" w:rsidRDefault="00685D4F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K</w:t>
            </w:r>
            <w:r w:rsidRPr="00864058">
              <w:rPr>
                <w:rFonts w:ascii="Times New Roman" w:hAnsi="Times New Roman"/>
                <w:sz w:val="24"/>
                <w:szCs w:val="24"/>
                <w:lang w:val="it-IT"/>
              </w:rPr>
              <w:t>y projektligj nuk përjashton njohjen e periudhës së asistencës për individët që e kanë të dokumentuar, por njeh periudhat kontributive për efekt problematikash në dokumentacion, për individët që dalin në pension nga momenti i miratimit të tij ose që janë në proces administrativ ose gjyqësor për njohjen e viteve të punës , përkatësisht për individët që kanë punuar në institucionet dhe në ish-ndërmarrjet shtetërore deri në datën e hyrjes në fuqi  të ligjit nr. 7703/1993, datë 1.10.1993, në ish-ndërmarrjet bujqësore deri më datën e hyrjes në fuqi të VKM nr. 452, datë 17.10.1992 “Për ristrukturimin e Ndërmarrjeve Bujqësore”, i ndryshuar dhe në ish-kooperativat bujqësore deri më datë 19.7.1991, data e hyrjes në fuqi e ligjit nr. 7501, datë 19.7.1991 “Për tokën”, i ndryshuar.</w:t>
            </w:r>
          </w:p>
        </w:tc>
      </w:tr>
      <w:tr w:rsidR="00685D4F" w:rsidRPr="00C27676" w14:paraId="187D20FF" w14:textId="77777777" w:rsidTr="00560DE2">
        <w:trPr>
          <w:trHeight w:val="1499"/>
        </w:trPr>
        <w:tc>
          <w:tcPr>
            <w:tcW w:w="452" w:type="pct"/>
          </w:tcPr>
          <w:p w14:paraId="53D69A0A" w14:textId="77777777" w:rsidR="00685D4F" w:rsidRDefault="00685D4F" w:rsidP="00560DE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lastRenderedPageBreak/>
              <w:t>Projektligji</w:t>
            </w:r>
          </w:p>
        </w:tc>
        <w:tc>
          <w:tcPr>
            <w:tcW w:w="1205" w:type="pct"/>
          </w:tcPr>
          <w:p w14:paraId="6AE064A5" w14:textId="77777777" w:rsidR="00685D4F" w:rsidRPr="00685D4F" w:rsidRDefault="00685D4F" w:rsidP="00560DE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D4F">
              <w:rPr>
                <w:rFonts w:ascii="Times New Roman" w:hAnsi="Times New Roman"/>
                <w:color w:val="000000"/>
                <w:sz w:val="24"/>
                <w:szCs w:val="24"/>
              </w:rPr>
              <w:t>Gjatë muajve qershor dhe korrik kam dërguar dokumente në e-Albania për të shqyrtuar pozicionin tim të pensionit nga data 29/05/1979 deri më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5D4F">
              <w:rPr>
                <w:rFonts w:ascii="Times New Roman" w:hAnsi="Times New Roman"/>
                <w:color w:val="000000"/>
                <w:sz w:val="24"/>
                <w:szCs w:val="24"/>
              </w:rPr>
              <w:t>01/03/1993(fillimi i asistences)</w:t>
            </w:r>
          </w:p>
          <w:p w14:paraId="3D82072D" w14:textId="77777777" w:rsidR="00685D4F" w:rsidRDefault="00685D4F" w:rsidP="00560DE2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D4F">
              <w:rPr>
                <w:rFonts w:ascii="Times New Roman" w:hAnsi="Times New Roman"/>
                <w:color w:val="000000"/>
                <w:sz w:val="24"/>
                <w:szCs w:val="24"/>
              </w:rPr>
              <w:t>E-Albania më ka dhënë dokumentin e fillimit, por kam nevojë edhe për dokumentin e mbylljes (kështu më këshilluan për mbylljen e asistences).</w:t>
            </w:r>
          </w:p>
        </w:tc>
        <w:tc>
          <w:tcPr>
            <w:tcW w:w="869" w:type="pct"/>
          </w:tcPr>
          <w:p w14:paraId="405A1F4A" w14:textId="753BA286" w:rsidR="00685D4F" w:rsidRPr="00C27676" w:rsidRDefault="00181D0E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Qytetar</w:t>
            </w:r>
          </w:p>
        </w:tc>
        <w:tc>
          <w:tcPr>
            <w:tcW w:w="1102" w:type="pct"/>
          </w:tcPr>
          <w:p w14:paraId="5C6F40D5" w14:textId="77777777" w:rsidR="00685D4F" w:rsidRPr="00C27676" w:rsidRDefault="00685D4F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 nuk u pranua</w:t>
            </w:r>
          </w:p>
        </w:tc>
        <w:tc>
          <w:tcPr>
            <w:tcW w:w="1372" w:type="pct"/>
          </w:tcPr>
          <w:p w14:paraId="33171B3F" w14:textId="77777777" w:rsidR="00685D4F" w:rsidRDefault="00685D4F" w:rsidP="00560DE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85D4F">
              <w:rPr>
                <w:rFonts w:ascii="Times New Roman" w:hAnsi="Times New Roman"/>
                <w:sz w:val="24"/>
                <w:szCs w:val="24"/>
                <w:lang w:val="it-IT"/>
              </w:rPr>
              <w:t>ky koment nuk është relevant me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85D4F">
              <w:rPr>
                <w:rFonts w:ascii="Times New Roman" w:hAnsi="Times New Roman"/>
                <w:sz w:val="24"/>
                <w:szCs w:val="24"/>
                <w:lang w:val="it-IT"/>
              </w:rPr>
              <w:t>përmbajtjen e projektligjit, pasi përmban një kërkesë informacioni lidhur me dokumentacion, që nuk ka lidhje me çështjet që shqyrton ky projektligj.</w:t>
            </w:r>
          </w:p>
        </w:tc>
      </w:tr>
      <w:bookmarkEnd w:id="0"/>
    </w:tbl>
    <w:p w14:paraId="7A5511B7" w14:textId="77777777" w:rsidR="00587235" w:rsidRPr="00587235" w:rsidRDefault="00587235" w:rsidP="00587235">
      <w:pPr>
        <w:rPr>
          <w:rFonts w:ascii="Times New Roman" w:hAnsi="Times New Roman"/>
          <w:sz w:val="24"/>
          <w:szCs w:val="24"/>
        </w:rPr>
      </w:pPr>
    </w:p>
    <w:sectPr w:rsidR="00587235" w:rsidRPr="00587235" w:rsidSect="008A6A21">
      <w:pgSz w:w="11900" w:h="16840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083A0" w14:textId="77777777" w:rsidR="005552B0" w:rsidRDefault="005552B0" w:rsidP="00C3212D">
      <w:r>
        <w:separator/>
      </w:r>
    </w:p>
  </w:endnote>
  <w:endnote w:type="continuationSeparator" w:id="0">
    <w:p w14:paraId="626227A4" w14:textId="77777777" w:rsidR="005552B0" w:rsidRDefault="005552B0" w:rsidP="00C3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A41C3" w14:textId="77777777" w:rsidR="005552B0" w:rsidRDefault="005552B0" w:rsidP="00C3212D">
      <w:r>
        <w:separator/>
      </w:r>
    </w:p>
  </w:footnote>
  <w:footnote w:type="continuationSeparator" w:id="0">
    <w:p w14:paraId="358A2A11" w14:textId="77777777" w:rsidR="005552B0" w:rsidRDefault="005552B0" w:rsidP="00C3212D">
      <w:r>
        <w:continuationSeparator/>
      </w:r>
    </w:p>
  </w:footnote>
  <w:footnote w:id="1">
    <w:p w14:paraId="24CB14CE" w14:textId="77777777" w:rsidR="00C3212D" w:rsidRPr="00342B3C" w:rsidRDefault="00C3212D" w:rsidP="00C3212D">
      <w:pPr>
        <w:pStyle w:val="FootnoteText"/>
        <w:rPr>
          <w:rFonts w:ascii="Times New Roman" w:hAnsi="Times New Roman"/>
          <w:i/>
          <w:sz w:val="16"/>
          <w:szCs w:val="16"/>
          <w:lang w:val="nb-NO"/>
        </w:rPr>
      </w:pPr>
      <w:r>
        <w:rPr>
          <w:rStyle w:val="FootnoteReference"/>
        </w:rPr>
        <w:footnoteRef/>
      </w:r>
      <w:r w:rsidRPr="00342B3C">
        <w:rPr>
          <w:lang w:val="nb-NO"/>
        </w:rPr>
        <w:t xml:space="preserve"> </w:t>
      </w:r>
      <w:r w:rsidRPr="00342B3C">
        <w:rPr>
          <w:rFonts w:ascii="Times New Roman" w:hAnsi="Times New Roman"/>
          <w:i/>
          <w:sz w:val="16"/>
          <w:szCs w:val="16"/>
          <w:lang w:val="nb-NO"/>
        </w:rPr>
        <w:t>Objektivat kryesore që projekligji synon  janë:</w:t>
      </w:r>
    </w:p>
    <w:p w14:paraId="0F0E758E" w14:textId="38C07F36" w:rsidR="00D04DEA" w:rsidRDefault="00D04DEA" w:rsidP="00D04DEA">
      <w:pPr>
        <w:pStyle w:val="FootnoteText"/>
        <w:numPr>
          <w:ilvl w:val="0"/>
          <w:numId w:val="10"/>
        </w:numPr>
        <w:rPr>
          <w:rFonts w:ascii="Times New Roman" w:hAnsi="Times New Roman"/>
          <w:i/>
          <w:sz w:val="16"/>
          <w:szCs w:val="16"/>
          <w:lang w:val="nb-NO"/>
        </w:rPr>
      </w:pPr>
      <w:r w:rsidRPr="00D04DEA">
        <w:rPr>
          <w:rFonts w:ascii="Times New Roman" w:hAnsi="Times New Roman"/>
          <w:i/>
          <w:sz w:val="16"/>
          <w:szCs w:val="16"/>
          <w:lang w:val="nb-NO"/>
        </w:rPr>
        <w:t>Njohja e periudhave të punës për efekt pensioni për të paktën 16 mijë individë që kanë punuar në institucionet shtetërore, ish-ndërmarrjet shtetërore, ish-ndërmarrjet bujqësore dhe ish-kooperativat bujqësore deri në vitin 1994, të cilët kanë kërkesa për pension, brenda 2025.</w:t>
      </w:r>
    </w:p>
    <w:p w14:paraId="4BBEC436" w14:textId="77777777" w:rsidR="00D04DEA" w:rsidRDefault="00D04DEA" w:rsidP="00D04DEA">
      <w:pPr>
        <w:pStyle w:val="FootnoteText"/>
        <w:numPr>
          <w:ilvl w:val="0"/>
          <w:numId w:val="10"/>
        </w:numPr>
        <w:rPr>
          <w:rFonts w:ascii="Times New Roman" w:hAnsi="Times New Roman"/>
          <w:i/>
          <w:sz w:val="16"/>
          <w:szCs w:val="16"/>
          <w:lang w:val="nb-NO"/>
        </w:rPr>
      </w:pPr>
      <w:r w:rsidRPr="00D04DEA">
        <w:rPr>
          <w:rFonts w:ascii="Times New Roman" w:hAnsi="Times New Roman"/>
          <w:i/>
          <w:sz w:val="16"/>
          <w:szCs w:val="16"/>
          <w:lang w:val="nb-NO"/>
        </w:rPr>
        <w:t xml:space="preserve">Ulja e numrit të proceseve gjyqësore me rreth 50% për objekt padi vërtetim fakti, si dhe ulja e kostove gjyqësore me rreth  60% për rastet me këtë objekt padi të qytetarëve brenda vitit 2025. </w:t>
      </w:r>
    </w:p>
    <w:p w14:paraId="67EFDBAE" w14:textId="77777777" w:rsidR="00D04DEA" w:rsidRDefault="00D04DEA" w:rsidP="00D04DEA">
      <w:pPr>
        <w:pStyle w:val="FootnoteText"/>
        <w:numPr>
          <w:ilvl w:val="0"/>
          <w:numId w:val="10"/>
        </w:numPr>
        <w:rPr>
          <w:rFonts w:ascii="Times New Roman" w:hAnsi="Times New Roman"/>
          <w:i/>
          <w:sz w:val="16"/>
          <w:szCs w:val="16"/>
          <w:lang w:val="nb-NO"/>
        </w:rPr>
      </w:pPr>
      <w:r w:rsidRPr="00D04DEA">
        <w:rPr>
          <w:rFonts w:ascii="Times New Roman" w:hAnsi="Times New Roman"/>
          <w:i/>
          <w:sz w:val="16"/>
          <w:szCs w:val="16"/>
          <w:lang w:val="nb-NO"/>
        </w:rPr>
        <w:t>Rritja e pensionit me minimalisht 5% në koncept të pensionit mesatar, për rreth 10% të qytetarëve brenda vitit 2025.</w:t>
      </w:r>
    </w:p>
    <w:p w14:paraId="17229C2C" w14:textId="77777777" w:rsidR="00D04DEA" w:rsidRDefault="00D04DEA" w:rsidP="00D04DEA">
      <w:pPr>
        <w:pStyle w:val="FootnoteText"/>
        <w:numPr>
          <w:ilvl w:val="0"/>
          <w:numId w:val="10"/>
        </w:numPr>
        <w:rPr>
          <w:rFonts w:ascii="Times New Roman" w:hAnsi="Times New Roman"/>
          <w:i/>
          <w:sz w:val="16"/>
          <w:szCs w:val="16"/>
          <w:lang w:val="nb-NO"/>
        </w:rPr>
      </w:pPr>
      <w:r w:rsidRPr="00D04DEA">
        <w:rPr>
          <w:rFonts w:ascii="Times New Roman" w:hAnsi="Times New Roman"/>
          <w:i/>
          <w:sz w:val="16"/>
          <w:szCs w:val="16"/>
          <w:lang w:val="nb-NO"/>
        </w:rPr>
        <w:t xml:space="preserve">Reduktimi i kostove financiare për grupin e prekur nëpërmjet eleminimit të nevojës së ndjekjes së procedurave gjyqësore, duke mundësuar një process më të thjeshtë dhe pa kosto shtesë për njohjen e periudhave të punësimit.  </w:t>
      </w:r>
    </w:p>
    <w:p w14:paraId="0BFF877A" w14:textId="77777777" w:rsidR="00D04DEA" w:rsidRDefault="00D04DEA" w:rsidP="00D04DEA">
      <w:pPr>
        <w:pStyle w:val="FootnoteText"/>
        <w:numPr>
          <w:ilvl w:val="0"/>
          <w:numId w:val="10"/>
        </w:numPr>
        <w:rPr>
          <w:rFonts w:ascii="Times New Roman" w:hAnsi="Times New Roman"/>
          <w:i/>
          <w:sz w:val="16"/>
          <w:szCs w:val="16"/>
          <w:lang w:val="nb-NO"/>
        </w:rPr>
      </w:pPr>
      <w:r w:rsidRPr="00D04DEA">
        <w:rPr>
          <w:rFonts w:ascii="Times New Roman" w:hAnsi="Times New Roman"/>
          <w:i/>
          <w:sz w:val="16"/>
          <w:szCs w:val="16"/>
          <w:lang w:val="nb-NO"/>
        </w:rPr>
        <w:t xml:space="preserve">Eliminimi i diskriminimit mes kategorive të përfituesve nëpërmjet zgjidhjes së problematikave që kanë disa prej ish të punësuarve në këto institucione shtetërore dhe ish institucione, dhe që janë ndikuar nga mungesa e plotë ose e pjesshme e dokumentacionit. </w:t>
      </w:r>
    </w:p>
    <w:p w14:paraId="782DA3CE" w14:textId="77777777" w:rsidR="00D04DEA" w:rsidRDefault="00D04DEA" w:rsidP="00D04DEA">
      <w:pPr>
        <w:pStyle w:val="FootnoteText"/>
        <w:numPr>
          <w:ilvl w:val="0"/>
          <w:numId w:val="10"/>
        </w:numPr>
        <w:rPr>
          <w:rFonts w:ascii="Times New Roman" w:hAnsi="Times New Roman"/>
          <w:i/>
          <w:sz w:val="16"/>
          <w:szCs w:val="16"/>
          <w:lang w:val="nb-NO"/>
        </w:rPr>
      </w:pPr>
      <w:r w:rsidRPr="00D04DEA">
        <w:rPr>
          <w:rFonts w:ascii="Times New Roman" w:hAnsi="Times New Roman"/>
          <w:i/>
          <w:sz w:val="16"/>
          <w:szCs w:val="16"/>
          <w:lang w:val="nb-NO"/>
        </w:rPr>
        <w:t>Sigurimi i një sistemi të qëndrueshëm të sigurimeve shoqërore.</w:t>
      </w:r>
    </w:p>
    <w:p w14:paraId="5679A278" w14:textId="77777777" w:rsidR="00D04DEA" w:rsidRDefault="00D04DEA" w:rsidP="00D04DEA">
      <w:pPr>
        <w:pStyle w:val="FootnoteText"/>
        <w:numPr>
          <w:ilvl w:val="0"/>
          <w:numId w:val="10"/>
        </w:numPr>
        <w:rPr>
          <w:rFonts w:ascii="Times New Roman" w:hAnsi="Times New Roman"/>
          <w:i/>
          <w:sz w:val="16"/>
          <w:szCs w:val="16"/>
          <w:lang w:val="nb-NO"/>
        </w:rPr>
      </w:pPr>
      <w:r w:rsidRPr="00D04DEA">
        <w:rPr>
          <w:rFonts w:ascii="Times New Roman" w:hAnsi="Times New Roman"/>
          <w:i/>
          <w:sz w:val="16"/>
          <w:szCs w:val="16"/>
          <w:lang w:val="nb-NO"/>
        </w:rPr>
        <w:t>Rritja e transparencës dhe efektivitetit administrativ.</w:t>
      </w:r>
    </w:p>
    <w:p w14:paraId="2564540D" w14:textId="7F00A2FC" w:rsidR="00C3212D" w:rsidRPr="00D04DEA" w:rsidRDefault="00D04DEA" w:rsidP="00D04DEA">
      <w:pPr>
        <w:pStyle w:val="FootnoteText"/>
        <w:numPr>
          <w:ilvl w:val="0"/>
          <w:numId w:val="10"/>
        </w:numPr>
        <w:rPr>
          <w:rFonts w:ascii="Times New Roman" w:hAnsi="Times New Roman"/>
          <w:i/>
          <w:sz w:val="16"/>
          <w:szCs w:val="16"/>
          <w:lang w:val="nb-NO"/>
        </w:rPr>
      </w:pPr>
      <w:r w:rsidRPr="00D04DEA">
        <w:rPr>
          <w:rFonts w:ascii="Times New Roman" w:hAnsi="Times New Roman"/>
          <w:i/>
          <w:sz w:val="16"/>
          <w:szCs w:val="16"/>
          <w:lang w:val="nb-NO"/>
        </w:rPr>
        <w:t>Konsolidimi i sistemit të sigurimeve shoqërore me bazë të gjerë përfituesish duke mundësuar që të gjithë qytetarët të përfitojnë nga të drejtat e tyre të sigurimit shoqëror, pa kaluar nëpër procedura të komplikuara ligjore.</w:t>
      </w:r>
    </w:p>
    <w:p w14:paraId="14F930CC" w14:textId="77777777" w:rsidR="00C3212D" w:rsidRPr="00342B3C" w:rsidRDefault="00C3212D" w:rsidP="00C3212D">
      <w:pPr>
        <w:pStyle w:val="FootnoteText"/>
        <w:rPr>
          <w:rFonts w:ascii="Times New Roman" w:hAnsi="Times New Roman"/>
          <w:sz w:val="16"/>
          <w:szCs w:val="16"/>
          <w:lang w:val="nb-N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502"/>
    <w:multiLevelType w:val="hybridMultilevel"/>
    <w:tmpl w:val="458A4568"/>
    <w:lvl w:ilvl="0" w:tplc="F6B88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4AD0"/>
    <w:multiLevelType w:val="hybridMultilevel"/>
    <w:tmpl w:val="0818B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6380"/>
    <w:multiLevelType w:val="hybridMultilevel"/>
    <w:tmpl w:val="F496B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01EC6"/>
    <w:multiLevelType w:val="hybridMultilevel"/>
    <w:tmpl w:val="803ABF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46242B9"/>
    <w:multiLevelType w:val="hybridMultilevel"/>
    <w:tmpl w:val="E85EE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540F"/>
    <w:multiLevelType w:val="hybridMultilevel"/>
    <w:tmpl w:val="31EC8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C32026"/>
    <w:multiLevelType w:val="hybridMultilevel"/>
    <w:tmpl w:val="FE1C4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900126">
    <w:abstractNumId w:val="0"/>
  </w:num>
  <w:num w:numId="2" w16cid:durableId="431782781">
    <w:abstractNumId w:val="4"/>
  </w:num>
  <w:num w:numId="3" w16cid:durableId="778333011">
    <w:abstractNumId w:val="8"/>
  </w:num>
  <w:num w:numId="4" w16cid:durableId="1765102847">
    <w:abstractNumId w:val="3"/>
  </w:num>
  <w:num w:numId="5" w16cid:durableId="1109276471">
    <w:abstractNumId w:val="6"/>
  </w:num>
  <w:num w:numId="6" w16cid:durableId="1120799478">
    <w:abstractNumId w:val="5"/>
  </w:num>
  <w:num w:numId="7" w16cid:durableId="148714534">
    <w:abstractNumId w:val="9"/>
  </w:num>
  <w:num w:numId="8" w16cid:durableId="1485273631">
    <w:abstractNumId w:val="2"/>
  </w:num>
  <w:num w:numId="9" w16cid:durableId="1812479276">
    <w:abstractNumId w:val="7"/>
  </w:num>
  <w:num w:numId="10" w16cid:durableId="59317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7988"/>
    <w:rsid w:val="0004166D"/>
    <w:rsid w:val="0006777A"/>
    <w:rsid w:val="000A552F"/>
    <w:rsid w:val="000B512A"/>
    <w:rsid w:val="000C2FAB"/>
    <w:rsid w:val="000D3BB1"/>
    <w:rsid w:val="000E4BAD"/>
    <w:rsid w:val="000F2C44"/>
    <w:rsid w:val="000F3FE0"/>
    <w:rsid w:val="00125234"/>
    <w:rsid w:val="00145997"/>
    <w:rsid w:val="00181D0E"/>
    <w:rsid w:val="00196392"/>
    <w:rsid w:val="001A5FF9"/>
    <w:rsid w:val="001B3568"/>
    <w:rsid w:val="001C6AA3"/>
    <w:rsid w:val="001D4B41"/>
    <w:rsid w:val="001D7A43"/>
    <w:rsid w:val="001D7BB6"/>
    <w:rsid w:val="001E6562"/>
    <w:rsid w:val="0024005D"/>
    <w:rsid w:val="00260E60"/>
    <w:rsid w:val="0027148E"/>
    <w:rsid w:val="002B161B"/>
    <w:rsid w:val="002C762C"/>
    <w:rsid w:val="00332DB4"/>
    <w:rsid w:val="00342B3C"/>
    <w:rsid w:val="003675F1"/>
    <w:rsid w:val="00371598"/>
    <w:rsid w:val="00371C90"/>
    <w:rsid w:val="00435429"/>
    <w:rsid w:val="00445CC3"/>
    <w:rsid w:val="004A0221"/>
    <w:rsid w:val="004B3F4E"/>
    <w:rsid w:val="004C711D"/>
    <w:rsid w:val="004F00FE"/>
    <w:rsid w:val="00521D6F"/>
    <w:rsid w:val="005552B0"/>
    <w:rsid w:val="00587235"/>
    <w:rsid w:val="005B1920"/>
    <w:rsid w:val="005B6D2B"/>
    <w:rsid w:val="005B79A3"/>
    <w:rsid w:val="005E1E96"/>
    <w:rsid w:val="00656BB0"/>
    <w:rsid w:val="00685D4F"/>
    <w:rsid w:val="006A49B9"/>
    <w:rsid w:val="006C5223"/>
    <w:rsid w:val="006D6E9F"/>
    <w:rsid w:val="00704C95"/>
    <w:rsid w:val="00741C60"/>
    <w:rsid w:val="00765F3C"/>
    <w:rsid w:val="007755F2"/>
    <w:rsid w:val="007B1063"/>
    <w:rsid w:val="0080669F"/>
    <w:rsid w:val="00811B78"/>
    <w:rsid w:val="00814BC5"/>
    <w:rsid w:val="00827896"/>
    <w:rsid w:val="0083355E"/>
    <w:rsid w:val="00844807"/>
    <w:rsid w:val="00851C25"/>
    <w:rsid w:val="00864058"/>
    <w:rsid w:val="00897ED0"/>
    <w:rsid w:val="008A6A21"/>
    <w:rsid w:val="008B77CE"/>
    <w:rsid w:val="008D3E65"/>
    <w:rsid w:val="008D41B4"/>
    <w:rsid w:val="008D77B4"/>
    <w:rsid w:val="008E1F29"/>
    <w:rsid w:val="008F086E"/>
    <w:rsid w:val="008F44B1"/>
    <w:rsid w:val="0090795B"/>
    <w:rsid w:val="0091093C"/>
    <w:rsid w:val="009169B9"/>
    <w:rsid w:val="00963283"/>
    <w:rsid w:val="00965584"/>
    <w:rsid w:val="009824A7"/>
    <w:rsid w:val="00986ADE"/>
    <w:rsid w:val="0099375B"/>
    <w:rsid w:val="009A4EE0"/>
    <w:rsid w:val="009B696C"/>
    <w:rsid w:val="009E4340"/>
    <w:rsid w:val="00A06DA1"/>
    <w:rsid w:val="00A121AB"/>
    <w:rsid w:val="00A12552"/>
    <w:rsid w:val="00A146E5"/>
    <w:rsid w:val="00A3438A"/>
    <w:rsid w:val="00A9325D"/>
    <w:rsid w:val="00A93763"/>
    <w:rsid w:val="00AB18C0"/>
    <w:rsid w:val="00AE3B35"/>
    <w:rsid w:val="00AF0792"/>
    <w:rsid w:val="00AF538C"/>
    <w:rsid w:val="00B0600A"/>
    <w:rsid w:val="00B33196"/>
    <w:rsid w:val="00B65921"/>
    <w:rsid w:val="00B66155"/>
    <w:rsid w:val="00B80D5F"/>
    <w:rsid w:val="00B92070"/>
    <w:rsid w:val="00C20DD3"/>
    <w:rsid w:val="00C27676"/>
    <w:rsid w:val="00C3212D"/>
    <w:rsid w:val="00C73542"/>
    <w:rsid w:val="00CC2360"/>
    <w:rsid w:val="00CC2B1A"/>
    <w:rsid w:val="00CD1389"/>
    <w:rsid w:val="00CE770B"/>
    <w:rsid w:val="00D04DEA"/>
    <w:rsid w:val="00D07B9D"/>
    <w:rsid w:val="00D144D8"/>
    <w:rsid w:val="00D2345D"/>
    <w:rsid w:val="00D337F6"/>
    <w:rsid w:val="00D33D7E"/>
    <w:rsid w:val="00D53A1E"/>
    <w:rsid w:val="00DB54F7"/>
    <w:rsid w:val="00DC211C"/>
    <w:rsid w:val="00DD5D4E"/>
    <w:rsid w:val="00E31072"/>
    <w:rsid w:val="00E36EF2"/>
    <w:rsid w:val="00EA61FE"/>
    <w:rsid w:val="00EB323D"/>
    <w:rsid w:val="00EB536B"/>
    <w:rsid w:val="00EB650F"/>
    <w:rsid w:val="00EB7C9A"/>
    <w:rsid w:val="00EE2DDF"/>
    <w:rsid w:val="00EF0386"/>
    <w:rsid w:val="00EF0E3E"/>
    <w:rsid w:val="00F03EFF"/>
    <w:rsid w:val="00F30125"/>
    <w:rsid w:val="00F64671"/>
    <w:rsid w:val="00FA44F0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77871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50F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C321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212D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3212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B650F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5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234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5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234"/>
    <w:rPr>
      <w:rFonts w:ascii="Arial" w:eastAsia="Times New Roman" w:hAnsi="Arial" w:cs="Times New Roman"/>
      <w:sz w:val="22"/>
      <w:szCs w:val="20"/>
      <w:lang w:val="en-GB"/>
    </w:rPr>
  </w:style>
  <w:style w:type="table" w:styleId="TableGrid">
    <w:name w:val="Table Grid"/>
    <w:basedOn w:val="TableNormal"/>
    <w:uiPriority w:val="39"/>
    <w:rsid w:val="009169B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9824A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787%203.4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6B4C-050F-4FF3-BF95-2501D721C5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Eriola Kocileri</cp:lastModifiedBy>
  <cp:revision>3</cp:revision>
  <cp:lastPrinted>2021-12-29T14:46:00Z</cp:lastPrinted>
  <dcterms:created xsi:type="dcterms:W3CDTF">2024-12-20T14:01:00Z</dcterms:created>
  <dcterms:modified xsi:type="dcterms:W3CDTF">2024-12-20T14:06:00Z</dcterms:modified>
</cp:coreProperties>
</file>