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09570" w14:textId="77777777" w:rsidR="005B6D2B" w:rsidRPr="00783705" w:rsidRDefault="005B6D2B" w:rsidP="005B6D2B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783705">
        <w:rPr>
          <w:rFonts w:asciiTheme="minorHAnsi" w:hAnsiTheme="minorHAnsi"/>
          <w:b/>
          <w:bCs/>
          <w:iCs/>
          <w:szCs w:val="24"/>
          <w:lang w:val="de-DE" w:bidi="en-GB"/>
        </w:rPr>
        <w:t>Raport për rezultatet e konsultimeve publike</w:t>
      </w:r>
    </w:p>
    <w:p w14:paraId="34009571" w14:textId="77777777" w:rsidR="005B6D2B" w:rsidRPr="00783705" w:rsidRDefault="005B6D2B" w:rsidP="005B6D2B">
      <w:pPr>
        <w:rPr>
          <w:rFonts w:asciiTheme="minorHAnsi" w:hAnsiTheme="minorHAnsi"/>
          <w:szCs w:val="24"/>
          <w:lang w:val="de-DE"/>
        </w:rPr>
      </w:pPr>
    </w:p>
    <w:p w14:paraId="34009572" w14:textId="77777777" w:rsidR="005B6D2B" w:rsidRPr="0078370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Titulli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i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draft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aktit</w:t>
      </w:r>
      <w:proofErr w:type="spellEnd"/>
    </w:p>
    <w:p w14:paraId="11AAD5EE" w14:textId="61DDD231" w:rsidR="004C4910" w:rsidRPr="00783705" w:rsidRDefault="004C4910" w:rsidP="004C4910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Projektligji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"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disa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shtesa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ndryshime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Ligjin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Nr. 95/2015 "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shërbimet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produktet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Biocide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Shëndetin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Publik"</w:t>
      </w:r>
    </w:p>
    <w:p w14:paraId="34009573" w14:textId="77777777" w:rsidR="00A121AB" w:rsidRPr="00783705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34009574" w14:textId="77777777" w:rsidR="005B6D2B" w:rsidRPr="0078370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Kohëzgjatja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konsultimeve</w:t>
      </w:r>
      <w:proofErr w:type="spellEnd"/>
    </w:p>
    <w:p w14:paraId="34009575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Specifikoni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përgjithshme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përket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ditëve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punës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përfshirë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datën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hapjes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mbylljes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;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kohëzgjatja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më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shkurtër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se 20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ditë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pune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paraparë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me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ligj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jepni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arsye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shkurtimin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kohëzgjatjes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>.</w:t>
      </w:r>
    </w:p>
    <w:p w14:paraId="2522A8A4" w14:textId="77777777" w:rsidR="007D508E" w:rsidRPr="00783705" w:rsidRDefault="007D508E" w:rsidP="007D508E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4009576" w14:textId="61D58C73" w:rsidR="005B6D2B" w:rsidRPr="00783705" w:rsidRDefault="007D508E" w:rsidP="00E05B15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783705">
        <w:rPr>
          <w:rFonts w:asciiTheme="minorHAnsi" w:hAnsiTheme="minorHAnsi" w:cstheme="minorHAnsi"/>
          <w:szCs w:val="22"/>
        </w:rPr>
        <w:t xml:space="preserve">        14.10.2024 – 11.11.2024</w:t>
      </w:r>
    </w:p>
    <w:p w14:paraId="34009577" w14:textId="77777777" w:rsidR="007755F2" w:rsidRPr="00783705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34009578" w14:textId="77777777" w:rsidR="005B6D2B" w:rsidRPr="0078370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Metoda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konsultimit</w:t>
      </w:r>
      <w:proofErr w:type="spellEnd"/>
    </w:p>
    <w:p w14:paraId="34009579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Listoni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gjitha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metodat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konsultimit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përdorura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tilla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(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Regjistri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Elektronik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posta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faqet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internetit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etj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.),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Takimet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seancat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organeve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këshilluese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…,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siguroni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informacione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afatin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kohor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afatet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tyre.</w:t>
      </w:r>
      <w:r w:rsidR="00332DB4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Shpjegoni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se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shpërnda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informacioni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mbi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hapura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ftuan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kontribuojnë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>.</w:t>
      </w:r>
      <w:r w:rsidR="00332DB4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Përfshini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gjithashtu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aktivitete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paraprake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janë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organizuar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tilla).</w:t>
      </w:r>
    </w:p>
    <w:p w14:paraId="7C2B52F2" w14:textId="77777777" w:rsidR="007F1FAD" w:rsidRPr="00783705" w:rsidRDefault="007F1FAD" w:rsidP="007F1FAD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3400957A" w14:textId="63A6A706" w:rsidR="00741C60" w:rsidRPr="00783705" w:rsidRDefault="007F1FAD" w:rsidP="007F1FAD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Projektligji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"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disa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shtesa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ndryshime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Ligjin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Nr. 95/2015 "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rbimet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produktet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Biocide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ndetin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Publik" u </w:t>
      </w:r>
      <w:proofErr w:type="spellStart"/>
      <w:r w:rsidR="00D5115D" w:rsidRPr="00783705">
        <w:rPr>
          <w:rFonts w:asciiTheme="minorHAnsi" w:hAnsiTheme="minorHAnsi" w:cstheme="minorHAnsi"/>
          <w:i/>
          <w:iCs/>
          <w:szCs w:val="24"/>
        </w:rPr>
        <w:t>publikua</w:t>
      </w:r>
      <w:proofErr w:type="spellEnd"/>
      <w:r w:rsidR="00D5115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D5115D"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D5115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D5115D" w:rsidRPr="00783705">
        <w:rPr>
          <w:rFonts w:asciiTheme="minorHAnsi" w:hAnsiTheme="minorHAnsi" w:cstheme="minorHAnsi"/>
          <w:i/>
          <w:iCs/>
          <w:szCs w:val="24"/>
        </w:rPr>
        <w:t>faqen</w:t>
      </w:r>
      <w:proofErr w:type="spellEnd"/>
      <w:r w:rsidR="00D5115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D5115D" w:rsidRPr="00783705">
        <w:rPr>
          <w:rFonts w:asciiTheme="minorHAnsi" w:hAnsiTheme="minorHAnsi" w:cstheme="minorHAnsi"/>
          <w:i/>
          <w:iCs/>
          <w:szCs w:val="24"/>
        </w:rPr>
        <w:t>zyrtare</w:t>
      </w:r>
      <w:proofErr w:type="spellEnd"/>
      <w:r w:rsidR="00D5115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hyperlink r:id="rId5" w:history="1">
        <w:r w:rsidR="000C758D" w:rsidRPr="00783705">
          <w:rPr>
            <w:rStyle w:val="Hyperlink"/>
            <w:rFonts w:asciiTheme="minorHAnsi" w:hAnsiTheme="minorHAnsi" w:cstheme="minorHAnsi"/>
            <w:i/>
            <w:iCs/>
            <w:color w:val="auto"/>
            <w:szCs w:val="24"/>
          </w:rPr>
          <w:t>https://www.konsultimipublik.gov.al/Konsultime/Institucioni/47</w:t>
        </w:r>
        <w:r w:rsidR="000C758D" w:rsidRPr="00783705">
          <w:rPr>
            <w:rStyle w:val="Hyperlink"/>
            <w:rFonts w:asciiTheme="minorHAnsi" w:hAnsiTheme="minorHAnsi" w:cstheme="minorHAnsi"/>
            <w:color w:val="auto"/>
            <w:szCs w:val="24"/>
          </w:rPr>
          <w:t xml:space="preserve">  </w:t>
        </w:r>
        <w:proofErr w:type="spellStart"/>
        <w:r w:rsidR="000C758D" w:rsidRPr="00783705">
          <w:rPr>
            <w:rStyle w:val="Hyperlink"/>
            <w:rFonts w:asciiTheme="minorHAnsi" w:hAnsiTheme="minorHAnsi" w:cstheme="minorHAnsi"/>
            <w:color w:val="auto"/>
            <w:szCs w:val="24"/>
          </w:rPr>
          <w:t>në</w:t>
        </w:r>
        <w:proofErr w:type="spellEnd"/>
        <w:r w:rsidR="000C758D" w:rsidRPr="00783705">
          <w:rPr>
            <w:rStyle w:val="Hyperlink"/>
            <w:rFonts w:asciiTheme="minorHAnsi" w:hAnsiTheme="minorHAnsi" w:cstheme="minorHAnsi"/>
            <w:color w:val="auto"/>
            <w:szCs w:val="24"/>
          </w:rPr>
          <w:t xml:space="preserve"> </w:t>
        </w:r>
        <w:proofErr w:type="spellStart"/>
        <w:r w:rsidR="000C758D" w:rsidRPr="00783705">
          <w:rPr>
            <w:rStyle w:val="Hyperlink"/>
            <w:rFonts w:asciiTheme="minorHAnsi" w:hAnsiTheme="minorHAnsi" w:cstheme="minorHAnsi"/>
            <w:color w:val="auto"/>
            <w:szCs w:val="24"/>
          </w:rPr>
          <w:t>datë</w:t>
        </w:r>
        <w:proofErr w:type="spellEnd"/>
        <w:r w:rsidR="000C758D" w:rsidRPr="00783705">
          <w:rPr>
            <w:rStyle w:val="Hyperlink"/>
            <w:rFonts w:asciiTheme="minorHAnsi" w:hAnsiTheme="minorHAnsi" w:cstheme="minorHAnsi"/>
            <w:color w:val="auto"/>
            <w:szCs w:val="24"/>
          </w:rPr>
          <w:t xml:space="preserve"> 14.10.2024</w:t>
        </w:r>
      </w:hyperlink>
      <w:r w:rsidR="005D364F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364F"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="005D364F" w:rsidRPr="00783705">
        <w:rPr>
          <w:rFonts w:asciiTheme="minorHAnsi" w:hAnsiTheme="minorHAnsi" w:cstheme="minorHAnsi"/>
          <w:i/>
          <w:iCs/>
          <w:szCs w:val="24"/>
        </w:rPr>
        <w:t xml:space="preserve"> me </w:t>
      </w:r>
      <w:proofErr w:type="spellStart"/>
      <w:r w:rsidR="005D364F" w:rsidRPr="00783705">
        <w:rPr>
          <w:rFonts w:asciiTheme="minorHAnsi" w:hAnsiTheme="minorHAnsi" w:cstheme="minorHAnsi"/>
          <w:i/>
          <w:iCs/>
          <w:szCs w:val="24"/>
        </w:rPr>
        <w:t>dat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5D364F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D364F" w:rsidRPr="00783705">
        <w:rPr>
          <w:rFonts w:asciiTheme="minorHAnsi" w:hAnsiTheme="minorHAnsi" w:cstheme="minorHAnsi"/>
          <w:i/>
          <w:iCs/>
          <w:szCs w:val="24"/>
        </w:rPr>
        <w:t>mbyllje</w:t>
      </w:r>
      <w:proofErr w:type="spellEnd"/>
      <w:r w:rsidR="005D364F" w:rsidRPr="00783705">
        <w:rPr>
          <w:rFonts w:asciiTheme="minorHAnsi" w:hAnsiTheme="minorHAnsi" w:cstheme="minorHAnsi"/>
          <w:i/>
          <w:iCs/>
          <w:szCs w:val="24"/>
        </w:rPr>
        <w:t xml:space="preserve"> 11.11.2024.</w:t>
      </w:r>
    </w:p>
    <w:p w14:paraId="191C4308" w14:textId="73E386E7" w:rsidR="005D364F" w:rsidRPr="00783705" w:rsidRDefault="00567ACB" w:rsidP="007F1FAD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dat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25.10.2024 u </w:t>
      </w:r>
      <w:proofErr w:type="spellStart"/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sht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Pr="00783705">
        <w:rPr>
          <w:rFonts w:asciiTheme="minorHAnsi" w:hAnsiTheme="minorHAnsi" w:cstheme="minorHAnsi"/>
          <w:i/>
          <w:iCs/>
          <w:szCs w:val="24"/>
        </w:rPr>
        <w:t>rguar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email</w:t>
      </w:r>
      <w:r w:rsidR="00053781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053781" w:rsidRPr="00783705">
        <w:rPr>
          <w:rFonts w:asciiTheme="minorHAnsi" w:hAnsiTheme="minorHAnsi" w:cstheme="minorHAnsi"/>
          <w:i/>
          <w:iCs/>
          <w:szCs w:val="24"/>
        </w:rPr>
        <w:t>subjekteve</w:t>
      </w:r>
      <w:proofErr w:type="spellEnd"/>
      <w:r w:rsidR="00053781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grupeve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interesit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p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="008369BB" w:rsidRPr="00783705">
        <w:rPr>
          <w:rFonts w:asciiTheme="minorHAnsi" w:hAnsiTheme="minorHAnsi" w:cstheme="minorHAnsi"/>
          <w:i/>
          <w:iCs/>
          <w:szCs w:val="24"/>
        </w:rPr>
        <w:t>r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marr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pjes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takimin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q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do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zhvillohej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8369BB"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8369BB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dat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31.10.2024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Ministrin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Sh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="003A1CCD" w:rsidRPr="00783705">
        <w:rPr>
          <w:rFonts w:asciiTheme="minorHAnsi" w:hAnsiTheme="minorHAnsi" w:cstheme="minorHAnsi"/>
          <w:i/>
          <w:iCs/>
          <w:szCs w:val="24"/>
        </w:rPr>
        <w:t>ndet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r w:rsidR="003A1CCD" w:rsidRPr="00783705">
        <w:rPr>
          <w:rFonts w:asciiTheme="minorHAnsi" w:hAnsiTheme="minorHAnsi" w:cstheme="minorHAnsi"/>
          <w:i/>
          <w:iCs/>
          <w:szCs w:val="24"/>
        </w:rPr>
        <w:t>si</w:t>
      </w:r>
      <w:r w:rsidR="000C758D" w:rsidRPr="00783705">
        <w:rPr>
          <w:rFonts w:asciiTheme="minorHAnsi" w:hAnsiTheme="minorHAnsi" w:cstheme="minorHAnsi"/>
          <w:i/>
          <w:iCs/>
          <w:szCs w:val="24"/>
        </w:rPr>
        <w:t>s</w:t>
      </w:r>
      <w:r w:rsidR="004C4910" w:rsidRPr="00783705">
        <w:rPr>
          <w:rFonts w:asciiTheme="minorHAnsi" w:hAnsiTheme="minorHAnsi" w:cstheme="minorHAnsi"/>
          <w:i/>
          <w:iCs/>
          <w:szCs w:val="24"/>
        </w:rPr>
        <w:t>ë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Mbrojtjes</w:t>
      </w:r>
      <w:proofErr w:type="spellEnd"/>
      <w:r w:rsidR="003A1CCD"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3A1CCD" w:rsidRPr="00783705">
        <w:rPr>
          <w:rFonts w:asciiTheme="minorHAnsi" w:hAnsiTheme="minorHAnsi" w:cstheme="minorHAnsi"/>
          <w:i/>
          <w:iCs/>
          <w:szCs w:val="24"/>
        </w:rPr>
        <w:t>Sociale</w:t>
      </w:r>
      <w:proofErr w:type="spellEnd"/>
      <w:r w:rsidR="004C4910" w:rsidRPr="00783705">
        <w:rPr>
          <w:rFonts w:asciiTheme="minorHAnsi" w:hAnsiTheme="minorHAnsi" w:cstheme="minorHAnsi"/>
          <w:i/>
          <w:iCs/>
          <w:szCs w:val="24"/>
        </w:rPr>
        <w:t>.</w:t>
      </w:r>
    </w:p>
    <w:p w14:paraId="3400957B" w14:textId="77777777" w:rsidR="00332DB4" w:rsidRPr="00783705" w:rsidRDefault="00332DB4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3400957C" w14:textId="77777777" w:rsidR="005B6D2B" w:rsidRPr="0078370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Palët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interesit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përfshira</w:t>
      </w:r>
      <w:proofErr w:type="spellEnd"/>
    </w:p>
    <w:p w14:paraId="3400957D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szCs w:val="24"/>
        </w:rPr>
        <w:t>Listoni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qoftë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organizata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apo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individë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cilët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kanë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dhënë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komente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>/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kontribut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në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konsultimet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përmes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metodave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ndryshme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konsultimit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gjatë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procesit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hartimit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>.</w:t>
      </w:r>
    </w:p>
    <w:p w14:paraId="3400957E" w14:textId="77777777" w:rsidR="008B0269" w:rsidRPr="00783705" w:rsidRDefault="008B0269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3400957F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szCs w:val="24"/>
        </w:rPr>
        <w:t>Përmendni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gjithashtu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numrin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strukturën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palëve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që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në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takime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ose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seanca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organeve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këshilluese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>.</w:t>
      </w:r>
    </w:p>
    <w:p w14:paraId="34009580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szCs w:val="24"/>
        </w:rPr>
        <w:t>Specifikoni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që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në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grupin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punës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hartimin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aktit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>.</w:t>
      </w:r>
    </w:p>
    <w:p w14:paraId="45AEDCE8" w14:textId="77777777" w:rsidR="00D50174" w:rsidRPr="00783705" w:rsidRDefault="00D50174" w:rsidP="005B6D2B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2EBC7FCA" w14:textId="0C8D6D4E" w:rsidR="00D5204E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szCs w:val="24"/>
        </w:rPr>
        <w:t>Përfaqësues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subjekteve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dhe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grupeve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interesit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cilët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morën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pjesë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në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kosultimin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D5204E" w:rsidRPr="00783705">
        <w:rPr>
          <w:rFonts w:asciiTheme="minorHAnsi" w:hAnsiTheme="minorHAnsi" w:cstheme="minorHAnsi"/>
          <w:i/>
          <w:szCs w:val="24"/>
        </w:rPr>
        <w:t>publik</w:t>
      </w:r>
      <w:proofErr w:type="spellEnd"/>
      <w:r w:rsidR="00D5204E" w:rsidRPr="00783705">
        <w:rPr>
          <w:rFonts w:asciiTheme="minorHAnsi" w:hAnsiTheme="minorHAnsi" w:cstheme="minorHAnsi"/>
          <w:i/>
          <w:szCs w:val="24"/>
        </w:rPr>
        <w:t>:</w:t>
      </w:r>
    </w:p>
    <w:p w14:paraId="7BA9870F" w14:textId="77777777" w:rsidR="00D5204E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  <w:lang w:val="da-DK"/>
        </w:rPr>
      </w:pPr>
      <w:r w:rsidRPr="00783705">
        <w:rPr>
          <w:rFonts w:asciiTheme="minorHAnsi" w:hAnsiTheme="minorHAnsi" w:cstheme="minorHAnsi"/>
          <w:i/>
          <w:szCs w:val="24"/>
          <w:lang w:val="da-DK"/>
        </w:rPr>
        <w:t xml:space="preserve">1 përfaqësues i “Arli International” shpk, </w:t>
      </w:r>
    </w:p>
    <w:p w14:paraId="180468D9" w14:textId="77777777" w:rsidR="00D5204E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  <w:lang w:val="da-DK"/>
        </w:rPr>
      </w:pPr>
      <w:r w:rsidRPr="00783705">
        <w:rPr>
          <w:rFonts w:asciiTheme="minorHAnsi" w:hAnsiTheme="minorHAnsi" w:cstheme="minorHAnsi"/>
          <w:i/>
          <w:szCs w:val="24"/>
          <w:lang w:val="da-DK"/>
        </w:rPr>
        <w:t xml:space="preserve">1 përfaqësues i “Meldi” shpk, </w:t>
      </w:r>
    </w:p>
    <w:p w14:paraId="646A1000" w14:textId="77777777" w:rsidR="00D5204E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</w:rPr>
      </w:pPr>
      <w:r w:rsidRPr="00783705">
        <w:rPr>
          <w:rFonts w:asciiTheme="minorHAnsi" w:hAnsiTheme="minorHAnsi" w:cstheme="minorHAnsi"/>
          <w:i/>
          <w:szCs w:val="24"/>
        </w:rPr>
        <w:t xml:space="preserve">1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përfaqësues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i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“Air”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shpk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, </w:t>
      </w:r>
    </w:p>
    <w:p w14:paraId="2AF01F51" w14:textId="77777777" w:rsidR="00D5204E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</w:rPr>
      </w:pPr>
      <w:r w:rsidRPr="00783705">
        <w:rPr>
          <w:rFonts w:asciiTheme="minorHAnsi" w:hAnsiTheme="minorHAnsi" w:cstheme="minorHAnsi"/>
          <w:i/>
          <w:szCs w:val="24"/>
        </w:rPr>
        <w:t xml:space="preserve">3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përfaqësues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“2AT”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shpk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</w:p>
    <w:p w14:paraId="34009581" w14:textId="6E07590C" w:rsidR="00332DB4" w:rsidRPr="00783705" w:rsidRDefault="00D50174" w:rsidP="00691AB9">
      <w:pPr>
        <w:tabs>
          <w:tab w:val="left" w:pos="7552"/>
        </w:tabs>
        <w:spacing w:line="276" w:lineRule="auto"/>
        <w:ind w:left="360"/>
        <w:jc w:val="both"/>
        <w:rPr>
          <w:rFonts w:asciiTheme="minorHAnsi" w:hAnsiTheme="minorHAnsi" w:cstheme="minorHAnsi"/>
          <w:i/>
          <w:szCs w:val="24"/>
        </w:rPr>
      </w:pPr>
      <w:r w:rsidRPr="00783705">
        <w:rPr>
          <w:rFonts w:asciiTheme="minorHAnsi" w:hAnsiTheme="minorHAnsi" w:cstheme="minorHAnsi"/>
          <w:i/>
          <w:szCs w:val="24"/>
        </w:rPr>
        <w:t xml:space="preserve">2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përfaqësues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 xml:space="preserve"> “NRG” </w:t>
      </w:r>
      <w:proofErr w:type="spellStart"/>
      <w:r w:rsidRPr="00783705">
        <w:rPr>
          <w:rFonts w:asciiTheme="minorHAnsi" w:hAnsiTheme="minorHAnsi" w:cstheme="minorHAnsi"/>
          <w:i/>
          <w:szCs w:val="24"/>
        </w:rPr>
        <w:t>shpk</w:t>
      </w:r>
      <w:proofErr w:type="spellEnd"/>
      <w:r w:rsidRPr="00783705">
        <w:rPr>
          <w:rFonts w:asciiTheme="minorHAnsi" w:hAnsiTheme="minorHAnsi" w:cstheme="minorHAnsi"/>
          <w:i/>
          <w:szCs w:val="24"/>
        </w:rPr>
        <w:t>.</w:t>
      </w:r>
    </w:p>
    <w:p w14:paraId="34009582" w14:textId="77777777" w:rsidR="007755F2" w:rsidRPr="00783705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34009583" w14:textId="77777777" w:rsidR="005B6D2B" w:rsidRPr="00783705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Pasqyra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me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arsyetimin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783705"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 w:rsidRPr="00783705">
        <w:rPr>
          <w:rFonts w:asciiTheme="minorHAnsi" w:hAnsiTheme="minorHAnsi" w:cstheme="minorHAnsi"/>
          <w:b/>
          <w:bCs/>
          <w:szCs w:val="24"/>
        </w:rPr>
        <w:t>refuzuara</w:t>
      </w:r>
      <w:proofErr w:type="spellEnd"/>
    </w:p>
    <w:p w14:paraId="34009584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komentet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/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propozim</w:t>
      </w:r>
      <w:r w:rsidR="00332DB4" w:rsidRPr="00783705">
        <w:rPr>
          <w:rFonts w:asciiTheme="minorHAnsi" w:hAnsiTheme="minorHAnsi" w:cstheme="minorHAnsi"/>
          <w:i/>
          <w:iCs/>
          <w:szCs w:val="24"/>
        </w:rPr>
        <w:t>e</w:t>
      </w:r>
      <w:r w:rsidRPr="00783705">
        <w:rPr>
          <w:rFonts w:asciiTheme="minorHAnsi" w:hAnsiTheme="minorHAnsi" w:cstheme="minorHAnsi"/>
          <w:i/>
          <w:iCs/>
          <w:szCs w:val="24"/>
        </w:rPr>
        <w:t>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pranuara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sipas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çështjes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proofErr w:type="gramStart"/>
      <w:r w:rsidRPr="00783705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>;</w:t>
      </w:r>
      <w:proofErr w:type="gramEnd"/>
    </w:p>
    <w:p w14:paraId="34009585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komente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ngjashme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bashku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renditni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proofErr w:type="gramStart"/>
      <w:r w:rsidRPr="00783705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>;</w:t>
      </w:r>
      <w:proofErr w:type="gramEnd"/>
    </w:p>
    <w:p w14:paraId="34009586" w14:textId="77777777" w:rsidR="005B6D2B" w:rsidRPr="0078370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lastRenderedPageBreak/>
        <w:t>Shpjegoni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cili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vendimi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marrë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sqaroni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shkurtimisht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arsyet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783705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783705">
        <w:rPr>
          <w:rFonts w:asciiTheme="minorHAnsi" w:hAnsiTheme="minorHAnsi" w:cstheme="minorHAnsi"/>
          <w:i/>
          <w:iCs/>
          <w:szCs w:val="24"/>
        </w:rPr>
        <w:t>.</w:t>
      </w:r>
    </w:p>
    <w:p w14:paraId="34009587" w14:textId="77777777" w:rsidR="007755F2" w:rsidRPr="00783705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710"/>
        <w:gridCol w:w="1260"/>
        <w:gridCol w:w="2554"/>
        <w:gridCol w:w="1107"/>
      </w:tblGrid>
      <w:tr w:rsidR="005B6D2B" w:rsidRPr="00783705" w14:paraId="3400958F" w14:textId="77777777" w:rsidTr="001B0141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588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783705">
              <w:rPr>
                <w:rFonts w:asciiTheme="minorHAnsi" w:hAnsiTheme="minorHAnsi" w:cstheme="minorHAnsi"/>
                <w:szCs w:val="24"/>
              </w:rPr>
              <w:t>Çështja</w:t>
            </w:r>
            <w:proofErr w:type="spellEnd"/>
            <w:r w:rsidR="00765F3C" w:rsidRPr="0078370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783705">
              <w:rPr>
                <w:rFonts w:asciiTheme="minorHAnsi" w:hAnsiTheme="minorHAnsi" w:cstheme="minorHAnsi"/>
                <w:szCs w:val="24"/>
              </w:rPr>
              <w:t xml:space="preserve">e  </w:t>
            </w:r>
            <w:proofErr w:type="spellStart"/>
            <w:r w:rsidRPr="00783705">
              <w:rPr>
                <w:rFonts w:asciiTheme="minorHAnsi" w:hAnsiTheme="minorHAnsi" w:cstheme="minorHAnsi"/>
                <w:szCs w:val="24"/>
              </w:rPr>
              <w:t>adresuar</w:t>
            </w:r>
            <w:proofErr w:type="spellEnd"/>
            <w:proofErr w:type="gramEnd"/>
          </w:p>
          <w:p w14:paraId="4A3570F7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783705">
              <w:rPr>
                <w:rFonts w:asciiTheme="minorHAnsi" w:hAnsiTheme="minorHAnsi" w:cstheme="minorHAnsi"/>
                <w:szCs w:val="24"/>
              </w:rPr>
              <w:t>(</w:t>
            </w:r>
            <w:proofErr w:type="spellStart"/>
            <w:proofErr w:type="gramStart"/>
            <w:r w:rsidRPr="00783705">
              <w:rPr>
                <w:rFonts w:asciiTheme="minorHAnsi" w:hAnsiTheme="minorHAnsi" w:cstheme="minorHAnsi"/>
                <w:i/>
                <w:szCs w:val="24"/>
              </w:rPr>
              <w:t>psh</w:t>
            </w:r>
            <w:proofErr w:type="spellEnd"/>
            <w:proofErr w:type="gram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.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përkufizimi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ri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…,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kushtet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për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regjistrimin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e…,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rregullimi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 xml:space="preserve">…, </w:t>
            </w:r>
            <w:proofErr w:type="spellStart"/>
            <w:r w:rsidRPr="00783705">
              <w:rPr>
                <w:rFonts w:asciiTheme="minorHAnsi" w:hAnsiTheme="minorHAnsi" w:cstheme="minorHAnsi"/>
                <w:i/>
                <w:szCs w:val="24"/>
              </w:rPr>
              <w:t>etj</w:t>
            </w:r>
            <w:proofErr w:type="spellEnd"/>
            <w:r w:rsidRPr="00783705">
              <w:rPr>
                <w:rFonts w:asciiTheme="minorHAnsi" w:hAnsiTheme="minorHAnsi" w:cstheme="minorHAnsi"/>
                <w:i/>
                <w:szCs w:val="24"/>
              </w:rPr>
              <w:t>.)</w:t>
            </w:r>
          </w:p>
          <w:p w14:paraId="5939E2A5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674FBA3B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6C20AF78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21E4EF66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11981B88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243E9BF8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381FF221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4AF16743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43CE327E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34009589" w14:textId="77777777" w:rsidR="00691AB9" w:rsidRPr="00783705" w:rsidRDefault="00691AB9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58A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Komenti</w:t>
            </w:r>
            <w:proofErr w:type="spellEnd"/>
          </w:p>
          <w:p w14:paraId="49C58E9A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(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grumbulloni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dhe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përmblidhni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komente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identike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ngjashme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nga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palët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e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ndryshme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interesuara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së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>bashku</w:t>
            </w:r>
            <w:proofErr w:type="spellEnd"/>
            <w:r w:rsidRPr="00783705">
              <w:rPr>
                <w:rFonts w:asciiTheme="minorHAnsi" w:hAnsiTheme="minorHAnsi" w:cstheme="minorHAnsi"/>
                <w:i/>
                <w:iCs/>
                <w:szCs w:val="22"/>
              </w:rPr>
              <w:t xml:space="preserve">) </w:t>
            </w:r>
          </w:p>
          <w:p w14:paraId="3AFC82BC" w14:textId="310CE988" w:rsidR="004753FC" w:rsidRPr="00783705" w:rsidRDefault="00C43A7A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783705">
              <w:rPr>
                <w:rFonts w:asciiTheme="minorHAnsi" w:hAnsiTheme="minorHAnsi" w:cstheme="minorHAnsi"/>
                <w:szCs w:val="22"/>
              </w:rPr>
              <w:t>1.</w:t>
            </w:r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Përfaqësuesi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“2 AT”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shpk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pyeti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produktet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që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ata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prodhojnë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vend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kërkonin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dini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çfarë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dokumentesh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duhen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marrë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autorizim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nga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MSHMS,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rastin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kur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ata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janë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regjistruar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REACH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kanë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drejtën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eksport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në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disa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vende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4753FC"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="004753FC" w:rsidRPr="00783705">
              <w:rPr>
                <w:rFonts w:asciiTheme="minorHAnsi" w:hAnsiTheme="minorHAnsi" w:cstheme="minorHAnsi"/>
                <w:szCs w:val="22"/>
              </w:rPr>
              <w:t xml:space="preserve"> BE</w:t>
            </w:r>
            <w:r w:rsidRPr="00783705">
              <w:rPr>
                <w:rFonts w:asciiTheme="minorHAnsi" w:hAnsiTheme="minorHAnsi" w:cstheme="minorHAnsi"/>
                <w:szCs w:val="22"/>
              </w:rPr>
              <w:t>.</w:t>
            </w:r>
          </w:p>
          <w:p w14:paraId="34C2265B" w14:textId="29107584" w:rsidR="00305882" w:rsidRPr="00783705" w:rsidRDefault="00305882" w:rsidP="00F365EC">
            <w:pPr>
              <w:jc w:val="both"/>
              <w:rPr>
                <w:rFonts w:asciiTheme="minorHAnsi" w:hAnsiTheme="minorHAnsi" w:cstheme="minorHAnsi"/>
              </w:rPr>
            </w:pPr>
            <w:r w:rsidRPr="00783705">
              <w:rPr>
                <w:rFonts w:asciiTheme="minorHAnsi" w:hAnsiTheme="minorHAnsi" w:cstheme="minorHAnsi"/>
              </w:rPr>
              <w:t xml:space="preserve">Ata </w:t>
            </w:r>
            <w:proofErr w:type="spellStart"/>
            <w:r w:rsidR="00350CE8" w:rsidRPr="00783705">
              <w:rPr>
                <w:rFonts w:asciiTheme="minorHAnsi" w:hAnsiTheme="minorHAnsi" w:cstheme="minorHAnsi"/>
              </w:rPr>
              <w:t>propozuan</w:t>
            </w:r>
            <w:proofErr w:type="spellEnd"/>
            <w:r w:rsidR="00350CE8"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50CE8" w:rsidRPr="00783705">
              <w:rPr>
                <w:rFonts w:asciiTheme="minorHAnsi" w:hAnsiTheme="minorHAnsi" w:cstheme="minorHAnsi"/>
              </w:rPr>
              <w:t>q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="00350CE8" w:rsidRPr="00783705">
              <w:rPr>
                <w:rFonts w:asciiTheme="minorHAnsi" w:hAnsiTheme="minorHAnsi" w:cstheme="minorHAnsi"/>
              </w:rPr>
              <w:t xml:space="preserve"> </w:t>
            </w:r>
            <w:r w:rsidR="00F365EC" w:rsidRPr="00783705">
              <w:rPr>
                <w:rFonts w:asciiTheme="minorHAnsi" w:hAnsiTheme="minorHAnsi" w:cstheme="minorHAnsi"/>
              </w:rPr>
              <w:t xml:space="preserve">pika 2 e </w:t>
            </w:r>
            <w:proofErr w:type="spellStart"/>
            <w:r w:rsidR="00F365EC" w:rsidRPr="00783705">
              <w:rPr>
                <w:rFonts w:asciiTheme="minorHAnsi" w:hAnsiTheme="minorHAnsi" w:cstheme="minorHAnsi"/>
              </w:rPr>
              <w:t>nenit</w:t>
            </w:r>
            <w:proofErr w:type="spellEnd"/>
            <w:r w:rsidR="00F365EC" w:rsidRPr="00783705">
              <w:rPr>
                <w:rFonts w:asciiTheme="minorHAnsi" w:hAnsiTheme="minorHAnsi" w:cstheme="minorHAnsi"/>
              </w:rPr>
              <w:t xml:space="preserve"> 8 </w:t>
            </w:r>
            <w:proofErr w:type="spellStart"/>
            <w:r w:rsidR="00F365EC" w:rsidRPr="00783705">
              <w:rPr>
                <w:rFonts w:asciiTheme="minorHAnsi" w:hAnsiTheme="minorHAnsi" w:cstheme="minorHAnsi"/>
              </w:rPr>
              <w:t>të</w:t>
            </w:r>
            <w:proofErr w:type="spellEnd"/>
            <w:r w:rsidR="00F365EC"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modifikohet</w:t>
            </w:r>
            <w:proofErr w:type="spellEnd"/>
            <w:r w:rsidRPr="00783705">
              <w:rPr>
                <w:rFonts w:asciiTheme="minorHAnsi" w:hAnsiTheme="minorHAnsi" w:cstheme="minorHAnsi"/>
              </w:rPr>
              <w:t>:</w:t>
            </w:r>
          </w:p>
          <w:p w14:paraId="17463206" w14:textId="18522336" w:rsidR="00305882" w:rsidRPr="00783705" w:rsidRDefault="00305882" w:rsidP="00F365EC">
            <w:pPr>
              <w:jc w:val="both"/>
              <w:rPr>
                <w:rFonts w:asciiTheme="minorHAnsi" w:hAnsiTheme="minorHAnsi" w:cstheme="minorHAnsi"/>
              </w:rPr>
            </w:pPr>
            <w:r w:rsidRPr="00783705">
              <w:rPr>
                <w:rFonts w:asciiTheme="minorHAnsi" w:hAnsiTheme="minorHAnsi" w:cstheme="minorHAnsi"/>
              </w:rPr>
              <w:t>a) </w:t>
            </w:r>
            <w:proofErr w:type="spellStart"/>
            <w:r w:rsidRPr="00783705">
              <w:rPr>
                <w:rFonts w:asciiTheme="minorHAnsi" w:hAnsiTheme="minorHAnsi" w:cstheme="minorHAnsi"/>
              </w:rPr>
              <w:t>produkte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biocide </w:t>
            </w:r>
            <w:proofErr w:type="spellStart"/>
            <w:r w:rsidRPr="00783705">
              <w:rPr>
                <w:rFonts w:asciiTheme="minorHAnsi" w:hAnsiTheme="minorHAnsi" w:cstheme="minorHAnsi"/>
              </w:rPr>
              <w:t>te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prodhuara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n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vend, </w:t>
            </w:r>
            <w:proofErr w:type="spellStart"/>
            <w:r w:rsidRPr="00783705">
              <w:rPr>
                <w:rFonts w:asciiTheme="minorHAnsi" w:hAnsiTheme="minorHAnsi" w:cstheme="minorHAnsi"/>
              </w:rPr>
              <w:t>por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t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certifikuara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p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r w:rsidRPr="00783705">
              <w:rPr>
                <w:rFonts w:asciiTheme="minorHAnsi" w:hAnsiTheme="minorHAnsi" w:cstheme="minorHAnsi"/>
              </w:rPr>
              <w:t>r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p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r w:rsidRPr="00783705">
              <w:rPr>
                <w:rFonts w:asciiTheme="minorHAnsi" w:hAnsiTheme="minorHAnsi" w:cstheme="minorHAnsi"/>
              </w:rPr>
              <w:t>rdorim</w:t>
            </w:r>
            <w:proofErr w:type="spellEnd"/>
            <w:r w:rsidRPr="00783705">
              <w:rPr>
                <w:rFonts w:asciiTheme="minorHAnsi" w:hAnsiTheme="minorHAnsi" w:cstheme="minorHAnsi"/>
              </w:rPr>
              <w:t> </w:t>
            </w:r>
            <w:proofErr w:type="spellStart"/>
            <w:r w:rsidRPr="00783705">
              <w:rPr>
                <w:rFonts w:asciiTheme="minorHAnsi" w:hAnsiTheme="minorHAnsi" w:cstheme="minorHAnsi"/>
              </w:rPr>
              <w:t>n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nj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nga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vendet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83705">
              <w:rPr>
                <w:rFonts w:asciiTheme="minorHAnsi" w:hAnsiTheme="minorHAnsi" w:cstheme="minorHAnsi"/>
              </w:rPr>
              <w:t>Bashkimit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Evropian</w:t>
            </w:r>
            <w:proofErr w:type="spellEnd"/>
            <w:r w:rsidRPr="00783705">
              <w:rPr>
                <w:rFonts w:asciiTheme="minorHAnsi" w:hAnsiTheme="minorHAnsi" w:cstheme="minorHAnsi"/>
              </w:rPr>
              <w:t> </w:t>
            </w:r>
            <w:proofErr w:type="spellStart"/>
            <w:r w:rsidRPr="00783705">
              <w:rPr>
                <w:rFonts w:asciiTheme="minorHAnsi" w:hAnsiTheme="minorHAnsi" w:cstheme="minorHAnsi"/>
              </w:rPr>
              <w:t>ose</w:t>
            </w:r>
            <w:proofErr w:type="spellEnd"/>
            <w:r w:rsidRPr="00783705">
              <w:rPr>
                <w:rFonts w:asciiTheme="minorHAnsi" w:hAnsiTheme="minorHAnsi" w:cstheme="minorHAnsi"/>
              </w:rPr>
              <w:t> </w:t>
            </w:r>
            <w:proofErr w:type="spellStart"/>
            <w:r w:rsidRPr="00783705">
              <w:rPr>
                <w:rFonts w:asciiTheme="minorHAnsi" w:hAnsiTheme="minorHAnsi" w:cstheme="minorHAnsi"/>
              </w:rPr>
              <w:t>t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regjistruara</w:t>
            </w:r>
            <w:proofErr w:type="spellEnd"/>
            <w:r w:rsidR="00F365EC"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sipas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Rregullores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REACH </w:t>
            </w:r>
            <w:proofErr w:type="spellStart"/>
            <w:r w:rsidRPr="00783705">
              <w:rPr>
                <w:rFonts w:asciiTheme="minorHAnsi" w:hAnsiTheme="minorHAnsi" w:cstheme="minorHAnsi"/>
              </w:rPr>
              <w:t>t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Agjencis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Evropiane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t</w:t>
            </w:r>
            <w:r w:rsidR="00F365EC" w:rsidRPr="00783705">
              <w:rPr>
                <w:rFonts w:asciiTheme="minorHAnsi" w:hAnsiTheme="minorHAnsi" w:cstheme="minorHAnsi"/>
              </w:rPr>
              <w:t>ë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</w:rPr>
              <w:t>Kimikateve</w:t>
            </w:r>
            <w:proofErr w:type="spellEnd"/>
            <w:r w:rsidRPr="00783705">
              <w:rPr>
                <w:rFonts w:asciiTheme="minorHAnsi" w:hAnsiTheme="minorHAnsi" w:cstheme="minorHAnsi"/>
              </w:rPr>
              <w:t xml:space="preserve"> ECHA."</w:t>
            </w:r>
          </w:p>
          <w:p w14:paraId="080B4E29" w14:textId="77777777" w:rsidR="00305882" w:rsidRPr="00783705" w:rsidRDefault="00305882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AC5DBDD" w14:textId="4366ACD9" w:rsidR="00C43A7A" w:rsidRPr="00783705" w:rsidRDefault="00C43A7A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</w:rPr>
              <w:t xml:space="preserve">2.Përfaqësuesi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“Air”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shpk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kërkoi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sqarime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nëse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një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kompani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do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importojë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një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produkt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biocid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duhet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jemi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licensuar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me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licensën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e re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mjafton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që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produkti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jetë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regjistruar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tek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ECHA,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dhe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kaq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është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mjatfueshme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783705"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 w:rsidRPr="00783705">
              <w:rPr>
                <w:rFonts w:asciiTheme="minorHAnsi" w:hAnsiTheme="minorHAnsi" w:cstheme="minorHAnsi"/>
                <w:szCs w:val="22"/>
              </w:rPr>
              <w:t xml:space="preserve"> ne? 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Dokumentet do të kërkohen nga prodhuesi i produktit apo nga distributori i autorizuar prej tij?</w:t>
            </w:r>
          </w:p>
          <w:p w14:paraId="75C81B06" w14:textId="074AB622" w:rsidR="001907EF" w:rsidRPr="00783705" w:rsidRDefault="001907EF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3.Përfaqësuesi i “NRG” shpk kërkoi sqarim nëse autorizimi jepet me unifikimi të konfeksioneve (paketimeve) apo pa 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lastRenderedPageBreak/>
              <w:t>unifikim, pra a ka përcaktim kur merr autorizimin për llojin e paketimit.</w:t>
            </w:r>
          </w:p>
          <w:p w14:paraId="4F6BD56E" w14:textId="621F896F" w:rsidR="001B0141" w:rsidRPr="00783705" w:rsidRDefault="00E44686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4.Përfaqësuesi i “2 AT” shpk kërkoi rishikimin e afateve pasi janë shumë të gjata deri në përfundim të marrjes së autorizimi</w:t>
            </w:r>
          </w:p>
          <w:p w14:paraId="1EED575F" w14:textId="549F2FCB" w:rsidR="00915B5E" w:rsidRPr="00783705" w:rsidRDefault="007D690D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5.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Përfaqësuesi i “Meldi” shpk kërkoi sqarim se në lidhje me shfuqizimin e një autorizimi i është lënë shumë kompetenca ISHP-së.</w:t>
            </w:r>
            <w:r w:rsidR="0047463A"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Duhet t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="0047463A"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rishikohen ko</w:t>
            </w:r>
            <w:r w:rsidR="00F07B4B" w:rsidRPr="00783705">
              <w:rPr>
                <w:rFonts w:asciiTheme="minorHAnsi" w:hAnsiTheme="minorHAnsi" w:cstheme="minorHAnsi"/>
                <w:szCs w:val="22"/>
                <w:lang w:val="da-DK"/>
              </w:rPr>
              <w:t>mpetencat e institucioneve</w:t>
            </w:r>
            <w:r w:rsidR="00915B5E" w:rsidRPr="00783705">
              <w:rPr>
                <w:rFonts w:asciiTheme="minorHAnsi" w:hAnsiTheme="minorHAnsi" w:cstheme="minorHAnsi"/>
                <w:szCs w:val="22"/>
                <w:lang w:val="da-DK"/>
              </w:rPr>
              <w:t>.</w:t>
            </w:r>
          </w:p>
          <w:p w14:paraId="71FA9F26" w14:textId="7E625F42" w:rsidR="001B0141" w:rsidRPr="00783705" w:rsidRDefault="00201FF4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U propozua t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hiqet 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Neni 15, 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>gërma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>“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b</w:t>
            </w:r>
            <w:r w:rsidR="00511C02" w:rsidRPr="00783705">
              <w:rPr>
                <w:rFonts w:asciiTheme="minorHAnsi" w:hAnsiTheme="minorHAnsi" w:cstheme="minorHAnsi"/>
                <w:szCs w:val="22"/>
                <w:lang w:val="da-DK"/>
              </w:rPr>
              <w:t>” e projektligjit.</w:t>
            </w:r>
          </w:p>
          <w:p w14:paraId="7497849F" w14:textId="77777777" w:rsidR="00AD3908" w:rsidRPr="00783705" w:rsidRDefault="00AD3908" w:rsidP="00C43A7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21E8167A" w14:textId="7B67BA34" w:rsidR="005C2DF7" w:rsidRPr="00783705" w:rsidRDefault="005C2DF7" w:rsidP="00AD3908">
            <w:pPr>
              <w:pStyle w:val="BodyText"/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6.Përfaqësuesi i “NRG” shpk propozoi riformulim t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</w:t>
            </w:r>
            <w:r w:rsidR="00A10AE3" w:rsidRPr="00783705"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  <w:t>gërmës a, b dhe c, të pikës 1, të nenit 8 të Projektligjit.</w:t>
            </w:r>
          </w:p>
          <w:p w14:paraId="63EC1318" w14:textId="0E5963E4" w:rsidR="004C5FF6" w:rsidRPr="00783705" w:rsidRDefault="004C5FF6" w:rsidP="00AD390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</w:pPr>
            <w:r w:rsidRPr="00783705"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  <w:t xml:space="preserve">Propozuan nxitjen e inisiativës për krijimin e shoqatës profesionale lidhur me produktet biocide, qoftë edhe duke cituar dicka në përmbajtje të ligjit. </w:t>
            </w:r>
            <w:r w:rsidR="00A23CEE" w:rsidRPr="00783705"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  <w:t>Në funksion të këtij qëllimi propozuan që në nenin 15, në fund të fjalisë, në germën “e” të shtohet togfjalëshi: “</w:t>
            </w:r>
            <w:r w:rsidR="00A23CEE" w:rsidRPr="00783705">
              <w:rPr>
                <w:rFonts w:asciiTheme="minorHAnsi" w:eastAsia="Calibri" w:hAnsiTheme="minorHAnsi" w:cstheme="minorHAnsi"/>
                <w:i/>
                <w:iCs/>
                <w:kern w:val="2"/>
                <w:szCs w:val="22"/>
                <w:lang w:val="da-DK"/>
              </w:rPr>
              <w:t>ndihmuar edhe nga shoqata të profesionistëve të fushës</w:t>
            </w:r>
            <w:r w:rsidR="00A23CEE" w:rsidRPr="00783705">
              <w:rPr>
                <w:rFonts w:asciiTheme="minorHAnsi" w:eastAsia="Calibri" w:hAnsiTheme="minorHAnsi" w:cstheme="minorHAnsi"/>
                <w:kern w:val="2"/>
                <w:szCs w:val="22"/>
                <w:lang w:val="da-DK"/>
              </w:rPr>
              <w:t>”.</w:t>
            </w:r>
          </w:p>
          <w:p w14:paraId="607E2F5E" w14:textId="77777777" w:rsidR="004C5FF6" w:rsidRPr="00783705" w:rsidRDefault="004C5FF6" w:rsidP="00C43A7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</w:p>
          <w:p w14:paraId="3400958B" w14:textId="77777777" w:rsidR="004753FC" w:rsidRPr="00783705" w:rsidRDefault="004753FC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58C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lastRenderedPageBreak/>
              <w:t xml:space="preserve">Palët e interesuara </w:t>
            </w:r>
            <w:r w:rsidRPr="0078370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(renditni të gjithë ata që adresuan çështjen në mënyrë të ngjashme)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73B0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Vendimi (I pranuar/I pranuar pjesërisht/I refuzuar) </w:t>
            </w:r>
          </w:p>
          <w:p w14:paraId="0FEFE966" w14:textId="77777777" w:rsidR="004753FC" w:rsidRPr="00783705" w:rsidRDefault="004753FC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17F68EF9" w14:textId="77777777" w:rsidR="004753FC" w:rsidRPr="00783705" w:rsidRDefault="004753FC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62FC16C9" w14:textId="221772A9" w:rsidR="004753FC" w:rsidRPr="00783705" w:rsidRDefault="00BE23F6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Nga grupi i punës u shpjegua që përsa i përket një autorizimi të posaçëm për prodhimin, legjislacioni aktual nuk ka një përcaktim dhe do kërkonim dhe propozimet tuaja mbi këtë </w:t>
            </w:r>
            <w:r w:rsidR="00020B13" w:rsidRPr="00783705">
              <w:rPr>
                <w:rFonts w:asciiTheme="minorHAnsi" w:hAnsiTheme="minorHAnsi" w:cstheme="minorHAnsi"/>
                <w:szCs w:val="22"/>
                <w:lang w:val="da-DK"/>
              </w:rPr>
              <w:t>process</w:t>
            </w:r>
          </w:p>
          <w:p w14:paraId="0EC1A0DA" w14:textId="77777777" w:rsidR="001B0141" w:rsidRPr="00783705" w:rsidRDefault="001B0141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1FD35D20" w14:textId="77777777" w:rsidR="001B0141" w:rsidRPr="00783705" w:rsidRDefault="001B0141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073FDD8B" w14:textId="75F79A15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Ky propozim është duke u vlerësuar nga grupi I punës</w:t>
            </w:r>
          </w:p>
          <w:p w14:paraId="281FB001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117C79A1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5505E823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55A5FF77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119C04A5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049014F6" w14:textId="77777777" w:rsidR="00D763CB" w:rsidRPr="00783705" w:rsidRDefault="00D763C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09BAB721" w14:textId="60B9376E" w:rsidR="00020B13" w:rsidRPr="00783705" w:rsidRDefault="00020B13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Nga grupi i punës u sqarua që qëllimi i ligjit është rregullimi i produktit, pra që produkti të jetë i kontrolluar. Rregullat teknike dhe kriteret e aplikimit do të përcaktohen me akte nënligjore, dhe nuk mund të jenë të përcaktuara në projektligj.</w:t>
            </w:r>
          </w:p>
          <w:p w14:paraId="1410AE89" w14:textId="77777777" w:rsidR="007A212B" w:rsidRPr="00783705" w:rsidRDefault="007A212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75A09694" w14:textId="77777777" w:rsidR="001B0141" w:rsidRPr="00783705" w:rsidRDefault="001B0141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3D3CEE1B" w14:textId="0AA84D0D" w:rsidR="007A212B" w:rsidRPr="00783705" w:rsidRDefault="007A212B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Grupi i punës sqaroi që nuk ka përcaktime në ligj për këtë gjë dhe etiketa miratohet për produktin që del në treg këtu</w:t>
            </w:r>
          </w:p>
          <w:p w14:paraId="12C89884" w14:textId="77777777" w:rsidR="00997BDA" w:rsidRPr="00783705" w:rsidRDefault="00997BDA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02E5A192" w14:textId="77777777" w:rsidR="001B0141" w:rsidRPr="00783705" w:rsidRDefault="001B0141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19FE2180" w14:textId="2CBDA813" w:rsidR="00997BDA" w:rsidRPr="00783705" w:rsidRDefault="00997BDA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Grupi i punës sqaroi që në kuadër të derregullimit janë rishikuar afatet dhe do të ulet koha e marrjes së autorizimit.</w:t>
            </w:r>
          </w:p>
          <w:p w14:paraId="221F1B09" w14:textId="79F95D9A" w:rsidR="001F4685" w:rsidRPr="00783705" w:rsidRDefault="002B7ED4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Nga grupi i punës u shpjegua që janë strukturat e ISHP, strukturat e njësive vendore të kujdesit shëndetësor ata të cilët shkojnë në terren dhe bëjnë vlerësime të tilla në lidhje me produktet biocide.</w:t>
            </w:r>
            <w:r w:rsidR="00F07B4B"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</w:t>
            </w:r>
          </w:p>
          <w:p w14:paraId="1F821198" w14:textId="123D9CAC" w:rsidR="00D4687F" w:rsidRPr="00783705" w:rsidRDefault="00915B5E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Grupi i punës është duke vlerësuar këto komente.</w:t>
            </w:r>
          </w:p>
          <w:p w14:paraId="647014B7" w14:textId="77777777" w:rsidR="00915B5E" w:rsidRPr="00783705" w:rsidRDefault="00915B5E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79E51D54" w14:textId="77777777" w:rsidR="00915B5E" w:rsidRPr="00783705" w:rsidRDefault="00915B5E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</w:p>
          <w:p w14:paraId="3400958D" w14:textId="3AD78A65" w:rsidR="00A10AE3" w:rsidRPr="00783705" w:rsidRDefault="00A10AE3" w:rsidP="0021058A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Grupi 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i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pun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s 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sht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duke vler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suar k</w:t>
            </w:r>
            <w:r w:rsidR="009C7FDF" w:rsidRPr="00783705">
              <w:rPr>
                <w:rFonts w:asciiTheme="minorHAnsi" w:hAnsiTheme="minorHAnsi" w:cstheme="minorHAnsi"/>
                <w:szCs w:val="22"/>
                <w:lang w:val="da-DK"/>
              </w:rPr>
              <w:t>ë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t</w:t>
            </w:r>
            <w:r w:rsidR="00A23CEE" w:rsidRPr="00783705">
              <w:rPr>
                <w:rFonts w:asciiTheme="minorHAnsi" w:hAnsiTheme="minorHAnsi" w:cstheme="minorHAnsi"/>
                <w:szCs w:val="22"/>
                <w:lang w:val="da-DK"/>
              </w:rPr>
              <w:t>o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 xml:space="preserve"> koment</w:t>
            </w:r>
            <w:r w:rsidR="00A23CEE" w:rsidRPr="00783705">
              <w:rPr>
                <w:rFonts w:asciiTheme="minorHAnsi" w:hAnsiTheme="minorHAnsi" w:cstheme="minorHAnsi"/>
                <w:szCs w:val="22"/>
                <w:lang w:val="da-DK"/>
              </w:rPr>
              <w:t>e</w:t>
            </w:r>
            <w:r w:rsidRPr="00783705">
              <w:rPr>
                <w:rFonts w:asciiTheme="minorHAnsi" w:hAnsiTheme="minorHAnsi" w:cstheme="minorHAnsi"/>
                <w:szCs w:val="22"/>
                <w:lang w:val="da-DK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58E" w14:textId="77777777" w:rsidR="005B6D2B" w:rsidRPr="0078370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783705">
              <w:rPr>
                <w:rFonts w:asciiTheme="minorHAnsi" w:hAnsiTheme="minorHAnsi" w:cstheme="minorHAnsi"/>
                <w:szCs w:val="24"/>
              </w:rPr>
              <w:lastRenderedPageBreak/>
              <w:t>Justifikimi</w:t>
            </w:r>
            <w:proofErr w:type="spellEnd"/>
          </w:p>
        </w:tc>
      </w:tr>
    </w:tbl>
    <w:p w14:paraId="34009590" w14:textId="77777777" w:rsidR="005B6D2B" w:rsidRPr="00783705" w:rsidRDefault="005B6D2B">
      <w:pPr>
        <w:rPr>
          <w:rFonts w:asciiTheme="minorHAnsi" w:hAnsiTheme="minorHAnsi"/>
          <w:szCs w:val="24"/>
        </w:rPr>
      </w:pPr>
    </w:p>
    <w:p w14:paraId="4694E56D" w14:textId="77777777" w:rsidR="006C083D" w:rsidRPr="00783705" w:rsidRDefault="006C083D">
      <w:pPr>
        <w:rPr>
          <w:rFonts w:asciiTheme="minorHAnsi" w:hAnsiTheme="minorHAnsi"/>
          <w:szCs w:val="24"/>
        </w:rPr>
      </w:pPr>
    </w:p>
    <w:sectPr w:rsidR="006C083D" w:rsidRPr="00783705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17B0"/>
    <w:multiLevelType w:val="hybridMultilevel"/>
    <w:tmpl w:val="1FC8868E"/>
    <w:lvl w:ilvl="0" w:tplc="3B720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9043952">
    <w:abstractNumId w:val="0"/>
  </w:num>
  <w:num w:numId="2" w16cid:durableId="2027168631">
    <w:abstractNumId w:val="2"/>
  </w:num>
  <w:num w:numId="3" w16cid:durableId="1650285002">
    <w:abstractNumId w:val="4"/>
  </w:num>
  <w:num w:numId="4" w16cid:durableId="701367959">
    <w:abstractNumId w:val="1"/>
  </w:num>
  <w:num w:numId="5" w16cid:durableId="186767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20B13"/>
    <w:rsid w:val="0004166D"/>
    <w:rsid w:val="00053781"/>
    <w:rsid w:val="000B3F94"/>
    <w:rsid w:val="000C758D"/>
    <w:rsid w:val="001907EF"/>
    <w:rsid w:val="00196392"/>
    <w:rsid w:val="001B0141"/>
    <w:rsid w:val="001F4685"/>
    <w:rsid w:val="00201FF4"/>
    <w:rsid w:val="00260E60"/>
    <w:rsid w:val="002B161B"/>
    <w:rsid w:val="002B6B8F"/>
    <w:rsid w:val="002B7ED4"/>
    <w:rsid w:val="00305882"/>
    <w:rsid w:val="003165EA"/>
    <w:rsid w:val="00332DB4"/>
    <w:rsid w:val="00350CE8"/>
    <w:rsid w:val="003A1CCD"/>
    <w:rsid w:val="003D4628"/>
    <w:rsid w:val="00435429"/>
    <w:rsid w:val="00445CC3"/>
    <w:rsid w:val="0047463A"/>
    <w:rsid w:val="004753FC"/>
    <w:rsid w:val="004C4910"/>
    <w:rsid w:val="004C5FF6"/>
    <w:rsid w:val="004C711D"/>
    <w:rsid w:val="00511C02"/>
    <w:rsid w:val="00567ACB"/>
    <w:rsid w:val="005B1920"/>
    <w:rsid w:val="005B6D2B"/>
    <w:rsid w:val="005C2DF7"/>
    <w:rsid w:val="005D364F"/>
    <w:rsid w:val="00656BB0"/>
    <w:rsid w:val="006867DF"/>
    <w:rsid w:val="00691AB9"/>
    <w:rsid w:val="006C083D"/>
    <w:rsid w:val="00741C60"/>
    <w:rsid w:val="00765F3C"/>
    <w:rsid w:val="007755F2"/>
    <w:rsid w:val="00783705"/>
    <w:rsid w:val="007A212B"/>
    <w:rsid w:val="007D508E"/>
    <w:rsid w:val="007D690D"/>
    <w:rsid w:val="007F1FAD"/>
    <w:rsid w:val="008369BB"/>
    <w:rsid w:val="008B0269"/>
    <w:rsid w:val="008F44B1"/>
    <w:rsid w:val="0091093C"/>
    <w:rsid w:val="00915B5E"/>
    <w:rsid w:val="009358F4"/>
    <w:rsid w:val="00963283"/>
    <w:rsid w:val="00965584"/>
    <w:rsid w:val="00997BDA"/>
    <w:rsid w:val="009B696C"/>
    <w:rsid w:val="009C7FDF"/>
    <w:rsid w:val="009D276C"/>
    <w:rsid w:val="00A06DA1"/>
    <w:rsid w:val="00A10AE3"/>
    <w:rsid w:val="00A121AB"/>
    <w:rsid w:val="00A23CEE"/>
    <w:rsid w:val="00A3438A"/>
    <w:rsid w:val="00AC36A8"/>
    <w:rsid w:val="00AD3908"/>
    <w:rsid w:val="00B33196"/>
    <w:rsid w:val="00BE23F6"/>
    <w:rsid w:val="00C20DD3"/>
    <w:rsid w:val="00C43A7A"/>
    <w:rsid w:val="00CC7314"/>
    <w:rsid w:val="00D4687F"/>
    <w:rsid w:val="00D50174"/>
    <w:rsid w:val="00D5115D"/>
    <w:rsid w:val="00D5204E"/>
    <w:rsid w:val="00D763CB"/>
    <w:rsid w:val="00D800CD"/>
    <w:rsid w:val="00DD5D4E"/>
    <w:rsid w:val="00E05B15"/>
    <w:rsid w:val="00E44686"/>
    <w:rsid w:val="00E60450"/>
    <w:rsid w:val="00EF0386"/>
    <w:rsid w:val="00F03EFF"/>
    <w:rsid w:val="00F07B4B"/>
    <w:rsid w:val="00F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9570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sultimipublik.gov.al/Konsultime/Institucioni/47%20%20n&#235;%20dat&#235;%2014.10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Vojsava Gjoliku</cp:lastModifiedBy>
  <cp:revision>2</cp:revision>
  <dcterms:created xsi:type="dcterms:W3CDTF">2025-01-27T11:34:00Z</dcterms:created>
  <dcterms:modified xsi:type="dcterms:W3CDTF">2025-01-27T11:34:00Z</dcterms:modified>
</cp:coreProperties>
</file>