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081B6" w14:textId="1490A8ED" w:rsidR="00D06F79" w:rsidRPr="007440A2" w:rsidRDefault="00D06F79">
      <w:pPr>
        <w:pStyle w:val="NoSpacing"/>
        <w:spacing w:before="1540" w:after="240"/>
        <w:jc w:val="center"/>
      </w:pPr>
      <w:bookmarkStart w:id="0" w:name="_GoBack"/>
      <w:bookmarkEnd w:id="0"/>
    </w:p>
    <w:sdt>
      <w:sdtPr>
        <w:id w:val="-1217282329"/>
        <w:docPartObj>
          <w:docPartGallery w:val="Cover Pages"/>
          <w:docPartUnique/>
        </w:docPartObj>
      </w:sdtPr>
      <w:sdtEndPr>
        <w:rPr>
          <w:rFonts w:ascii="Times New Roman" w:eastAsia="Times New Roman" w:hAnsi="Times New Roman" w:cs="Times New Roman"/>
          <w:bCs/>
          <w:sz w:val="28"/>
          <w:szCs w:val="28"/>
          <w:lang w:val="en-GB" w:eastAsia="x-non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sdtEndPr>
      <w:sdtContent>
        <w:p w14:paraId="67DF10DD" w14:textId="0CAD5B13" w:rsidR="007B427D" w:rsidRPr="007440A2" w:rsidRDefault="003B0DFD" w:rsidP="003B0DFD">
          <w:pPr>
            <w:pStyle w:val="NoSpacing"/>
            <w:spacing w:before="1540" w:after="240"/>
          </w:pPr>
          <w:r w:rsidRPr="007440A2">
            <w:rPr>
              <w:noProof/>
            </w:rPr>
            <w:drawing>
              <wp:anchor distT="0" distB="0" distL="114300" distR="114300" simplePos="0" relativeHeight="251717632" behindDoc="0" locked="0" layoutInCell="1" allowOverlap="1" wp14:anchorId="4C827BB3" wp14:editId="5C82BD24">
                <wp:simplePos x="0" y="0"/>
                <wp:positionH relativeFrom="margin">
                  <wp:align>center</wp:align>
                </wp:positionH>
                <wp:positionV relativeFrom="page">
                  <wp:posOffset>2536272</wp:posOffset>
                </wp:positionV>
                <wp:extent cx="3612515" cy="2465070"/>
                <wp:effectExtent l="0" t="0" r="6985" b="0"/>
                <wp:wrapSquare wrapText="bothSides"/>
                <wp:docPr id="1" name="Picture 1" descr="Ministria e Drejtësis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ria e Drejtësisë"/>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612515" cy="2465070"/>
                        </a:xfrm>
                        <a:prstGeom prst="rect">
                          <a:avLst/>
                        </a:prstGeom>
                        <a:noFill/>
                        <a:ln>
                          <a:noFill/>
                        </a:ln>
                      </pic:spPr>
                    </pic:pic>
                  </a:graphicData>
                </a:graphic>
              </wp:anchor>
            </w:drawing>
          </w:r>
        </w:p>
        <w:p w14:paraId="67925881" w14:textId="65A1676F" w:rsidR="009B4463" w:rsidRDefault="009B4463" w:rsidP="00A65A6C">
          <w:pPr>
            <w:pStyle w:val="NoSpacing"/>
            <w:spacing w:before="1540" w:after="240"/>
          </w:pPr>
        </w:p>
        <w:p w14:paraId="56DB228E" w14:textId="77777777" w:rsidR="003B0DFD" w:rsidRPr="007440A2" w:rsidRDefault="003B0DFD" w:rsidP="00A65A6C">
          <w:pPr>
            <w:pStyle w:val="NoSpacing"/>
            <w:spacing w:before="1540" w:after="240"/>
          </w:pPr>
        </w:p>
        <w:sdt>
          <w:sdtPr>
            <w:rPr>
              <w:rFonts w:ascii="Times New Roman" w:eastAsia="Calibri" w:hAnsi="Times New Roman" w:cs="Times New Roman"/>
              <w:b/>
              <w:color w:val="000000" w:themeColor="text1"/>
              <w:sz w:val="48"/>
              <w:szCs w:val="48"/>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sdtContent>
            <w:p w14:paraId="26B734F2" w14:textId="7831E363" w:rsidR="007B427D" w:rsidRPr="00894FF2" w:rsidRDefault="00A65A6C" w:rsidP="007B427D">
              <w:pPr>
                <w:pStyle w:val="NoSpacing"/>
                <w:pBdr>
                  <w:top w:val="single" w:sz="6" w:space="6" w:color="99CB38" w:themeColor="accent1"/>
                  <w:bottom w:val="single" w:sz="6" w:space="6" w:color="99CB38" w:themeColor="accent1"/>
                </w:pBdr>
                <w:spacing w:after="240"/>
                <w:jc w:val="center"/>
                <w:rPr>
                  <w:rFonts w:asciiTheme="majorHAnsi" w:eastAsiaTheme="majorEastAsia" w:hAnsiTheme="majorHAnsi" w:cstheme="majorBidi"/>
                  <w:b/>
                  <w:caps/>
                  <w:color w:val="000000" w:themeColor="text1"/>
                  <w:sz w:val="48"/>
                  <w:szCs w:val="48"/>
                </w:rPr>
              </w:pPr>
              <w:r w:rsidRPr="00894FF2">
                <w:rPr>
                  <w:rFonts w:ascii="Times New Roman" w:eastAsia="Calibri" w:hAnsi="Times New Roman" w:cs="Times New Roman"/>
                  <w:b/>
                  <w:color w:val="000000" w:themeColor="text1"/>
                  <w:sz w:val="48"/>
                  <w:szCs w:val="48"/>
                </w:rPr>
                <w:t xml:space="preserve">Strategjia Ndërsektoriale </w:t>
              </w:r>
              <w:r w:rsidR="0087348C" w:rsidRPr="00894FF2">
                <w:rPr>
                  <w:rFonts w:ascii="Times New Roman" w:eastAsia="Calibri" w:hAnsi="Times New Roman" w:cs="Times New Roman"/>
                  <w:b/>
                  <w:color w:val="000000" w:themeColor="text1"/>
                  <w:sz w:val="48"/>
                  <w:szCs w:val="48"/>
                </w:rPr>
                <w:t xml:space="preserve">e Drejtësisë </w:t>
              </w:r>
              <w:r w:rsidR="008875EB" w:rsidRPr="00894FF2">
                <w:rPr>
                  <w:rFonts w:ascii="Times New Roman" w:eastAsia="Calibri" w:hAnsi="Times New Roman" w:cs="Times New Roman"/>
                  <w:b/>
                  <w:color w:val="000000" w:themeColor="text1"/>
                  <w:sz w:val="48"/>
                  <w:szCs w:val="48"/>
                </w:rPr>
                <w:t xml:space="preserve">         </w:t>
              </w:r>
              <w:r w:rsidR="0087348C" w:rsidRPr="00894FF2">
                <w:rPr>
                  <w:rFonts w:ascii="Times New Roman" w:eastAsia="Calibri" w:hAnsi="Times New Roman" w:cs="Times New Roman"/>
                  <w:b/>
                  <w:color w:val="000000" w:themeColor="text1"/>
                  <w:sz w:val="48"/>
                  <w:szCs w:val="48"/>
                </w:rPr>
                <w:t>2024-2030</w:t>
              </w:r>
            </w:p>
          </w:sdtContent>
        </w:sdt>
        <w:p w14:paraId="3618A27D" w14:textId="36195534" w:rsidR="007B427D" w:rsidRPr="007440A2" w:rsidRDefault="007B427D">
          <w:pPr>
            <w:pStyle w:val="NoSpacing"/>
            <w:spacing w:before="480"/>
            <w:jc w:val="center"/>
          </w:pPr>
        </w:p>
        <w:p w14:paraId="1636BB81" w14:textId="7D4C5CFB" w:rsidR="003B71BF" w:rsidRPr="007440A2" w:rsidRDefault="003B0DFD" w:rsidP="003B71BF">
          <w:pPr>
            <w:rPr>
              <w:rFonts w:ascii="Times New Roman" w:eastAsia="Times New Roman" w:hAnsi="Times New Roman" w:cs="Times New Roman"/>
              <w:bCs/>
              <w:sz w:val="28"/>
              <w:szCs w:val="28"/>
              <w:lang w:val="en-GB" w:eastAsia="x-non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440A2">
            <w:rPr>
              <w:noProof/>
            </w:rPr>
            <mc:AlternateContent>
              <mc:Choice Requires="wps">
                <w:drawing>
                  <wp:anchor distT="0" distB="0" distL="114300" distR="114300" simplePos="0" relativeHeight="251669504" behindDoc="0" locked="0" layoutInCell="1" allowOverlap="1" wp14:anchorId="0DEF1DFC" wp14:editId="759814C6">
                    <wp:simplePos x="0" y="0"/>
                    <wp:positionH relativeFrom="margin">
                      <wp:align>right</wp:align>
                    </wp:positionH>
                    <wp:positionV relativeFrom="page">
                      <wp:posOffset>7301435</wp:posOffset>
                    </wp:positionV>
                    <wp:extent cx="6553200" cy="517525"/>
                    <wp:effectExtent l="0" t="0" r="6985" b="0"/>
                    <wp:wrapNone/>
                    <wp:docPr id="142" name="Text Box 142"/>
                    <wp:cNvGraphicFramePr/>
                    <a:graphic xmlns:a="http://schemas.openxmlformats.org/drawingml/2006/main">
                      <a:graphicData uri="http://schemas.microsoft.com/office/word/2010/wordprocessingShape">
                        <wps:wsp>
                          <wps:cNvSpPr txBox="1"/>
                          <wps:spPr>
                            <a:xfrm>
                              <a:off x="0" y="0"/>
                              <a:ext cx="6553200" cy="517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CA0A4E" w14:textId="295A6D05" w:rsidR="00F940E2" w:rsidRPr="00894FF2" w:rsidRDefault="00F940E2" w:rsidP="007B427D">
                                <w:pPr>
                                  <w:jc w:val="center"/>
                                  <w:rPr>
                                    <w:rFonts w:ascii="Times New Roman" w:hAnsi="Times New Roman" w:cs="Times New Roman"/>
                                    <w:b/>
                                    <w:color w:val="000000" w:themeColor="text1"/>
                                  </w:rPr>
                                </w:pPr>
                                <w:r w:rsidRPr="00894FF2">
                                  <w:rPr>
                                    <w:rFonts w:ascii="Times New Roman" w:hAnsi="Times New Roman" w:cs="Times New Roman"/>
                                    <w:b/>
                                    <w:color w:val="000000" w:themeColor="text1"/>
                                  </w:rPr>
                                  <w:t>Tiranë,</w:t>
                                </w:r>
                                <w:r w:rsidR="00894FF2" w:rsidRPr="00894FF2">
                                  <w:rPr>
                                    <w:rFonts w:ascii="Times New Roman" w:hAnsi="Times New Roman" w:cs="Times New Roman"/>
                                    <w:b/>
                                    <w:color w:val="000000" w:themeColor="text1"/>
                                  </w:rPr>
                                  <w:t xml:space="preserve"> shtator</w:t>
                                </w:r>
                                <w:r w:rsidRPr="00894FF2">
                                  <w:rPr>
                                    <w:rFonts w:ascii="Times New Roman" w:hAnsi="Times New Roman" w:cs="Times New Roman"/>
                                    <w:b/>
                                    <w:color w:val="000000" w:themeColor="text1"/>
                                  </w:rPr>
                                  <w:t xml:space="preserve"> 2024</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EF1DFC" id="_x0000_t202" coordsize="21600,21600" o:spt="202" path="m,l,21600r21600,l21600,xe">
                    <v:stroke joinstyle="miter"/>
                    <v:path gradientshapeok="t" o:connecttype="rect"/>
                  </v:shapetype>
                  <v:shape id="Text Box 142" o:spid="_x0000_s1026" type="#_x0000_t202" style="position:absolute;margin-left:464.8pt;margin-top:574.9pt;width:516pt;height:40.75pt;z-index:25166950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" filled="f" stroked="f" strokeweight=".5pt">
                    <v:textbox inset="0,0,0,0">
                      <w:txbxContent>
                        <w:p w14:paraId="42CA0A4E" w14:textId="295A6D05" w:rsidR="00F940E2" w:rsidRPr="00894FF2" w:rsidRDefault="00F940E2" w:rsidP="007B427D">
                          <w:pPr>
                            <w:jc w:val="center"/>
                            <w:rPr>
                              <w:rFonts w:ascii="Times New Roman" w:hAnsi="Times New Roman" w:cs="Times New Roman"/>
                              <w:b/>
                              <w:color w:val="000000" w:themeColor="text1"/>
                            </w:rPr>
                          </w:pPr>
                          <w:proofErr w:type="spellStart"/>
                          <w:r w:rsidRPr="00894FF2">
                            <w:rPr>
                              <w:rFonts w:ascii="Times New Roman" w:hAnsi="Times New Roman" w:cs="Times New Roman"/>
                              <w:b/>
                              <w:color w:val="000000" w:themeColor="text1"/>
                            </w:rPr>
                            <w:t>Tiranë</w:t>
                          </w:r>
                          <w:proofErr w:type="spellEnd"/>
                          <w:r w:rsidRPr="00894FF2">
                            <w:rPr>
                              <w:rFonts w:ascii="Times New Roman" w:hAnsi="Times New Roman" w:cs="Times New Roman"/>
                              <w:b/>
                              <w:color w:val="000000" w:themeColor="text1"/>
                            </w:rPr>
                            <w:t>,</w:t>
                          </w:r>
                          <w:r w:rsidR="00894FF2" w:rsidRPr="00894FF2">
                            <w:rPr>
                              <w:rFonts w:ascii="Times New Roman" w:hAnsi="Times New Roman" w:cs="Times New Roman"/>
                              <w:b/>
                              <w:color w:val="000000" w:themeColor="text1"/>
                            </w:rPr>
                            <w:t xml:space="preserve"> </w:t>
                          </w:r>
                          <w:proofErr w:type="spellStart"/>
                          <w:r w:rsidR="00894FF2" w:rsidRPr="00894FF2">
                            <w:rPr>
                              <w:rFonts w:ascii="Times New Roman" w:hAnsi="Times New Roman" w:cs="Times New Roman"/>
                              <w:b/>
                              <w:color w:val="000000" w:themeColor="text1"/>
                            </w:rPr>
                            <w:t>shtator</w:t>
                          </w:r>
                          <w:proofErr w:type="spellEnd"/>
                          <w:r w:rsidRPr="00894FF2">
                            <w:rPr>
                              <w:rFonts w:ascii="Times New Roman" w:hAnsi="Times New Roman" w:cs="Times New Roman"/>
                              <w:b/>
                              <w:color w:val="000000" w:themeColor="text1"/>
                            </w:rPr>
                            <w:t xml:space="preserve"> 2024</w:t>
                          </w:r>
                        </w:p>
                      </w:txbxContent>
                    </v:textbox>
                    <w10:wrap anchorx="margin" anchory="page"/>
                  </v:shape>
                </w:pict>
              </mc:Fallback>
            </mc:AlternateContent>
          </w:r>
          <w:r w:rsidR="008875EB" w:rsidRPr="007440A2">
            <w:rPr>
              <w:rFonts w:ascii="Times New Roman" w:eastAsia="Times New Roman" w:hAnsi="Times New Roman" w:cs="Times New Roman"/>
              <w:bCs/>
              <w:noProof/>
              <w:sz w:val="28"/>
              <w:szCs w:val="28"/>
            </w:rPr>
            <mc:AlternateContent>
              <mc:Choice Requires="wps">
                <w:drawing>
                  <wp:anchor distT="0" distB="0" distL="114300" distR="114300" simplePos="0" relativeHeight="251716608" behindDoc="0" locked="0" layoutInCell="1" allowOverlap="1" wp14:anchorId="484078C7" wp14:editId="3A637CA8">
                    <wp:simplePos x="0" y="0"/>
                    <wp:positionH relativeFrom="page">
                      <wp:posOffset>0</wp:posOffset>
                    </wp:positionH>
                    <wp:positionV relativeFrom="paragraph">
                      <wp:posOffset>368300</wp:posOffset>
                    </wp:positionV>
                    <wp:extent cx="7825740" cy="3048000"/>
                    <wp:effectExtent l="0" t="0" r="3810" b="0"/>
                    <wp:wrapNone/>
                    <wp:docPr id="648174186" name="Rectangle 16"/>
                    <wp:cNvGraphicFramePr/>
                    <a:graphic xmlns:a="http://schemas.openxmlformats.org/drawingml/2006/main">
                      <a:graphicData uri="http://schemas.microsoft.com/office/word/2010/wordprocessingShape">
                        <wps:wsp>
                          <wps:cNvSpPr/>
                          <wps:spPr>
                            <a:xfrm>
                              <a:off x="0" y="0"/>
                              <a:ext cx="7825740" cy="3048000"/>
                            </a:xfrm>
                            <a:custGeom>
                              <a:avLst/>
                              <a:gdLst>
                                <a:gd name="connsiteX0" fmla="*/ 0 w 7757160"/>
                                <a:gd name="connsiteY0" fmla="*/ 0 h 1036320"/>
                                <a:gd name="connsiteX1" fmla="*/ 7757160 w 7757160"/>
                                <a:gd name="connsiteY1" fmla="*/ 0 h 1036320"/>
                                <a:gd name="connsiteX2" fmla="*/ 7757160 w 7757160"/>
                                <a:gd name="connsiteY2" fmla="*/ 1036320 h 1036320"/>
                                <a:gd name="connsiteX3" fmla="*/ 0 w 7757160"/>
                                <a:gd name="connsiteY3" fmla="*/ 1036320 h 1036320"/>
                                <a:gd name="connsiteX4" fmla="*/ 0 w 7757160"/>
                                <a:gd name="connsiteY4" fmla="*/ 0 h 1036320"/>
                                <a:gd name="connsiteX0" fmla="*/ 0 w 7810500"/>
                                <a:gd name="connsiteY0" fmla="*/ 0 h 1082039"/>
                                <a:gd name="connsiteX1" fmla="*/ 7810500 w 7810500"/>
                                <a:gd name="connsiteY1" fmla="*/ 45719 h 1082039"/>
                                <a:gd name="connsiteX2" fmla="*/ 7810500 w 7810500"/>
                                <a:gd name="connsiteY2" fmla="*/ 1082039 h 1082039"/>
                                <a:gd name="connsiteX3" fmla="*/ 53340 w 7810500"/>
                                <a:gd name="connsiteY3" fmla="*/ 1082039 h 1082039"/>
                                <a:gd name="connsiteX4" fmla="*/ 0 w 7810500"/>
                                <a:gd name="connsiteY4" fmla="*/ 0 h 1082039"/>
                                <a:gd name="connsiteX0" fmla="*/ 0 w 7810500"/>
                                <a:gd name="connsiteY0" fmla="*/ 0 h 1097288"/>
                                <a:gd name="connsiteX1" fmla="*/ 7810500 w 7810500"/>
                                <a:gd name="connsiteY1" fmla="*/ 45719 h 1097288"/>
                                <a:gd name="connsiteX2" fmla="*/ 7810500 w 7810500"/>
                                <a:gd name="connsiteY2" fmla="*/ 1082039 h 1097288"/>
                                <a:gd name="connsiteX3" fmla="*/ 53340 w 7810500"/>
                                <a:gd name="connsiteY3" fmla="*/ 1097288 h 1097288"/>
                                <a:gd name="connsiteX4" fmla="*/ 0 w 7810500"/>
                                <a:gd name="connsiteY4" fmla="*/ 0 h 1097288"/>
                                <a:gd name="connsiteX0" fmla="*/ 22860 w 7833360"/>
                                <a:gd name="connsiteY0" fmla="*/ 0 h 1143008"/>
                                <a:gd name="connsiteX1" fmla="*/ 7833360 w 7833360"/>
                                <a:gd name="connsiteY1" fmla="*/ 45719 h 1143008"/>
                                <a:gd name="connsiteX2" fmla="*/ 7833360 w 7833360"/>
                                <a:gd name="connsiteY2" fmla="*/ 1082039 h 1143008"/>
                                <a:gd name="connsiteX3" fmla="*/ 0 w 7833360"/>
                                <a:gd name="connsiteY3" fmla="*/ 1143008 h 1143008"/>
                                <a:gd name="connsiteX4" fmla="*/ 22860 w 7833360"/>
                                <a:gd name="connsiteY4" fmla="*/ 0 h 1143008"/>
                                <a:gd name="connsiteX0" fmla="*/ 30480 w 7833360"/>
                                <a:gd name="connsiteY0" fmla="*/ 0 h 2164095"/>
                                <a:gd name="connsiteX1" fmla="*/ 7833360 w 7833360"/>
                                <a:gd name="connsiteY1" fmla="*/ 1066806 h 2164095"/>
                                <a:gd name="connsiteX2" fmla="*/ 7833360 w 7833360"/>
                                <a:gd name="connsiteY2" fmla="*/ 2103126 h 2164095"/>
                                <a:gd name="connsiteX3" fmla="*/ 0 w 7833360"/>
                                <a:gd name="connsiteY3" fmla="*/ 2164095 h 2164095"/>
                                <a:gd name="connsiteX4" fmla="*/ 30480 w 7833360"/>
                                <a:gd name="connsiteY4" fmla="*/ 0 h 2164095"/>
                                <a:gd name="connsiteX0" fmla="*/ 30480 w 7833360"/>
                                <a:gd name="connsiteY0" fmla="*/ 0 h 2392697"/>
                                <a:gd name="connsiteX1" fmla="*/ 7833360 w 7833360"/>
                                <a:gd name="connsiteY1" fmla="*/ 1295408 h 2392697"/>
                                <a:gd name="connsiteX2" fmla="*/ 7833360 w 7833360"/>
                                <a:gd name="connsiteY2" fmla="*/ 2331728 h 2392697"/>
                                <a:gd name="connsiteX3" fmla="*/ 0 w 7833360"/>
                                <a:gd name="connsiteY3" fmla="*/ 2392697 h 2392697"/>
                                <a:gd name="connsiteX4" fmla="*/ 30480 w 7833360"/>
                                <a:gd name="connsiteY4" fmla="*/ 0 h 2392697"/>
                                <a:gd name="connsiteX0" fmla="*/ 30480 w 7833360"/>
                                <a:gd name="connsiteY0" fmla="*/ 0 h 2392697"/>
                                <a:gd name="connsiteX1" fmla="*/ 7833360 w 7833360"/>
                                <a:gd name="connsiteY1" fmla="*/ 1295408 h 2392697"/>
                                <a:gd name="connsiteX2" fmla="*/ 7833360 w 7833360"/>
                                <a:gd name="connsiteY2" fmla="*/ 2331728 h 2392697"/>
                                <a:gd name="connsiteX3" fmla="*/ 0 w 7833360"/>
                                <a:gd name="connsiteY3" fmla="*/ 2392697 h 2392697"/>
                                <a:gd name="connsiteX4" fmla="*/ 30480 w 7833360"/>
                                <a:gd name="connsiteY4" fmla="*/ 0 h 2392697"/>
                                <a:gd name="connsiteX0" fmla="*/ 30480 w 7833360"/>
                                <a:gd name="connsiteY0" fmla="*/ 0 h 2392697"/>
                                <a:gd name="connsiteX1" fmla="*/ 7833360 w 7833360"/>
                                <a:gd name="connsiteY1" fmla="*/ 1295408 h 2392697"/>
                                <a:gd name="connsiteX2" fmla="*/ 7833360 w 7833360"/>
                                <a:gd name="connsiteY2" fmla="*/ 2331728 h 2392697"/>
                                <a:gd name="connsiteX3" fmla="*/ 0 w 7833360"/>
                                <a:gd name="connsiteY3" fmla="*/ 2392697 h 2392697"/>
                                <a:gd name="connsiteX4" fmla="*/ 30480 w 7833360"/>
                                <a:gd name="connsiteY4" fmla="*/ 0 h 2392697"/>
                                <a:gd name="connsiteX0" fmla="*/ 30480 w 7833360"/>
                                <a:gd name="connsiteY0" fmla="*/ 0 h 2953947"/>
                                <a:gd name="connsiteX1" fmla="*/ 7833360 w 7833360"/>
                                <a:gd name="connsiteY1" fmla="*/ 1856658 h 2953947"/>
                                <a:gd name="connsiteX2" fmla="*/ 7833360 w 7833360"/>
                                <a:gd name="connsiteY2" fmla="*/ 2892978 h 2953947"/>
                                <a:gd name="connsiteX3" fmla="*/ 0 w 7833360"/>
                                <a:gd name="connsiteY3" fmla="*/ 2953947 h 2953947"/>
                                <a:gd name="connsiteX4" fmla="*/ 30480 w 7833360"/>
                                <a:gd name="connsiteY4" fmla="*/ 0 h 2953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33360" h="2953947">
                                  <a:moveTo>
                                    <a:pt x="30480" y="0"/>
                                  </a:moveTo>
                                  <a:cubicBezTo>
                                    <a:pt x="2151380" y="2938801"/>
                                    <a:pt x="4417060" y="487588"/>
                                    <a:pt x="7833360" y="1856658"/>
                                  </a:cubicBezTo>
                                  <a:lnTo>
                                    <a:pt x="7833360" y="2892978"/>
                                  </a:lnTo>
                                  <a:lnTo>
                                    <a:pt x="0" y="2953947"/>
                                  </a:lnTo>
                                  <a:lnTo>
                                    <a:pt x="30480" y="0"/>
                                  </a:lnTo>
                                  <a:close/>
                                </a:path>
                              </a:pathLst>
                            </a:custGeom>
                            <a:gradFill flip="none" rotWithShape="1">
                              <a:gsLst>
                                <a:gs pos="0">
                                  <a:schemeClr val="accent6">
                                    <a:lumMod val="75000"/>
                                    <a:shade val="30000"/>
                                    <a:satMod val="115000"/>
                                  </a:schemeClr>
                                </a:gs>
                                <a:gs pos="50000">
                                  <a:schemeClr val="accent6">
                                    <a:lumMod val="75000"/>
                                    <a:shade val="67500"/>
                                    <a:satMod val="115000"/>
                                  </a:schemeClr>
                                </a:gs>
                                <a:gs pos="100000">
                                  <a:schemeClr val="accent6">
                                    <a:lumMod val="75000"/>
                                    <a:shade val="100000"/>
                                    <a:satMod val="115000"/>
                                  </a:schemeClr>
                                </a:gs>
                              </a:gsLst>
                              <a:path path="circle">
                                <a:fillToRect t="100000" r="100000"/>
                              </a:path>
                              <a:tileRect l="-100000" b="-100000"/>
                            </a:gradFill>
                            <a:ln w="15875"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CE7C6D" id="Rectangle 16" o:spid="_x0000_s1026" style="position:absolute;margin-left:0;margin-top:29pt;width:616.2pt;height:240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833360,2953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" path="m30480,c2151380,2938801,4417060,487588,7833360,1856658r,1036320l,2953947,30480,xe" fillcolor="#08a4ee [2409]" stroked="f" strokeweight="1.25pt">
                    <v:fill color2="#08a4ee [2409]" rotate="t" focusposition=",1" focussize="" colors="0 #006296;.5 #008fd8;1 #00abff" focus="100%" type="gradientRadial"/>
                    <v:stroke endcap="round"/>
                    <v:path arrowok="t" o:connecttype="custom" o:connectlocs="30450,0;7825740,1915774;7825740,2985090;0,3048000;30450,0" o:connectangles="0,0,0,0,0"/>
                    <w10:wrap anchorx="page"/>
                  </v:shape>
                </w:pict>
              </mc:Fallback>
            </mc:AlternateContent>
          </w:r>
          <w:r w:rsidR="008875EB" w:rsidRPr="007440A2">
            <w:rPr>
              <w:rFonts w:ascii="Times New Roman" w:eastAsia="Times New Roman" w:hAnsi="Times New Roman" w:cs="Times New Roman"/>
              <w:bCs/>
              <w:noProof/>
              <w:sz w:val="28"/>
              <w:szCs w:val="28"/>
            </w:rPr>
            <mc:AlternateContent>
              <mc:Choice Requires="wps">
                <w:drawing>
                  <wp:anchor distT="0" distB="0" distL="114300" distR="114300" simplePos="0" relativeHeight="251702272" behindDoc="0" locked="0" layoutInCell="1" allowOverlap="1" wp14:anchorId="3C6585F5" wp14:editId="655A5986">
                    <wp:simplePos x="0" y="0"/>
                    <wp:positionH relativeFrom="page">
                      <wp:posOffset>297180</wp:posOffset>
                    </wp:positionH>
                    <wp:positionV relativeFrom="paragraph">
                      <wp:posOffset>680720</wp:posOffset>
                    </wp:positionV>
                    <wp:extent cx="7749540" cy="2331720"/>
                    <wp:effectExtent l="0" t="0" r="3810" b="0"/>
                    <wp:wrapNone/>
                    <wp:docPr id="1911103608" name="Rectangle 16"/>
                    <wp:cNvGraphicFramePr/>
                    <a:graphic xmlns:a="http://schemas.openxmlformats.org/drawingml/2006/main">
                      <a:graphicData uri="http://schemas.microsoft.com/office/word/2010/wordprocessingShape">
                        <wps:wsp>
                          <wps:cNvSpPr/>
                          <wps:spPr>
                            <a:xfrm>
                              <a:off x="0" y="0"/>
                              <a:ext cx="7749540" cy="2331720"/>
                            </a:xfrm>
                            <a:custGeom>
                              <a:avLst/>
                              <a:gdLst>
                                <a:gd name="connsiteX0" fmla="*/ 0 w 7757160"/>
                                <a:gd name="connsiteY0" fmla="*/ 0 h 1036320"/>
                                <a:gd name="connsiteX1" fmla="*/ 7757160 w 7757160"/>
                                <a:gd name="connsiteY1" fmla="*/ 0 h 1036320"/>
                                <a:gd name="connsiteX2" fmla="*/ 7757160 w 7757160"/>
                                <a:gd name="connsiteY2" fmla="*/ 1036320 h 1036320"/>
                                <a:gd name="connsiteX3" fmla="*/ 0 w 7757160"/>
                                <a:gd name="connsiteY3" fmla="*/ 1036320 h 1036320"/>
                                <a:gd name="connsiteX4" fmla="*/ 0 w 7757160"/>
                                <a:gd name="connsiteY4" fmla="*/ 0 h 1036320"/>
                                <a:gd name="connsiteX0" fmla="*/ 0 w 7810500"/>
                                <a:gd name="connsiteY0" fmla="*/ 0 h 1082039"/>
                                <a:gd name="connsiteX1" fmla="*/ 7810500 w 7810500"/>
                                <a:gd name="connsiteY1" fmla="*/ 45719 h 1082039"/>
                                <a:gd name="connsiteX2" fmla="*/ 7810500 w 7810500"/>
                                <a:gd name="connsiteY2" fmla="*/ 1082039 h 1082039"/>
                                <a:gd name="connsiteX3" fmla="*/ 53340 w 7810500"/>
                                <a:gd name="connsiteY3" fmla="*/ 1082039 h 1082039"/>
                                <a:gd name="connsiteX4" fmla="*/ 0 w 7810500"/>
                                <a:gd name="connsiteY4" fmla="*/ 0 h 1082039"/>
                                <a:gd name="connsiteX0" fmla="*/ 0 w 7810500"/>
                                <a:gd name="connsiteY0" fmla="*/ 0 h 1097288"/>
                                <a:gd name="connsiteX1" fmla="*/ 7810500 w 7810500"/>
                                <a:gd name="connsiteY1" fmla="*/ 45719 h 1097288"/>
                                <a:gd name="connsiteX2" fmla="*/ 7810500 w 7810500"/>
                                <a:gd name="connsiteY2" fmla="*/ 1082039 h 1097288"/>
                                <a:gd name="connsiteX3" fmla="*/ 53340 w 7810500"/>
                                <a:gd name="connsiteY3" fmla="*/ 1097288 h 1097288"/>
                                <a:gd name="connsiteX4" fmla="*/ 0 w 7810500"/>
                                <a:gd name="connsiteY4" fmla="*/ 0 h 1097288"/>
                                <a:gd name="connsiteX0" fmla="*/ 22860 w 7833360"/>
                                <a:gd name="connsiteY0" fmla="*/ 0 h 1143008"/>
                                <a:gd name="connsiteX1" fmla="*/ 7833360 w 7833360"/>
                                <a:gd name="connsiteY1" fmla="*/ 45719 h 1143008"/>
                                <a:gd name="connsiteX2" fmla="*/ 7833360 w 7833360"/>
                                <a:gd name="connsiteY2" fmla="*/ 1082039 h 1143008"/>
                                <a:gd name="connsiteX3" fmla="*/ 0 w 7833360"/>
                                <a:gd name="connsiteY3" fmla="*/ 1143008 h 1143008"/>
                                <a:gd name="connsiteX4" fmla="*/ 22860 w 7833360"/>
                                <a:gd name="connsiteY4" fmla="*/ 0 h 1143008"/>
                                <a:gd name="connsiteX0" fmla="*/ 30480 w 7833360"/>
                                <a:gd name="connsiteY0" fmla="*/ 0 h 2164095"/>
                                <a:gd name="connsiteX1" fmla="*/ 7833360 w 7833360"/>
                                <a:gd name="connsiteY1" fmla="*/ 1066806 h 2164095"/>
                                <a:gd name="connsiteX2" fmla="*/ 7833360 w 7833360"/>
                                <a:gd name="connsiteY2" fmla="*/ 2103126 h 2164095"/>
                                <a:gd name="connsiteX3" fmla="*/ 0 w 7833360"/>
                                <a:gd name="connsiteY3" fmla="*/ 2164095 h 2164095"/>
                                <a:gd name="connsiteX4" fmla="*/ 30480 w 7833360"/>
                                <a:gd name="connsiteY4" fmla="*/ 0 h 2164095"/>
                                <a:gd name="connsiteX0" fmla="*/ 30480 w 7833360"/>
                                <a:gd name="connsiteY0" fmla="*/ 0 h 2392697"/>
                                <a:gd name="connsiteX1" fmla="*/ 7833360 w 7833360"/>
                                <a:gd name="connsiteY1" fmla="*/ 1295408 h 2392697"/>
                                <a:gd name="connsiteX2" fmla="*/ 7833360 w 7833360"/>
                                <a:gd name="connsiteY2" fmla="*/ 2331728 h 2392697"/>
                                <a:gd name="connsiteX3" fmla="*/ 0 w 7833360"/>
                                <a:gd name="connsiteY3" fmla="*/ 2392697 h 2392697"/>
                                <a:gd name="connsiteX4" fmla="*/ 30480 w 7833360"/>
                                <a:gd name="connsiteY4" fmla="*/ 0 h 2392697"/>
                                <a:gd name="connsiteX0" fmla="*/ 30480 w 7833360"/>
                                <a:gd name="connsiteY0" fmla="*/ 0 h 2392697"/>
                                <a:gd name="connsiteX1" fmla="*/ 7833360 w 7833360"/>
                                <a:gd name="connsiteY1" fmla="*/ 1295408 h 2392697"/>
                                <a:gd name="connsiteX2" fmla="*/ 7833360 w 7833360"/>
                                <a:gd name="connsiteY2" fmla="*/ 2331728 h 2392697"/>
                                <a:gd name="connsiteX3" fmla="*/ 0 w 7833360"/>
                                <a:gd name="connsiteY3" fmla="*/ 2392697 h 2392697"/>
                                <a:gd name="connsiteX4" fmla="*/ 30480 w 7833360"/>
                                <a:gd name="connsiteY4" fmla="*/ 0 h 2392697"/>
                                <a:gd name="connsiteX0" fmla="*/ 30480 w 7833360"/>
                                <a:gd name="connsiteY0" fmla="*/ 0 h 2392697"/>
                                <a:gd name="connsiteX1" fmla="*/ 7833360 w 7833360"/>
                                <a:gd name="connsiteY1" fmla="*/ 1295408 h 2392697"/>
                                <a:gd name="connsiteX2" fmla="*/ 7833360 w 7833360"/>
                                <a:gd name="connsiteY2" fmla="*/ 2331728 h 2392697"/>
                                <a:gd name="connsiteX3" fmla="*/ 0 w 7833360"/>
                                <a:gd name="connsiteY3" fmla="*/ 2392697 h 2392697"/>
                                <a:gd name="connsiteX4" fmla="*/ 30480 w 7833360"/>
                                <a:gd name="connsiteY4" fmla="*/ 0 h 2392697"/>
                                <a:gd name="connsiteX0" fmla="*/ 0 w 7903308"/>
                                <a:gd name="connsiteY0" fmla="*/ 0 h 2746164"/>
                                <a:gd name="connsiteX1" fmla="*/ 7903308 w 7903308"/>
                                <a:gd name="connsiteY1" fmla="*/ 1648875 h 2746164"/>
                                <a:gd name="connsiteX2" fmla="*/ 7903308 w 7903308"/>
                                <a:gd name="connsiteY2" fmla="*/ 2685195 h 2746164"/>
                                <a:gd name="connsiteX3" fmla="*/ 69948 w 7903308"/>
                                <a:gd name="connsiteY3" fmla="*/ 2746164 h 2746164"/>
                                <a:gd name="connsiteX4" fmla="*/ 0 w 7903308"/>
                                <a:gd name="connsiteY4" fmla="*/ 0 h 27461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03308" h="2746164">
                                  <a:moveTo>
                                    <a:pt x="0" y="0"/>
                                  </a:moveTo>
                                  <a:cubicBezTo>
                                    <a:pt x="2120900" y="2938801"/>
                                    <a:pt x="4487008" y="279805"/>
                                    <a:pt x="7903308" y="1648875"/>
                                  </a:cubicBezTo>
                                  <a:lnTo>
                                    <a:pt x="7903308" y="2685195"/>
                                  </a:lnTo>
                                  <a:lnTo>
                                    <a:pt x="69948" y="2746164"/>
                                  </a:lnTo>
                                  <a:lnTo>
                                    <a:pt x="0" y="0"/>
                                  </a:lnTo>
                                  <a:close/>
                                </a:path>
                              </a:pathLst>
                            </a:custGeom>
                            <a:solidFill>
                              <a:schemeClr val="bg1"/>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C38F40" id="Rectangle 16" o:spid="_x0000_s1026" style="position:absolute;margin-left:23.4pt;margin-top:53.6pt;width:610.2pt;height:183.6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903308,2746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" path="m,c2120900,2938801,4487008,279805,7903308,1648875r,1036320l69948,2746164,,xe" fillcolor="white [3212]" stroked="f" strokeweight="1.25pt">
                    <v:path arrowok="t" o:connecttype="custom" o:connectlocs="0,0;7749540,1400031;7749540,2279952;68587,2331720;0,0" o:connectangles="0,0,0,0,0"/>
                    <w10:wrap anchorx="page"/>
                  </v:shape>
                </w:pict>
              </mc:Fallback>
            </mc:AlternateContent>
          </w:r>
          <w:r w:rsidR="008875EB" w:rsidRPr="007440A2">
            <w:rPr>
              <w:rFonts w:ascii="Times New Roman" w:eastAsia="Times New Roman" w:hAnsi="Times New Roman" w:cs="Times New Roman"/>
              <w:bCs/>
              <w:noProof/>
              <w:sz w:val="28"/>
              <w:szCs w:val="28"/>
            </w:rPr>
            <mc:AlternateContent>
              <mc:Choice Requires="wps">
                <w:drawing>
                  <wp:anchor distT="0" distB="0" distL="114300" distR="114300" simplePos="0" relativeHeight="251668479" behindDoc="0" locked="0" layoutInCell="1" allowOverlap="1" wp14:anchorId="577E19FB" wp14:editId="168043DF">
                    <wp:simplePos x="0" y="0"/>
                    <wp:positionH relativeFrom="page">
                      <wp:posOffset>-22860</wp:posOffset>
                    </wp:positionH>
                    <wp:positionV relativeFrom="paragraph">
                      <wp:posOffset>330200</wp:posOffset>
                    </wp:positionV>
                    <wp:extent cx="7825740" cy="2468880"/>
                    <wp:effectExtent l="0" t="0" r="3810" b="7620"/>
                    <wp:wrapNone/>
                    <wp:docPr id="722819308" name="Rectangle 16"/>
                    <wp:cNvGraphicFramePr/>
                    <a:graphic xmlns:a="http://schemas.openxmlformats.org/drawingml/2006/main">
                      <a:graphicData uri="http://schemas.microsoft.com/office/word/2010/wordprocessingShape">
                        <wps:wsp>
                          <wps:cNvSpPr/>
                          <wps:spPr>
                            <a:xfrm>
                              <a:off x="0" y="0"/>
                              <a:ext cx="7825740" cy="2468880"/>
                            </a:xfrm>
                            <a:custGeom>
                              <a:avLst/>
                              <a:gdLst>
                                <a:gd name="connsiteX0" fmla="*/ 0 w 7757160"/>
                                <a:gd name="connsiteY0" fmla="*/ 0 h 1036320"/>
                                <a:gd name="connsiteX1" fmla="*/ 7757160 w 7757160"/>
                                <a:gd name="connsiteY1" fmla="*/ 0 h 1036320"/>
                                <a:gd name="connsiteX2" fmla="*/ 7757160 w 7757160"/>
                                <a:gd name="connsiteY2" fmla="*/ 1036320 h 1036320"/>
                                <a:gd name="connsiteX3" fmla="*/ 0 w 7757160"/>
                                <a:gd name="connsiteY3" fmla="*/ 1036320 h 1036320"/>
                                <a:gd name="connsiteX4" fmla="*/ 0 w 7757160"/>
                                <a:gd name="connsiteY4" fmla="*/ 0 h 1036320"/>
                                <a:gd name="connsiteX0" fmla="*/ 0 w 7810500"/>
                                <a:gd name="connsiteY0" fmla="*/ 0 h 1082039"/>
                                <a:gd name="connsiteX1" fmla="*/ 7810500 w 7810500"/>
                                <a:gd name="connsiteY1" fmla="*/ 45719 h 1082039"/>
                                <a:gd name="connsiteX2" fmla="*/ 7810500 w 7810500"/>
                                <a:gd name="connsiteY2" fmla="*/ 1082039 h 1082039"/>
                                <a:gd name="connsiteX3" fmla="*/ 53340 w 7810500"/>
                                <a:gd name="connsiteY3" fmla="*/ 1082039 h 1082039"/>
                                <a:gd name="connsiteX4" fmla="*/ 0 w 7810500"/>
                                <a:gd name="connsiteY4" fmla="*/ 0 h 1082039"/>
                                <a:gd name="connsiteX0" fmla="*/ 0 w 7810500"/>
                                <a:gd name="connsiteY0" fmla="*/ 0 h 1097288"/>
                                <a:gd name="connsiteX1" fmla="*/ 7810500 w 7810500"/>
                                <a:gd name="connsiteY1" fmla="*/ 45719 h 1097288"/>
                                <a:gd name="connsiteX2" fmla="*/ 7810500 w 7810500"/>
                                <a:gd name="connsiteY2" fmla="*/ 1082039 h 1097288"/>
                                <a:gd name="connsiteX3" fmla="*/ 53340 w 7810500"/>
                                <a:gd name="connsiteY3" fmla="*/ 1097288 h 1097288"/>
                                <a:gd name="connsiteX4" fmla="*/ 0 w 7810500"/>
                                <a:gd name="connsiteY4" fmla="*/ 0 h 1097288"/>
                                <a:gd name="connsiteX0" fmla="*/ 22860 w 7833360"/>
                                <a:gd name="connsiteY0" fmla="*/ 0 h 1143008"/>
                                <a:gd name="connsiteX1" fmla="*/ 7833360 w 7833360"/>
                                <a:gd name="connsiteY1" fmla="*/ 45719 h 1143008"/>
                                <a:gd name="connsiteX2" fmla="*/ 7833360 w 7833360"/>
                                <a:gd name="connsiteY2" fmla="*/ 1082039 h 1143008"/>
                                <a:gd name="connsiteX3" fmla="*/ 0 w 7833360"/>
                                <a:gd name="connsiteY3" fmla="*/ 1143008 h 1143008"/>
                                <a:gd name="connsiteX4" fmla="*/ 22860 w 7833360"/>
                                <a:gd name="connsiteY4" fmla="*/ 0 h 1143008"/>
                                <a:gd name="connsiteX0" fmla="*/ 30480 w 7833360"/>
                                <a:gd name="connsiteY0" fmla="*/ 0 h 2164095"/>
                                <a:gd name="connsiteX1" fmla="*/ 7833360 w 7833360"/>
                                <a:gd name="connsiteY1" fmla="*/ 1066806 h 2164095"/>
                                <a:gd name="connsiteX2" fmla="*/ 7833360 w 7833360"/>
                                <a:gd name="connsiteY2" fmla="*/ 2103126 h 2164095"/>
                                <a:gd name="connsiteX3" fmla="*/ 0 w 7833360"/>
                                <a:gd name="connsiteY3" fmla="*/ 2164095 h 2164095"/>
                                <a:gd name="connsiteX4" fmla="*/ 30480 w 7833360"/>
                                <a:gd name="connsiteY4" fmla="*/ 0 h 2164095"/>
                                <a:gd name="connsiteX0" fmla="*/ 30480 w 7833360"/>
                                <a:gd name="connsiteY0" fmla="*/ 0 h 2392697"/>
                                <a:gd name="connsiteX1" fmla="*/ 7833360 w 7833360"/>
                                <a:gd name="connsiteY1" fmla="*/ 1295408 h 2392697"/>
                                <a:gd name="connsiteX2" fmla="*/ 7833360 w 7833360"/>
                                <a:gd name="connsiteY2" fmla="*/ 2331728 h 2392697"/>
                                <a:gd name="connsiteX3" fmla="*/ 0 w 7833360"/>
                                <a:gd name="connsiteY3" fmla="*/ 2392697 h 2392697"/>
                                <a:gd name="connsiteX4" fmla="*/ 30480 w 7833360"/>
                                <a:gd name="connsiteY4" fmla="*/ 0 h 2392697"/>
                                <a:gd name="connsiteX0" fmla="*/ 30480 w 7833360"/>
                                <a:gd name="connsiteY0" fmla="*/ 0 h 2392697"/>
                                <a:gd name="connsiteX1" fmla="*/ 7833360 w 7833360"/>
                                <a:gd name="connsiteY1" fmla="*/ 1295408 h 2392697"/>
                                <a:gd name="connsiteX2" fmla="*/ 7833360 w 7833360"/>
                                <a:gd name="connsiteY2" fmla="*/ 2331728 h 2392697"/>
                                <a:gd name="connsiteX3" fmla="*/ 0 w 7833360"/>
                                <a:gd name="connsiteY3" fmla="*/ 2392697 h 2392697"/>
                                <a:gd name="connsiteX4" fmla="*/ 30480 w 7833360"/>
                                <a:gd name="connsiteY4" fmla="*/ 0 h 2392697"/>
                                <a:gd name="connsiteX0" fmla="*/ 30480 w 7833360"/>
                                <a:gd name="connsiteY0" fmla="*/ 0 h 2392697"/>
                                <a:gd name="connsiteX1" fmla="*/ 7833360 w 7833360"/>
                                <a:gd name="connsiteY1" fmla="*/ 1295408 h 2392697"/>
                                <a:gd name="connsiteX2" fmla="*/ 7833360 w 7833360"/>
                                <a:gd name="connsiteY2" fmla="*/ 2331728 h 2392697"/>
                                <a:gd name="connsiteX3" fmla="*/ 0 w 7833360"/>
                                <a:gd name="connsiteY3" fmla="*/ 2392697 h 2392697"/>
                                <a:gd name="connsiteX4" fmla="*/ 30480 w 7833360"/>
                                <a:gd name="connsiteY4" fmla="*/ 0 h 23926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33360" h="2392697">
                                  <a:moveTo>
                                    <a:pt x="30480" y="0"/>
                                  </a:moveTo>
                                  <a:cubicBezTo>
                                    <a:pt x="2151380" y="2938801"/>
                                    <a:pt x="4417060" y="-73662"/>
                                    <a:pt x="7833360" y="1295408"/>
                                  </a:cubicBezTo>
                                  <a:lnTo>
                                    <a:pt x="7833360" y="2331728"/>
                                  </a:lnTo>
                                  <a:lnTo>
                                    <a:pt x="0" y="2392697"/>
                                  </a:lnTo>
                                  <a:lnTo>
                                    <a:pt x="30480" y="0"/>
                                  </a:lnTo>
                                  <a:close/>
                                </a:path>
                              </a:pathLst>
                            </a:cu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1B4D47" id="Rectangle 16" o:spid="_x0000_s1026" style="position:absolute;margin-left:-1.8pt;margin-top:26pt;width:616.2pt;height:194.4pt;z-index:2516684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833360,2392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" path="m30480,c2151380,2938801,4417060,-73662,7833360,1295408r,1036320l,2392697,30480,xe" fillcolor="#006a96" stroked="f" strokeweight="1.25pt">
                    <v:fill color2="#00b8ff" rotate="t" angle="90" colors="0 #006a96;.5 #009ad9;1 #00b8ff" focus="100%" type="gradient"/>
                    <v:stroke endcap="round"/>
                    <v:path arrowok="t" o:connecttype="custom" o:connectlocs="30450,0;7825740,1336654;7825740,2405970;0,2468880;30450,0" o:connectangles="0,0,0,0,0"/>
                    <w10:wrap anchorx="page"/>
                  </v:shape>
                </w:pict>
              </mc:Fallback>
            </mc:AlternateContent>
          </w:r>
          <w:r w:rsidR="007B427D" w:rsidRPr="007440A2">
            <w:rPr>
              <w:rFonts w:ascii="Times New Roman" w:eastAsia="Times New Roman" w:hAnsi="Times New Roman" w:cs="Times New Roman"/>
              <w:bCs/>
              <w:sz w:val="28"/>
              <w:szCs w:val="28"/>
              <w:lang w:val="en-GB" w:eastAsia="x-non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br w:type="page"/>
          </w:r>
        </w:p>
      </w:sdtContent>
    </w:sdt>
    <w:p w14:paraId="4549D7B6" w14:textId="201EF61A" w:rsidR="00065E78" w:rsidRPr="007440A2" w:rsidRDefault="00065E78" w:rsidP="009B4463">
      <w:pPr>
        <w:rPr>
          <w:rFonts w:ascii="Times New Roman" w:hAnsi="Times New Roman" w:cs="Times New Roman"/>
          <w:b/>
          <w:sz w:val="28"/>
          <w:szCs w:val="28"/>
        </w:rPr>
      </w:pPr>
      <w:bookmarkStart w:id="1" w:name="_Toc118282599"/>
      <w:r w:rsidRPr="007440A2">
        <w:rPr>
          <w:rFonts w:ascii="Times New Roman" w:hAnsi="Times New Roman" w:cs="Times New Roman"/>
          <w:b/>
          <w:sz w:val="28"/>
          <w:szCs w:val="28"/>
        </w:rPr>
        <w:lastRenderedPageBreak/>
        <w:t>SHKURTIME</w:t>
      </w:r>
      <w:bookmarkEnd w:id="1"/>
    </w:p>
    <w:p w14:paraId="1C6FF493" w14:textId="77777777" w:rsidR="001F45E3" w:rsidRPr="007440A2" w:rsidRDefault="001F45E3" w:rsidP="009B4463">
      <w:pPr>
        <w:rPr>
          <w:rFonts w:ascii="Times New Roman" w:hAnsi="Times New Roman" w:cs="Times New Roman"/>
          <w:b/>
          <w:sz w:val="28"/>
          <w:szCs w:val="28"/>
        </w:rPr>
      </w:pPr>
    </w:p>
    <w:p w14:paraId="49395323" w14:textId="11AF33E3"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ASH</w:t>
      </w:r>
      <w:r w:rsidRPr="007440A2">
        <w:rPr>
          <w:rFonts w:ascii="Times New Roman" w:hAnsi="Times New Roman" w:cs="Times New Roman"/>
          <w:sz w:val="24"/>
          <w:szCs w:val="24"/>
        </w:rPr>
        <w:tab/>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Avokatura e Shtetit</w:t>
      </w:r>
    </w:p>
    <w:p w14:paraId="37374A58" w14:textId="0E2DE4CD"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AP</w:t>
      </w:r>
      <w:r w:rsidRPr="007440A2">
        <w:rPr>
          <w:rFonts w:ascii="Times New Roman" w:hAnsi="Times New Roman" w:cs="Times New Roman"/>
          <w:sz w:val="24"/>
          <w:szCs w:val="24"/>
        </w:rPr>
        <w:tab/>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Avokati i Popullit</w:t>
      </w:r>
    </w:p>
    <w:p w14:paraId="5F2BE9A2" w14:textId="4EEACDC6"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AKSHI</w:t>
      </w:r>
      <w:r w:rsidRPr="007440A2">
        <w:rPr>
          <w:rFonts w:ascii="Times New Roman" w:hAnsi="Times New Roman" w:cs="Times New Roman"/>
          <w:sz w:val="24"/>
          <w:szCs w:val="24"/>
        </w:rPr>
        <w:tab/>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Agjencia Kombëtare e Shoqërisë së Informacionit</w:t>
      </w:r>
    </w:p>
    <w:p w14:paraId="32AED99F" w14:textId="0AE0AD09"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AMA</w:t>
      </w:r>
      <w:r w:rsidRPr="007440A2">
        <w:rPr>
          <w:rFonts w:ascii="Times New Roman" w:hAnsi="Times New Roman" w:cs="Times New Roman"/>
          <w:sz w:val="24"/>
          <w:szCs w:val="24"/>
        </w:rPr>
        <w:t xml:space="preserve">           </w:t>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Autoriteti i Medias Audiovizive</w:t>
      </w:r>
    </w:p>
    <w:p w14:paraId="0837B612" w14:textId="667ACB97"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AT</w:t>
      </w:r>
      <w:r w:rsidRPr="007440A2">
        <w:rPr>
          <w:rFonts w:ascii="Times New Roman" w:hAnsi="Times New Roman" w:cs="Times New Roman"/>
          <w:sz w:val="24"/>
          <w:szCs w:val="24"/>
        </w:rPr>
        <w:tab/>
        <w:t xml:space="preserve"> </w:t>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Asistencë Teknike</w:t>
      </w:r>
    </w:p>
    <w:p w14:paraId="34A60E60" w14:textId="685AE8E4"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 xml:space="preserve">ANT                  </w:t>
      </w:r>
      <w:r w:rsidR="004234B5" w:rsidRPr="007440A2">
        <w:rPr>
          <w:rFonts w:ascii="Times New Roman" w:hAnsi="Times New Roman" w:cs="Times New Roman"/>
          <w:b/>
          <w:bCs/>
          <w:sz w:val="24"/>
          <w:szCs w:val="24"/>
        </w:rPr>
        <w:t xml:space="preserve">           </w:t>
      </w:r>
      <w:r w:rsidRPr="007440A2">
        <w:rPr>
          <w:rFonts w:ascii="Times New Roman" w:hAnsi="Times New Roman" w:cs="Times New Roman"/>
          <w:sz w:val="24"/>
          <w:szCs w:val="24"/>
        </w:rPr>
        <w:t>Analizë të Nevojave për Trajnim</w:t>
      </w:r>
    </w:p>
    <w:p w14:paraId="1A2CE4E0" w14:textId="1CF9C1F2"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AMSHC</w:t>
      </w:r>
      <w:r w:rsidRPr="007440A2">
        <w:rPr>
          <w:rFonts w:ascii="Times New Roman" w:hAnsi="Times New Roman" w:cs="Times New Roman"/>
          <w:sz w:val="24"/>
          <w:szCs w:val="24"/>
        </w:rPr>
        <w:tab/>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Agjencia për Mbështetjen e Shoqërisë Civile</w:t>
      </w:r>
    </w:p>
    <w:p w14:paraId="47551FD2" w14:textId="02A55CA2"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BKH</w:t>
      </w:r>
      <w:r w:rsidRPr="007440A2">
        <w:rPr>
          <w:rFonts w:ascii="Times New Roman" w:hAnsi="Times New Roman" w:cs="Times New Roman"/>
          <w:sz w:val="24"/>
          <w:szCs w:val="24"/>
        </w:rPr>
        <w:t xml:space="preserve">        </w:t>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Byroja Kombëtare e Hetimit</w:t>
      </w:r>
    </w:p>
    <w:p w14:paraId="1CA82AB8" w14:textId="638814D2"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BE</w:t>
      </w:r>
      <w:r w:rsidRPr="007440A2">
        <w:rPr>
          <w:rFonts w:ascii="Times New Roman" w:hAnsi="Times New Roman" w:cs="Times New Roman"/>
          <w:sz w:val="24"/>
          <w:szCs w:val="24"/>
        </w:rPr>
        <w:t xml:space="preserve">              </w:t>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Bashkimi Evropian</w:t>
      </w:r>
    </w:p>
    <w:p w14:paraId="11245209" w14:textId="6D54A698"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CPT</w:t>
      </w:r>
      <w:r w:rsidRPr="007440A2">
        <w:rPr>
          <w:rFonts w:ascii="Times New Roman" w:hAnsi="Times New Roman" w:cs="Times New Roman"/>
          <w:sz w:val="24"/>
          <w:szCs w:val="24"/>
        </w:rPr>
        <w:t>                   </w:t>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Komiteti për Parandalimin e Torturës</w:t>
      </w:r>
    </w:p>
    <w:p w14:paraId="1922F55D" w14:textId="76887DF2"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CEPEJ            </w:t>
      </w:r>
      <w:r w:rsidR="004234B5" w:rsidRPr="007440A2">
        <w:rPr>
          <w:rFonts w:ascii="Times New Roman" w:hAnsi="Times New Roman" w:cs="Times New Roman"/>
          <w:b/>
          <w:bCs/>
          <w:sz w:val="24"/>
          <w:szCs w:val="24"/>
        </w:rPr>
        <w:t xml:space="preserve">             </w:t>
      </w:r>
      <w:r w:rsidRPr="007440A2">
        <w:rPr>
          <w:rFonts w:ascii="Times New Roman" w:hAnsi="Times New Roman" w:cs="Times New Roman"/>
          <w:sz w:val="24"/>
          <w:szCs w:val="24"/>
        </w:rPr>
        <w:t>Komisioni Evropian për Efikasitetin e Drejtësisë</w:t>
      </w:r>
    </w:p>
    <w:p w14:paraId="7A7B8BFD" w14:textId="12AA0964"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DAP</w:t>
      </w:r>
      <w:r w:rsidRPr="007440A2">
        <w:rPr>
          <w:rFonts w:ascii="Times New Roman" w:hAnsi="Times New Roman" w:cs="Times New Roman"/>
          <w:sz w:val="24"/>
          <w:szCs w:val="24"/>
        </w:rPr>
        <w:tab/>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Departamenti i Administratës Publike</w:t>
      </w:r>
    </w:p>
    <w:p w14:paraId="70B65D1F" w14:textId="4B6C3E97"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DNJF</w:t>
      </w:r>
      <w:r w:rsidRPr="007440A2">
        <w:rPr>
          <w:rFonts w:ascii="Times New Roman" w:hAnsi="Times New Roman" w:cs="Times New Roman"/>
          <w:sz w:val="24"/>
          <w:szCs w:val="24"/>
        </w:rPr>
        <w:tab/>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Drejtoria e Ndihmës Juridike Falas</w:t>
      </w:r>
    </w:p>
    <w:p w14:paraId="1F1F63FA" w14:textId="59E1EDCA"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DPB</w:t>
      </w:r>
      <w:r w:rsidRPr="007440A2">
        <w:rPr>
          <w:rFonts w:ascii="Times New Roman" w:hAnsi="Times New Roman" w:cs="Times New Roman"/>
          <w:sz w:val="24"/>
          <w:szCs w:val="24"/>
        </w:rPr>
        <w:tab/>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Drejtoria e Përgjithshme e Burgjeve</w:t>
      </w:r>
    </w:p>
    <w:p w14:paraId="548FDA09" w14:textId="659F92E3" w:rsidR="00267713" w:rsidRPr="007440A2" w:rsidRDefault="00267713" w:rsidP="008F1FC3">
      <w:pPr>
        <w:spacing w:line="276" w:lineRule="auto"/>
        <w:jc w:val="both"/>
        <w:rPr>
          <w:rFonts w:ascii="Times New Roman" w:hAnsi="Times New Roman" w:cs="Times New Roman"/>
          <w:sz w:val="24"/>
          <w:szCs w:val="24"/>
        </w:rPr>
      </w:pPr>
      <w:r w:rsidRPr="007440A2">
        <w:rPr>
          <w:rFonts w:ascii="Times New Roman" w:hAnsi="Times New Roman" w:cs="Times New Roman"/>
          <w:b/>
          <w:sz w:val="24"/>
          <w:szCs w:val="24"/>
        </w:rPr>
        <w:t>DPP</w:t>
      </w:r>
      <w:r w:rsidRPr="007440A2">
        <w:rPr>
          <w:rFonts w:ascii="Times New Roman" w:hAnsi="Times New Roman" w:cs="Times New Roman"/>
          <w:sz w:val="24"/>
          <w:szCs w:val="24"/>
        </w:rPr>
        <w:tab/>
        <w:t xml:space="preserve">                          Drejtoria e Përgjithshme e Përmbarimit</w:t>
      </w:r>
    </w:p>
    <w:p w14:paraId="124B2F16" w14:textId="0B8073AA"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DPSHP</w:t>
      </w:r>
      <w:r w:rsidRPr="007440A2">
        <w:rPr>
          <w:rFonts w:ascii="Times New Roman" w:hAnsi="Times New Roman" w:cs="Times New Roman"/>
          <w:sz w:val="24"/>
          <w:szCs w:val="24"/>
        </w:rPr>
        <w:tab/>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Drejtoria e Përgjithshme e Shërbimit të Provës</w:t>
      </w:r>
    </w:p>
    <w:p w14:paraId="695A1A7C" w14:textId="5AC32572"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DPGJSH</w:t>
      </w:r>
      <w:r w:rsidRPr="007440A2">
        <w:rPr>
          <w:rFonts w:ascii="Times New Roman" w:hAnsi="Times New Roman" w:cs="Times New Roman"/>
          <w:sz w:val="24"/>
          <w:szCs w:val="24"/>
        </w:rPr>
        <w:tab/>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Drejtoria e Përmbarimit Gjyqësor Shtetëror</w:t>
      </w:r>
    </w:p>
    <w:p w14:paraId="40B6E96E" w14:textId="70EB9859"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DHASH</w:t>
      </w:r>
      <w:r w:rsidRPr="007440A2">
        <w:rPr>
          <w:rFonts w:ascii="Times New Roman" w:hAnsi="Times New Roman" w:cs="Times New Roman"/>
          <w:sz w:val="24"/>
          <w:szCs w:val="24"/>
        </w:rPr>
        <w:tab/>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Dhoma e Avokatisë së Shqipërisë</w:t>
      </w:r>
    </w:p>
    <w:p w14:paraId="4425E765" w14:textId="284E6278"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DHKN</w:t>
      </w:r>
      <w:r w:rsidR="00445DE8" w:rsidRPr="007440A2">
        <w:rPr>
          <w:rFonts w:ascii="Times New Roman" w:hAnsi="Times New Roman" w:cs="Times New Roman"/>
          <w:b/>
          <w:bCs/>
          <w:sz w:val="24"/>
          <w:szCs w:val="24"/>
        </w:rPr>
        <w:t>D</w:t>
      </w:r>
      <w:r w:rsidRPr="007440A2">
        <w:rPr>
          <w:rFonts w:ascii="Times New Roman" w:hAnsi="Times New Roman" w:cs="Times New Roman"/>
          <w:sz w:val="24"/>
          <w:szCs w:val="24"/>
        </w:rPr>
        <w:tab/>
        <w:t xml:space="preserve">     </w:t>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Dhoma Kombëtare e Ndërmjetësve</w:t>
      </w:r>
    </w:p>
    <w:p w14:paraId="612C6C35" w14:textId="4E738BC2" w:rsidR="006055A7"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DHKN</w:t>
      </w:r>
      <w:r w:rsidRPr="007440A2">
        <w:rPr>
          <w:rFonts w:ascii="Times New Roman" w:hAnsi="Times New Roman" w:cs="Times New Roman"/>
          <w:sz w:val="24"/>
          <w:szCs w:val="24"/>
        </w:rPr>
        <w:tab/>
        <w:t xml:space="preserve">      </w:t>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Dhoma Kombëtare e Noterisë</w:t>
      </w:r>
    </w:p>
    <w:p w14:paraId="76089A0E" w14:textId="612846AE"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EACIDS         </w:t>
      </w:r>
      <w:r w:rsidR="004234B5" w:rsidRPr="007440A2">
        <w:rPr>
          <w:rFonts w:ascii="Times New Roman" w:hAnsi="Times New Roman" w:cs="Times New Roman"/>
          <w:b/>
          <w:bCs/>
          <w:sz w:val="24"/>
          <w:szCs w:val="24"/>
        </w:rPr>
        <w:t xml:space="preserve">              </w:t>
      </w:r>
      <w:r w:rsidRPr="007440A2">
        <w:rPr>
          <w:rFonts w:ascii="Times New Roman" w:hAnsi="Times New Roman" w:cs="Times New Roman"/>
          <w:sz w:val="24"/>
          <w:szCs w:val="24"/>
        </w:rPr>
        <w:t>Sistemi Elektronik i Deklarimit të Pasurive dhe Konfliktit të Interesit</w:t>
      </w:r>
    </w:p>
    <w:p w14:paraId="47A97321" w14:textId="30D7DEEB"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ELP               </w:t>
      </w:r>
      <w:r w:rsidR="004234B5" w:rsidRPr="007440A2">
        <w:rPr>
          <w:rFonts w:ascii="Times New Roman" w:hAnsi="Times New Roman" w:cs="Times New Roman"/>
          <w:b/>
          <w:bCs/>
          <w:sz w:val="24"/>
          <w:szCs w:val="24"/>
        </w:rPr>
        <w:t xml:space="preserve">               </w:t>
      </w:r>
      <w:r w:rsidRPr="007440A2">
        <w:rPr>
          <w:rFonts w:ascii="Times New Roman" w:hAnsi="Times New Roman" w:cs="Times New Roman"/>
          <w:sz w:val="24"/>
          <w:szCs w:val="24"/>
        </w:rPr>
        <w:t>Edukimi Ligjor i Publikut</w:t>
      </w:r>
    </w:p>
    <w:p w14:paraId="7085AF25" w14:textId="2573E91D"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GJK</w:t>
      </w:r>
      <w:r w:rsidRPr="007440A2">
        <w:rPr>
          <w:rFonts w:ascii="Times New Roman" w:hAnsi="Times New Roman" w:cs="Times New Roman"/>
          <w:sz w:val="24"/>
          <w:szCs w:val="24"/>
        </w:rPr>
        <w:tab/>
        <w:t xml:space="preserve">     </w:t>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Gjykata Kushtetuese</w:t>
      </w:r>
    </w:p>
    <w:p w14:paraId="539D253D" w14:textId="02129875"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GJL</w:t>
      </w:r>
      <w:r w:rsidRPr="007440A2">
        <w:rPr>
          <w:rFonts w:ascii="Times New Roman" w:hAnsi="Times New Roman" w:cs="Times New Roman"/>
          <w:sz w:val="24"/>
          <w:szCs w:val="24"/>
        </w:rPr>
        <w:tab/>
        <w:t xml:space="preserve">     </w:t>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Gjykata e Lartë</w:t>
      </w:r>
    </w:p>
    <w:p w14:paraId="7A23B3AC" w14:textId="35905C0B"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GJKKO</w:t>
      </w:r>
      <w:r w:rsidRPr="007440A2">
        <w:rPr>
          <w:rFonts w:ascii="Times New Roman" w:hAnsi="Times New Roman" w:cs="Times New Roman"/>
          <w:sz w:val="24"/>
          <w:szCs w:val="24"/>
        </w:rPr>
        <w:t xml:space="preserve"> </w:t>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Gjykata e Posaçme e Shkallës së Parë për Korrupsionin dhe Krimin e Organizuar</w:t>
      </w:r>
    </w:p>
    <w:p w14:paraId="201CEBB9" w14:textId="3E6318D9" w:rsidR="006055A7"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GJEDNJ</w:t>
      </w:r>
      <w:r w:rsidRPr="007440A2">
        <w:rPr>
          <w:rFonts w:ascii="Times New Roman" w:hAnsi="Times New Roman" w:cs="Times New Roman"/>
          <w:sz w:val="24"/>
          <w:szCs w:val="24"/>
        </w:rPr>
        <w:t xml:space="preserve"> </w:t>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Gjykata Evropiane e të Drejtave të Njeriut</w:t>
      </w:r>
    </w:p>
    <w:p w14:paraId="04A50F28" w14:textId="207ABFCD"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lastRenderedPageBreak/>
        <w:t>GJDBE</w:t>
      </w:r>
      <w:r w:rsidRPr="007440A2">
        <w:rPr>
          <w:rFonts w:ascii="Times New Roman" w:hAnsi="Times New Roman" w:cs="Times New Roman"/>
          <w:sz w:val="24"/>
          <w:szCs w:val="24"/>
        </w:rPr>
        <w:t xml:space="preserve"> </w:t>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Gjykata e Drejtësisë e Bashkimit Evropian</w:t>
      </w:r>
    </w:p>
    <w:p w14:paraId="0A367587" w14:textId="21C53DC4"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HGJ</w:t>
      </w:r>
      <w:r w:rsidRPr="007440A2">
        <w:rPr>
          <w:rFonts w:ascii="Times New Roman" w:hAnsi="Times New Roman" w:cs="Times New Roman"/>
          <w:sz w:val="24"/>
          <w:szCs w:val="24"/>
        </w:rPr>
        <w:tab/>
      </w:r>
      <w:r w:rsidR="004234B5" w:rsidRPr="007440A2">
        <w:rPr>
          <w:rFonts w:ascii="Times New Roman" w:hAnsi="Times New Roman" w:cs="Times New Roman"/>
          <w:sz w:val="24"/>
          <w:szCs w:val="24"/>
        </w:rPr>
        <w:t xml:space="preserve">                       </w:t>
      </w:r>
      <w:r w:rsidRPr="007440A2">
        <w:rPr>
          <w:rFonts w:ascii="Times New Roman" w:hAnsi="Times New Roman" w:cs="Times New Roman"/>
          <w:sz w:val="24"/>
          <w:szCs w:val="24"/>
        </w:rPr>
        <w:t xml:space="preserve">   Harta Gjyqësore</w:t>
      </w:r>
    </w:p>
    <w:p w14:paraId="4B8810C2" w14:textId="45465D32" w:rsidR="004234B5" w:rsidRPr="007440A2" w:rsidRDefault="004234B5"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IAL</w:t>
      </w:r>
      <w:r w:rsidRPr="007440A2">
        <w:rPr>
          <w:rFonts w:ascii="Times New Roman" w:hAnsi="Times New Roman" w:cs="Times New Roman"/>
          <w:sz w:val="24"/>
          <w:szCs w:val="24"/>
        </w:rPr>
        <w:t xml:space="preserve">                              </w:t>
      </w:r>
      <w:r w:rsidR="001F45E3" w:rsidRPr="007440A2">
        <w:rPr>
          <w:rFonts w:ascii="Times New Roman" w:hAnsi="Times New Roman" w:cs="Times New Roman"/>
          <w:sz w:val="24"/>
          <w:szCs w:val="24"/>
        </w:rPr>
        <w:t xml:space="preserve"> </w:t>
      </w:r>
      <w:r w:rsidRPr="007440A2">
        <w:rPr>
          <w:rFonts w:ascii="Times New Roman" w:hAnsi="Times New Roman" w:cs="Times New Roman"/>
          <w:sz w:val="24"/>
          <w:szCs w:val="24"/>
        </w:rPr>
        <w:t>Institucione të Arsimit të Lartë</w:t>
      </w:r>
    </w:p>
    <w:p w14:paraId="61883B29" w14:textId="77777777" w:rsidR="001F45E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ILDKPKI</w:t>
      </w:r>
      <w:r w:rsidRPr="007440A2">
        <w:rPr>
          <w:rFonts w:ascii="Times New Roman" w:hAnsi="Times New Roman" w:cs="Times New Roman"/>
          <w:sz w:val="24"/>
          <w:szCs w:val="24"/>
        </w:rPr>
        <w:tab/>
      </w:r>
      <w:r w:rsidR="004234B5" w:rsidRPr="007440A2">
        <w:rPr>
          <w:rFonts w:ascii="Times New Roman" w:hAnsi="Times New Roman" w:cs="Times New Roman"/>
          <w:sz w:val="24"/>
          <w:szCs w:val="24"/>
        </w:rPr>
        <w:t xml:space="preserve">    </w:t>
      </w:r>
      <w:r w:rsidR="001F45E3" w:rsidRPr="007440A2">
        <w:rPr>
          <w:rFonts w:ascii="Times New Roman" w:hAnsi="Times New Roman" w:cs="Times New Roman"/>
          <w:sz w:val="24"/>
          <w:szCs w:val="24"/>
        </w:rPr>
        <w:t xml:space="preserve"> </w:t>
      </w:r>
      <w:r w:rsidR="001F45E3" w:rsidRPr="007440A2">
        <w:rPr>
          <w:rFonts w:ascii="Times New Roman" w:hAnsi="Times New Roman" w:cs="Times New Roman"/>
          <w:sz w:val="28"/>
          <w:szCs w:val="28"/>
        </w:rPr>
        <w:t xml:space="preserve">        </w:t>
      </w:r>
      <w:r w:rsidRPr="007440A2">
        <w:rPr>
          <w:rFonts w:ascii="Times New Roman" w:hAnsi="Times New Roman" w:cs="Times New Roman"/>
          <w:sz w:val="24"/>
          <w:szCs w:val="24"/>
        </w:rPr>
        <w:t xml:space="preserve">Inspektorati i Lartë i Deklarimit dhe Kontrollit të Pasurive dhe Konfliktit të </w:t>
      </w:r>
      <w:r w:rsidR="001F45E3" w:rsidRPr="007440A2">
        <w:rPr>
          <w:rFonts w:ascii="Times New Roman" w:hAnsi="Times New Roman" w:cs="Times New Roman"/>
          <w:sz w:val="24"/>
          <w:szCs w:val="24"/>
        </w:rPr>
        <w:t xml:space="preserve">                        </w:t>
      </w:r>
    </w:p>
    <w:p w14:paraId="66477476" w14:textId="70E95522" w:rsidR="008F1FC3" w:rsidRPr="007440A2" w:rsidRDefault="001F45E3" w:rsidP="008F1FC3">
      <w:pPr>
        <w:spacing w:line="276" w:lineRule="auto"/>
        <w:jc w:val="both"/>
        <w:rPr>
          <w:rFonts w:ascii="Times New Roman" w:hAnsi="Times New Roman" w:cs="Times New Roman"/>
          <w:sz w:val="24"/>
          <w:szCs w:val="24"/>
        </w:rPr>
      </w:pPr>
      <w:r w:rsidRPr="007440A2">
        <w:rPr>
          <w:rFonts w:ascii="Times New Roman" w:hAnsi="Times New Roman" w:cs="Times New Roman"/>
          <w:sz w:val="24"/>
          <w:szCs w:val="24"/>
        </w:rPr>
        <w:t xml:space="preserve">                                      </w:t>
      </w:r>
      <w:r w:rsidR="008F1FC3" w:rsidRPr="007440A2">
        <w:rPr>
          <w:rFonts w:ascii="Times New Roman" w:hAnsi="Times New Roman" w:cs="Times New Roman"/>
          <w:sz w:val="24"/>
          <w:szCs w:val="24"/>
        </w:rPr>
        <w:t>Interesave</w:t>
      </w:r>
    </w:p>
    <w:p w14:paraId="5E4BCA74" w14:textId="58B2107F"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ILD</w:t>
      </w:r>
      <w:r w:rsidRPr="007440A2">
        <w:rPr>
          <w:rFonts w:ascii="Times New Roman" w:hAnsi="Times New Roman" w:cs="Times New Roman"/>
          <w:sz w:val="24"/>
          <w:szCs w:val="24"/>
        </w:rPr>
        <w:tab/>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Inspektori i Lartë i Drejtësisë</w:t>
      </w:r>
    </w:p>
    <w:p w14:paraId="1CA29A16" w14:textId="1E66C205"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INSTAT</w:t>
      </w:r>
      <w:r w:rsidRPr="007440A2">
        <w:rPr>
          <w:rFonts w:ascii="Times New Roman" w:hAnsi="Times New Roman" w:cs="Times New Roman"/>
          <w:sz w:val="24"/>
          <w:szCs w:val="24"/>
        </w:rPr>
        <w:tab/>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Instituti i Statistikave</w:t>
      </w:r>
    </w:p>
    <w:p w14:paraId="3F1C63A2" w14:textId="3309E76F"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IKP</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Institucioni i Komisionerëve Publikë</w:t>
      </w:r>
    </w:p>
    <w:p w14:paraId="3F271EF6" w14:textId="2851A26C"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IPSIS</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 xml:space="preserve"> Sistemi Informativ i Planifikimit të Integruar</w:t>
      </w:r>
    </w:p>
    <w:p w14:paraId="040039CC" w14:textId="1E0061D9"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IPA</w:t>
      </w:r>
      <w:r w:rsidRPr="007440A2">
        <w:rPr>
          <w:rFonts w:ascii="Times New Roman" w:hAnsi="Times New Roman" w:cs="Times New Roman"/>
          <w:sz w:val="24"/>
          <w:szCs w:val="24"/>
        </w:rPr>
        <w:tab/>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 xml:space="preserve"> Instrumenti i Asistencës së Paraaderimit</w:t>
      </w:r>
    </w:p>
    <w:p w14:paraId="17B5F784" w14:textId="0FB6711D"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KSH</w:t>
      </w:r>
      <w:r w:rsidRPr="007440A2">
        <w:rPr>
          <w:rFonts w:ascii="Times New Roman" w:hAnsi="Times New Roman" w:cs="Times New Roman"/>
          <w:sz w:val="24"/>
          <w:szCs w:val="24"/>
        </w:rPr>
        <w:tab/>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Kuvendi i Shqipërisë</w:t>
      </w:r>
    </w:p>
    <w:p w14:paraId="3AE54378" w14:textId="651E309D"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KLGJ</w:t>
      </w:r>
      <w:r w:rsidRPr="007440A2">
        <w:rPr>
          <w:rFonts w:ascii="Times New Roman" w:hAnsi="Times New Roman" w:cs="Times New Roman"/>
          <w:sz w:val="24"/>
          <w:szCs w:val="24"/>
        </w:rPr>
        <w:tab/>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Këshilli i Lartë Gjyqësor</w:t>
      </w:r>
    </w:p>
    <w:p w14:paraId="085A1522" w14:textId="523BD106"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KLP</w:t>
      </w:r>
      <w:r w:rsidRPr="007440A2">
        <w:rPr>
          <w:rFonts w:ascii="Times New Roman" w:hAnsi="Times New Roman" w:cs="Times New Roman"/>
          <w:sz w:val="24"/>
          <w:szCs w:val="24"/>
        </w:rPr>
        <w:tab/>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Këshilli i Lartë i Prokurorisë</w:t>
      </w:r>
    </w:p>
    <w:p w14:paraId="02E97838" w14:textId="5BCEB2C9"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KED</w:t>
      </w:r>
      <w:r w:rsidRPr="007440A2">
        <w:rPr>
          <w:rFonts w:ascii="Times New Roman" w:hAnsi="Times New Roman" w:cs="Times New Roman"/>
          <w:sz w:val="24"/>
          <w:szCs w:val="24"/>
        </w:rPr>
        <w:tab/>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Këshilli i Emërimeve në Drejtësi</w:t>
      </w:r>
    </w:p>
    <w:p w14:paraId="51B5BF07" w14:textId="23ADC088"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KPA</w:t>
      </w:r>
      <w:r w:rsidRPr="007440A2">
        <w:rPr>
          <w:rFonts w:ascii="Times New Roman" w:hAnsi="Times New Roman" w:cs="Times New Roman"/>
          <w:sz w:val="24"/>
          <w:szCs w:val="24"/>
        </w:rPr>
        <w:tab/>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Kolegji i Posaçëm i Apelimit</w:t>
      </w:r>
    </w:p>
    <w:p w14:paraId="446E62B6" w14:textId="464D8C85"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KPK</w:t>
      </w:r>
      <w:r w:rsidR="006055A7" w:rsidRPr="007440A2">
        <w:rPr>
          <w:rFonts w:ascii="Times New Roman" w:hAnsi="Times New Roman" w:cs="Times New Roman"/>
          <w:sz w:val="24"/>
          <w:szCs w:val="24"/>
        </w:rPr>
        <w:t xml:space="preserve">                     </w:t>
      </w:r>
      <w:r w:rsidR="001F45E3"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Komisioni i Pavarur i Kualifikimit</w:t>
      </w:r>
    </w:p>
    <w:p w14:paraId="20052EAD" w14:textId="47E9EE6E"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KDIMDP</w:t>
      </w:r>
      <w:r w:rsidRPr="007440A2">
        <w:rPr>
          <w:rFonts w:ascii="Times New Roman" w:hAnsi="Times New Roman" w:cs="Times New Roman"/>
          <w:sz w:val="24"/>
          <w:szCs w:val="24"/>
        </w:rPr>
        <w:tab/>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Komisioneri për të Drejtën e Informimit dhe Mbrojtjen e të Dhënave Personale</w:t>
      </w:r>
    </w:p>
    <w:p w14:paraId="01DC7965" w14:textId="0C7FECE6"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KE</w:t>
      </w:r>
      <w:r w:rsidRPr="007440A2">
        <w:rPr>
          <w:rFonts w:ascii="Times New Roman" w:hAnsi="Times New Roman" w:cs="Times New Roman"/>
          <w:sz w:val="24"/>
          <w:szCs w:val="24"/>
        </w:rPr>
        <w:tab/>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Këshilli i Evropës</w:t>
      </w:r>
    </w:p>
    <w:p w14:paraId="0A97EE05" w14:textId="37722AE5"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KEDNJ</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Konventa Evropiane për të Drejtat e Njeriut</w:t>
      </w:r>
    </w:p>
    <w:p w14:paraId="1AA8A82D" w14:textId="6D66D20D"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KV</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Komisioni i Venecias</w:t>
      </w:r>
    </w:p>
    <w:p w14:paraId="0FC0E3C6" w14:textId="0EA27128" w:rsidR="004234B5" w:rsidRPr="007440A2" w:rsidRDefault="004234B5"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IAL</w:t>
      </w:r>
      <w:r w:rsidRPr="007440A2">
        <w:rPr>
          <w:rFonts w:ascii="Times New Roman" w:hAnsi="Times New Roman" w:cs="Times New Roman"/>
          <w:sz w:val="24"/>
          <w:szCs w:val="24"/>
        </w:rPr>
        <w:t>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Institucione të Arsimit të Lartë</w:t>
      </w:r>
    </w:p>
    <w:p w14:paraId="55CCD201" w14:textId="79F93F98"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MD</w:t>
      </w:r>
      <w:r w:rsidRPr="007440A2">
        <w:rPr>
          <w:rFonts w:ascii="Times New Roman" w:hAnsi="Times New Roman" w:cs="Times New Roman"/>
          <w:sz w:val="24"/>
          <w:szCs w:val="24"/>
        </w:rPr>
        <w:tab/>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Ministria e Drejtësisë</w:t>
      </w:r>
    </w:p>
    <w:p w14:paraId="2DA160E8" w14:textId="55922F6C"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MF</w:t>
      </w:r>
      <w:r w:rsidR="006055A7" w:rsidRPr="007440A2">
        <w:rPr>
          <w:rFonts w:ascii="Times New Roman" w:hAnsi="Times New Roman" w:cs="Times New Roman"/>
          <w:sz w:val="24"/>
          <w:szCs w:val="24"/>
        </w:rPr>
        <w:t xml:space="preserve">                   </w:t>
      </w:r>
      <w:r w:rsidR="001F45E3"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001F45E3" w:rsidRPr="007440A2">
        <w:rPr>
          <w:rFonts w:ascii="Times New Roman" w:hAnsi="Times New Roman" w:cs="Times New Roman"/>
          <w:sz w:val="24"/>
          <w:szCs w:val="24"/>
        </w:rPr>
        <w:t xml:space="preserve"> </w:t>
      </w:r>
      <w:r w:rsidRPr="007440A2">
        <w:rPr>
          <w:rFonts w:ascii="Times New Roman" w:hAnsi="Times New Roman" w:cs="Times New Roman"/>
          <w:sz w:val="24"/>
          <w:szCs w:val="24"/>
        </w:rPr>
        <w:t>Ministria e Financave</w:t>
      </w:r>
    </w:p>
    <w:p w14:paraId="230F7761" w14:textId="6A8A03F8"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MAS</w:t>
      </w:r>
      <w:r w:rsidRPr="007440A2">
        <w:rPr>
          <w:rFonts w:ascii="Times New Roman" w:hAnsi="Times New Roman" w:cs="Times New Roman"/>
          <w:sz w:val="24"/>
          <w:szCs w:val="24"/>
        </w:rPr>
        <w:tab/>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Ministria e Arsimit dhe Sportit</w:t>
      </w:r>
    </w:p>
    <w:p w14:paraId="23638893" w14:textId="57F337C0"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MB</w:t>
      </w:r>
      <w:r w:rsidRPr="007440A2">
        <w:rPr>
          <w:rFonts w:ascii="Times New Roman" w:hAnsi="Times New Roman" w:cs="Times New Roman"/>
          <w:sz w:val="24"/>
          <w:szCs w:val="24"/>
        </w:rPr>
        <w:tab/>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Ministria e Brendshme</w:t>
      </w:r>
    </w:p>
    <w:p w14:paraId="3C7B3C0E" w14:textId="4E089D8B"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MSHMP</w:t>
      </w:r>
      <w:r w:rsidRPr="007440A2">
        <w:rPr>
          <w:rFonts w:ascii="Times New Roman" w:hAnsi="Times New Roman" w:cs="Times New Roman"/>
          <w:sz w:val="24"/>
          <w:szCs w:val="24"/>
        </w:rPr>
        <w:tab/>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Ministri i Shtetit për Marrëdhëniet me Parlamentin</w:t>
      </w:r>
    </w:p>
    <w:p w14:paraId="5EBBB7F5" w14:textId="4360B2E7"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MSHRF</w:t>
      </w:r>
      <w:r w:rsidRPr="007440A2">
        <w:rPr>
          <w:rFonts w:ascii="Times New Roman" w:hAnsi="Times New Roman" w:cs="Times New Roman"/>
          <w:sz w:val="24"/>
          <w:szCs w:val="24"/>
        </w:rPr>
        <w:tab/>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Ministri i Shtetit për Rininë dhe Fëmijët</w:t>
      </w:r>
    </w:p>
    <w:p w14:paraId="628D07CC" w14:textId="0214D0F0"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MAPA</w:t>
      </w:r>
      <w:r w:rsidRPr="007440A2">
        <w:rPr>
          <w:rFonts w:ascii="Times New Roman" w:hAnsi="Times New Roman" w:cs="Times New Roman"/>
          <w:sz w:val="24"/>
          <w:szCs w:val="24"/>
        </w:rPr>
        <w:tab/>
      </w:r>
      <w:r w:rsidR="006055A7" w:rsidRPr="007440A2">
        <w:rPr>
          <w:rFonts w:ascii="Times New Roman" w:hAnsi="Times New Roman" w:cs="Times New Roman"/>
          <w:sz w:val="24"/>
          <w:szCs w:val="24"/>
        </w:rPr>
        <w:t xml:space="preserve">              </w:t>
      </w:r>
      <w:r w:rsidR="001F3B13" w:rsidRPr="007440A2">
        <w:rPr>
          <w:rFonts w:ascii="Times New Roman" w:hAnsi="Times New Roman" w:cs="Times New Roman"/>
          <w:sz w:val="24"/>
          <w:szCs w:val="24"/>
        </w:rPr>
        <w:t xml:space="preserve">            </w:t>
      </w:r>
      <w:r w:rsidRPr="007440A2">
        <w:rPr>
          <w:rFonts w:ascii="Times New Roman" w:hAnsi="Times New Roman" w:cs="Times New Roman"/>
          <w:sz w:val="24"/>
          <w:szCs w:val="24"/>
        </w:rPr>
        <w:t>Ministri i Shtetit për Administratën Publike dhe Antikorrupsion</w:t>
      </w:r>
    </w:p>
    <w:p w14:paraId="18225EEE" w14:textId="719D524B" w:rsidR="004234B5" w:rsidRPr="007440A2" w:rsidRDefault="004234B5" w:rsidP="004234B5">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lastRenderedPageBreak/>
        <w:t>MSA              </w:t>
      </w:r>
      <w:r w:rsidR="006055A7" w:rsidRPr="007440A2">
        <w:rPr>
          <w:rFonts w:ascii="Times New Roman" w:hAnsi="Times New Roman" w:cs="Times New Roman"/>
          <w:b/>
          <w:bCs/>
          <w:sz w:val="24"/>
          <w:szCs w:val="24"/>
        </w:rPr>
        <w:t xml:space="preserve">      </w:t>
      </w:r>
      <w:r w:rsidRPr="007440A2">
        <w:rPr>
          <w:rFonts w:ascii="Times New Roman" w:hAnsi="Times New Roman" w:cs="Times New Roman"/>
          <w:b/>
          <w:bCs/>
          <w:sz w:val="24"/>
          <w:szCs w:val="24"/>
        </w:rPr>
        <w:t xml:space="preserve">     </w:t>
      </w:r>
      <w:r w:rsidR="006055A7" w:rsidRPr="007440A2">
        <w:rPr>
          <w:rFonts w:ascii="Times New Roman" w:hAnsi="Times New Roman" w:cs="Times New Roman"/>
          <w:b/>
          <w:bCs/>
          <w:sz w:val="24"/>
          <w:szCs w:val="24"/>
        </w:rPr>
        <w:t xml:space="preserve">    </w:t>
      </w:r>
      <w:r w:rsidRPr="007440A2">
        <w:rPr>
          <w:rFonts w:ascii="Times New Roman" w:hAnsi="Times New Roman" w:cs="Times New Roman"/>
          <w:sz w:val="24"/>
          <w:szCs w:val="24"/>
        </w:rPr>
        <w:t>Marrëveshja e Stabilizim Asociimit</w:t>
      </w:r>
    </w:p>
    <w:p w14:paraId="792B6AA5" w14:textId="77FDB6CA" w:rsidR="004234B5" w:rsidRPr="007440A2" w:rsidRDefault="004234B5"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M&amp;V               </w:t>
      </w:r>
      <w:r w:rsidR="006055A7" w:rsidRPr="007440A2">
        <w:rPr>
          <w:rFonts w:ascii="Times New Roman" w:hAnsi="Times New Roman" w:cs="Times New Roman"/>
          <w:b/>
          <w:bCs/>
          <w:sz w:val="24"/>
          <w:szCs w:val="24"/>
        </w:rPr>
        <w:t xml:space="preserve">     </w:t>
      </w:r>
      <w:r w:rsidRPr="007440A2">
        <w:rPr>
          <w:rFonts w:ascii="Times New Roman" w:hAnsi="Times New Roman" w:cs="Times New Roman"/>
          <w:b/>
          <w:bCs/>
          <w:sz w:val="24"/>
          <w:szCs w:val="24"/>
        </w:rPr>
        <w:t xml:space="preserve">   </w:t>
      </w:r>
      <w:r w:rsidR="006055A7" w:rsidRPr="007440A2">
        <w:rPr>
          <w:rFonts w:ascii="Times New Roman" w:hAnsi="Times New Roman" w:cs="Times New Roman"/>
          <w:b/>
          <w:bCs/>
          <w:sz w:val="24"/>
          <w:szCs w:val="24"/>
        </w:rPr>
        <w:t xml:space="preserve">     </w:t>
      </w:r>
      <w:r w:rsidRPr="007440A2">
        <w:rPr>
          <w:rFonts w:ascii="Times New Roman" w:hAnsi="Times New Roman" w:cs="Times New Roman"/>
          <w:sz w:val="24"/>
          <w:szCs w:val="24"/>
        </w:rPr>
        <w:t>Monitorim dhe Vlerësim</w:t>
      </w:r>
    </w:p>
    <w:p w14:paraId="5D4FD654" w14:textId="3B6AF790" w:rsidR="004234B5" w:rsidRPr="007440A2" w:rsidRDefault="004234B5" w:rsidP="004234B5">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OJQ</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Organizata Joqeveritare</w:t>
      </w:r>
    </w:p>
    <w:p w14:paraId="5ADE2AD5" w14:textId="3E4DFE1F" w:rsidR="004234B5" w:rsidRPr="007440A2" w:rsidRDefault="004234B5" w:rsidP="004234B5">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OKB</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Organizata e Kombeve të Bashkuara</w:t>
      </w:r>
    </w:p>
    <w:p w14:paraId="181E10D0" w14:textId="26901001" w:rsidR="004234B5" w:rsidRPr="007440A2" w:rsidRDefault="004234B5" w:rsidP="004234B5">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OS</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Objektivi Specifik</w:t>
      </w:r>
    </w:p>
    <w:p w14:paraId="3318E682" w14:textId="31E463F7" w:rsidR="004234B5" w:rsidRPr="007440A2" w:rsidRDefault="004234B5"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OZHQ</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Objektivat e Zhvillimit të Qëndrueshëm</w:t>
      </w:r>
    </w:p>
    <w:p w14:paraId="789BAE82" w14:textId="085D0363" w:rsidR="004234B5" w:rsidRPr="007440A2" w:rsidRDefault="004234B5"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ODIHR       </w:t>
      </w:r>
      <w:r w:rsidR="006055A7" w:rsidRPr="007440A2">
        <w:rPr>
          <w:rFonts w:ascii="Times New Roman" w:hAnsi="Times New Roman" w:cs="Times New Roman"/>
          <w:b/>
          <w:bCs/>
          <w:sz w:val="24"/>
          <w:szCs w:val="24"/>
        </w:rPr>
        <w:t xml:space="preserve">     </w:t>
      </w:r>
      <w:r w:rsidRPr="007440A2">
        <w:rPr>
          <w:rFonts w:ascii="Times New Roman" w:hAnsi="Times New Roman" w:cs="Times New Roman"/>
          <w:b/>
          <w:bCs/>
          <w:sz w:val="24"/>
          <w:szCs w:val="24"/>
        </w:rPr>
        <w:t xml:space="preserve">       </w:t>
      </w:r>
      <w:r w:rsidR="006055A7" w:rsidRPr="007440A2">
        <w:rPr>
          <w:rFonts w:ascii="Times New Roman" w:hAnsi="Times New Roman" w:cs="Times New Roman"/>
          <w:b/>
          <w:bCs/>
          <w:sz w:val="24"/>
          <w:szCs w:val="24"/>
        </w:rPr>
        <w:t xml:space="preserve">     </w:t>
      </w:r>
      <w:r w:rsidRPr="007440A2">
        <w:rPr>
          <w:rFonts w:ascii="Times New Roman" w:hAnsi="Times New Roman" w:cs="Times New Roman"/>
          <w:sz w:val="24"/>
          <w:szCs w:val="24"/>
        </w:rPr>
        <w:t>Zyra për Institucione Demokratike dhe të Drejtat e Njeriut (OSBE)</w:t>
      </w:r>
    </w:p>
    <w:p w14:paraId="239EFB60" w14:textId="6AA03E07"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PP</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Prokuroria e Përgjithshme</w:t>
      </w:r>
    </w:p>
    <w:p w14:paraId="4DE06F06" w14:textId="3877EC60"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PKIE</w:t>
      </w:r>
      <w:r w:rsidRPr="007440A2">
        <w:rPr>
          <w:rFonts w:ascii="Times New Roman" w:hAnsi="Times New Roman" w:cs="Times New Roman"/>
          <w:sz w:val="24"/>
          <w:szCs w:val="24"/>
        </w:rPr>
        <w:tab/>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Plani Kombëtar për Integrimin Evropian</w:t>
      </w:r>
    </w:p>
    <w:p w14:paraId="1B3FCD6B" w14:textId="7725AC6C" w:rsidR="004234B5" w:rsidRPr="007440A2" w:rsidRDefault="004234B5" w:rsidP="004234B5">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PBA</w:t>
      </w:r>
      <w:r w:rsidRPr="007440A2">
        <w:rPr>
          <w:rFonts w:ascii="Times New Roman" w:hAnsi="Times New Roman" w:cs="Times New Roman"/>
          <w:sz w:val="24"/>
          <w:szCs w:val="24"/>
        </w:rPr>
        <w:t>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Programi Buxhetor Afatmesëm</w:t>
      </w:r>
    </w:p>
    <w:p w14:paraId="02360230" w14:textId="7C171B13" w:rsidR="004234B5" w:rsidRPr="007440A2" w:rsidRDefault="004234B5"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PNK                 </w:t>
      </w:r>
      <w:r w:rsidR="006055A7" w:rsidRPr="007440A2">
        <w:rPr>
          <w:rFonts w:ascii="Times New Roman" w:hAnsi="Times New Roman" w:cs="Times New Roman"/>
          <w:b/>
          <w:bCs/>
          <w:sz w:val="24"/>
          <w:szCs w:val="24"/>
        </w:rPr>
        <w:t xml:space="preserve">     </w:t>
      </w:r>
      <w:r w:rsidRPr="007440A2">
        <w:rPr>
          <w:rFonts w:ascii="Times New Roman" w:hAnsi="Times New Roman" w:cs="Times New Roman"/>
          <w:b/>
          <w:bCs/>
          <w:sz w:val="24"/>
          <w:szCs w:val="24"/>
        </w:rPr>
        <w:t xml:space="preserve">  </w:t>
      </w:r>
      <w:r w:rsidR="006055A7" w:rsidRPr="007440A2">
        <w:rPr>
          <w:rFonts w:ascii="Times New Roman" w:hAnsi="Times New Roman" w:cs="Times New Roman"/>
          <w:b/>
          <w:bCs/>
          <w:sz w:val="24"/>
          <w:szCs w:val="24"/>
        </w:rPr>
        <w:t xml:space="preserve">     </w:t>
      </w:r>
      <w:r w:rsidR="001F45E3" w:rsidRPr="007440A2">
        <w:rPr>
          <w:rFonts w:ascii="Times New Roman" w:hAnsi="Times New Roman" w:cs="Times New Roman"/>
          <w:b/>
          <w:bCs/>
          <w:sz w:val="24"/>
          <w:szCs w:val="24"/>
        </w:rPr>
        <w:t xml:space="preserve"> </w:t>
      </w:r>
      <w:r w:rsidRPr="007440A2">
        <w:rPr>
          <w:rFonts w:ascii="Times New Roman" w:hAnsi="Times New Roman" w:cs="Times New Roman"/>
          <w:sz w:val="24"/>
          <w:szCs w:val="24"/>
        </w:rPr>
        <w:t>Plani i Ngritjes së Kapaciteteve</w:t>
      </w:r>
    </w:p>
    <w:p w14:paraId="24DB5447" w14:textId="390125E2"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SPAK</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001F45E3" w:rsidRPr="007440A2">
        <w:rPr>
          <w:rFonts w:ascii="Times New Roman" w:hAnsi="Times New Roman" w:cs="Times New Roman"/>
          <w:sz w:val="24"/>
          <w:szCs w:val="24"/>
        </w:rPr>
        <w:t xml:space="preserve"> </w:t>
      </w:r>
      <w:r w:rsidRPr="007440A2">
        <w:rPr>
          <w:rFonts w:ascii="Times New Roman" w:hAnsi="Times New Roman" w:cs="Times New Roman"/>
          <w:sz w:val="24"/>
          <w:szCs w:val="24"/>
        </w:rPr>
        <w:t>Prokuroria e Posaçme</w:t>
      </w:r>
    </w:p>
    <w:p w14:paraId="56266819" w14:textId="3467BCC3"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SND</w:t>
      </w:r>
      <w:r w:rsidRPr="007440A2">
        <w:rPr>
          <w:rFonts w:ascii="Times New Roman" w:hAnsi="Times New Roman" w:cs="Times New Roman"/>
          <w:sz w:val="24"/>
          <w:szCs w:val="24"/>
        </w:rPr>
        <w:tab/>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Strategjia Ndërsektoriale e Drejtësisë</w:t>
      </w:r>
    </w:p>
    <w:p w14:paraId="2E385B2A" w14:textId="199B0BBF"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SASPAC</w:t>
      </w:r>
      <w:r w:rsidRPr="007440A2">
        <w:rPr>
          <w:rFonts w:ascii="Times New Roman" w:hAnsi="Times New Roman" w:cs="Times New Roman"/>
          <w:sz w:val="24"/>
          <w:szCs w:val="24"/>
        </w:rPr>
        <w:tab/>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Agjencia Shtetërore e Programimit Strategjik dhe Koordinimit të Ndihmës</w:t>
      </w:r>
    </w:p>
    <w:p w14:paraId="7F26FED9" w14:textId="0401DA88"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SHSHAP</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Shkolla Shqiptare e Administratës Publike</w:t>
      </w:r>
      <w:r w:rsidRPr="007440A2">
        <w:rPr>
          <w:rFonts w:ascii="Times New Roman" w:hAnsi="Times New Roman" w:cs="Times New Roman"/>
          <w:sz w:val="24"/>
          <w:szCs w:val="24"/>
        </w:rPr>
        <w:tab/>
      </w:r>
    </w:p>
    <w:p w14:paraId="5ED79A3D" w14:textId="05153459"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SHM</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Shkolla e Magjistraturës</w:t>
      </w:r>
    </w:p>
    <w:p w14:paraId="4016DD68" w14:textId="1D76AF26"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SMÇPSH</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 xml:space="preserve"> </w:t>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Sistemi i Menaxhimit të Çështjeve i Prokurorisë Shqiptare</w:t>
      </w:r>
    </w:p>
    <w:p w14:paraId="348F9DF6" w14:textId="02A9F91D" w:rsidR="008F1FC3" w:rsidRPr="007440A2" w:rsidRDefault="008F1FC3" w:rsidP="008F1FC3">
      <w:pPr>
        <w:spacing w:line="276" w:lineRule="auto"/>
        <w:jc w:val="both"/>
        <w:rPr>
          <w:rFonts w:ascii="Times New Roman" w:hAnsi="Times New Roman" w:cs="Times New Roman"/>
          <w:sz w:val="24"/>
          <w:szCs w:val="24"/>
        </w:rPr>
      </w:pPr>
      <w:r w:rsidRPr="007440A2">
        <w:rPr>
          <w:rFonts w:ascii="Times New Roman" w:hAnsi="Times New Roman" w:cs="Times New Roman"/>
          <w:b/>
          <w:bCs/>
          <w:sz w:val="24"/>
          <w:szCs w:val="24"/>
        </w:rPr>
        <w:t>SKZHIE</w:t>
      </w:r>
      <w:r w:rsidRPr="007440A2">
        <w:rPr>
          <w:rFonts w:ascii="Times New Roman" w:hAnsi="Times New Roman" w:cs="Times New Roman"/>
          <w:sz w:val="24"/>
          <w:szCs w:val="24"/>
        </w:rPr>
        <w:tab/>
      </w:r>
      <w:r w:rsidR="006055A7" w:rsidRPr="007440A2">
        <w:rPr>
          <w:rFonts w:ascii="Times New Roman" w:hAnsi="Times New Roman" w:cs="Times New Roman"/>
          <w:sz w:val="24"/>
          <w:szCs w:val="24"/>
        </w:rPr>
        <w:t xml:space="preserve">              </w:t>
      </w:r>
      <w:r w:rsidRPr="007440A2">
        <w:rPr>
          <w:rFonts w:ascii="Times New Roman" w:hAnsi="Times New Roman" w:cs="Times New Roman"/>
          <w:sz w:val="24"/>
          <w:szCs w:val="24"/>
        </w:rPr>
        <w:t>Strategjia Kombëtare për Zhvillim dhe Integrim Evropian 2022-2030</w:t>
      </w:r>
    </w:p>
    <w:p w14:paraId="4838A344" w14:textId="04ABA41D" w:rsidR="008F1FC3" w:rsidRPr="007440A2" w:rsidRDefault="008F1FC3" w:rsidP="008F1FC3">
      <w:pPr>
        <w:spacing w:line="276" w:lineRule="auto"/>
        <w:jc w:val="both"/>
        <w:rPr>
          <w:rFonts w:ascii="Times New Roman" w:hAnsi="Times New Roman" w:cs="Times New Roman"/>
          <w:sz w:val="24"/>
          <w:szCs w:val="24"/>
        </w:rPr>
      </w:pPr>
    </w:p>
    <w:p w14:paraId="533B3D6B" w14:textId="77777777" w:rsidR="008F1FC3" w:rsidRPr="007440A2" w:rsidRDefault="008F1FC3" w:rsidP="008F1FC3">
      <w:pPr>
        <w:spacing w:line="276" w:lineRule="auto"/>
        <w:jc w:val="both"/>
        <w:rPr>
          <w:rFonts w:ascii="Times New Roman" w:hAnsi="Times New Roman" w:cs="Times New Roman"/>
          <w:sz w:val="24"/>
          <w:szCs w:val="24"/>
        </w:rPr>
      </w:pPr>
    </w:p>
    <w:p w14:paraId="0A5876CB" w14:textId="77777777" w:rsidR="000E7E5D" w:rsidRPr="007440A2" w:rsidRDefault="000E7E5D" w:rsidP="008F1FC3">
      <w:pPr>
        <w:spacing w:line="276" w:lineRule="auto"/>
        <w:jc w:val="both"/>
        <w:rPr>
          <w:rFonts w:ascii="Times New Roman" w:hAnsi="Times New Roman" w:cs="Times New Roman"/>
          <w:sz w:val="24"/>
          <w:szCs w:val="24"/>
        </w:rPr>
      </w:pPr>
    </w:p>
    <w:p w14:paraId="56994026" w14:textId="77777777" w:rsidR="000E7E5D" w:rsidRPr="007440A2" w:rsidRDefault="000E7E5D" w:rsidP="008F1FC3">
      <w:pPr>
        <w:spacing w:line="276" w:lineRule="auto"/>
        <w:jc w:val="both"/>
        <w:rPr>
          <w:rFonts w:ascii="Times New Roman" w:hAnsi="Times New Roman" w:cs="Times New Roman"/>
          <w:sz w:val="24"/>
          <w:szCs w:val="24"/>
        </w:rPr>
      </w:pPr>
    </w:p>
    <w:p w14:paraId="1564BB9D" w14:textId="77777777" w:rsidR="000E7E5D" w:rsidRPr="007440A2" w:rsidRDefault="000E7E5D" w:rsidP="008F1FC3">
      <w:pPr>
        <w:spacing w:line="276" w:lineRule="auto"/>
        <w:jc w:val="both"/>
        <w:rPr>
          <w:rFonts w:ascii="Times New Roman" w:hAnsi="Times New Roman" w:cs="Times New Roman"/>
          <w:sz w:val="24"/>
          <w:szCs w:val="24"/>
        </w:rPr>
      </w:pPr>
    </w:p>
    <w:p w14:paraId="0A137559" w14:textId="77777777" w:rsidR="000E7E5D" w:rsidRPr="007440A2" w:rsidRDefault="000E7E5D" w:rsidP="008F1FC3">
      <w:pPr>
        <w:spacing w:line="276" w:lineRule="auto"/>
        <w:jc w:val="both"/>
        <w:rPr>
          <w:rFonts w:ascii="Times New Roman" w:hAnsi="Times New Roman" w:cs="Times New Roman"/>
          <w:sz w:val="24"/>
          <w:szCs w:val="24"/>
        </w:rPr>
      </w:pPr>
    </w:p>
    <w:p w14:paraId="6287F9E7" w14:textId="77777777" w:rsidR="000E7E5D" w:rsidRPr="007440A2" w:rsidRDefault="000E7E5D" w:rsidP="008F1FC3">
      <w:pPr>
        <w:spacing w:line="276" w:lineRule="auto"/>
        <w:jc w:val="both"/>
        <w:rPr>
          <w:rFonts w:ascii="Times New Roman" w:hAnsi="Times New Roman" w:cs="Times New Roman"/>
          <w:sz w:val="24"/>
          <w:szCs w:val="24"/>
        </w:rPr>
      </w:pPr>
    </w:p>
    <w:p w14:paraId="12892806" w14:textId="77777777" w:rsidR="000E7E5D" w:rsidRPr="007440A2" w:rsidRDefault="000E7E5D" w:rsidP="008F1FC3">
      <w:pPr>
        <w:spacing w:line="276" w:lineRule="auto"/>
        <w:jc w:val="both"/>
        <w:rPr>
          <w:rFonts w:ascii="Times New Roman" w:hAnsi="Times New Roman" w:cs="Times New Roman"/>
          <w:sz w:val="24"/>
          <w:szCs w:val="24"/>
        </w:rPr>
      </w:pPr>
    </w:p>
    <w:p w14:paraId="1E216364" w14:textId="77777777" w:rsidR="000E7E5D" w:rsidRPr="007440A2" w:rsidRDefault="000E7E5D" w:rsidP="008F1FC3">
      <w:pPr>
        <w:spacing w:line="276" w:lineRule="auto"/>
        <w:jc w:val="both"/>
        <w:rPr>
          <w:rFonts w:ascii="Times New Roman" w:hAnsi="Times New Roman" w:cs="Times New Roman"/>
          <w:sz w:val="24"/>
          <w:szCs w:val="24"/>
        </w:rPr>
      </w:pPr>
    </w:p>
    <w:p w14:paraId="5B748D0C" w14:textId="637B4814" w:rsidR="0087348C" w:rsidRPr="007440A2" w:rsidRDefault="0087348C" w:rsidP="00EB4BCC">
      <w:pPr>
        <w:spacing w:line="276" w:lineRule="auto"/>
        <w:jc w:val="both"/>
        <w:rPr>
          <w:rFonts w:ascii="Times New Roman" w:hAnsi="Times New Roman" w:cs="Times New Roman"/>
          <w:sz w:val="24"/>
          <w:szCs w:val="24"/>
        </w:rPr>
      </w:pPr>
    </w:p>
    <w:p w14:paraId="61307FC1" w14:textId="7CE85F79" w:rsidR="00CE18EE" w:rsidRPr="007440A2" w:rsidRDefault="00CE18EE" w:rsidP="00CE18EE">
      <w:pPr>
        <w:pBdr>
          <w:bottom w:val="single" w:sz="24" w:space="1" w:color="F0CDA1"/>
        </w:pBdr>
        <w:spacing w:before="120" w:after="120" w:line="288" w:lineRule="auto"/>
        <w:rPr>
          <w:rFonts w:ascii="Times New Roman" w:eastAsia="Arial" w:hAnsi="Times New Roman" w:cs="Times New Roman"/>
          <w:b/>
          <w:sz w:val="40"/>
        </w:rPr>
      </w:pPr>
      <w:r w:rsidRPr="007440A2">
        <w:rPr>
          <w:rFonts w:ascii="Times New Roman" w:eastAsia="Arial" w:hAnsi="Times New Roman" w:cs="Times New Roman"/>
          <w:b/>
          <w:sz w:val="40"/>
        </w:rPr>
        <w:lastRenderedPageBreak/>
        <w:t xml:space="preserve">TABELA E PËRMBAJTJES </w:t>
      </w:r>
    </w:p>
    <w:p w14:paraId="7CB7BB15" w14:textId="77777777" w:rsidR="00CE18EE" w:rsidRPr="007440A2" w:rsidRDefault="00CE18EE" w:rsidP="00CE18EE">
      <w:pPr>
        <w:rPr>
          <w:rFonts w:ascii="Times New Roman" w:hAnsi="Times New Roman" w:cs="Times New Roman"/>
          <w:sz w:val="40"/>
          <w:szCs w:val="40"/>
        </w:rPr>
      </w:pPr>
    </w:p>
    <w:p w14:paraId="11857FB4" w14:textId="3C5E2FEA" w:rsidR="00CE18EE" w:rsidRPr="007440A2" w:rsidRDefault="002B24FB" w:rsidP="00CE18EE">
      <w:pPr>
        <w:pStyle w:val="NoSpacing2"/>
        <w:rPr>
          <w:b/>
          <w:sz w:val="16"/>
          <w:szCs w:val="16"/>
        </w:rPr>
      </w:pPr>
      <w:r w:rsidRPr="007440A2">
        <w:softHyphen/>
      </w:r>
      <w:r w:rsidRPr="007440A2">
        <w:softHyphen/>
      </w:r>
      <w:r w:rsidRPr="007440A2">
        <w:softHyphen/>
      </w:r>
      <w:r w:rsidRPr="007440A2">
        <w:softHyphen/>
      </w:r>
    </w:p>
    <w:p w14:paraId="529039D0" w14:textId="056FFC9D" w:rsidR="002B24FB" w:rsidRPr="007440A2" w:rsidRDefault="00EB4BCC" w:rsidP="002B24FB">
      <w:pPr>
        <w:spacing w:line="276" w:lineRule="auto"/>
        <w:jc w:val="both"/>
        <w:rPr>
          <w:rFonts w:ascii="Times New Roman" w:hAnsi="Times New Roman" w:cs="Times New Roman"/>
          <w:b/>
          <w:sz w:val="24"/>
          <w:szCs w:val="24"/>
        </w:rPr>
      </w:pPr>
      <w:r w:rsidRPr="007440A2">
        <w:rPr>
          <w:rFonts w:ascii="Times New Roman" w:hAnsi="Times New Roman" w:cs="Times New Roman"/>
          <w:sz w:val="24"/>
          <w:szCs w:val="24"/>
        </w:rPr>
        <w:t>PJESA I – KONTEKSTI STRATEGJIK</w:t>
      </w:r>
    </w:p>
    <w:p w14:paraId="0206C3B2" w14:textId="77777777" w:rsidR="002B24FB" w:rsidRPr="007440A2" w:rsidRDefault="002B24FB" w:rsidP="002B24FB">
      <w:pPr>
        <w:pStyle w:val="ListParagraph"/>
        <w:numPr>
          <w:ilvl w:val="0"/>
          <w:numId w:val="1"/>
        </w:numPr>
        <w:spacing w:line="276" w:lineRule="auto"/>
        <w:jc w:val="both"/>
        <w:rPr>
          <w:rFonts w:ascii="Times New Roman" w:hAnsi="Times New Roman" w:cs="Times New Roman"/>
          <w:sz w:val="24"/>
          <w:szCs w:val="24"/>
          <w:lang w:val="pl-PL"/>
        </w:rPr>
      </w:pPr>
      <w:r w:rsidRPr="007440A2">
        <w:rPr>
          <w:rFonts w:ascii="Times New Roman" w:hAnsi="Times New Roman"/>
          <w:sz w:val="24"/>
          <w:szCs w:val="24"/>
          <w:lang w:val="pl-PL"/>
        </w:rPr>
        <w:t>Hyrja dhe Qëllimi i Dokumentit Strategjik</w:t>
      </w:r>
    </w:p>
    <w:p w14:paraId="57E9CE8D" w14:textId="77777777" w:rsidR="002B24FB" w:rsidRPr="007440A2" w:rsidRDefault="002B24FB" w:rsidP="002B24FB">
      <w:pPr>
        <w:pStyle w:val="ListParagraph"/>
        <w:numPr>
          <w:ilvl w:val="0"/>
          <w:numId w:val="1"/>
        </w:numPr>
        <w:shd w:val="clear" w:color="auto" w:fill="FFFFFF"/>
        <w:spacing w:beforeAutospacing="1" w:after="0" w:afterAutospacing="1" w:line="414" w:lineRule="atLeast"/>
        <w:outlineLvl w:val="1"/>
        <w:rPr>
          <w:rFonts w:ascii="Times New Roman" w:eastAsia="Times New Roman" w:hAnsi="Times New Roman" w:cs="Times New Roman"/>
          <w:bCs/>
          <w:sz w:val="24"/>
          <w:szCs w:val="24"/>
          <w:bdr w:val="none" w:sz="0" w:space="0" w:color="auto" w:frame="1"/>
          <w:lang w:val="pl-PL"/>
        </w:rPr>
      </w:pPr>
      <w:r w:rsidRPr="007440A2">
        <w:rPr>
          <w:rFonts w:ascii="Times New Roman" w:hAnsi="Times New Roman" w:cs="Times New Roman"/>
          <w:sz w:val="24"/>
          <w:szCs w:val="24"/>
          <w:lang w:val="pl-PL"/>
        </w:rPr>
        <w:t>Kuadri ligjor dhe institucional dhe lidhja me dokumentet strategjike të tjera</w:t>
      </w:r>
    </w:p>
    <w:p w14:paraId="5363CB02" w14:textId="77777777" w:rsidR="002B24FB" w:rsidRPr="007440A2" w:rsidRDefault="002B24FB" w:rsidP="002B24FB">
      <w:pPr>
        <w:pStyle w:val="ListParagraph"/>
        <w:numPr>
          <w:ilvl w:val="0"/>
          <w:numId w:val="1"/>
        </w:numPr>
        <w:shd w:val="clear" w:color="auto" w:fill="FFFFFF"/>
        <w:spacing w:beforeAutospacing="1" w:after="0" w:afterAutospacing="1" w:line="414" w:lineRule="atLeast"/>
        <w:outlineLvl w:val="1"/>
        <w:rPr>
          <w:rFonts w:ascii="Times New Roman" w:eastAsia="Times New Roman" w:hAnsi="Times New Roman" w:cs="Times New Roman"/>
          <w:bCs/>
          <w:sz w:val="24"/>
          <w:szCs w:val="24"/>
          <w:bdr w:val="none" w:sz="0" w:space="0" w:color="auto" w:frame="1"/>
          <w:lang w:val="en-GB"/>
        </w:rPr>
      </w:pPr>
      <w:r w:rsidRPr="007440A2">
        <w:rPr>
          <w:rFonts w:ascii="Times New Roman" w:eastAsia="Times New Roman" w:hAnsi="Times New Roman" w:cs="Times New Roman"/>
          <w:bCs/>
          <w:sz w:val="24"/>
          <w:szCs w:val="24"/>
          <w:bdr w:val="none" w:sz="0" w:space="0" w:color="auto" w:frame="1"/>
          <w:lang w:val="en-GB"/>
        </w:rPr>
        <w:t>Arritjet, analiza dhe sfidat</w:t>
      </w:r>
    </w:p>
    <w:p w14:paraId="7848579D" w14:textId="4AF686DB" w:rsidR="002A3CFA" w:rsidRPr="007440A2" w:rsidRDefault="002A3CFA" w:rsidP="002A3CFA">
      <w:pPr>
        <w:pStyle w:val="ListParagraph"/>
        <w:numPr>
          <w:ilvl w:val="0"/>
          <w:numId w:val="1"/>
        </w:numPr>
        <w:shd w:val="clear" w:color="auto" w:fill="FFFFFF"/>
        <w:spacing w:beforeAutospacing="1" w:after="0" w:afterAutospacing="1" w:line="414" w:lineRule="atLeast"/>
        <w:jc w:val="both"/>
        <w:outlineLvl w:val="1"/>
        <w:rPr>
          <w:rFonts w:ascii="Times New Roman" w:eastAsia="Times New Roman" w:hAnsi="Times New Roman" w:cs="Times New Roman"/>
          <w:bCs/>
          <w:sz w:val="24"/>
          <w:szCs w:val="24"/>
          <w:bdr w:val="none" w:sz="0" w:space="0" w:color="auto" w:frame="1"/>
          <w:lang w:val="en-GB"/>
        </w:rPr>
      </w:pPr>
      <w:r w:rsidRPr="007440A2">
        <w:rPr>
          <w:rFonts w:ascii="Times New Roman" w:eastAsia="Times New Roman" w:hAnsi="Times New Roman" w:cs="Times New Roman"/>
          <w:bCs/>
          <w:sz w:val="24"/>
          <w:szCs w:val="24"/>
          <w:bdr w:val="none" w:sz="0" w:space="0" w:color="auto" w:frame="1"/>
          <w:lang w:val="en-GB"/>
        </w:rPr>
        <w:t>Vizioni dhe misioni i dokumentit</w:t>
      </w:r>
    </w:p>
    <w:p w14:paraId="01C0FD0B" w14:textId="1CC17B9D" w:rsidR="0021110C" w:rsidRPr="007440A2" w:rsidRDefault="00EB4BCC" w:rsidP="00EB4BCC">
      <w:pPr>
        <w:spacing w:line="276" w:lineRule="auto"/>
        <w:jc w:val="both"/>
        <w:rPr>
          <w:rFonts w:ascii="Times New Roman" w:hAnsi="Times New Roman" w:cs="Times New Roman"/>
          <w:sz w:val="24"/>
          <w:szCs w:val="24"/>
        </w:rPr>
      </w:pPr>
      <w:r w:rsidRPr="007440A2">
        <w:rPr>
          <w:rFonts w:ascii="Times New Roman" w:hAnsi="Times New Roman" w:cs="Times New Roman"/>
          <w:sz w:val="24"/>
          <w:szCs w:val="24"/>
        </w:rPr>
        <w:t xml:space="preserve">PJESA II – QËLLIMI I POLITIKAVE, OBJEKTIVAT SPECIFIKË DHE MASAT PARËSORE TË ZBATIMIT TË STRATEGJISË NDËRSEKTORIALE TË </w:t>
      </w:r>
      <w:r w:rsidR="0087348C" w:rsidRPr="007440A2">
        <w:rPr>
          <w:rFonts w:ascii="Times New Roman" w:hAnsi="Times New Roman" w:cs="Times New Roman"/>
          <w:sz w:val="24"/>
          <w:szCs w:val="24"/>
        </w:rPr>
        <w:t>DREJTËSISË</w:t>
      </w:r>
      <w:r w:rsidRPr="007440A2">
        <w:rPr>
          <w:rFonts w:ascii="Times New Roman" w:hAnsi="Times New Roman" w:cs="Times New Roman"/>
          <w:sz w:val="24"/>
          <w:szCs w:val="24"/>
        </w:rPr>
        <w:t xml:space="preserve"> 2024 – 2026</w:t>
      </w:r>
    </w:p>
    <w:p w14:paraId="63B82E17" w14:textId="2F1D93F2" w:rsidR="00EB4BCC" w:rsidRPr="007440A2" w:rsidRDefault="00EB4BCC" w:rsidP="00EB4BCC">
      <w:pPr>
        <w:spacing w:line="276" w:lineRule="auto"/>
        <w:jc w:val="both"/>
        <w:rPr>
          <w:rFonts w:ascii="Times New Roman" w:hAnsi="Times New Roman" w:cs="Times New Roman"/>
          <w:sz w:val="24"/>
          <w:szCs w:val="24"/>
          <w:lang w:val="it-IT"/>
        </w:rPr>
      </w:pPr>
      <w:r w:rsidRPr="007440A2">
        <w:rPr>
          <w:rFonts w:ascii="Times New Roman" w:hAnsi="Times New Roman" w:cs="Times New Roman"/>
          <w:sz w:val="24"/>
          <w:szCs w:val="24"/>
          <w:lang w:val="it-IT"/>
        </w:rPr>
        <w:t>Qëllimet e politikës së SN</w:t>
      </w:r>
      <w:r w:rsidR="0087348C" w:rsidRPr="007440A2">
        <w:rPr>
          <w:rFonts w:ascii="Times New Roman" w:hAnsi="Times New Roman" w:cs="Times New Roman"/>
          <w:sz w:val="24"/>
          <w:szCs w:val="24"/>
          <w:lang w:val="it-IT"/>
        </w:rPr>
        <w:t>D</w:t>
      </w:r>
      <w:r w:rsidRPr="007440A2">
        <w:rPr>
          <w:rFonts w:ascii="Times New Roman" w:hAnsi="Times New Roman" w:cs="Times New Roman"/>
          <w:sz w:val="24"/>
          <w:szCs w:val="24"/>
          <w:lang w:val="it-IT"/>
        </w:rPr>
        <w:t xml:space="preserve"> 2024 – 2030</w:t>
      </w:r>
    </w:p>
    <w:p w14:paraId="2F10F9D8" w14:textId="5F6D76B6" w:rsidR="00637798" w:rsidRPr="007440A2" w:rsidRDefault="00637798" w:rsidP="00EB4BCC">
      <w:pPr>
        <w:spacing w:line="276" w:lineRule="auto"/>
        <w:jc w:val="both"/>
        <w:rPr>
          <w:rFonts w:ascii="Times New Roman" w:hAnsi="Times New Roman" w:cs="Times New Roman"/>
          <w:sz w:val="24"/>
          <w:szCs w:val="24"/>
          <w:lang w:val="it-IT"/>
        </w:rPr>
      </w:pPr>
      <w:r w:rsidRPr="007440A2">
        <w:rPr>
          <w:rFonts w:ascii="Times New Roman" w:hAnsi="Times New Roman" w:cs="Times New Roman"/>
          <w:sz w:val="24"/>
          <w:szCs w:val="24"/>
          <w:lang w:val="it-IT"/>
        </w:rPr>
        <w:t>Objektivat Specifikë, masat dhe rezultatet e pritshme</w:t>
      </w:r>
    </w:p>
    <w:p w14:paraId="2BCD10CF" w14:textId="27384E57" w:rsidR="00EB4BCC" w:rsidRPr="007440A2" w:rsidRDefault="00EB4BCC" w:rsidP="00EB4BCC">
      <w:pPr>
        <w:spacing w:line="276" w:lineRule="auto"/>
        <w:jc w:val="both"/>
        <w:rPr>
          <w:rFonts w:ascii="Times New Roman" w:hAnsi="Times New Roman" w:cs="Times New Roman"/>
          <w:sz w:val="24"/>
          <w:szCs w:val="24"/>
          <w:lang w:val="it-IT"/>
        </w:rPr>
      </w:pPr>
      <w:r w:rsidRPr="007440A2">
        <w:rPr>
          <w:rFonts w:ascii="Times New Roman" w:hAnsi="Times New Roman" w:cs="Times New Roman"/>
          <w:sz w:val="24"/>
          <w:szCs w:val="24"/>
          <w:lang w:val="it-IT"/>
        </w:rPr>
        <w:t xml:space="preserve">PJESA III – </w:t>
      </w:r>
      <w:r w:rsidR="007A7A71" w:rsidRPr="007440A2">
        <w:rPr>
          <w:rFonts w:ascii="Times New Roman" w:hAnsi="Times New Roman" w:cs="Times New Roman"/>
          <w:sz w:val="24"/>
          <w:szCs w:val="24"/>
          <w:lang w:val="it-IT"/>
        </w:rPr>
        <w:t>PËRGJEGJËSIA E INSTITUCIONEVE, LLOGARIDHËNIA, KOORDINIMI, MONITORIMI DHE VLERESIMI</w:t>
      </w:r>
      <w:r w:rsidR="007A7A71" w:rsidRPr="007440A2">
        <w:rPr>
          <w:rFonts w:ascii="Times New Roman" w:hAnsi="Times New Roman" w:cs="Times New Roman"/>
          <w:sz w:val="24"/>
          <w:szCs w:val="24"/>
          <w:lang w:val="it-IT"/>
        </w:rPr>
        <w:tab/>
      </w:r>
    </w:p>
    <w:p w14:paraId="2AAE843E" w14:textId="2307420F" w:rsidR="002B24FB" w:rsidRPr="007440A2" w:rsidRDefault="002B24FB" w:rsidP="00362060">
      <w:pPr>
        <w:pStyle w:val="ListParagraph"/>
        <w:numPr>
          <w:ilvl w:val="0"/>
          <w:numId w:val="2"/>
        </w:numPr>
        <w:spacing w:after="100" w:afterAutospacing="1" w:line="414" w:lineRule="auto"/>
        <w:ind w:left="714" w:hanging="357"/>
        <w:jc w:val="both"/>
        <w:rPr>
          <w:rFonts w:ascii="Times New Roman" w:hAnsi="Times New Roman" w:cs="Times New Roman"/>
          <w:sz w:val="24"/>
          <w:szCs w:val="24"/>
        </w:rPr>
      </w:pPr>
      <w:r w:rsidRPr="007440A2">
        <w:rPr>
          <w:rFonts w:ascii="Times New Roman" w:hAnsi="Times New Roman" w:cs="Times New Roman"/>
          <w:sz w:val="24"/>
          <w:szCs w:val="24"/>
        </w:rPr>
        <w:t xml:space="preserve">Përgjegjësia e </w:t>
      </w:r>
      <w:r w:rsidR="0004666D" w:rsidRPr="007440A2">
        <w:rPr>
          <w:rFonts w:ascii="Times New Roman" w:hAnsi="Times New Roman" w:cs="Times New Roman"/>
          <w:sz w:val="24"/>
          <w:szCs w:val="24"/>
        </w:rPr>
        <w:t>i</w:t>
      </w:r>
      <w:r w:rsidRPr="007440A2">
        <w:rPr>
          <w:rFonts w:ascii="Times New Roman" w:hAnsi="Times New Roman" w:cs="Times New Roman"/>
          <w:sz w:val="24"/>
          <w:szCs w:val="24"/>
        </w:rPr>
        <w:t>nstitucioneve</w:t>
      </w:r>
    </w:p>
    <w:p w14:paraId="3E53C3EE" w14:textId="77777777" w:rsidR="002B24FB" w:rsidRPr="007440A2" w:rsidRDefault="002B24FB" w:rsidP="00362060">
      <w:pPr>
        <w:pStyle w:val="ListParagraph"/>
        <w:numPr>
          <w:ilvl w:val="0"/>
          <w:numId w:val="2"/>
        </w:numPr>
        <w:autoSpaceDE w:val="0"/>
        <w:autoSpaceDN w:val="0"/>
        <w:adjustRightInd w:val="0"/>
        <w:spacing w:after="100" w:afterAutospacing="1" w:line="414" w:lineRule="auto"/>
        <w:ind w:left="714" w:hanging="357"/>
        <w:jc w:val="both"/>
        <w:rPr>
          <w:rFonts w:ascii="Times New Roman" w:hAnsi="Times New Roman" w:cs="Times New Roman"/>
          <w:sz w:val="24"/>
          <w:szCs w:val="24"/>
        </w:rPr>
      </w:pPr>
      <w:r w:rsidRPr="007440A2">
        <w:rPr>
          <w:rFonts w:ascii="Times New Roman" w:hAnsi="Times New Roman" w:cs="Times New Roman"/>
          <w:sz w:val="24"/>
          <w:szCs w:val="24"/>
        </w:rPr>
        <w:t>Llogaridhënia dhe koordinimi</w:t>
      </w:r>
    </w:p>
    <w:p w14:paraId="12C00444" w14:textId="77777777" w:rsidR="002B24FB" w:rsidRPr="007440A2" w:rsidRDefault="002B24FB" w:rsidP="00362060">
      <w:pPr>
        <w:pStyle w:val="ListParagraph"/>
        <w:numPr>
          <w:ilvl w:val="0"/>
          <w:numId w:val="2"/>
        </w:numPr>
        <w:autoSpaceDE w:val="0"/>
        <w:autoSpaceDN w:val="0"/>
        <w:adjustRightInd w:val="0"/>
        <w:spacing w:after="100" w:afterAutospacing="1" w:line="414" w:lineRule="auto"/>
        <w:ind w:left="714" w:hanging="357"/>
        <w:jc w:val="both"/>
        <w:rPr>
          <w:rFonts w:ascii="Times New Roman" w:hAnsi="Times New Roman" w:cs="Times New Roman"/>
          <w:sz w:val="24"/>
          <w:szCs w:val="24"/>
        </w:rPr>
      </w:pPr>
      <w:r w:rsidRPr="007440A2">
        <w:rPr>
          <w:rFonts w:ascii="Times New Roman" w:hAnsi="Times New Roman" w:cs="Times New Roman"/>
          <w:sz w:val="24"/>
          <w:szCs w:val="24"/>
        </w:rPr>
        <w:t xml:space="preserve">Monitorimi dhe Raportimi </w:t>
      </w:r>
    </w:p>
    <w:p w14:paraId="29E332DA" w14:textId="68FA7320" w:rsidR="00C25DA6" w:rsidRPr="007440A2" w:rsidRDefault="002B24FB" w:rsidP="00C25DA6">
      <w:pPr>
        <w:pStyle w:val="ListParagraph"/>
        <w:numPr>
          <w:ilvl w:val="0"/>
          <w:numId w:val="2"/>
        </w:numPr>
        <w:spacing w:after="100" w:afterAutospacing="1" w:line="414" w:lineRule="auto"/>
        <w:ind w:left="714" w:hanging="357"/>
        <w:jc w:val="both"/>
        <w:rPr>
          <w:rFonts w:ascii="Times New Roman" w:hAnsi="Times New Roman" w:cs="Times New Roman"/>
          <w:bCs/>
          <w:sz w:val="24"/>
          <w:szCs w:val="24"/>
        </w:rPr>
      </w:pPr>
      <w:r w:rsidRPr="007440A2">
        <w:rPr>
          <w:rFonts w:ascii="Times New Roman" w:hAnsi="Times New Roman" w:cs="Times New Roman"/>
          <w:bCs/>
          <w:sz w:val="24"/>
          <w:szCs w:val="24"/>
        </w:rPr>
        <w:t>Vlerësimi</w:t>
      </w:r>
    </w:p>
    <w:p w14:paraId="6EE05297" w14:textId="403406C6" w:rsidR="00EB4BCC" w:rsidRPr="007440A2" w:rsidRDefault="00EB4BCC" w:rsidP="00EB4BCC">
      <w:pPr>
        <w:spacing w:line="276" w:lineRule="auto"/>
        <w:jc w:val="both"/>
        <w:rPr>
          <w:rFonts w:ascii="Times New Roman" w:hAnsi="Times New Roman" w:cs="Times New Roman"/>
          <w:sz w:val="24"/>
          <w:szCs w:val="24"/>
        </w:rPr>
      </w:pPr>
      <w:r w:rsidRPr="007440A2">
        <w:rPr>
          <w:rFonts w:ascii="Times New Roman" w:hAnsi="Times New Roman" w:cs="Times New Roman"/>
          <w:sz w:val="24"/>
          <w:szCs w:val="24"/>
        </w:rPr>
        <w:t>PJESA IV – ANALIZA BUXHETORE</w:t>
      </w:r>
    </w:p>
    <w:p w14:paraId="26F4A948" w14:textId="7A7AD6C3" w:rsidR="00701EC3" w:rsidRDefault="00701EC3" w:rsidP="00701EC3">
      <w:pPr>
        <w:spacing w:after="0" w:line="240" w:lineRule="auto"/>
        <w:jc w:val="both"/>
        <w:rPr>
          <w:rFonts w:ascii="Times New Roman" w:hAnsi="Times New Roman" w:cs="Times New Roman"/>
          <w:sz w:val="24"/>
          <w:szCs w:val="24"/>
        </w:rPr>
      </w:pPr>
      <w:r w:rsidRPr="007440A2">
        <w:rPr>
          <w:rFonts w:ascii="Times New Roman" w:hAnsi="Times New Roman" w:cs="Times New Roman"/>
          <w:sz w:val="24"/>
          <w:szCs w:val="24"/>
        </w:rPr>
        <w:t>Ndarja e shpenzimeve</w:t>
      </w:r>
    </w:p>
    <w:p w14:paraId="0C38CEC0" w14:textId="77777777" w:rsidR="007440A2" w:rsidRPr="007440A2" w:rsidRDefault="007440A2" w:rsidP="00701EC3">
      <w:pPr>
        <w:spacing w:after="0" w:line="240" w:lineRule="auto"/>
        <w:jc w:val="both"/>
        <w:rPr>
          <w:rFonts w:ascii="Times New Roman" w:hAnsi="Times New Roman" w:cs="Times New Roman"/>
          <w:sz w:val="24"/>
          <w:szCs w:val="24"/>
        </w:rPr>
      </w:pPr>
    </w:p>
    <w:p w14:paraId="558E0235" w14:textId="4A9D779F" w:rsidR="00701EC3" w:rsidRDefault="00701EC3" w:rsidP="00701EC3">
      <w:pPr>
        <w:spacing w:after="0" w:line="240" w:lineRule="auto"/>
        <w:jc w:val="both"/>
        <w:rPr>
          <w:rFonts w:ascii="Times New Roman" w:hAnsi="Times New Roman" w:cs="Times New Roman"/>
          <w:sz w:val="24"/>
          <w:szCs w:val="24"/>
        </w:rPr>
      </w:pPr>
      <w:r w:rsidRPr="007440A2">
        <w:rPr>
          <w:rFonts w:ascii="Times New Roman" w:hAnsi="Times New Roman" w:cs="Times New Roman"/>
          <w:sz w:val="24"/>
          <w:szCs w:val="24"/>
        </w:rPr>
        <w:t xml:space="preserve">Natyra </w:t>
      </w:r>
      <w:r w:rsidR="005C452E" w:rsidRPr="007440A2">
        <w:rPr>
          <w:rFonts w:ascii="Times New Roman" w:hAnsi="Times New Roman" w:cs="Times New Roman"/>
          <w:sz w:val="24"/>
          <w:szCs w:val="24"/>
        </w:rPr>
        <w:t>e</w:t>
      </w:r>
      <w:r w:rsidRPr="007440A2">
        <w:rPr>
          <w:rFonts w:ascii="Times New Roman" w:hAnsi="Times New Roman" w:cs="Times New Roman"/>
          <w:sz w:val="24"/>
          <w:szCs w:val="24"/>
        </w:rPr>
        <w:t xml:space="preserve">konimike e </w:t>
      </w:r>
      <w:r w:rsidR="005C452E" w:rsidRPr="007440A2">
        <w:rPr>
          <w:rFonts w:ascii="Times New Roman" w:hAnsi="Times New Roman" w:cs="Times New Roman"/>
          <w:sz w:val="24"/>
          <w:szCs w:val="24"/>
        </w:rPr>
        <w:t>k</w:t>
      </w:r>
      <w:r w:rsidRPr="007440A2">
        <w:rPr>
          <w:rFonts w:ascii="Times New Roman" w:hAnsi="Times New Roman" w:cs="Times New Roman"/>
          <w:sz w:val="24"/>
          <w:szCs w:val="24"/>
        </w:rPr>
        <w:t>ostove</w:t>
      </w:r>
    </w:p>
    <w:p w14:paraId="5EB4B43F" w14:textId="77777777" w:rsidR="007440A2" w:rsidRPr="007440A2" w:rsidRDefault="007440A2" w:rsidP="00701EC3">
      <w:pPr>
        <w:spacing w:after="0" w:line="240" w:lineRule="auto"/>
        <w:jc w:val="both"/>
        <w:rPr>
          <w:rFonts w:ascii="Times New Roman" w:hAnsi="Times New Roman" w:cs="Times New Roman"/>
          <w:sz w:val="24"/>
          <w:szCs w:val="24"/>
        </w:rPr>
      </w:pPr>
    </w:p>
    <w:p w14:paraId="34E15D14" w14:textId="77777777" w:rsidR="00232CCC" w:rsidRPr="007440A2" w:rsidRDefault="00232CCC" w:rsidP="00232CCC">
      <w:pPr>
        <w:rPr>
          <w:rFonts w:ascii="Times New Roman" w:hAnsi="Times New Roman" w:cs="Times New Roman"/>
          <w:sz w:val="24"/>
          <w:szCs w:val="24"/>
        </w:rPr>
      </w:pPr>
      <w:r w:rsidRPr="007440A2">
        <w:rPr>
          <w:rFonts w:ascii="Times New Roman" w:hAnsi="Times New Roman" w:cs="Times New Roman"/>
          <w:sz w:val="24"/>
          <w:szCs w:val="24"/>
        </w:rPr>
        <w:t>ANEX I</w:t>
      </w:r>
    </w:p>
    <w:p w14:paraId="52FA1C1F" w14:textId="3DD57FC8" w:rsidR="007440A2" w:rsidRDefault="00232CCC" w:rsidP="007440A2">
      <w:pPr>
        <w:pStyle w:val="ListParagraph"/>
        <w:numPr>
          <w:ilvl w:val="0"/>
          <w:numId w:val="69"/>
        </w:numPr>
        <w:rPr>
          <w:rFonts w:ascii="Times New Roman" w:hAnsi="Times New Roman" w:cs="Times New Roman"/>
          <w:sz w:val="24"/>
          <w:szCs w:val="24"/>
        </w:rPr>
      </w:pPr>
      <w:r w:rsidRPr="007440A2">
        <w:rPr>
          <w:rFonts w:ascii="Times New Roman" w:hAnsi="Times New Roman" w:cs="Times New Roman"/>
          <w:sz w:val="24"/>
          <w:szCs w:val="24"/>
        </w:rPr>
        <w:t xml:space="preserve">MATRICA E MASAVE DHE AKTIVITETEVE TË STRATEGJISË NDËRSEKTORIALE TË DREJTËSISË 2024-2030 </w:t>
      </w:r>
    </w:p>
    <w:p w14:paraId="3E441D15" w14:textId="77777777" w:rsidR="007440A2" w:rsidRPr="007440A2" w:rsidRDefault="007440A2" w:rsidP="007440A2">
      <w:pPr>
        <w:pStyle w:val="ListParagraph"/>
        <w:rPr>
          <w:rFonts w:ascii="Times New Roman" w:hAnsi="Times New Roman" w:cs="Times New Roman"/>
          <w:sz w:val="24"/>
          <w:szCs w:val="24"/>
        </w:rPr>
      </w:pPr>
    </w:p>
    <w:p w14:paraId="49FE1578" w14:textId="53BDB8A9" w:rsidR="00DC59CD" w:rsidRPr="007440A2" w:rsidRDefault="00DC59CD" w:rsidP="00DC59CD">
      <w:pPr>
        <w:pStyle w:val="ListParagraph"/>
        <w:rPr>
          <w:rFonts w:ascii="Times New Roman" w:hAnsi="Times New Roman" w:cs="Times New Roman"/>
          <w:sz w:val="24"/>
          <w:szCs w:val="24"/>
        </w:rPr>
      </w:pPr>
      <w:r w:rsidRPr="007440A2">
        <w:rPr>
          <w:rFonts w:ascii="Times New Roman" w:hAnsi="Times New Roman" w:cs="Times New Roman"/>
          <w:sz w:val="24"/>
          <w:szCs w:val="24"/>
        </w:rPr>
        <w:t>Matrica me masa, aktivitete, afati i zbatimit të tyre, si dhe institucionet përgjegjëse/bashkëpërgjegjëse</w:t>
      </w:r>
    </w:p>
    <w:p w14:paraId="14E1C8CF" w14:textId="77777777" w:rsidR="00232CCC" w:rsidRPr="007440A2" w:rsidRDefault="00232CCC" w:rsidP="00EB4BCC">
      <w:pPr>
        <w:spacing w:line="276" w:lineRule="auto"/>
        <w:jc w:val="both"/>
        <w:rPr>
          <w:rFonts w:ascii="Times New Roman" w:hAnsi="Times New Roman" w:cs="Times New Roman"/>
          <w:sz w:val="24"/>
          <w:szCs w:val="24"/>
        </w:rPr>
      </w:pPr>
    </w:p>
    <w:p w14:paraId="2D1394B8" w14:textId="77777777" w:rsidR="002A3CFA" w:rsidRPr="007440A2" w:rsidRDefault="002A3CFA" w:rsidP="0021110C">
      <w:pPr>
        <w:rPr>
          <w:rFonts w:ascii="Times New Roman" w:hAnsi="Times New Roman" w:cs="Times New Roman"/>
          <w:sz w:val="24"/>
          <w:szCs w:val="24"/>
        </w:rPr>
      </w:pPr>
    </w:p>
    <w:p w14:paraId="5C312694" w14:textId="77777777" w:rsidR="0061449F" w:rsidRPr="0061449F" w:rsidRDefault="0061449F" w:rsidP="0061449F">
      <w:pPr>
        <w:pBdr>
          <w:bottom w:val="single" w:sz="24" w:space="1" w:color="F0CDA1"/>
        </w:pBdr>
        <w:spacing w:before="120" w:after="120" w:line="288" w:lineRule="auto"/>
        <w:rPr>
          <w:rFonts w:ascii="Times New Roman" w:eastAsia="Arial" w:hAnsi="Times New Roman" w:cs="Times New Roman"/>
          <w:b/>
          <w:sz w:val="40"/>
        </w:rPr>
      </w:pPr>
      <w:r w:rsidRPr="0061449F">
        <w:rPr>
          <w:rFonts w:ascii="Times New Roman" w:eastAsia="Arial" w:hAnsi="Times New Roman" w:cs="Times New Roman"/>
          <w:b/>
          <w:sz w:val="40"/>
        </w:rPr>
        <w:lastRenderedPageBreak/>
        <w:t>PJESA I – KONTEKSTI STRATEGJIK</w:t>
      </w:r>
    </w:p>
    <w:p w14:paraId="64A1D0CF" w14:textId="77777777" w:rsidR="0061449F" w:rsidRPr="0061449F" w:rsidRDefault="0061449F" w:rsidP="0061449F">
      <w:pPr>
        <w:jc w:val="both"/>
        <w:rPr>
          <w:rFonts w:ascii="Times New Roman" w:eastAsia="Calibri" w:hAnsi="Times New Roman" w:cs="Times New Roman"/>
          <w:b/>
          <w:sz w:val="32"/>
          <w:szCs w:val="32"/>
        </w:rPr>
      </w:pPr>
    </w:p>
    <w:p w14:paraId="2ED47542" w14:textId="77777777" w:rsidR="0061449F" w:rsidRPr="0061449F" w:rsidRDefault="0061449F" w:rsidP="0061449F">
      <w:pPr>
        <w:numPr>
          <w:ilvl w:val="0"/>
          <w:numId w:val="3"/>
        </w:numPr>
        <w:spacing w:line="276" w:lineRule="auto"/>
        <w:contextualSpacing/>
        <w:jc w:val="both"/>
        <w:rPr>
          <w:rFonts w:ascii="Times New Roman" w:eastAsia="Calibri" w:hAnsi="Times New Roman" w:cs="Times New Roman"/>
          <w:b/>
          <w:sz w:val="24"/>
          <w:szCs w:val="24"/>
          <w:lang w:val="pl-PL"/>
        </w:rPr>
      </w:pPr>
      <w:bookmarkStart w:id="2" w:name="_Toc118282601"/>
      <w:r w:rsidRPr="0061449F">
        <w:rPr>
          <w:rFonts w:ascii="Times New Roman" w:eastAsia="Calibri" w:hAnsi="Times New Roman" w:cs="Times New Roman"/>
          <w:b/>
          <w:sz w:val="24"/>
          <w:szCs w:val="24"/>
          <w:lang w:val="pl-PL"/>
        </w:rPr>
        <w:t>Hyrje : Qëllimi i Dokumentit Strategjik</w:t>
      </w:r>
      <w:bookmarkEnd w:id="2"/>
    </w:p>
    <w:p w14:paraId="27A33993" w14:textId="77777777" w:rsidR="0061449F" w:rsidRPr="0061449F" w:rsidRDefault="0061449F" w:rsidP="0061449F">
      <w:pPr>
        <w:spacing w:after="0" w:line="276" w:lineRule="auto"/>
        <w:jc w:val="both"/>
        <w:rPr>
          <w:rFonts w:ascii="Times New Roman" w:eastAsia="Times New Roman" w:hAnsi="Times New Roman" w:cs="Times New Roman"/>
          <w:sz w:val="24"/>
          <w:szCs w:val="24"/>
          <w:bdr w:val="none" w:sz="0" w:space="0" w:color="auto" w:frame="1"/>
          <w:lang w:val="pl-PL"/>
        </w:rPr>
      </w:pPr>
    </w:p>
    <w:p w14:paraId="3BE472A7" w14:textId="77777777" w:rsidR="0061449F" w:rsidRPr="007440A2" w:rsidRDefault="0061449F" w:rsidP="0061449F">
      <w:pPr>
        <w:spacing w:after="0" w:line="276" w:lineRule="auto"/>
        <w:jc w:val="both"/>
        <w:rPr>
          <w:rFonts w:ascii="Times New Roman" w:eastAsia="Times New Roman" w:hAnsi="Times New Roman" w:cs="Times New Roman"/>
          <w:sz w:val="24"/>
          <w:szCs w:val="24"/>
          <w:bdr w:val="none" w:sz="0" w:space="0" w:color="auto" w:frame="1"/>
          <w:lang w:val="pl-PL"/>
        </w:rPr>
      </w:pPr>
      <w:r w:rsidRPr="0061449F">
        <w:rPr>
          <w:rFonts w:ascii="Times New Roman" w:eastAsia="Times New Roman" w:hAnsi="Times New Roman" w:cs="Times New Roman"/>
          <w:sz w:val="24"/>
          <w:szCs w:val="24"/>
          <w:bdr w:val="none" w:sz="0" w:space="0" w:color="auto" w:frame="1"/>
          <w:lang w:val="pl-PL"/>
        </w:rPr>
        <w:t>Nga viti 2016, sistemi i drejtësisë vazhdon t’i nënshtrohet një reforme të thellë synimi i të cilës është adresimi i problematikave të rënda, dhe njëkohësisht përmbushja e standardeve evropiane. Ndryshimet kushtetuese dhe paketa e ligjeve organike të miratuara në kuadrin e Reformës në drejtësi (Reforma), përmbajnë dispozita të përcaktuara qartë që garantojnë pavarësinë, paanshmërinë, profesionalizmin, integritetin e sistemit gjyqësor, si dhe përmirësimin e mekanizmave llogaridhënës dhe monitorues të funksionimit të saj.</w:t>
      </w:r>
    </w:p>
    <w:p w14:paraId="283979FC" w14:textId="77777777" w:rsidR="007440A2" w:rsidRPr="007440A2" w:rsidRDefault="007440A2" w:rsidP="0061449F">
      <w:pPr>
        <w:spacing w:after="0" w:line="276" w:lineRule="auto"/>
        <w:jc w:val="both"/>
        <w:rPr>
          <w:rFonts w:ascii="Times New Roman" w:eastAsia="Times New Roman" w:hAnsi="Times New Roman" w:cs="Times New Roman"/>
          <w:sz w:val="24"/>
          <w:szCs w:val="24"/>
          <w:bdr w:val="none" w:sz="0" w:space="0" w:color="auto" w:frame="1"/>
          <w:lang w:val="pl-PL"/>
        </w:rPr>
      </w:pPr>
    </w:p>
    <w:p w14:paraId="12A5C144" w14:textId="77777777" w:rsidR="007440A2" w:rsidRPr="007440A2" w:rsidRDefault="007440A2" w:rsidP="007440A2">
      <w:pPr>
        <w:shd w:val="clear" w:color="auto" w:fill="FFFFFF"/>
        <w:spacing w:after="0" w:line="240" w:lineRule="auto"/>
        <w:jc w:val="both"/>
        <w:textAlignment w:val="baseline"/>
        <w:rPr>
          <w:rFonts w:ascii="Times New Roman" w:eastAsia="Times New Roman" w:hAnsi="Times New Roman" w:cs="Times New Roman"/>
          <w:sz w:val="24"/>
          <w:szCs w:val="24"/>
        </w:rPr>
      </w:pPr>
      <w:r w:rsidRPr="007440A2">
        <w:rPr>
          <w:rFonts w:ascii="Times New Roman" w:eastAsia="Times New Roman" w:hAnsi="Times New Roman" w:cs="Times New Roman"/>
          <w:sz w:val="24"/>
          <w:szCs w:val="24"/>
        </w:rPr>
        <w:t>Hartimi i Strategjisë së Re të Drejtësisë, u mbështetet në një analizë të plotë të historikut të reformave të sistemit të drejtësisë. Strategjia Ndërsektoriale e Drejtësisë ka luajtur një rol kyç në drejtimin e reformave në këtë sektor, duke synuar përmirësimin e qasjes në drejtësi, rritjen e besimit të publikut në sistemin shqiptar të drejtësisë dhe nxitjen e integrimit evropian. Këto objektiva janë reflektuar në dokumentet e reja për periudhën 2024-2030, të cilat synojnë të vazhdojnë dhe të thellojnë reformat e filluara, duke u mbështetur në arritjet e mëparshme dhe duke adresuar sfidat e reja në fushën e drejtësisë.</w:t>
      </w:r>
    </w:p>
    <w:p w14:paraId="7BF400E0" w14:textId="77777777" w:rsidR="007440A2" w:rsidRPr="007440A2" w:rsidRDefault="007440A2" w:rsidP="007440A2">
      <w:pPr>
        <w:shd w:val="clear" w:color="auto" w:fill="FFFFFF"/>
        <w:spacing w:after="0" w:line="240" w:lineRule="auto"/>
        <w:textAlignment w:val="baseline"/>
        <w:rPr>
          <w:rFonts w:ascii="Times New Roman" w:eastAsia="Times New Roman" w:hAnsi="Times New Roman" w:cs="Times New Roman"/>
          <w:sz w:val="24"/>
          <w:szCs w:val="24"/>
        </w:rPr>
      </w:pPr>
      <w:r w:rsidRPr="007440A2">
        <w:rPr>
          <w:rFonts w:ascii="Times New Roman" w:eastAsia="Times New Roman" w:hAnsi="Times New Roman" w:cs="Times New Roman"/>
          <w:sz w:val="24"/>
          <w:szCs w:val="24"/>
        </w:rPr>
        <w:t> </w:t>
      </w:r>
    </w:p>
    <w:p w14:paraId="5AD293E6" w14:textId="77777777" w:rsidR="007440A2" w:rsidRPr="007440A2" w:rsidRDefault="007440A2" w:rsidP="007440A2">
      <w:pPr>
        <w:shd w:val="clear" w:color="auto" w:fill="FFFFFF"/>
        <w:spacing w:after="0" w:line="240" w:lineRule="auto"/>
        <w:textAlignment w:val="baseline"/>
        <w:rPr>
          <w:rFonts w:ascii="Times New Roman" w:eastAsia="Times New Roman" w:hAnsi="Times New Roman" w:cs="Times New Roman"/>
          <w:sz w:val="24"/>
          <w:szCs w:val="24"/>
        </w:rPr>
      </w:pPr>
      <w:r w:rsidRPr="007440A2">
        <w:rPr>
          <w:rFonts w:ascii="Times New Roman" w:eastAsia="Times New Roman" w:hAnsi="Times New Roman" w:cs="Times New Roman"/>
          <w:sz w:val="24"/>
          <w:szCs w:val="24"/>
        </w:rPr>
        <w:t>Sistemi i drejtësisë ka kaluar nëpër këto faza për të përmbushur standardet dhe praktikat më të mira ndërkombëtare.</w:t>
      </w:r>
    </w:p>
    <w:p w14:paraId="5B80C894" w14:textId="77777777" w:rsidR="007440A2" w:rsidRPr="007440A2" w:rsidRDefault="007440A2" w:rsidP="007440A2">
      <w:pPr>
        <w:pStyle w:val="ListParagraph"/>
        <w:shd w:val="clear" w:color="auto" w:fill="FFFFFF"/>
        <w:spacing w:after="0" w:line="240" w:lineRule="auto"/>
        <w:textAlignment w:val="baseline"/>
        <w:rPr>
          <w:rFonts w:ascii="Times New Roman" w:eastAsia="Times New Roman" w:hAnsi="Times New Roman" w:cs="Times New Roman"/>
          <w:sz w:val="24"/>
          <w:szCs w:val="24"/>
        </w:rPr>
      </w:pPr>
      <w:r w:rsidRPr="007440A2">
        <w:rPr>
          <w:rFonts w:ascii="Times New Roman" w:eastAsia="Times New Roman" w:hAnsi="Times New Roman" w:cs="Times New Roman"/>
          <w:sz w:val="24"/>
          <w:szCs w:val="24"/>
        </w:rPr>
        <w:t> </w:t>
      </w:r>
    </w:p>
    <w:p w14:paraId="769BB06D" w14:textId="77777777" w:rsidR="007440A2" w:rsidRPr="007440A2" w:rsidRDefault="007440A2" w:rsidP="007440A2">
      <w:pPr>
        <w:pStyle w:val="ListParagraph"/>
        <w:numPr>
          <w:ilvl w:val="0"/>
          <w:numId w:val="70"/>
        </w:numPr>
        <w:shd w:val="clear" w:color="auto" w:fill="FFFFFF"/>
        <w:spacing w:after="0" w:line="240" w:lineRule="auto"/>
        <w:jc w:val="both"/>
        <w:textAlignment w:val="baseline"/>
        <w:rPr>
          <w:rFonts w:ascii="Times New Roman" w:eastAsia="Times New Roman" w:hAnsi="Times New Roman" w:cs="Times New Roman"/>
          <w:sz w:val="24"/>
          <w:szCs w:val="24"/>
        </w:rPr>
      </w:pPr>
      <w:r w:rsidRPr="007440A2">
        <w:rPr>
          <w:rFonts w:ascii="Times New Roman" w:eastAsia="Times New Roman" w:hAnsi="Times New Roman" w:cs="Times New Roman"/>
          <w:b/>
          <w:bCs/>
          <w:sz w:val="24"/>
          <w:szCs w:val="24"/>
        </w:rPr>
        <w:t>Faza I (2016-2020</w:t>
      </w:r>
      <w:r w:rsidRPr="007440A2">
        <w:rPr>
          <w:rFonts w:ascii="Times New Roman" w:eastAsia="Times New Roman" w:hAnsi="Times New Roman" w:cs="Times New Roman"/>
          <w:sz w:val="24"/>
          <w:szCs w:val="24"/>
        </w:rPr>
        <w:t>) Në këtë fazë u hodhën bazat ligjore dhe institucionale të reformës në drejtësi, përfshirë ndryshimet kushtetuese dhe ndryshime të tjera legjislative në të gjithë sektorin, duke e sjellë kornizën ligjore në standardet evropiane. U krijuan institucione të reja në përputhje me modelet evropiane dhe nisi dhe vijoji me hapa të shpejtë procesi i rivlerësimit kalimtar të gjyqtarëve e prokurorëve.</w:t>
      </w:r>
    </w:p>
    <w:p w14:paraId="4DCC3D8F" w14:textId="77777777" w:rsidR="007440A2" w:rsidRPr="007440A2" w:rsidRDefault="007440A2" w:rsidP="007440A2">
      <w:pPr>
        <w:pStyle w:val="ListParagraph"/>
        <w:shd w:val="clear" w:color="auto" w:fill="FFFFFF"/>
        <w:spacing w:after="0" w:line="240" w:lineRule="auto"/>
        <w:jc w:val="both"/>
        <w:textAlignment w:val="baseline"/>
        <w:rPr>
          <w:rFonts w:ascii="Times New Roman" w:eastAsia="Times New Roman" w:hAnsi="Times New Roman" w:cs="Times New Roman"/>
          <w:sz w:val="24"/>
          <w:szCs w:val="24"/>
        </w:rPr>
      </w:pPr>
      <w:r w:rsidRPr="007440A2">
        <w:rPr>
          <w:rFonts w:ascii="Times New Roman" w:eastAsia="Times New Roman" w:hAnsi="Times New Roman" w:cs="Times New Roman"/>
          <w:sz w:val="24"/>
          <w:szCs w:val="24"/>
        </w:rPr>
        <w:t> </w:t>
      </w:r>
    </w:p>
    <w:p w14:paraId="2F626972" w14:textId="77777777" w:rsidR="007440A2" w:rsidRPr="007440A2" w:rsidRDefault="007440A2" w:rsidP="007440A2">
      <w:pPr>
        <w:pStyle w:val="ListParagraph"/>
        <w:numPr>
          <w:ilvl w:val="0"/>
          <w:numId w:val="70"/>
        </w:numPr>
        <w:shd w:val="clear" w:color="auto" w:fill="FFFFFF"/>
        <w:spacing w:after="0" w:line="240" w:lineRule="auto"/>
        <w:jc w:val="both"/>
        <w:textAlignment w:val="baseline"/>
        <w:rPr>
          <w:rFonts w:ascii="Times New Roman" w:eastAsia="Times New Roman" w:hAnsi="Times New Roman" w:cs="Times New Roman"/>
          <w:sz w:val="24"/>
          <w:szCs w:val="24"/>
        </w:rPr>
      </w:pPr>
      <w:r w:rsidRPr="007440A2">
        <w:rPr>
          <w:rFonts w:ascii="Times New Roman" w:eastAsia="Times New Roman" w:hAnsi="Times New Roman" w:cs="Times New Roman"/>
          <w:b/>
          <w:bCs/>
          <w:sz w:val="24"/>
          <w:szCs w:val="24"/>
        </w:rPr>
        <w:t>Faza II (2021-2025) </w:t>
      </w:r>
      <w:r w:rsidRPr="007440A2">
        <w:rPr>
          <w:rFonts w:ascii="Times New Roman" w:eastAsia="Times New Roman" w:hAnsi="Times New Roman" w:cs="Times New Roman"/>
          <w:sz w:val="24"/>
          <w:szCs w:val="24"/>
        </w:rPr>
        <w:t>Në këtë fazë u konsolidua kuadrit institucional, u zbatuan praktikat moderne evropiane në drejtësinë penale, u përmirësua infrastruktura e sistemit të drejtësisë dhe mundësi të reja për teknologjinë e informacionit, përfshirë zgjidhje inovative elektronike, që mbështetën rritjen thelbësore të efikasitetit dhe transparencës në sektorin e drejtësisë.</w:t>
      </w:r>
    </w:p>
    <w:p w14:paraId="6D7413BA" w14:textId="77777777" w:rsidR="007440A2" w:rsidRPr="007440A2" w:rsidRDefault="007440A2" w:rsidP="007440A2">
      <w:pPr>
        <w:pStyle w:val="ListParagraph"/>
        <w:shd w:val="clear" w:color="auto" w:fill="FFFFFF"/>
        <w:spacing w:after="0" w:line="240" w:lineRule="auto"/>
        <w:jc w:val="both"/>
        <w:textAlignment w:val="baseline"/>
        <w:rPr>
          <w:rFonts w:ascii="Times New Roman" w:eastAsia="Times New Roman" w:hAnsi="Times New Roman" w:cs="Times New Roman"/>
          <w:sz w:val="24"/>
          <w:szCs w:val="24"/>
        </w:rPr>
      </w:pPr>
    </w:p>
    <w:p w14:paraId="1925B431" w14:textId="77777777" w:rsidR="007440A2" w:rsidRPr="007440A2" w:rsidRDefault="007440A2" w:rsidP="007440A2">
      <w:pPr>
        <w:numPr>
          <w:ilvl w:val="0"/>
          <w:numId w:val="71"/>
        </w:numPr>
        <w:spacing w:after="0" w:line="276" w:lineRule="auto"/>
        <w:jc w:val="both"/>
        <w:rPr>
          <w:rFonts w:ascii="Times New Roman" w:eastAsia="Times New Roman" w:hAnsi="Times New Roman" w:cs="Times New Roman"/>
          <w:bCs/>
          <w:sz w:val="24"/>
          <w:szCs w:val="24"/>
          <w:lang w:val="sq-AL"/>
        </w:rPr>
      </w:pPr>
      <w:r w:rsidRPr="007440A2">
        <w:rPr>
          <w:rFonts w:ascii="Times New Roman" w:eastAsia="Times New Roman" w:hAnsi="Times New Roman" w:cs="Times New Roman"/>
          <w:b/>
          <w:bCs/>
          <w:sz w:val="24"/>
          <w:szCs w:val="24"/>
          <w:lang w:val="sq-AL"/>
        </w:rPr>
        <w:t xml:space="preserve">Faza III (2024-2030) </w:t>
      </w:r>
      <w:r w:rsidRPr="007440A2">
        <w:rPr>
          <w:rFonts w:ascii="Times New Roman" w:eastAsia="Times New Roman" w:hAnsi="Times New Roman" w:cs="Times New Roman"/>
          <w:sz w:val="24"/>
          <w:szCs w:val="24"/>
          <w:lang w:val="sq-AL"/>
        </w:rPr>
        <w:t>Konsiderohet si faza e fundit e reformave madhore</w:t>
      </w:r>
      <w:r w:rsidRPr="007440A2">
        <w:rPr>
          <w:rFonts w:ascii="Times New Roman" w:eastAsia="Times New Roman" w:hAnsi="Times New Roman" w:cs="Times New Roman"/>
          <w:sz w:val="24"/>
          <w:szCs w:val="24"/>
          <w:vertAlign w:val="superscript"/>
          <w:lang w:val="sq-AL"/>
        </w:rPr>
        <w:footnoteReference w:id="1"/>
      </w:r>
      <w:r w:rsidRPr="007440A2">
        <w:rPr>
          <w:rFonts w:ascii="Times New Roman" w:eastAsia="Times New Roman" w:hAnsi="Times New Roman" w:cs="Times New Roman"/>
          <w:sz w:val="24"/>
          <w:szCs w:val="24"/>
          <w:lang w:val="sq-AL"/>
        </w:rPr>
        <w:t>. Në këtë fazë synohet të konsolidohet kuadri ligjor</w:t>
      </w:r>
      <w:r w:rsidRPr="007440A2">
        <w:rPr>
          <w:rFonts w:ascii="Times New Roman" w:eastAsia="Times New Roman" w:hAnsi="Times New Roman" w:cs="Times New Roman"/>
          <w:bCs/>
          <w:sz w:val="24"/>
          <w:szCs w:val="24"/>
          <w:lang w:val="sq-AL"/>
        </w:rPr>
        <w:t xml:space="preserve"> </w:t>
      </w:r>
      <w:r w:rsidRPr="007440A2">
        <w:rPr>
          <w:rFonts w:ascii="Times New Roman" w:eastAsia="Times New Roman" w:hAnsi="Times New Roman" w:cs="Times New Roman"/>
          <w:sz w:val="24"/>
          <w:szCs w:val="32"/>
          <w:lang w:val="sq-AL"/>
        </w:rPr>
        <w:t xml:space="preserve">në përputhje me acquis të BE dhe standardet evropiane, </w:t>
      </w:r>
      <w:r w:rsidRPr="007440A2">
        <w:rPr>
          <w:rFonts w:ascii="Calibri" w:eastAsia="Times New Roman" w:hAnsi="Calibri" w:cs="Times New Roman"/>
          <w:sz w:val="24"/>
          <w:szCs w:val="32"/>
          <w:lang w:val="sq-AL"/>
        </w:rPr>
        <w:t xml:space="preserve"> </w:t>
      </w:r>
      <w:r w:rsidRPr="007440A2">
        <w:rPr>
          <w:rFonts w:ascii="Times New Roman" w:eastAsia="Times New Roman" w:hAnsi="Times New Roman" w:cs="Times New Roman"/>
          <w:sz w:val="24"/>
          <w:szCs w:val="32"/>
          <w:lang w:val="sq-AL"/>
        </w:rPr>
        <w:t xml:space="preserve">të </w:t>
      </w:r>
      <w:r w:rsidRPr="007440A2">
        <w:rPr>
          <w:rFonts w:ascii="Times New Roman" w:eastAsia="Times New Roman" w:hAnsi="Times New Roman" w:cs="Times New Roman"/>
          <w:sz w:val="24"/>
          <w:szCs w:val="24"/>
          <w:lang w:val="sq-AL"/>
        </w:rPr>
        <w:t xml:space="preserve">eliminohet </w:t>
      </w:r>
      <w:r w:rsidRPr="007440A2">
        <w:rPr>
          <w:rFonts w:ascii="Times New Roman" w:eastAsia="Times New Roman" w:hAnsi="Times New Roman" w:cs="Times New Roman"/>
          <w:i/>
          <w:sz w:val="24"/>
          <w:szCs w:val="24"/>
          <w:lang w:val="sq-AL"/>
        </w:rPr>
        <w:t>backlog</w:t>
      </w:r>
      <w:r w:rsidRPr="007440A2">
        <w:rPr>
          <w:rFonts w:ascii="Times New Roman" w:eastAsia="Times New Roman" w:hAnsi="Times New Roman" w:cs="Times New Roman"/>
          <w:sz w:val="24"/>
          <w:szCs w:val="24"/>
          <w:lang w:val="sq-AL"/>
        </w:rPr>
        <w:t xml:space="preserve">-u, të rritet cilësia e shërbimeve dhe të ofrohet një drejtësi në të njëjtat nivele si në vendet e BE-së. Prandaj, faza e tretë e SND-së, do të përqendrohet në </w:t>
      </w:r>
      <w:r w:rsidRPr="007440A2">
        <w:rPr>
          <w:rFonts w:ascii="Times New Roman" w:eastAsia="Times New Roman" w:hAnsi="Times New Roman" w:cs="Times New Roman"/>
          <w:sz w:val="24"/>
          <w:szCs w:val="32"/>
          <w:lang w:val="sq-AL"/>
        </w:rPr>
        <w:t>konsolidimin e kuadrit institucional dhe përmirësimin e infrastrukturës së sistemit të drejtësisë</w:t>
      </w:r>
      <w:r w:rsidRPr="007440A2">
        <w:rPr>
          <w:rFonts w:ascii="Times New Roman" w:eastAsia="Times New Roman" w:hAnsi="Times New Roman" w:cs="Times New Roman"/>
          <w:bCs/>
          <w:sz w:val="24"/>
          <w:szCs w:val="24"/>
          <w:lang w:val="sq-AL"/>
        </w:rPr>
        <w:t xml:space="preserve">, </w:t>
      </w:r>
      <w:r w:rsidRPr="007440A2">
        <w:rPr>
          <w:rFonts w:ascii="Times New Roman" w:eastAsia="Times New Roman" w:hAnsi="Times New Roman" w:cs="Times New Roman"/>
          <w:sz w:val="24"/>
          <w:szCs w:val="32"/>
          <w:lang w:val="sq-AL"/>
        </w:rPr>
        <w:t xml:space="preserve">për të siguruar që institucionet e drejtësisë janë të pajisura me burimet dhe infrastrukturën e nevojshëm për të funksionuar në mënyrë efikase, si dhe synohet forcimi i mekanizmave të llogaridhënies dhe transparencës. </w:t>
      </w:r>
    </w:p>
    <w:p w14:paraId="567E8BC0" w14:textId="77777777" w:rsidR="007440A2" w:rsidRPr="007440A2" w:rsidRDefault="007440A2" w:rsidP="007440A2">
      <w:pPr>
        <w:pStyle w:val="ListParagraph"/>
        <w:shd w:val="clear" w:color="auto" w:fill="FFFFFF"/>
        <w:spacing w:after="0" w:line="240" w:lineRule="auto"/>
        <w:jc w:val="both"/>
        <w:textAlignment w:val="baseline"/>
        <w:rPr>
          <w:rFonts w:ascii="Times New Roman" w:eastAsia="Times New Roman" w:hAnsi="Times New Roman" w:cs="Times New Roman"/>
          <w:sz w:val="24"/>
          <w:szCs w:val="24"/>
        </w:rPr>
      </w:pPr>
    </w:p>
    <w:p w14:paraId="4FC41752" w14:textId="77777777" w:rsidR="007440A2" w:rsidRPr="007440A2" w:rsidRDefault="007440A2" w:rsidP="007440A2">
      <w:pPr>
        <w:pStyle w:val="ListParagraph"/>
        <w:shd w:val="clear" w:color="auto" w:fill="FFFFFF"/>
        <w:spacing w:after="0" w:line="240" w:lineRule="auto"/>
        <w:textAlignment w:val="baseline"/>
        <w:rPr>
          <w:rFonts w:ascii="Times New Roman" w:eastAsia="Times New Roman" w:hAnsi="Times New Roman" w:cs="Times New Roman"/>
          <w:sz w:val="24"/>
          <w:szCs w:val="24"/>
        </w:rPr>
      </w:pPr>
      <w:r w:rsidRPr="007440A2">
        <w:rPr>
          <w:rFonts w:ascii="Times New Roman" w:eastAsia="Times New Roman" w:hAnsi="Times New Roman" w:cs="Times New Roman"/>
          <w:b/>
          <w:bCs/>
          <w:sz w:val="24"/>
          <w:szCs w:val="24"/>
        </w:rPr>
        <w:lastRenderedPageBreak/>
        <w:t> </w:t>
      </w:r>
    </w:p>
    <w:p w14:paraId="4B3D8861" w14:textId="08778970" w:rsidR="007440A2" w:rsidRPr="0061449F" w:rsidRDefault="007440A2" w:rsidP="007440A2">
      <w:pPr>
        <w:shd w:val="clear" w:color="auto" w:fill="FFFFFF"/>
        <w:spacing w:after="0" w:line="240" w:lineRule="auto"/>
        <w:jc w:val="both"/>
        <w:textAlignment w:val="baseline"/>
        <w:rPr>
          <w:rFonts w:ascii="Times New Roman" w:eastAsia="Times New Roman" w:hAnsi="Times New Roman" w:cs="Times New Roman"/>
          <w:sz w:val="24"/>
          <w:szCs w:val="24"/>
        </w:rPr>
      </w:pPr>
      <w:r w:rsidRPr="007440A2">
        <w:rPr>
          <w:rFonts w:ascii="Times New Roman" w:eastAsia="Times New Roman" w:hAnsi="Times New Roman" w:cs="Times New Roman"/>
          <w:sz w:val="24"/>
          <w:szCs w:val="24"/>
        </w:rPr>
        <w:t>Duke qenë se reforma në drejtësi, ka kaluar dy fazat dhe është në fazën e tretë të saj, u vlerësua e nevojshme ndërmarrja e nismës strategjike që reformon sistemin e drejtësisë përgjatë viteve 2024-2030. Strategjia Ndërsektoriale e Drejtësisë 2024-2030 është strategjia e tretë e cila adreson gjetjet dhe rekomandimet e raporteve të monitorimit të zbatimit të Strategjisë Ndërsektoriale të Drejtësisë 2021-2025, si dhe të gjitha rekomandimet në kuadër të procesit të negociatave të anëtarësimit në Bashkimin Evropian, të specifikauara në Udhërrëfyesin për Shtetin e së Drejtës, Kapitulli 23 - Gjyqësori dhe të Drejtat Themelore.</w:t>
      </w:r>
    </w:p>
    <w:p w14:paraId="460F37A0" w14:textId="77777777" w:rsidR="0061449F" w:rsidRPr="0061449F" w:rsidRDefault="0061449F" w:rsidP="0061449F">
      <w:pPr>
        <w:spacing w:after="0" w:line="276" w:lineRule="auto"/>
        <w:jc w:val="both"/>
        <w:rPr>
          <w:rFonts w:ascii="Times New Roman" w:eastAsia="Times New Roman" w:hAnsi="Times New Roman" w:cs="Times New Roman"/>
          <w:sz w:val="24"/>
          <w:szCs w:val="24"/>
          <w:bdr w:val="none" w:sz="0" w:space="0" w:color="auto" w:frame="1"/>
          <w:lang w:val="pl-PL"/>
        </w:rPr>
      </w:pPr>
    </w:p>
    <w:p w14:paraId="50D5CF7D" w14:textId="77777777" w:rsidR="0061449F" w:rsidRPr="0061449F" w:rsidRDefault="0061449F" w:rsidP="0061449F">
      <w:pPr>
        <w:spacing w:after="0" w:line="276" w:lineRule="auto"/>
        <w:jc w:val="both"/>
        <w:rPr>
          <w:rFonts w:ascii="Times New Roman" w:eastAsia="Times New Roman" w:hAnsi="Times New Roman" w:cs="Times New Roman"/>
          <w:sz w:val="24"/>
          <w:szCs w:val="24"/>
          <w:bdr w:val="none" w:sz="0" w:space="0" w:color="auto" w:frame="1"/>
          <w:lang w:val="pl-PL"/>
        </w:rPr>
      </w:pPr>
      <w:r w:rsidRPr="0061449F">
        <w:rPr>
          <w:rFonts w:ascii="Times New Roman" w:eastAsia="Times New Roman" w:hAnsi="Times New Roman" w:cs="Times New Roman"/>
          <w:sz w:val="24"/>
          <w:szCs w:val="24"/>
          <w:bdr w:val="none" w:sz="0" w:space="0" w:color="auto" w:frame="1"/>
          <w:lang w:val="pl-PL"/>
        </w:rPr>
        <w:t>Në kuadër të kësaj Reforme, një hap vendimtar ishte ngritja e organeve të qeverisjes së gjyqësorit dhe prokurorisë (Këshilli i Lartë Gjyqësor, Këshilli i Lartë i Prokurorisë, Inspektori i Lartë i Drejtësisë, Këshilli i Emërimeve në Drejtësi), si dhe krijimi i një kuadri institucional të plotë për hetimin e korrupsionit dhe krimit të organizuar që përfshin Strukturën e Posaçme kundër Korrupsionit dhe Krimit të Organizuar (SPAK), Byronë Kombëtare të Hetimit (BKH) dhe Gjykatën e Posaçme të Shkallës së Parë dhe atë të Apelit për Korrupsionin dhe Krimin e Organizuar.</w:t>
      </w:r>
    </w:p>
    <w:p w14:paraId="0E461B22" w14:textId="77777777" w:rsidR="0061449F" w:rsidRPr="0061449F" w:rsidRDefault="0061449F" w:rsidP="0061449F">
      <w:pPr>
        <w:spacing w:after="0" w:line="276" w:lineRule="auto"/>
        <w:jc w:val="both"/>
        <w:rPr>
          <w:rFonts w:ascii="Times New Roman" w:eastAsia="Times New Roman" w:hAnsi="Times New Roman" w:cs="Times New Roman"/>
          <w:sz w:val="24"/>
          <w:szCs w:val="24"/>
          <w:bdr w:val="none" w:sz="0" w:space="0" w:color="auto" w:frame="1"/>
          <w:lang w:val="pl-PL"/>
        </w:rPr>
      </w:pPr>
    </w:p>
    <w:p w14:paraId="328B9E5A" w14:textId="77777777" w:rsidR="0061449F" w:rsidRPr="0061449F" w:rsidRDefault="0061449F" w:rsidP="0061449F">
      <w:pPr>
        <w:spacing w:after="0" w:line="276" w:lineRule="auto"/>
        <w:jc w:val="both"/>
        <w:rPr>
          <w:rFonts w:ascii="Times New Roman" w:eastAsia="Times New Roman" w:hAnsi="Times New Roman" w:cs="Times New Roman"/>
          <w:sz w:val="24"/>
          <w:szCs w:val="24"/>
          <w:bdr w:val="none" w:sz="0" w:space="0" w:color="auto" w:frame="1"/>
          <w:lang w:val="pl-PL"/>
        </w:rPr>
      </w:pPr>
      <w:r w:rsidRPr="0061449F">
        <w:rPr>
          <w:rFonts w:ascii="Times New Roman" w:eastAsia="Times New Roman" w:hAnsi="Times New Roman" w:cs="Times New Roman"/>
          <w:sz w:val="24"/>
          <w:szCs w:val="24"/>
          <w:bdr w:val="none" w:sz="0" w:space="0" w:color="auto" w:frame="1"/>
          <w:lang w:val="pl-PL"/>
        </w:rPr>
        <w:t xml:space="preserve">Evidentimi i prioriteteve të reja të sistemit të drejtësisë në kuadër të Reformës në Drejtësi si zbatimi i Hartës Gjyqësore, zbatimi i strategjive dhe planeve të komunikimit, rritja e kapaciteteve të KLGJ-së dhe KLP-së në zbatimin e funksioneve të tyre, zvogëlimi i </w:t>
      </w:r>
      <w:r w:rsidRPr="0061449F">
        <w:rPr>
          <w:rFonts w:ascii="Times New Roman" w:eastAsia="Times New Roman" w:hAnsi="Times New Roman" w:cs="Times New Roman"/>
          <w:i/>
          <w:iCs/>
          <w:sz w:val="24"/>
          <w:szCs w:val="24"/>
          <w:bdr w:val="none" w:sz="0" w:space="0" w:color="auto" w:frame="1"/>
          <w:lang w:val="pl-PL"/>
        </w:rPr>
        <w:t>backlog</w:t>
      </w:r>
      <w:r w:rsidRPr="0061449F">
        <w:rPr>
          <w:rFonts w:ascii="Times New Roman" w:eastAsia="Times New Roman" w:hAnsi="Times New Roman" w:cs="Times New Roman"/>
          <w:sz w:val="24"/>
          <w:szCs w:val="24"/>
          <w:bdr w:val="none" w:sz="0" w:space="0" w:color="auto" w:frame="1"/>
          <w:lang w:val="pl-PL"/>
        </w:rPr>
        <w:t xml:space="preserve">-ut në gjykata, plotësimi i vendeve vakante të gjyqtarëve dhe prokurorëve të krijuar kryesisht për shkak të procesit të </w:t>
      </w:r>
      <w:r w:rsidRPr="0061449F">
        <w:rPr>
          <w:rFonts w:ascii="Times New Roman" w:eastAsia="Times New Roman" w:hAnsi="Times New Roman" w:cs="Times New Roman"/>
          <w:i/>
          <w:iCs/>
          <w:sz w:val="24"/>
          <w:szCs w:val="24"/>
          <w:bdr w:val="none" w:sz="0" w:space="0" w:color="auto" w:frame="1"/>
          <w:lang w:val="pl-PL"/>
        </w:rPr>
        <w:t>vetting</w:t>
      </w:r>
      <w:r w:rsidRPr="0061449F">
        <w:rPr>
          <w:rFonts w:ascii="Times New Roman" w:eastAsia="Times New Roman" w:hAnsi="Times New Roman" w:cs="Times New Roman"/>
          <w:sz w:val="24"/>
          <w:szCs w:val="24"/>
          <w:bdr w:val="none" w:sz="0" w:space="0" w:color="auto" w:frame="1"/>
          <w:lang w:val="pl-PL"/>
        </w:rPr>
        <w:t>-ut etj. e bën të nevojshme hartimin e një dokumenti të ri strategjik.</w:t>
      </w:r>
    </w:p>
    <w:p w14:paraId="3146AE1D" w14:textId="77777777" w:rsidR="0061449F" w:rsidRPr="0061449F" w:rsidRDefault="0061449F" w:rsidP="0061449F">
      <w:pPr>
        <w:spacing w:after="0" w:line="276" w:lineRule="auto"/>
        <w:jc w:val="both"/>
        <w:rPr>
          <w:rFonts w:ascii="Times New Roman" w:eastAsia="Times New Roman" w:hAnsi="Times New Roman" w:cs="Times New Roman"/>
          <w:sz w:val="24"/>
          <w:szCs w:val="24"/>
          <w:bdr w:val="none" w:sz="0" w:space="0" w:color="auto" w:frame="1"/>
          <w:lang w:val="pl-PL"/>
        </w:rPr>
      </w:pPr>
    </w:p>
    <w:p w14:paraId="7F924E55" w14:textId="77777777" w:rsidR="0061449F" w:rsidRPr="0061449F" w:rsidRDefault="0061449F" w:rsidP="0061449F">
      <w:pPr>
        <w:spacing w:after="0" w:line="276" w:lineRule="auto"/>
        <w:jc w:val="both"/>
        <w:rPr>
          <w:rFonts w:ascii="Times New Roman" w:eastAsia="Times New Roman" w:hAnsi="Times New Roman" w:cs="Times New Roman"/>
          <w:sz w:val="24"/>
          <w:szCs w:val="24"/>
          <w:bdr w:val="none" w:sz="0" w:space="0" w:color="auto" w:frame="1"/>
          <w:lang w:val="pl-PL"/>
        </w:rPr>
      </w:pPr>
      <w:r w:rsidRPr="0061449F">
        <w:rPr>
          <w:rFonts w:ascii="Times New Roman" w:eastAsia="Times New Roman" w:hAnsi="Times New Roman" w:cs="Times New Roman"/>
          <w:sz w:val="24"/>
          <w:szCs w:val="24"/>
          <w:bdr w:val="none" w:sz="0" w:space="0" w:color="auto" w:frame="1"/>
          <w:lang w:val="pl-PL"/>
        </w:rPr>
        <w:t>Situata aktuale kërkon realizimin e masave të parashikuara në Udhërrëfyesin për Shtetin e së Drejtës, miratuar me VKM nr. 736 datë 13.12.2023 “Për Miratimin e Udhërrëfyesin për Shtetin e së Drejtës”, i cili përpos   masave me rëndësi strategjike për konsolidimin e sistemit të drejtësisë, dikton nevojën për përditësimin e SND-së 2021-2025 dhe miratimin e një Strategjie Ndërsektoriale të Drejtësisë të re, me një kohëzgjatje më të gjatë 2024-2030.</w:t>
      </w:r>
    </w:p>
    <w:p w14:paraId="2AD4197D" w14:textId="77777777" w:rsidR="0061449F" w:rsidRPr="0061449F" w:rsidRDefault="0061449F" w:rsidP="0061449F">
      <w:pPr>
        <w:spacing w:after="0" w:line="276" w:lineRule="auto"/>
        <w:jc w:val="both"/>
        <w:rPr>
          <w:rFonts w:ascii="Times New Roman" w:eastAsia="Times New Roman" w:hAnsi="Times New Roman" w:cs="Times New Roman"/>
          <w:sz w:val="24"/>
          <w:szCs w:val="24"/>
          <w:bdr w:val="none" w:sz="0" w:space="0" w:color="auto" w:frame="1"/>
          <w:lang w:val="pl-PL"/>
        </w:rPr>
      </w:pPr>
    </w:p>
    <w:p w14:paraId="25E2A35C" w14:textId="77777777" w:rsidR="0061449F" w:rsidRDefault="0061449F" w:rsidP="0061449F">
      <w:pPr>
        <w:spacing w:line="276" w:lineRule="auto"/>
        <w:jc w:val="both"/>
        <w:rPr>
          <w:rFonts w:ascii="Times New Roman" w:eastAsia="Times New Roman" w:hAnsi="Times New Roman" w:cs="Times New Roman"/>
          <w:iCs/>
          <w:sz w:val="24"/>
          <w:szCs w:val="24"/>
          <w:lang w:val="sq-AL"/>
        </w:rPr>
      </w:pPr>
      <w:r w:rsidRPr="0061449F">
        <w:rPr>
          <w:rFonts w:ascii="Times New Roman" w:eastAsia="Times New Roman" w:hAnsi="Times New Roman" w:cs="Times New Roman"/>
          <w:bCs/>
          <w:sz w:val="24"/>
          <w:szCs w:val="24"/>
          <w:lang w:val="sq-AL"/>
        </w:rPr>
        <w:t>Strategjia Ndërsektoriale e Drejtësisë 2024–2030, Plani i Veprimit si dhe pasaporta e treguesve, hartohen  nga Ministria e Drejtësisë, si një dokument politik i Qeverisë Shqiptare dhe si një nga prioritet kyçe të institucionit, dhe</w:t>
      </w:r>
      <w:r w:rsidRPr="0061449F">
        <w:rPr>
          <w:rFonts w:ascii="Times New Roman" w:eastAsia="Times New Roman" w:hAnsi="Times New Roman" w:cs="Times New Roman"/>
          <w:bCs/>
          <w:sz w:val="16"/>
          <w:szCs w:val="16"/>
          <w:lang w:val="sq-AL"/>
        </w:rPr>
        <w:t xml:space="preserve"> </w:t>
      </w:r>
      <w:r w:rsidRPr="0061449F">
        <w:rPr>
          <w:rFonts w:ascii="Times New Roman" w:eastAsia="Times New Roman" w:hAnsi="Times New Roman" w:cs="Times New Roman"/>
          <w:iCs/>
          <w:sz w:val="24"/>
          <w:szCs w:val="24"/>
          <w:lang w:val="sq-AL"/>
        </w:rPr>
        <w:t xml:space="preserve">do të adresojë politika të sistemit të drejtësisë sipas masave strategjike të parashikuara në Udhërrëfyesin për Shtetin e së Drejtës – Kapitullin 23 “Gjyqësori dhe të drejtat themelore”. </w:t>
      </w:r>
    </w:p>
    <w:p w14:paraId="07B5A7A2" w14:textId="6F82E244" w:rsidR="008875EB" w:rsidRPr="0061449F" w:rsidRDefault="008875EB" w:rsidP="0061449F">
      <w:pPr>
        <w:spacing w:line="276" w:lineRule="auto"/>
        <w:jc w:val="both"/>
        <w:rPr>
          <w:rFonts w:ascii="Times New Roman" w:eastAsia="Times New Roman" w:hAnsi="Times New Roman" w:cs="Times New Roman"/>
          <w:iCs/>
          <w:sz w:val="24"/>
          <w:szCs w:val="24"/>
        </w:rPr>
      </w:pPr>
      <w:r w:rsidRPr="008875EB">
        <w:rPr>
          <w:rFonts w:ascii="Times New Roman" w:eastAsia="Times New Roman" w:hAnsi="Times New Roman" w:cs="Times New Roman"/>
          <w:iCs/>
          <w:sz w:val="24"/>
          <w:szCs w:val="24"/>
        </w:rPr>
        <w:t>Strategjia është hartuar nga Ministria e Drejtësisë,  me kontributin e Grupit Ndërinstitucional të Punës të ngritur me urdhrin nr.20, datë 31.1.2024 të Kryeministrit “Për hartimin e Strategjisë të Drejtësisë 2024-2030, të Planit të Veprimit dhe të Pasaportës së Treguesve” dhe me mbështetjen dhe ekspertizën e Projektit JustAL-it, dhe  prezencës së OSCE në Shqipëri, përmes një grupi ekspertësh të cilët lehtësuan punën e GNP në përgatitjen e këtij dokumenti strategjik, duke dhënë ekspertizen e tyre me qëllim përgatitjen e një material</w:t>
      </w:r>
      <w:r>
        <w:rPr>
          <w:rFonts w:ascii="Times New Roman" w:eastAsia="Times New Roman" w:hAnsi="Times New Roman" w:cs="Times New Roman"/>
          <w:iCs/>
          <w:sz w:val="24"/>
          <w:szCs w:val="24"/>
        </w:rPr>
        <w:t>i</w:t>
      </w:r>
      <w:r w:rsidRPr="008875EB">
        <w:rPr>
          <w:rFonts w:ascii="Times New Roman" w:eastAsia="Times New Roman" w:hAnsi="Times New Roman" w:cs="Times New Roman"/>
          <w:iCs/>
          <w:sz w:val="24"/>
          <w:szCs w:val="24"/>
        </w:rPr>
        <w:t xml:space="preserve"> sa më cilësor dhe koh</w:t>
      </w:r>
      <w:r>
        <w:rPr>
          <w:rFonts w:ascii="Times New Roman" w:eastAsia="Times New Roman" w:hAnsi="Times New Roman" w:cs="Times New Roman"/>
          <w:iCs/>
          <w:sz w:val="24"/>
          <w:szCs w:val="24"/>
        </w:rPr>
        <w:t>e</w:t>
      </w:r>
      <w:r w:rsidRPr="008875EB">
        <w:rPr>
          <w:rFonts w:ascii="Times New Roman" w:eastAsia="Times New Roman" w:hAnsi="Times New Roman" w:cs="Times New Roman"/>
          <w:iCs/>
          <w:sz w:val="24"/>
          <w:szCs w:val="24"/>
        </w:rPr>
        <w:t>re</w:t>
      </w:r>
      <w:r>
        <w:rPr>
          <w:rFonts w:ascii="Times New Roman" w:eastAsia="Times New Roman" w:hAnsi="Times New Roman" w:cs="Times New Roman"/>
          <w:iCs/>
          <w:sz w:val="24"/>
          <w:szCs w:val="24"/>
        </w:rPr>
        <w:t>n</w:t>
      </w:r>
      <w:r w:rsidRPr="008875EB">
        <w:rPr>
          <w:rFonts w:ascii="Times New Roman" w:eastAsia="Times New Roman" w:hAnsi="Times New Roman" w:cs="Times New Roman"/>
          <w:iCs/>
          <w:sz w:val="24"/>
          <w:szCs w:val="24"/>
        </w:rPr>
        <w:t>t.</w:t>
      </w:r>
    </w:p>
    <w:p w14:paraId="02A1B6D3" w14:textId="77777777" w:rsidR="0061449F" w:rsidRPr="0061449F" w:rsidRDefault="0061449F" w:rsidP="0061449F">
      <w:pPr>
        <w:spacing w:before="100" w:beforeAutospacing="1" w:after="100" w:afterAutospacing="1"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iCs/>
          <w:sz w:val="24"/>
          <w:szCs w:val="24"/>
          <w:lang w:val="sq-AL"/>
        </w:rPr>
        <w:t xml:space="preserve">Ndryshe nga SND 2021-2025, SND 2024-2030, do të adresojë edhe elementë të tillë si informimi, sensibilizimi dhe ndërgjegjësimi i publikut mbi ligjin, sistemin e drejtësisë dhe aksesin në drejtësi. </w:t>
      </w:r>
      <w:r w:rsidRPr="0061449F">
        <w:rPr>
          <w:rFonts w:ascii="Times New Roman" w:eastAsia="Calibri" w:hAnsi="Times New Roman" w:cs="Times New Roman"/>
          <w:sz w:val="24"/>
          <w:szCs w:val="24"/>
          <w:lang w:val="sq-AL"/>
        </w:rPr>
        <w:t xml:space="preserve">Pas një analize të kryer nga Ministria e Drejtësisë, është vlerësuar se një nga qëllimet politike të kësaj strategjie duhet t’i dedikohet fushës së edukimit ligjor të publikut, në përmbushje dhe në funksion edhe </w:t>
      </w:r>
      <w:r w:rsidRPr="0061449F">
        <w:rPr>
          <w:rFonts w:ascii="Times New Roman" w:eastAsia="Calibri" w:hAnsi="Times New Roman" w:cs="Times New Roman"/>
          <w:sz w:val="24"/>
          <w:szCs w:val="24"/>
          <w:lang w:val="sq-AL"/>
        </w:rPr>
        <w:lastRenderedPageBreak/>
        <w:t>të Strategjisë së Edukimit Ligjor të Publikut 2019-2023. Kjo do të shërbejë për arritjen sa me cilësore të qëllimeve  politike, të cilat do të synojnë konsolidimin e kapaciteteve të sistemit të  drejtësisë dhe qeverisjes së institucioneve, duke përfshirë fuqizimin e mëtejshem të edukimit ligjor të publikut, kërkesë e parashtruar edhe nga Bashkimi Evropian.</w:t>
      </w:r>
    </w:p>
    <w:p w14:paraId="10EF6B30" w14:textId="77777777" w:rsidR="0061449F" w:rsidRPr="00E316F6" w:rsidRDefault="0061449F" w:rsidP="0061449F">
      <w:pPr>
        <w:numPr>
          <w:ilvl w:val="0"/>
          <w:numId w:val="3"/>
        </w:numPr>
        <w:shd w:val="clear" w:color="auto" w:fill="FFFFFF"/>
        <w:spacing w:beforeAutospacing="1" w:after="0" w:afterAutospacing="1" w:line="414" w:lineRule="atLeast"/>
        <w:contextualSpacing/>
        <w:outlineLvl w:val="1"/>
        <w:rPr>
          <w:rFonts w:ascii="Times New Roman" w:eastAsia="Times New Roman" w:hAnsi="Times New Roman" w:cs="Times New Roman"/>
          <w:b/>
          <w:bCs/>
          <w:sz w:val="24"/>
          <w:szCs w:val="24"/>
          <w:bdr w:val="none" w:sz="0" w:space="0" w:color="auto" w:frame="1"/>
          <w:lang w:val="sq-AL"/>
        </w:rPr>
      </w:pPr>
      <w:bookmarkStart w:id="3" w:name="_Toc118282605"/>
      <w:r w:rsidRPr="0061449F">
        <w:rPr>
          <w:rFonts w:ascii="Times New Roman" w:eastAsia="Calibri" w:hAnsi="Times New Roman" w:cs="Times New Roman"/>
          <w:b/>
          <w:sz w:val="24"/>
          <w:szCs w:val="24"/>
          <w:lang w:val="sq-AL"/>
        </w:rPr>
        <w:t>Kuadri ligjor dhe institucional dhe lidhja me dokumente strategjikë të tjerë</w:t>
      </w:r>
    </w:p>
    <w:p w14:paraId="2146826A" w14:textId="77777777" w:rsidR="00E316F6" w:rsidRPr="0061449F" w:rsidRDefault="00E316F6" w:rsidP="00E316F6">
      <w:pPr>
        <w:shd w:val="clear" w:color="auto" w:fill="FFFFFF"/>
        <w:spacing w:beforeAutospacing="1" w:after="0" w:afterAutospacing="1" w:line="414" w:lineRule="atLeast"/>
        <w:ind w:left="720"/>
        <w:contextualSpacing/>
        <w:outlineLvl w:val="1"/>
        <w:rPr>
          <w:rFonts w:ascii="Times New Roman" w:eastAsia="Times New Roman" w:hAnsi="Times New Roman" w:cs="Times New Roman"/>
          <w:b/>
          <w:bCs/>
          <w:sz w:val="24"/>
          <w:szCs w:val="24"/>
          <w:bdr w:val="none" w:sz="0" w:space="0" w:color="auto" w:frame="1"/>
          <w:lang w:val="sq-AL"/>
        </w:rPr>
      </w:pPr>
    </w:p>
    <w:p w14:paraId="4BEFBC33" w14:textId="77777777" w:rsidR="0061449F" w:rsidRPr="0061449F" w:rsidRDefault="0061449F" w:rsidP="0061449F">
      <w:pPr>
        <w:numPr>
          <w:ilvl w:val="1"/>
          <w:numId w:val="4"/>
        </w:numPr>
        <w:spacing w:line="276" w:lineRule="auto"/>
        <w:ind w:left="540" w:hanging="540"/>
        <w:contextualSpacing/>
        <w:jc w:val="both"/>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Kuadri Ligjor dhe Institucional</w:t>
      </w:r>
    </w:p>
    <w:p w14:paraId="4713BE01" w14:textId="77777777" w:rsidR="0061449F" w:rsidRPr="0061449F" w:rsidRDefault="0061449F" w:rsidP="0061449F">
      <w:pPr>
        <w:spacing w:line="276" w:lineRule="auto"/>
        <w:contextualSpacing/>
        <w:jc w:val="both"/>
        <w:rPr>
          <w:rFonts w:ascii="Times New Roman" w:eastAsia="Calibri" w:hAnsi="Times New Roman" w:cs="Times New Roman"/>
          <w:b/>
          <w:sz w:val="24"/>
          <w:szCs w:val="24"/>
          <w:lang w:val="sq-AL"/>
        </w:rPr>
      </w:pPr>
    </w:p>
    <w:p w14:paraId="5B6CFF28"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Organizimi dhe funksionimi i sistemit të drejtësisë i nënshtrohet </w:t>
      </w:r>
      <w:r w:rsidRPr="0061449F">
        <w:rPr>
          <w:rFonts w:ascii="Times New Roman" w:eastAsia="Times New Roman" w:hAnsi="Times New Roman" w:cs="Times New Roman"/>
          <w:sz w:val="24"/>
          <w:szCs w:val="24"/>
          <w:lang w:val="sq-AL"/>
        </w:rPr>
        <w:t>parimeve të mirëafirmuara në K</w:t>
      </w:r>
      <w:r w:rsidRPr="0061449F">
        <w:rPr>
          <w:rFonts w:ascii="Times New Roman" w:eastAsia="Calibri" w:hAnsi="Times New Roman" w:cs="Times New Roman"/>
          <w:sz w:val="24"/>
          <w:szCs w:val="24"/>
          <w:lang w:val="sq-AL"/>
        </w:rPr>
        <w:t>ushtetutë dhe në ligje, ndër të cilat parimet e llogaridhënies, integritetit dhe transparencës për krijimin e një sistemi gjyqësor të pavarur dhe profesional, parimet e efikasitetit, paanësisë, meritokracisë dhe zhvillimit të karrierës, parimet e objektivitetit, proporcionalitetit, parimin e të drejtës së aksesit në drejtësi dhe atë të një procesi të rregullt ligjor, në respekt të të drejtave dhe lirive themelore të njeriut.</w:t>
      </w:r>
    </w:p>
    <w:p w14:paraId="7F8596B7"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Reforma në Drejtësi solli ndryshime rrënjësore në sistemin e drejtësisë, duke reformuar si kuadrin normativ dhe atë institucional.  Nga pikëpamja normative, u miratuan së pari ndryshimet kushtetutese me ligjin nr. 76/2016, 22.7.2016 “Për disa shtesa dhe ndryshime në ligjin nr. 8417, datë 21.10.1998, “Kushtetuta e Republikës së Shqipërisë”, e ndryshuar. Me këto ndryshime kushtetuese, Reforma në Drejtësi i hapte rrugën ndryshimeve ligjore dhe institucionale me qëllim garantimin e pavarësisë, paanshmërisë, profesionalizmit, integritetit të sistemit gjyqësor, duke përmirësuar mekanizmat e llogaridhënies dhe monitorimit të funksionimit të saj. </w:t>
      </w:r>
    </w:p>
    <w:p w14:paraId="42F3EDFB"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Në kuadrin e reformave institucionale të sistemit të drejtësisë, një hap vendimtar shënoi ngritja dhe funksionimi i plotë i organeve të qeverisjes së sistemit të drejtësisë, si Këshilli i Lartë Gjyqësor, Këshilli i Lartë i Prokurorisë, Inspektori i Lartë i Drejtësisë, Këshilli i Emërimeve në Drejtësi, si dhe u krijimi i një kuadri të plotë institucional për hetimin dhe ngritjen e akuzës në çështjet e korrupsionit dhe krimit të organizuar dhe hetimin e funksionarëve sipas dispozitave parashikuar në Kushtetutë dhe në Kodin e Procedurës Penale. Në këtë kuadër u krijua dhe u ngrit Byroja Kombëtare e Hetimit, Prokuroria e Posaçme për Korrupsionin dhe Krimin e Organizuar, Gjykata e Posaçme të Shkallës së Parë dhe atë të Apelit për Korrupsionin dhe Krimin e Organizuar. </w:t>
      </w:r>
    </w:p>
    <w:p w14:paraId="22FD87A2"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Me ligjin nr. 16/2022 “Për një ndryshim në ligjin nr. 8417, datë 21.10.1998, “Kushtetuta e Republikës së Shqipërisë”, e ndryshuar, u përcaktua se Komisioni i Pavarur i Kualifikimit duhet të përfundojë procesin e rivlerësimit kalimtar të gjyqtarëve dhe prokurorëve (</w:t>
      </w:r>
      <w:r w:rsidRPr="0061449F">
        <w:rPr>
          <w:rFonts w:ascii="Times New Roman" w:eastAsia="Calibri" w:hAnsi="Times New Roman" w:cs="Times New Roman"/>
          <w:i/>
          <w:iCs/>
          <w:sz w:val="24"/>
          <w:szCs w:val="24"/>
          <w:lang w:val="sq-AL"/>
        </w:rPr>
        <w:t>vetting</w:t>
      </w:r>
      <w:r w:rsidRPr="0061449F">
        <w:rPr>
          <w:rFonts w:ascii="Times New Roman" w:eastAsia="Calibri" w:hAnsi="Times New Roman" w:cs="Times New Roman"/>
          <w:sz w:val="24"/>
          <w:szCs w:val="24"/>
          <w:lang w:val="sq-AL"/>
        </w:rPr>
        <w:t xml:space="preserve">) brenda datës 31.12.2024. </w:t>
      </w:r>
    </w:p>
    <w:p w14:paraId="73491655" w14:textId="77777777" w:rsidR="0061449F" w:rsidRPr="0061449F" w:rsidRDefault="0061449F" w:rsidP="0061449F">
      <w:pPr>
        <w:spacing w:line="276" w:lineRule="auto"/>
        <w:jc w:val="both"/>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“SND 2024–2030” është në përputhje me Kushtetutën e Republikës së Shqipërisë, e ndryshuar, dhe me konventat ndërkombëtare, si më poshtë vijon:</w:t>
      </w:r>
    </w:p>
    <w:p w14:paraId="55EABBD4"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Ligji nr.8417 datë 21.10.1998 “Kushtetuta e Republikës së Shqipërisë” i ndryshuar;</w:t>
      </w:r>
    </w:p>
    <w:p w14:paraId="2934A516"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Deklarata Universale për të Drejtat e Njeriut; </w:t>
      </w:r>
    </w:p>
    <w:p w14:paraId="63ADF423"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nr.8137, datë 31.7.1996 “Për ratifikimin e Konventës për Mbrojtjen e të Drejtave të Njeriut dhe Lirive Themelore, së bashku me protokollet shtesë;</w:t>
      </w:r>
    </w:p>
    <w:p w14:paraId="237BD6EE"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lastRenderedPageBreak/>
        <w:t>Ligji nr. 7510 datë 8.8.1991 “Për aderimin e R.Sh në Paktin Ndërkombëtar për të Drejtat Civile dhe Politike”;</w:t>
      </w:r>
    </w:p>
    <w:p w14:paraId="60F137BC"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 nr.9725 datë 7.5.2007 “Për aderimin  e  R.Sh  në  protokollin  shtesë  të Paktit Ndërkombëtar për të Drejtat Civile dhe Politike”;</w:t>
      </w:r>
    </w:p>
    <w:p w14:paraId="20F407E2"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 28, datë 20.03.2014, “Për ratifikimin e Marrëveshjes ndërmjet Republikës së Shqipërisë dhe Zyrës së Policisë Evropiane (EUROPAL) për bashkëpunimin strategjik dhe operacional”</w:t>
      </w:r>
    </w:p>
    <w:p w14:paraId="4CDF21BF"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nr.9726 datë 7.5.2007 “Për aderimin  e  R.Sh  në  protokollin  e  dytë  shtesë të Paktit Ndërkombëtar për të Drejtat Civile dhe Politike”;</w:t>
      </w:r>
    </w:p>
    <w:p w14:paraId="271E8284"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nr.8135, datë 31.7.1996 “Për aderimin në “Konventën Evropiane për Parandalimin e Torturës dhe Trajtimit ose Ndëshkimit Çnjerëzor ose Degradues”;</w:t>
      </w:r>
    </w:p>
    <w:p w14:paraId="5881CB88"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nr.9094, datë 3.7.2003 “Për ratifikimin e “Protokollit Opsional të Konventës kundër Torturës dhe Trajtimit ose Dënimit të Egër, Çnjerëzor ose Poshtërues”;</w:t>
      </w:r>
    </w:p>
    <w:p w14:paraId="066A087C"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 43/2016 “Për marrëveshjet ndërkombëtare në Republikën e Shqipërisë;</w:t>
      </w:r>
    </w:p>
    <w:p w14:paraId="2CD43BFD"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 9590, datë 27.07.2006 “Për ratifikimin e Marrëveshjes së Stabilizim-Asociimit ndërmjet Republikës së Shqipërisë dhe Komuniteteve Europiane e shteteve të tyre anëtare”.</w:t>
      </w:r>
    </w:p>
    <w:p w14:paraId="650E2290" w14:textId="77777777" w:rsidR="0061449F" w:rsidRPr="0061449F" w:rsidRDefault="0061449F" w:rsidP="0061449F">
      <w:pPr>
        <w:spacing w:line="276" w:lineRule="auto"/>
        <w:ind w:left="720"/>
        <w:contextualSpacing/>
        <w:jc w:val="both"/>
        <w:rPr>
          <w:rFonts w:ascii="Times New Roman" w:eastAsia="Calibri" w:hAnsi="Times New Roman" w:cs="Times New Roman"/>
          <w:b/>
          <w:sz w:val="24"/>
          <w:szCs w:val="24"/>
          <w:lang w:val="it-IT"/>
        </w:rPr>
      </w:pPr>
    </w:p>
    <w:p w14:paraId="6A50DD5B" w14:textId="77777777" w:rsidR="0061449F" w:rsidRPr="0061449F" w:rsidRDefault="0061449F" w:rsidP="0061449F">
      <w:pPr>
        <w:spacing w:line="276" w:lineRule="auto"/>
        <w:contextualSpacing/>
        <w:jc w:val="both"/>
        <w:rPr>
          <w:rFonts w:ascii="Times New Roman" w:eastAsia="Calibri" w:hAnsi="Times New Roman" w:cs="Times New Roman"/>
          <w:b/>
          <w:sz w:val="24"/>
          <w:szCs w:val="24"/>
          <w:lang w:val="nl-NL"/>
        </w:rPr>
      </w:pPr>
      <w:r w:rsidRPr="0061449F">
        <w:rPr>
          <w:rFonts w:ascii="Times New Roman" w:eastAsia="Calibri" w:hAnsi="Times New Roman" w:cs="Times New Roman"/>
          <w:b/>
          <w:sz w:val="24"/>
          <w:szCs w:val="24"/>
          <w:lang w:val="nl-NL"/>
        </w:rPr>
        <w:t xml:space="preserve">2.2 Lidhja e SND-së me kuadrin ligjor kombëtar </w:t>
      </w:r>
    </w:p>
    <w:p w14:paraId="3B48CD3E" w14:textId="77777777" w:rsidR="0061449F" w:rsidRPr="0061449F" w:rsidRDefault="0061449F" w:rsidP="0061449F">
      <w:pPr>
        <w:spacing w:line="276" w:lineRule="auto"/>
        <w:contextualSpacing/>
        <w:jc w:val="both"/>
        <w:rPr>
          <w:rFonts w:ascii="Times New Roman" w:eastAsia="Calibri" w:hAnsi="Times New Roman" w:cs="Times New Roman"/>
          <w:b/>
          <w:sz w:val="24"/>
          <w:szCs w:val="24"/>
          <w:lang w:val="nl-NL"/>
        </w:rPr>
      </w:pPr>
    </w:p>
    <w:p w14:paraId="72F68D8D" w14:textId="77777777" w:rsidR="0061449F" w:rsidRPr="0061449F" w:rsidRDefault="0061449F" w:rsidP="0061449F">
      <w:pPr>
        <w:spacing w:line="276" w:lineRule="auto"/>
        <w:contextualSpacing/>
        <w:jc w:val="both"/>
        <w:rPr>
          <w:rFonts w:ascii="Times New Roman" w:eastAsia="Calibri" w:hAnsi="Times New Roman" w:cs="Times New Roman"/>
          <w:sz w:val="24"/>
          <w:szCs w:val="24"/>
          <w:lang w:val="nl-NL"/>
        </w:rPr>
      </w:pPr>
      <w:r w:rsidRPr="0061449F">
        <w:rPr>
          <w:rFonts w:ascii="Times New Roman" w:eastAsia="Calibri" w:hAnsi="Times New Roman" w:cs="Times New Roman"/>
          <w:sz w:val="24"/>
          <w:szCs w:val="24"/>
          <w:lang w:val="nl-NL"/>
        </w:rPr>
        <w:t>“SND 2024–2030” lidhet me kuadrin ligjor kombëtar për Reformën në Drejtësi. Shqipëria ka një kuadër ligjor dhe nënligjor të plotë që mbulon fushën e sistemit të drejtësisë.</w:t>
      </w:r>
    </w:p>
    <w:p w14:paraId="77A145BE" w14:textId="77777777" w:rsidR="0061449F" w:rsidRPr="0061449F" w:rsidRDefault="0061449F" w:rsidP="0061449F">
      <w:pPr>
        <w:spacing w:line="276" w:lineRule="auto"/>
        <w:contextualSpacing/>
        <w:jc w:val="both"/>
        <w:rPr>
          <w:rFonts w:ascii="Times New Roman" w:eastAsia="Calibri" w:hAnsi="Times New Roman" w:cs="Times New Roman"/>
          <w:sz w:val="24"/>
          <w:szCs w:val="24"/>
          <w:lang w:val="nl-NL"/>
        </w:rPr>
      </w:pPr>
    </w:p>
    <w:p w14:paraId="00FD7D0B" w14:textId="77777777" w:rsidR="0061449F" w:rsidRPr="0061449F" w:rsidRDefault="0061449F" w:rsidP="0061449F">
      <w:pPr>
        <w:spacing w:line="276" w:lineRule="auto"/>
        <w:jc w:val="both"/>
        <w:rPr>
          <w:rFonts w:ascii="Times New Roman" w:eastAsia="Calibri" w:hAnsi="Times New Roman" w:cs="Times New Roman"/>
          <w:sz w:val="24"/>
          <w:szCs w:val="24"/>
          <w:lang w:val="nl-NL"/>
        </w:rPr>
      </w:pPr>
      <w:r w:rsidRPr="0061449F">
        <w:rPr>
          <w:rFonts w:ascii="Times New Roman" w:eastAsia="Calibri" w:hAnsi="Times New Roman" w:cs="Times New Roman"/>
          <w:b/>
          <w:sz w:val="24"/>
          <w:szCs w:val="24"/>
          <w:lang w:val="nl-NL"/>
        </w:rPr>
        <w:t>Ligji nr. 84/2016 “Për rivlerësimin kalimtar të gjyqtarëve dhe prokurorëve në Republikën e Shqipërisë</w:t>
      </w:r>
      <w:r w:rsidRPr="0061449F">
        <w:rPr>
          <w:rFonts w:ascii="Times New Roman" w:eastAsia="Calibri" w:hAnsi="Times New Roman" w:cs="Times New Roman"/>
          <w:sz w:val="24"/>
          <w:szCs w:val="24"/>
          <w:lang w:val="nl-NL"/>
        </w:rPr>
        <w:t>”, i ndryshuar, përcakton rregulla të përgjithshme lidhur me rivlerësimin kalimtar të të gjithë subjekteve të rivlerësimit duke përcaktuar parimet e organizimit të procesit të rivlerësimit për të gjithë gjyqtarët dhe prokurorët, të metodologjisë, procedurave dhe standardeve të rivlerësimit. Ky ligj përcakton rregulla lidhur me organizimin dhe funksionimin e institucioneve të rivlerësimit si dhe rolin e Operacionit Ndërkombëtar të Monitorimit, të organeve të tjera shtetërore dhe të publikut në kuadër të procesit të rivlerësimit.</w:t>
      </w:r>
    </w:p>
    <w:p w14:paraId="17B2BB95" w14:textId="77777777" w:rsidR="0061449F" w:rsidRPr="0061449F" w:rsidRDefault="0061449F" w:rsidP="0061449F">
      <w:pPr>
        <w:spacing w:line="276" w:lineRule="auto"/>
        <w:jc w:val="both"/>
        <w:rPr>
          <w:rFonts w:ascii="Times New Roman" w:eastAsia="Calibri" w:hAnsi="Times New Roman" w:cs="Times New Roman"/>
          <w:sz w:val="24"/>
          <w:szCs w:val="24"/>
          <w:lang w:val="nl-NL"/>
        </w:rPr>
      </w:pPr>
      <w:r w:rsidRPr="0061449F">
        <w:rPr>
          <w:rFonts w:ascii="Times New Roman" w:eastAsia="Calibri" w:hAnsi="Times New Roman" w:cs="Times New Roman"/>
          <w:b/>
          <w:sz w:val="24"/>
          <w:szCs w:val="24"/>
          <w:lang w:val="nl-NL"/>
        </w:rPr>
        <w:t>Ligji nr. 96/2016 “Për Statusin e Gjyqtarëve dhe Prokurorëve në Republikën e Shqipërisë”</w:t>
      </w:r>
      <w:r w:rsidRPr="0061449F">
        <w:rPr>
          <w:rFonts w:ascii="Times New Roman" w:eastAsia="Calibri" w:hAnsi="Times New Roman" w:cs="Times New Roman"/>
          <w:sz w:val="24"/>
          <w:szCs w:val="24"/>
          <w:lang w:val="nl-NL"/>
        </w:rPr>
        <w:t xml:space="preserve"> i ndryshuar përcakton rregulla lidhur me statusin e magjistratëve, lidhur me të drejtat dhe detyrimet e tyre, pranimin dhe emërimin e tyre, zhvillimin e karrierës dhe mbarimin e mandatit të tyre, vlerësimin etik dhe profesional të tyre, përgjegjësisë disiplinore, penale dhe civile të tyre. Gjithashtu, në ligj, përcaktohen rregulla lidhur me standardet e etikës dhe rregullat e sjelljes, pagës dhe përfitimeve të tjera financiare dhe shoqërore, transferimit, ngritjes në detyrë apo komandimit të magjistratit.</w:t>
      </w:r>
    </w:p>
    <w:p w14:paraId="3ED2F987" w14:textId="77777777" w:rsidR="0061449F" w:rsidRPr="0061449F" w:rsidRDefault="0061449F" w:rsidP="0061449F">
      <w:pPr>
        <w:spacing w:line="276" w:lineRule="auto"/>
        <w:jc w:val="both"/>
        <w:rPr>
          <w:rFonts w:ascii="Times New Roman" w:eastAsia="Calibri" w:hAnsi="Times New Roman" w:cs="Times New Roman"/>
          <w:sz w:val="24"/>
          <w:szCs w:val="24"/>
          <w:lang w:val="nl-NL"/>
        </w:rPr>
      </w:pPr>
      <w:r w:rsidRPr="0061449F">
        <w:rPr>
          <w:rFonts w:ascii="Times New Roman" w:eastAsia="Calibri" w:hAnsi="Times New Roman" w:cs="Times New Roman"/>
          <w:b/>
          <w:sz w:val="24"/>
          <w:szCs w:val="24"/>
          <w:lang w:val="nl-NL"/>
        </w:rPr>
        <w:t>Ligji nr. 98/2016 “Për Organizimin e Pushtetit Gjyqësor në Republikën e Shqipërisë”</w:t>
      </w:r>
      <w:r w:rsidRPr="0061449F">
        <w:rPr>
          <w:rFonts w:ascii="Times New Roman" w:eastAsia="Calibri" w:hAnsi="Times New Roman" w:cs="Times New Roman"/>
          <w:sz w:val="24"/>
          <w:szCs w:val="24"/>
          <w:lang w:val="nl-NL"/>
        </w:rPr>
        <w:t>, i ndryshuar përcakton rregulla lidhur me organizimin dhe funksionimin e sistemit të gjykatave në Republikën e Shqipërisë, kompetencat dhe madhësitë e gjykatave, organizimin e brendshëm të gjykatave, funksionimin e administratës së gjykatës, statusin e nëpunësve civilë gjyqësorë.</w:t>
      </w:r>
    </w:p>
    <w:p w14:paraId="3EBB9070" w14:textId="77777777" w:rsidR="0061449F" w:rsidRPr="0061449F" w:rsidRDefault="0061449F" w:rsidP="0061449F">
      <w:pPr>
        <w:spacing w:line="276" w:lineRule="auto"/>
        <w:jc w:val="both"/>
        <w:rPr>
          <w:rFonts w:ascii="Times New Roman" w:eastAsia="Calibri" w:hAnsi="Times New Roman" w:cs="Times New Roman"/>
          <w:sz w:val="24"/>
          <w:szCs w:val="24"/>
          <w:lang w:val="nl-NL"/>
        </w:rPr>
      </w:pPr>
      <w:r w:rsidRPr="0061449F">
        <w:rPr>
          <w:rFonts w:ascii="Times New Roman" w:eastAsia="Calibri" w:hAnsi="Times New Roman" w:cs="Times New Roman"/>
          <w:b/>
          <w:sz w:val="24"/>
          <w:szCs w:val="24"/>
          <w:lang w:val="nl-NL"/>
        </w:rPr>
        <w:t>Ligji nr. 115/2016 “Për Organet e Qeverisjes së Sistemit të Drejtësisë”</w:t>
      </w:r>
      <w:r w:rsidRPr="0061449F">
        <w:rPr>
          <w:rFonts w:ascii="Times New Roman" w:eastAsia="Calibri" w:hAnsi="Times New Roman" w:cs="Times New Roman"/>
          <w:sz w:val="24"/>
          <w:szCs w:val="24"/>
          <w:lang w:val="nl-NL"/>
        </w:rPr>
        <w:t xml:space="preserve"> i ndryshuar përcakton parime dhe rregulla lidhur me organizimin dhe funksionimin e Këshillit të Lartë Gjyqësor, Këshillit të Lartë të </w:t>
      </w:r>
      <w:r w:rsidRPr="0061449F">
        <w:rPr>
          <w:rFonts w:ascii="Times New Roman" w:eastAsia="Calibri" w:hAnsi="Times New Roman" w:cs="Times New Roman"/>
          <w:sz w:val="24"/>
          <w:szCs w:val="24"/>
          <w:lang w:val="nl-NL"/>
        </w:rPr>
        <w:lastRenderedPageBreak/>
        <w:t>Prokurorisë, Inspektorit të Lartë të Drejtësisë, Këshillit të Emërimeve në Drejtësi dhe të Shkollës së Magjistraturës.</w:t>
      </w:r>
    </w:p>
    <w:p w14:paraId="3CA0F97F" w14:textId="77777777" w:rsidR="0061449F" w:rsidRPr="0061449F" w:rsidRDefault="0061449F" w:rsidP="0061449F">
      <w:pPr>
        <w:spacing w:line="276" w:lineRule="auto"/>
        <w:jc w:val="both"/>
        <w:rPr>
          <w:rFonts w:ascii="Times New Roman" w:eastAsia="Calibri" w:hAnsi="Times New Roman" w:cs="Times New Roman"/>
          <w:sz w:val="24"/>
          <w:szCs w:val="24"/>
          <w:lang w:val="nl-NL"/>
        </w:rPr>
      </w:pPr>
      <w:r w:rsidRPr="0061449F">
        <w:rPr>
          <w:rFonts w:ascii="Times New Roman" w:eastAsia="Calibri" w:hAnsi="Times New Roman" w:cs="Times New Roman"/>
          <w:b/>
          <w:sz w:val="24"/>
          <w:szCs w:val="24"/>
          <w:lang w:val="nl-NL"/>
        </w:rPr>
        <w:t>Ligji nr. 97/2016 “Për Organizimin dhe Funksionimin e Prokurorisë në Republikën e Shqipërisë”</w:t>
      </w:r>
      <w:r w:rsidRPr="0061449F">
        <w:rPr>
          <w:rFonts w:ascii="Times New Roman" w:eastAsia="Calibri" w:hAnsi="Times New Roman" w:cs="Times New Roman"/>
          <w:sz w:val="24"/>
          <w:szCs w:val="24"/>
          <w:lang w:val="nl-NL"/>
        </w:rPr>
        <w:t xml:space="preserve"> i ndryshuar përcakton rregulla lidhur me organizimin dhe funksionimin e prokurorisë në Republikën e Shqipërisë, kushtet, kriteret dhe procedurat për emërimin e Prokurorit të Përgjithshëm, marrëdhëniet e prokurorisë së juridiksionit të përgjithshëm me institucionet e tjera shtetërore, me subjekte të tjera publike ose private dhe me publikun, funksionimin e administratës së prokurorisë, statusin e nëpunësve civilë të prokurorisë. </w:t>
      </w:r>
    </w:p>
    <w:p w14:paraId="06904AB1" w14:textId="77777777" w:rsidR="0061449F" w:rsidRPr="0061449F" w:rsidRDefault="0061449F" w:rsidP="0061449F">
      <w:pPr>
        <w:spacing w:line="276" w:lineRule="auto"/>
        <w:jc w:val="both"/>
        <w:rPr>
          <w:rFonts w:ascii="Times New Roman" w:eastAsia="Calibri" w:hAnsi="Times New Roman" w:cs="Times New Roman"/>
          <w:sz w:val="24"/>
          <w:szCs w:val="24"/>
          <w:lang w:val="nl-NL"/>
        </w:rPr>
      </w:pPr>
      <w:r w:rsidRPr="0061449F">
        <w:rPr>
          <w:rFonts w:ascii="Times New Roman" w:eastAsia="Calibri" w:hAnsi="Times New Roman" w:cs="Times New Roman"/>
          <w:b/>
          <w:sz w:val="24"/>
          <w:szCs w:val="24"/>
          <w:lang w:val="nl-NL"/>
        </w:rPr>
        <w:t>Ligji nr. 95/2016 “Për Organizimin dhe Funksionimin e Institucioneve për të Luftuar Korrupsionin dhe Krimin e Organizuar”</w:t>
      </w:r>
      <w:r w:rsidRPr="0061449F">
        <w:rPr>
          <w:rFonts w:ascii="Times New Roman" w:eastAsia="Calibri" w:hAnsi="Times New Roman" w:cs="Times New Roman"/>
          <w:sz w:val="24"/>
          <w:szCs w:val="24"/>
          <w:lang w:val="nl-NL"/>
        </w:rPr>
        <w:t xml:space="preserve"> i ndryshuar përcakton rregulla lidhur me organizimin dhe funksionimin e Prokurorisë së Posaçme kundër korrupsionit dhe krimit të organizuar dhe Njësisë së Pavarur Hetimore, si organe kushtetuese, sipas pikës 4, të nenit 148, të Kushtetutës, së ndryshuar. Ligji nr. 95/2016 përcakton kushte dhe procedura për emërimin e Drejtuesit të Prokurorisë së Posaçme, përcakton kompetencat lëndore parësore dhe të tjera të gjykatave të posaçme kundër korrupsionit dhe krimit të organizuar dhe Prokurorisë së Posaçme, përcakton kushte dhe kritere shtesë që duhet të përmbushin shtetasit për t’u emëruar, transferuar apo për t’u ngritur në detyrë si gjyqtarë ose punonjës pranë gjykatave kundër korrupsionit dhe krimit të organizuar, prokurorë dhe punonjës pranë Prokurorisë së Posaçme, si dhe për t’u punësuar pranë Njësisë së Pavarur Hetimore si dhe përcakton marrëdhëniet e Prokurorisë së Posaçme me institucione të tjera shtetërore, subjekte të tjera publike apo private, si dhe me publikun. Gjithashtu me anë të këtij ligji përcaktohen rregulla lidhur me organizimin dhe funksionimin e procesit të kontrollit të figurës, vëzhgimit të të dhënave financiare dhe vëzhgimit të telekomunikacioneve të gjyqtarëve të gjykatave të posaçme kundër korrupsionit dhe krimit të organizuar, prokurorëve të Prokurorisë së Posaçme, drejtorit, zëvendësdrejtorit, hetuesve dhe punonjësve të shërbimeve të Policisë Gjyqësore të Byrosë Kombëtare të Hetimit, si dhe vëzhgimit të të dhënave financiare dhe vëzhgimit të telekomunikacioneve të anëtarëve të afërt të familjeve të tyre.</w:t>
      </w:r>
    </w:p>
    <w:p w14:paraId="688E1BB3" w14:textId="77777777" w:rsidR="0061449F" w:rsidRPr="0061449F" w:rsidRDefault="0061449F" w:rsidP="0061449F">
      <w:pPr>
        <w:spacing w:line="276" w:lineRule="auto"/>
        <w:jc w:val="both"/>
        <w:rPr>
          <w:rFonts w:ascii="Times New Roman" w:eastAsia="Calibri" w:hAnsi="Times New Roman" w:cs="Times New Roman"/>
          <w:b/>
          <w:sz w:val="24"/>
          <w:szCs w:val="24"/>
          <w:lang w:val="nl-NL"/>
        </w:rPr>
      </w:pPr>
      <w:r w:rsidRPr="0061449F">
        <w:rPr>
          <w:rFonts w:ascii="Times New Roman" w:eastAsia="Calibri" w:hAnsi="Times New Roman" w:cs="Times New Roman"/>
          <w:b/>
          <w:bCs/>
          <w:sz w:val="24"/>
          <w:szCs w:val="24"/>
          <w:lang w:val="nl-NL"/>
        </w:rPr>
        <w:t>Ligji nr. 111, date</w:t>
      </w:r>
      <w:r w:rsidRPr="0061449F">
        <w:rPr>
          <w:rFonts w:ascii="Times New Roman" w:eastAsia="Arial-BoldMT" w:hAnsi="Times New Roman" w:cs="Times New Roman"/>
          <w:b/>
          <w:bCs/>
          <w:sz w:val="24"/>
          <w:szCs w:val="24"/>
          <w:lang w:val="nl-NL"/>
        </w:rPr>
        <w:t xml:space="preserve">̈ </w:t>
      </w:r>
      <w:r w:rsidRPr="0061449F">
        <w:rPr>
          <w:rFonts w:ascii="Times New Roman" w:eastAsia="Calibri" w:hAnsi="Times New Roman" w:cs="Times New Roman"/>
          <w:b/>
          <w:bCs/>
          <w:sz w:val="24"/>
          <w:szCs w:val="24"/>
          <w:lang w:val="nl-NL"/>
        </w:rPr>
        <w:t>14.12-2017 “Pe</w:t>
      </w:r>
      <w:r w:rsidRPr="0061449F">
        <w:rPr>
          <w:rFonts w:ascii="Times New Roman" w:eastAsia="Arial-BoldMT" w:hAnsi="Times New Roman" w:cs="Times New Roman"/>
          <w:b/>
          <w:bCs/>
          <w:sz w:val="24"/>
          <w:szCs w:val="24"/>
          <w:lang w:val="nl-NL"/>
        </w:rPr>
        <w:t>̈</w:t>
      </w:r>
      <w:r w:rsidRPr="0061449F">
        <w:rPr>
          <w:rFonts w:ascii="Times New Roman" w:eastAsia="Calibri" w:hAnsi="Times New Roman" w:cs="Times New Roman"/>
          <w:b/>
          <w:bCs/>
          <w:sz w:val="24"/>
          <w:szCs w:val="24"/>
          <w:lang w:val="nl-NL"/>
        </w:rPr>
        <w:t>r ndihme</w:t>
      </w:r>
      <w:r w:rsidRPr="0061449F">
        <w:rPr>
          <w:rFonts w:ascii="Times New Roman" w:eastAsia="Arial-BoldMT" w:hAnsi="Times New Roman" w:cs="Times New Roman"/>
          <w:b/>
          <w:bCs/>
          <w:sz w:val="24"/>
          <w:szCs w:val="24"/>
          <w:lang w:val="nl-NL"/>
        </w:rPr>
        <w:t>̈</w:t>
      </w:r>
      <w:r w:rsidRPr="0061449F">
        <w:rPr>
          <w:rFonts w:ascii="Times New Roman" w:eastAsia="Calibri" w:hAnsi="Times New Roman" w:cs="Times New Roman"/>
          <w:b/>
          <w:bCs/>
          <w:sz w:val="24"/>
          <w:szCs w:val="24"/>
          <w:lang w:val="nl-NL"/>
        </w:rPr>
        <w:t>n juridike te</w:t>
      </w:r>
      <w:r w:rsidRPr="0061449F">
        <w:rPr>
          <w:rFonts w:ascii="Times New Roman" w:eastAsia="Arial-BoldMT" w:hAnsi="Times New Roman" w:cs="Times New Roman"/>
          <w:b/>
          <w:bCs/>
          <w:sz w:val="24"/>
          <w:szCs w:val="24"/>
          <w:lang w:val="nl-NL"/>
        </w:rPr>
        <w:t>̈ g</w:t>
      </w:r>
      <w:r w:rsidRPr="0061449F">
        <w:rPr>
          <w:rFonts w:ascii="Times New Roman" w:eastAsia="Calibri" w:hAnsi="Times New Roman" w:cs="Times New Roman"/>
          <w:b/>
          <w:bCs/>
          <w:sz w:val="24"/>
          <w:szCs w:val="24"/>
          <w:lang w:val="nl-NL"/>
        </w:rPr>
        <w:t xml:space="preserve">arantuar nga Shteti” </w:t>
      </w:r>
      <w:r w:rsidRPr="0061449F">
        <w:rPr>
          <w:rFonts w:ascii="Times New Roman" w:eastAsia="Calibri" w:hAnsi="Times New Roman" w:cs="Times New Roman"/>
          <w:sz w:val="24"/>
          <w:szCs w:val="24"/>
          <w:lang w:val="nl-NL"/>
        </w:rPr>
        <w:t>ka si qëllim të krijojë një sistem për organizimin dhe ofrimin e ndihmës juridike falas për të siguruar akses të barabartë të të gjithë individëve në sistemin e drejtësisë; të sigurojë mirorganizimin, miradministrimin dhe mirëfunksionimin e institucioneve shtetërore përgjegjëse për administrimin e ndihmës juridike; të sigurojë ofrimin e shërbimeve të ndihmës juridike në mënyrë profesionale, cilësore, efiçente dhe efektive.</w:t>
      </w:r>
    </w:p>
    <w:p w14:paraId="2EC99318" w14:textId="77777777" w:rsidR="0061449F" w:rsidRPr="0061449F" w:rsidRDefault="0061449F" w:rsidP="0061449F">
      <w:pPr>
        <w:spacing w:line="276" w:lineRule="auto"/>
        <w:contextualSpacing/>
        <w:jc w:val="both"/>
        <w:rPr>
          <w:rFonts w:ascii="Times New Roman" w:eastAsia="Calibri" w:hAnsi="Times New Roman" w:cs="Times New Roman"/>
          <w:b/>
          <w:sz w:val="24"/>
          <w:szCs w:val="24"/>
          <w:lang w:val="fr-FR"/>
        </w:rPr>
      </w:pPr>
      <w:r w:rsidRPr="0061449F">
        <w:rPr>
          <w:rFonts w:ascii="Times New Roman" w:eastAsia="Calibri" w:hAnsi="Times New Roman" w:cs="Times New Roman"/>
          <w:b/>
          <w:sz w:val="24"/>
          <w:szCs w:val="24"/>
          <w:lang w:val="fr-FR"/>
        </w:rPr>
        <w:t>Të tjera ligje me rëndësi janë:</w:t>
      </w:r>
    </w:p>
    <w:p w14:paraId="061CDD3C" w14:textId="085CF1AF" w:rsidR="0061449F" w:rsidRPr="0061449F" w:rsidRDefault="0061449F" w:rsidP="0061449F">
      <w:pPr>
        <w:numPr>
          <w:ilvl w:val="0"/>
          <w:numId w:val="13"/>
        </w:numPr>
        <w:spacing w:line="276" w:lineRule="auto"/>
        <w:contextualSpacing/>
        <w:jc w:val="both"/>
        <w:rPr>
          <w:rFonts w:ascii="Times New Roman" w:eastAsia="Calibri" w:hAnsi="Times New Roman" w:cs="Times New Roman"/>
          <w:sz w:val="24"/>
          <w:szCs w:val="24"/>
          <w:lang w:val="en-GB"/>
        </w:rPr>
      </w:pPr>
      <w:r w:rsidRPr="0061449F">
        <w:rPr>
          <w:rFonts w:ascii="Times New Roman" w:eastAsia="Calibri" w:hAnsi="Times New Roman" w:cs="Times New Roman"/>
          <w:sz w:val="24"/>
          <w:szCs w:val="24"/>
          <w:lang w:val="en-GB"/>
        </w:rPr>
        <w:t>Ligji nr. 7850, datë 29.07.1994, “Kodi Civil i Republikës së Shqipërisë”, i ndryshuar</w:t>
      </w:r>
      <w:r w:rsidR="00E316F6">
        <w:rPr>
          <w:rFonts w:ascii="Times New Roman" w:eastAsia="Calibri" w:hAnsi="Times New Roman" w:cs="Times New Roman"/>
          <w:sz w:val="24"/>
          <w:szCs w:val="24"/>
          <w:lang w:val="en-GB"/>
        </w:rPr>
        <w:t>;</w:t>
      </w:r>
    </w:p>
    <w:p w14:paraId="1C5FEE49" w14:textId="77777777" w:rsidR="0061449F" w:rsidRPr="0061449F" w:rsidRDefault="0061449F" w:rsidP="0061449F">
      <w:pPr>
        <w:numPr>
          <w:ilvl w:val="0"/>
          <w:numId w:val="13"/>
        </w:numPr>
        <w:spacing w:line="276" w:lineRule="auto"/>
        <w:contextualSpacing/>
        <w:jc w:val="both"/>
        <w:rPr>
          <w:rFonts w:ascii="Times New Roman" w:eastAsia="Calibri" w:hAnsi="Times New Roman" w:cs="Times New Roman"/>
          <w:sz w:val="24"/>
          <w:szCs w:val="24"/>
          <w:lang w:val="en-GB"/>
        </w:rPr>
      </w:pPr>
      <w:r w:rsidRPr="0061449F">
        <w:rPr>
          <w:rFonts w:ascii="Times New Roman" w:eastAsia="Calibri" w:hAnsi="Times New Roman" w:cs="Times New Roman"/>
          <w:sz w:val="24"/>
          <w:szCs w:val="24"/>
          <w:lang w:val="en-GB"/>
        </w:rPr>
        <w:t>Ligji nr. 8116, datë 29.3.1996 “Kodi i Procedurës Civile i Republikës së Shqipërisë”, i ndryshuar;</w:t>
      </w:r>
    </w:p>
    <w:p w14:paraId="274535CC" w14:textId="77777777" w:rsidR="0061449F" w:rsidRPr="0061449F" w:rsidRDefault="0061449F" w:rsidP="0061449F">
      <w:pPr>
        <w:numPr>
          <w:ilvl w:val="0"/>
          <w:numId w:val="13"/>
        </w:numPr>
        <w:spacing w:line="276" w:lineRule="auto"/>
        <w:contextualSpacing/>
        <w:jc w:val="both"/>
        <w:rPr>
          <w:rFonts w:ascii="Times New Roman" w:eastAsia="Calibri" w:hAnsi="Times New Roman" w:cs="Times New Roman"/>
          <w:sz w:val="24"/>
          <w:szCs w:val="24"/>
          <w:lang w:val="en-GB"/>
        </w:rPr>
      </w:pPr>
      <w:r w:rsidRPr="0061449F">
        <w:rPr>
          <w:rFonts w:ascii="Times New Roman" w:eastAsia="Calibri" w:hAnsi="Times New Roman" w:cs="Times New Roman"/>
          <w:sz w:val="24"/>
          <w:szCs w:val="24"/>
          <w:lang w:val="en-GB"/>
        </w:rPr>
        <w:t>Ligji nr. 7895, datë 27.01.1995, “Kodi Penal i Republikës së Shqipërisë”, i ndryshuar</w:t>
      </w:r>
    </w:p>
    <w:p w14:paraId="252D8D55" w14:textId="77777777" w:rsidR="0061449F" w:rsidRPr="0061449F" w:rsidRDefault="0061449F" w:rsidP="0061449F">
      <w:pPr>
        <w:numPr>
          <w:ilvl w:val="0"/>
          <w:numId w:val="13"/>
        </w:numPr>
        <w:spacing w:line="276" w:lineRule="auto"/>
        <w:contextualSpacing/>
        <w:jc w:val="both"/>
        <w:rPr>
          <w:rFonts w:ascii="Times New Roman" w:eastAsia="Calibri" w:hAnsi="Times New Roman" w:cs="Times New Roman"/>
          <w:sz w:val="24"/>
          <w:szCs w:val="24"/>
          <w:lang w:val="en-GB"/>
        </w:rPr>
      </w:pPr>
      <w:r w:rsidRPr="0061449F">
        <w:rPr>
          <w:rFonts w:ascii="Times New Roman" w:eastAsia="Calibri" w:hAnsi="Times New Roman" w:cs="Times New Roman"/>
          <w:sz w:val="24"/>
          <w:szCs w:val="24"/>
          <w:lang w:val="en-GB"/>
        </w:rPr>
        <w:t>Ligji nr.7905, datë 21.3.1995 “Kodi i Procedurës Penale i Republikës së Shqipërisë”, i ndryshuar;</w:t>
      </w:r>
    </w:p>
    <w:p w14:paraId="5F93AE86" w14:textId="4B89FBCB" w:rsidR="0061449F" w:rsidRPr="0061449F" w:rsidRDefault="0061449F" w:rsidP="0061449F">
      <w:pPr>
        <w:numPr>
          <w:ilvl w:val="0"/>
          <w:numId w:val="13"/>
        </w:numPr>
        <w:spacing w:line="276" w:lineRule="auto"/>
        <w:contextualSpacing/>
        <w:jc w:val="both"/>
        <w:rPr>
          <w:rFonts w:ascii="Times New Roman" w:eastAsia="Calibri" w:hAnsi="Times New Roman" w:cs="Times New Roman"/>
          <w:sz w:val="24"/>
          <w:szCs w:val="24"/>
          <w:lang w:val="en-GB"/>
        </w:rPr>
      </w:pPr>
      <w:r w:rsidRPr="0061449F">
        <w:rPr>
          <w:rFonts w:ascii="Times New Roman" w:eastAsia="Calibri" w:hAnsi="Times New Roman" w:cs="Times New Roman"/>
          <w:sz w:val="24"/>
          <w:szCs w:val="24"/>
          <w:lang w:val="en-GB"/>
        </w:rPr>
        <w:t>Ligji nr. 9062, datë 08.05.2003, “Kodi i Familjes”, i ndryshuar</w:t>
      </w:r>
      <w:r w:rsidR="00E316F6">
        <w:rPr>
          <w:rFonts w:ascii="Times New Roman" w:eastAsia="Calibri" w:hAnsi="Times New Roman" w:cs="Times New Roman"/>
          <w:sz w:val="24"/>
          <w:szCs w:val="24"/>
          <w:lang w:val="en-GB"/>
        </w:rPr>
        <w:t>;</w:t>
      </w:r>
    </w:p>
    <w:p w14:paraId="3F9B30CF" w14:textId="77777777" w:rsidR="0061449F" w:rsidRPr="0061449F" w:rsidRDefault="0061449F" w:rsidP="0061449F">
      <w:pPr>
        <w:numPr>
          <w:ilvl w:val="0"/>
          <w:numId w:val="13"/>
        </w:numPr>
        <w:spacing w:line="276" w:lineRule="auto"/>
        <w:contextualSpacing/>
        <w:jc w:val="both"/>
        <w:rPr>
          <w:rFonts w:ascii="Times New Roman" w:eastAsia="Calibri" w:hAnsi="Times New Roman" w:cs="Times New Roman"/>
          <w:sz w:val="24"/>
          <w:szCs w:val="24"/>
          <w:lang w:val="en-GB"/>
        </w:rPr>
      </w:pPr>
      <w:r w:rsidRPr="0061449F">
        <w:rPr>
          <w:rFonts w:ascii="Times New Roman" w:eastAsia="Calibri" w:hAnsi="Times New Roman" w:cs="Times New Roman"/>
          <w:sz w:val="24"/>
          <w:szCs w:val="24"/>
          <w:lang w:val="en-GB"/>
        </w:rPr>
        <w:t>Ligji nr. 7961, datë 12.07.1995, “Kodi i Punës i Republikës së Shqipërisë”, i ndryshuar</w:t>
      </w:r>
    </w:p>
    <w:p w14:paraId="3FAC3EC7" w14:textId="76AC501A"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en-GB"/>
        </w:rPr>
      </w:pPr>
      <w:r w:rsidRPr="0061449F">
        <w:rPr>
          <w:rFonts w:ascii="Times New Roman" w:eastAsia="Calibri" w:hAnsi="Times New Roman" w:cs="Times New Roman"/>
          <w:sz w:val="24"/>
          <w:szCs w:val="24"/>
          <w:lang w:val="en-GB"/>
        </w:rPr>
        <w:t>Ligji nr. 44/2015 “Kodi i Procedurave Administrative i Republikës së Shqipërisë”</w:t>
      </w:r>
      <w:r w:rsidR="00E316F6">
        <w:rPr>
          <w:rFonts w:ascii="Times New Roman" w:eastAsia="Calibri" w:hAnsi="Times New Roman" w:cs="Times New Roman"/>
          <w:sz w:val="24"/>
          <w:szCs w:val="24"/>
          <w:lang w:val="en-GB"/>
        </w:rPr>
        <w:t>,</w:t>
      </w:r>
      <w:r w:rsidRPr="0061449F">
        <w:rPr>
          <w:rFonts w:ascii="Times New Roman" w:eastAsia="Calibri" w:hAnsi="Times New Roman" w:cs="Times New Roman"/>
          <w:sz w:val="24"/>
          <w:szCs w:val="24"/>
          <w:lang w:val="en-GB"/>
        </w:rPr>
        <w:t xml:space="preserve"> i ndryshuar;</w:t>
      </w:r>
    </w:p>
    <w:p w14:paraId="4DF1405E" w14:textId="078D6873"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en-GB"/>
        </w:rPr>
      </w:pPr>
      <w:r w:rsidRPr="0061449F">
        <w:rPr>
          <w:rFonts w:ascii="Times New Roman" w:eastAsia="Calibri" w:hAnsi="Times New Roman" w:cs="Times New Roman"/>
          <w:sz w:val="24"/>
          <w:szCs w:val="24"/>
          <w:lang w:val="en-GB"/>
        </w:rPr>
        <w:t>Ligji nr. 37/2017, “Kodi i Drejtësisë Penale për të mitur”</w:t>
      </w:r>
      <w:r w:rsidR="00E316F6">
        <w:rPr>
          <w:rFonts w:ascii="Times New Roman" w:eastAsia="Calibri" w:hAnsi="Times New Roman" w:cs="Times New Roman"/>
          <w:sz w:val="24"/>
          <w:szCs w:val="24"/>
          <w:lang w:val="en-GB"/>
        </w:rPr>
        <w:t>;</w:t>
      </w:r>
    </w:p>
    <w:p w14:paraId="3B3F3B74" w14:textId="7777777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lastRenderedPageBreak/>
        <w:t>Ligji nr. 9000, datë 30.01.2003, “Për organizimin dhe funksionimin e Këshillit të Ministrave”;</w:t>
      </w:r>
    </w:p>
    <w:p w14:paraId="03D89ACD" w14:textId="7777777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en-GB"/>
        </w:rPr>
      </w:pPr>
      <w:r w:rsidRPr="0061449F">
        <w:rPr>
          <w:rFonts w:ascii="Times New Roman" w:eastAsia="Calibri" w:hAnsi="Times New Roman" w:cs="Times New Roman"/>
          <w:sz w:val="24"/>
          <w:szCs w:val="24"/>
          <w:lang w:val="en-GB"/>
        </w:rPr>
        <w:t>Ligji nr. 90/2012, “Për organizimin dhe funksionimin e administratës shtetërore”, i ndryshuar;</w:t>
      </w:r>
    </w:p>
    <w:p w14:paraId="27B74CCB" w14:textId="56ECC51D"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en-GB"/>
        </w:rPr>
      </w:pPr>
      <w:r w:rsidRPr="0061449F">
        <w:rPr>
          <w:rFonts w:ascii="Times New Roman" w:eastAsia="Calibri" w:hAnsi="Times New Roman" w:cs="Times New Roman"/>
          <w:sz w:val="24"/>
          <w:szCs w:val="24"/>
          <w:lang w:val="en-GB"/>
        </w:rPr>
        <w:t>Ligji nr.8678 datë 14.5.2001 “Për organizimin dhe funksionimin e Ministrisë së Drejtësisë”</w:t>
      </w:r>
      <w:r w:rsidR="00E316F6">
        <w:rPr>
          <w:rFonts w:ascii="Times New Roman" w:eastAsia="Calibri" w:hAnsi="Times New Roman" w:cs="Times New Roman"/>
          <w:sz w:val="24"/>
          <w:szCs w:val="24"/>
          <w:lang w:val="en-GB"/>
        </w:rPr>
        <w:t>,</w:t>
      </w:r>
      <w:r w:rsidRPr="0061449F">
        <w:rPr>
          <w:rFonts w:ascii="Times New Roman" w:eastAsia="Calibri" w:hAnsi="Times New Roman" w:cs="Times New Roman"/>
          <w:sz w:val="24"/>
          <w:szCs w:val="24"/>
          <w:lang w:val="en-GB"/>
        </w:rPr>
        <w:t xml:space="preserve"> i ndryshuar;</w:t>
      </w:r>
    </w:p>
    <w:p w14:paraId="3E09C291" w14:textId="7777777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Ligj nr. 146/2014 datë30.10.2014 “Për njoftimin dhe konsultimin publik”;</w:t>
      </w:r>
    </w:p>
    <w:p w14:paraId="1779FEB5" w14:textId="5452D25C"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Ligji nr. 8454, datë 4.2.1999 “Për Avokatin e Popullit”</w:t>
      </w:r>
      <w:r w:rsidR="00E316F6">
        <w:rPr>
          <w:rFonts w:ascii="Times New Roman" w:eastAsia="Calibri" w:hAnsi="Times New Roman" w:cs="Times New Roman"/>
          <w:sz w:val="24"/>
          <w:szCs w:val="24"/>
        </w:rPr>
        <w:t>,</w:t>
      </w:r>
      <w:r w:rsidRPr="0061449F">
        <w:rPr>
          <w:rFonts w:ascii="Times New Roman" w:eastAsia="Calibri" w:hAnsi="Times New Roman" w:cs="Times New Roman"/>
          <w:sz w:val="24"/>
          <w:szCs w:val="24"/>
        </w:rPr>
        <w:t xml:space="preserve"> i ndryshuar;</w:t>
      </w:r>
    </w:p>
    <w:p w14:paraId="3E2D2AEA" w14:textId="70B08D61"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Ligji nr. 10 018, datë 13.11.2008 “Për Avokaturën e Shtetit”</w:t>
      </w:r>
      <w:r w:rsidR="00E316F6">
        <w:rPr>
          <w:rFonts w:ascii="Times New Roman" w:eastAsia="Calibri" w:hAnsi="Times New Roman" w:cs="Times New Roman"/>
          <w:sz w:val="24"/>
          <w:szCs w:val="24"/>
        </w:rPr>
        <w:t>,</w:t>
      </w:r>
      <w:r w:rsidRPr="0061449F">
        <w:rPr>
          <w:rFonts w:ascii="Times New Roman" w:eastAsia="Calibri" w:hAnsi="Times New Roman" w:cs="Times New Roman"/>
          <w:sz w:val="24"/>
          <w:szCs w:val="24"/>
        </w:rPr>
        <w:t xml:space="preserve"> i ndryshuar;</w:t>
      </w:r>
    </w:p>
    <w:p w14:paraId="65D41F95" w14:textId="7777777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Ligji nr.9049, datë 10.4.2003 “Për deklarimin dhe kontrollin e pasurive, të detyrimeve financiare të të zgjedhurve dhe të disa nëpunësve publikë”, i ndryshuar;</w:t>
      </w:r>
    </w:p>
    <w:p w14:paraId="15CC8966" w14:textId="402CB50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Ligji nr. 97/2013 datë 4.3.2013 “Për mediat audiovizive në Republikën e Shqipërisë”</w:t>
      </w:r>
      <w:r w:rsidR="00E316F6">
        <w:rPr>
          <w:rFonts w:ascii="Times New Roman" w:eastAsia="Calibri" w:hAnsi="Times New Roman" w:cs="Times New Roman"/>
          <w:sz w:val="24"/>
          <w:szCs w:val="24"/>
        </w:rPr>
        <w:t>,</w:t>
      </w:r>
      <w:r w:rsidRPr="0061449F">
        <w:rPr>
          <w:rFonts w:ascii="Times New Roman" w:eastAsia="Calibri" w:hAnsi="Times New Roman" w:cs="Times New Roman"/>
          <w:sz w:val="24"/>
          <w:szCs w:val="24"/>
        </w:rPr>
        <w:t xml:space="preserve"> i ndryshuar;</w:t>
      </w:r>
    </w:p>
    <w:p w14:paraId="62BFC19B" w14:textId="7777777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Ligji nr. 9887, datë 10.3.2008 “Për mbrojtjen e të dhënave personale” i ndryshuar;</w:t>
      </w:r>
    </w:p>
    <w:p w14:paraId="71732FF2" w14:textId="7777777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Ligji nr. 119 datë18.9.2014 “Për të drejtën e informimit”; </w:t>
      </w:r>
    </w:p>
    <w:p w14:paraId="6B03528B" w14:textId="7777777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Ligji nr. 55/2018 datë 23.7.2018 “Për profesionin e avokatit në Republikën e Shqipërisë”;</w:t>
      </w:r>
    </w:p>
    <w:p w14:paraId="7982939B" w14:textId="46737DA5"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Ligji nr.10385 datë 24.2.2011 </w:t>
      </w:r>
      <w:r w:rsidR="00E316F6">
        <w:rPr>
          <w:rFonts w:ascii="Times New Roman" w:eastAsia="Calibri" w:hAnsi="Times New Roman" w:cs="Times New Roman"/>
          <w:sz w:val="24"/>
          <w:szCs w:val="24"/>
        </w:rPr>
        <w:t>“</w:t>
      </w:r>
      <w:r w:rsidRPr="0061449F">
        <w:rPr>
          <w:rFonts w:ascii="Times New Roman" w:eastAsia="Calibri" w:hAnsi="Times New Roman" w:cs="Times New Roman"/>
          <w:sz w:val="24"/>
          <w:szCs w:val="24"/>
        </w:rPr>
        <w:t>Për ndërmjetësimin në zgjidhjen e mosmarrëveshjeve</w:t>
      </w:r>
      <w:r w:rsidR="00E316F6">
        <w:rPr>
          <w:rFonts w:ascii="Times New Roman" w:eastAsia="Calibri" w:hAnsi="Times New Roman" w:cs="Times New Roman"/>
          <w:sz w:val="24"/>
          <w:szCs w:val="24"/>
        </w:rPr>
        <w:t>”,</w:t>
      </w:r>
      <w:r w:rsidRPr="0061449F">
        <w:rPr>
          <w:rFonts w:ascii="Times New Roman" w:eastAsia="Calibri" w:hAnsi="Times New Roman" w:cs="Times New Roman"/>
          <w:sz w:val="24"/>
          <w:szCs w:val="24"/>
        </w:rPr>
        <w:t xml:space="preserve"> i ndryshuar;</w:t>
      </w:r>
    </w:p>
    <w:p w14:paraId="21659DEB" w14:textId="7777777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Ligji nr. 8/2023 “Për organizimin dhe funksionimin e shërbimit përmbarimor gjyqësor shtetëror”;</w:t>
      </w:r>
    </w:p>
    <w:p w14:paraId="5267F68B" w14:textId="57A80758"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Ligji nr. 10 031datë 11.12.2008 “Për shërbimin përmbarimor gjyqësor privat”</w:t>
      </w:r>
      <w:r w:rsidR="00E316F6">
        <w:rPr>
          <w:rFonts w:ascii="Times New Roman" w:eastAsia="Calibri" w:hAnsi="Times New Roman" w:cs="Times New Roman"/>
          <w:sz w:val="24"/>
          <w:szCs w:val="24"/>
        </w:rPr>
        <w:t>,</w:t>
      </w:r>
      <w:r w:rsidRPr="0061449F">
        <w:rPr>
          <w:rFonts w:ascii="Times New Roman" w:eastAsia="Calibri" w:hAnsi="Times New Roman" w:cs="Times New Roman"/>
          <w:sz w:val="24"/>
          <w:szCs w:val="24"/>
        </w:rPr>
        <w:t xml:space="preserve"> i ndryshuar;</w:t>
      </w:r>
    </w:p>
    <w:p w14:paraId="796A18D8" w14:textId="642EA41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 110/2018, “Për noterinë”, i ndryshuar</w:t>
      </w:r>
      <w:r w:rsidR="00E316F6">
        <w:rPr>
          <w:rFonts w:ascii="Times New Roman" w:eastAsia="Calibri" w:hAnsi="Times New Roman" w:cs="Times New Roman"/>
          <w:sz w:val="24"/>
          <w:szCs w:val="24"/>
          <w:lang w:val="it-IT"/>
        </w:rPr>
        <w:t>;</w:t>
      </w:r>
    </w:p>
    <w:p w14:paraId="76481B50" w14:textId="7777777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 78/2020 “Për organizimin dhe funksionimin e shërbimit të provës”;</w:t>
      </w:r>
    </w:p>
    <w:p w14:paraId="474CCE36" w14:textId="7777777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Ligji nr. 79/2020 “Për ekzekutimin e vendimeve penale”; </w:t>
      </w:r>
    </w:p>
    <w:p w14:paraId="688FDB16" w14:textId="7777777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nr.8328, datë 16.4.1998 “Për të drejtat dhe trajtimin e të dënuarve me burgim dhe të paraburgosurve”;</w:t>
      </w:r>
    </w:p>
    <w:p w14:paraId="71D4C34A" w14:textId="7777777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 9614, datë 21.9.2006 “Për certifikatat elektronike të gjendjes gjyqësore”;</w:t>
      </w:r>
    </w:p>
    <w:p w14:paraId="0A54E818" w14:textId="7777777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nr.10 093, datë 9.3.2009 “Për organizimin dhe funksionimin e Agjencisë për Mbështetjen e Shoqërisë Civile”;</w:t>
      </w:r>
    </w:p>
    <w:p w14:paraId="76589E15" w14:textId="6C5A007C"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  69 datë 21.6.2012 “Për sistemin arsimor parauniversitar në Republikën e Shqipërisë”</w:t>
      </w:r>
      <w:r w:rsidR="00E316F6">
        <w:rPr>
          <w:rFonts w:ascii="Times New Roman" w:eastAsia="Calibri" w:hAnsi="Times New Roman" w:cs="Times New Roman"/>
          <w:sz w:val="24"/>
          <w:szCs w:val="24"/>
          <w:lang w:val="it-IT"/>
        </w:rPr>
        <w:t>,</w:t>
      </w:r>
      <w:r w:rsidRPr="0061449F">
        <w:rPr>
          <w:rFonts w:ascii="Times New Roman" w:eastAsia="Calibri" w:hAnsi="Times New Roman" w:cs="Times New Roman"/>
          <w:sz w:val="24"/>
          <w:szCs w:val="24"/>
          <w:lang w:val="it-IT"/>
        </w:rPr>
        <w:t xml:space="preserve"> i ndryshuar;</w:t>
      </w:r>
    </w:p>
    <w:p w14:paraId="40B582C4" w14:textId="53D19818"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 9917, datë 19.05.2008, “Për parandalimin e pastrimit të parave dhe financimit të terrorizmit”, i ndryshuar</w:t>
      </w:r>
      <w:r w:rsidR="00E316F6">
        <w:rPr>
          <w:rFonts w:ascii="Times New Roman" w:eastAsia="Calibri" w:hAnsi="Times New Roman" w:cs="Times New Roman"/>
          <w:sz w:val="24"/>
          <w:szCs w:val="24"/>
          <w:lang w:val="it-IT"/>
        </w:rPr>
        <w:t>;</w:t>
      </w:r>
    </w:p>
    <w:p w14:paraId="0E666BDA" w14:textId="7777777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 9367, datë 07.04.2005, “Për parandalimin e konfliktit të interesave në ushtrimin e funksioneve publike”, i ndryshuar;</w:t>
      </w:r>
    </w:p>
    <w:p w14:paraId="0A444B16" w14:textId="7777777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 25/2019, “Për organizimin dhe funksionimin e Policisë Gjyqësore”, i ndryshuar;</w:t>
      </w:r>
    </w:p>
    <w:p w14:paraId="79014A01" w14:textId="2AC4C516"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 98/2017, “Për tarifat gjyqësore në Republikën e Shqipërisë”, i ndryshuar</w:t>
      </w:r>
      <w:r w:rsidR="00E316F6">
        <w:rPr>
          <w:rFonts w:ascii="Times New Roman" w:eastAsia="Calibri" w:hAnsi="Times New Roman" w:cs="Times New Roman"/>
          <w:sz w:val="24"/>
          <w:szCs w:val="24"/>
          <w:lang w:val="it-IT"/>
        </w:rPr>
        <w:t>;</w:t>
      </w:r>
    </w:p>
    <w:p w14:paraId="4180FF5A" w14:textId="59C993D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 60, datë 02.06.2016, “Për sinjalizimin dhe mbrojtjen e sinjalizuesve”, i ndryshuar</w:t>
      </w:r>
      <w:r w:rsidR="00E316F6">
        <w:rPr>
          <w:rFonts w:ascii="Times New Roman" w:eastAsia="Calibri" w:hAnsi="Times New Roman" w:cs="Times New Roman"/>
          <w:sz w:val="24"/>
          <w:szCs w:val="24"/>
          <w:lang w:val="it-IT"/>
        </w:rPr>
        <w:t>;</w:t>
      </w:r>
    </w:p>
    <w:p w14:paraId="0CD0E442" w14:textId="7777777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 15 datë 16.2.2017 “Për arsimin dhe formimin profesional në Republikën e Shqipërisë”;</w:t>
      </w:r>
    </w:p>
    <w:p w14:paraId="44D1732C" w14:textId="7777777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 80 datë 22.7.2015 “Për arsimin e lartë dhe kërkimin shkencor në institucionet e arsimit të lartë në Republikën e Shqipërisë”;</w:t>
      </w:r>
    </w:p>
    <w:p w14:paraId="323C257E" w14:textId="25397773"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 10 221 datë 4.2.2010 “Për mbrojtjen nga diskriminimi”</w:t>
      </w:r>
      <w:r w:rsidR="00E316F6">
        <w:rPr>
          <w:rFonts w:ascii="Times New Roman" w:eastAsia="Calibri" w:hAnsi="Times New Roman" w:cs="Times New Roman"/>
          <w:sz w:val="24"/>
          <w:szCs w:val="24"/>
          <w:lang w:val="it-IT"/>
        </w:rPr>
        <w:t>,</w:t>
      </w:r>
      <w:r w:rsidRPr="0061449F">
        <w:rPr>
          <w:rFonts w:ascii="Times New Roman" w:eastAsia="Calibri" w:hAnsi="Times New Roman" w:cs="Times New Roman"/>
          <w:sz w:val="24"/>
          <w:szCs w:val="24"/>
          <w:lang w:val="it-IT"/>
        </w:rPr>
        <w:t xml:space="preserve"> i ndryshuar;</w:t>
      </w:r>
    </w:p>
    <w:p w14:paraId="487729B1" w14:textId="28A8302D"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nr.139/2015, datë 17.12.2015 “Për vetëqeverisjen vendore”</w:t>
      </w:r>
      <w:r w:rsidR="00E316F6">
        <w:rPr>
          <w:rFonts w:ascii="Times New Roman" w:eastAsia="Calibri" w:hAnsi="Times New Roman" w:cs="Times New Roman"/>
          <w:sz w:val="24"/>
          <w:szCs w:val="24"/>
          <w:lang w:val="it-IT"/>
        </w:rPr>
        <w:t>,</w:t>
      </w:r>
      <w:r w:rsidRPr="0061449F">
        <w:rPr>
          <w:rFonts w:ascii="Times New Roman" w:eastAsia="Calibri" w:hAnsi="Times New Roman" w:cs="Times New Roman"/>
          <w:sz w:val="24"/>
          <w:szCs w:val="24"/>
          <w:lang w:val="it-IT"/>
        </w:rPr>
        <w:t xml:space="preserve"> i ndryshuar;</w:t>
      </w:r>
    </w:p>
    <w:p w14:paraId="1E8739C1" w14:textId="77777777" w:rsidR="0061449F" w:rsidRPr="0061449F" w:rsidRDefault="0061449F" w:rsidP="0061449F">
      <w:pPr>
        <w:numPr>
          <w:ilvl w:val="0"/>
          <w:numId w:val="12"/>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Ligji nr. 152/2013 “Për nëpunësin civil”, i ndryshuar.</w:t>
      </w:r>
    </w:p>
    <w:p w14:paraId="44BF5B68" w14:textId="77777777" w:rsidR="0061449F" w:rsidRPr="0061449F" w:rsidRDefault="0061449F" w:rsidP="0061449F">
      <w:pPr>
        <w:spacing w:line="276" w:lineRule="auto"/>
        <w:contextualSpacing/>
        <w:jc w:val="both"/>
        <w:rPr>
          <w:rFonts w:ascii="Times New Roman" w:eastAsia="Calibri" w:hAnsi="Times New Roman" w:cs="Times New Roman"/>
          <w:sz w:val="24"/>
          <w:szCs w:val="24"/>
          <w:lang w:val="it-IT"/>
        </w:rPr>
      </w:pPr>
    </w:p>
    <w:p w14:paraId="7C228AC1" w14:textId="77777777" w:rsidR="0061449F" w:rsidRPr="0061449F" w:rsidRDefault="0061449F" w:rsidP="0061449F">
      <w:pPr>
        <w:spacing w:line="276" w:lineRule="auto"/>
        <w:contextualSpacing/>
        <w:jc w:val="both"/>
        <w:rPr>
          <w:rFonts w:ascii="Times New Roman" w:eastAsia="Calibri" w:hAnsi="Times New Roman" w:cs="Times New Roman"/>
          <w:b/>
          <w:sz w:val="24"/>
          <w:szCs w:val="24"/>
          <w:lang w:val="fr-FR"/>
        </w:rPr>
      </w:pPr>
      <w:r w:rsidRPr="0061449F">
        <w:rPr>
          <w:rFonts w:ascii="Times New Roman" w:eastAsia="Calibri" w:hAnsi="Times New Roman" w:cs="Times New Roman"/>
          <w:b/>
          <w:sz w:val="24"/>
          <w:szCs w:val="24"/>
          <w:lang w:val="fr-FR"/>
        </w:rPr>
        <w:t>Të tjera akte nënligjore me rëndësi janë:</w:t>
      </w:r>
    </w:p>
    <w:p w14:paraId="5432167B" w14:textId="77777777" w:rsidR="0061449F" w:rsidRPr="0061449F" w:rsidRDefault="0061449F" w:rsidP="0061449F">
      <w:pPr>
        <w:spacing w:line="276" w:lineRule="auto"/>
        <w:ind w:left="720"/>
        <w:contextualSpacing/>
        <w:jc w:val="both"/>
        <w:rPr>
          <w:rFonts w:ascii="Times New Roman" w:eastAsia="Calibri" w:hAnsi="Times New Roman" w:cs="Times New Roman"/>
          <w:sz w:val="24"/>
          <w:szCs w:val="24"/>
          <w:lang w:val="fr-FR"/>
        </w:rPr>
      </w:pPr>
    </w:p>
    <w:p w14:paraId="20955D01"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Urdhri nr.20 i Kryeministrit të Republikës së Shqipërisë datë 31.01.2024 “Për ngritjen e Grupit Ndërinstitucional të Punës “Për hartimin e Strategjisë Ndërsektoriale të Drejtësisë 2024-2030, të Planit të Veprimit dhe të Pasaportës së Treguesve”;</w:t>
      </w:r>
    </w:p>
    <w:p w14:paraId="1D1DAD8E"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Urdhri i Kryeministrit të Republikës së Shqipërisë nr. 90 datë 1.8.2023 “Për marrjen e masave për zbatimin e qasjes së gjerë sektoriale/ndërsektoriale, si dhe ngritjen dhe riorganizimin e mekanizmit sektorial/ndërsektorial të integruar”;</w:t>
      </w:r>
    </w:p>
    <w:p w14:paraId="1697F149"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Programi Qeverisës i Këshillit të Ministrave 2021-2025; </w:t>
      </w:r>
    </w:p>
    <w:p w14:paraId="5E10490C"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Vendimi i Këshillit të Ministrave nr.88, datë 22.02.2023 “Për miratimin e Strategjisë Kombëtare për Zhvillim dhe Integrim Evropian 2022-2030; </w:t>
      </w:r>
    </w:p>
    <w:p w14:paraId="31CF2ECC"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Vendimi i Këshillit të Ministrave nr. 606, datë 20.10.2021, i Këshillit të Ministrave “Për përcaktimin e fushës së përgjegjësisë shtetërore të Ministrisë së Drejtësisë”, i ndryshuar</w:t>
      </w:r>
    </w:p>
    <w:p w14:paraId="74430EFD"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Dokumenti i Politikave “Strategjia Ndërsektoriale e Drejtësisë, Plani i Veprimit (PV) dhe Pasaporta e Treguesve - 2024 – 2030”;</w:t>
      </w:r>
    </w:p>
    <w:p w14:paraId="4BA2F9AB"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Vendimi i Këshillit të Ministrave nr.642, datë 29.10.2021 “Për krijimin, organizimin dhe funksionimin e Agjencisë Shtetërore të Programimit Strategjik dhe Koordinimit të Ndihmës, i ndryshuar”;</w:t>
      </w:r>
    </w:p>
    <w:p w14:paraId="4650F567"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Vendimi i Këshillit të Ministrave nr. 736, datë 13.12.2023 “Për miratimin e Udhërrëfyesit për Shtetin e së Drejtës”;</w:t>
      </w:r>
    </w:p>
    <w:p w14:paraId="2AE359EB"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 xml:space="preserve">Vendimi </w:t>
      </w:r>
      <w:r w:rsidRPr="0061449F">
        <w:rPr>
          <w:rFonts w:ascii="Times New Roman" w:eastAsia="Calibri" w:hAnsi="Times New Roman" w:cs="Times New Roman"/>
          <w:sz w:val="24"/>
          <w:szCs w:val="24"/>
          <w:lang w:val="it-IT"/>
        </w:rPr>
        <w:t xml:space="preserve">i Këshillit të Ministrave </w:t>
      </w:r>
      <w:r w:rsidRPr="0061449F">
        <w:rPr>
          <w:rFonts w:ascii="Times New Roman" w:eastAsia="Calibri" w:hAnsi="Times New Roman" w:cs="Times New Roman"/>
          <w:sz w:val="24"/>
          <w:szCs w:val="24"/>
          <w:lang w:val="fr-FR"/>
        </w:rPr>
        <w:t xml:space="preserve">nr. 16, datë 11.1.2024 “Për miratimin e Planit Kombëtar për Integrimin Evropian 2024–2026”; </w:t>
      </w:r>
    </w:p>
    <w:p w14:paraId="6EFD5C9E"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 xml:space="preserve">Vendimi </w:t>
      </w:r>
      <w:r w:rsidRPr="0061449F">
        <w:rPr>
          <w:rFonts w:ascii="Times New Roman" w:eastAsia="Calibri" w:hAnsi="Times New Roman" w:cs="Times New Roman"/>
          <w:sz w:val="24"/>
          <w:szCs w:val="24"/>
          <w:lang w:val="it-IT"/>
        </w:rPr>
        <w:t xml:space="preserve">i Këshillit të Ministrave </w:t>
      </w:r>
      <w:r w:rsidRPr="0061449F">
        <w:rPr>
          <w:rFonts w:ascii="Times New Roman" w:eastAsia="Calibri" w:hAnsi="Times New Roman" w:cs="Times New Roman"/>
          <w:sz w:val="24"/>
          <w:szCs w:val="24"/>
          <w:lang w:val="fr-FR"/>
        </w:rPr>
        <w:t>nr.290 datë 11.4.2020 “Për krijimin e bazës së të dhënave shtetërore të sistemit informatik të planifikimit të integruar (SIPI/IPSIS) i ndryshuar;</w:t>
      </w:r>
    </w:p>
    <w:p w14:paraId="08D707D9" w14:textId="77777777" w:rsidR="0061449F" w:rsidRPr="0061449F" w:rsidRDefault="0061449F" w:rsidP="0061449F">
      <w:pPr>
        <w:numPr>
          <w:ilvl w:val="0"/>
          <w:numId w:val="11"/>
        </w:numPr>
        <w:spacing w:line="276" w:lineRule="auto"/>
        <w:contextualSpacing/>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 xml:space="preserve">Vendimi </w:t>
      </w:r>
      <w:r w:rsidRPr="0061449F">
        <w:rPr>
          <w:rFonts w:ascii="Times New Roman" w:eastAsia="Calibri" w:hAnsi="Times New Roman" w:cs="Times New Roman"/>
          <w:sz w:val="24"/>
          <w:szCs w:val="24"/>
          <w:lang w:val="it-IT"/>
        </w:rPr>
        <w:t xml:space="preserve">i Këshillit të Ministrave </w:t>
      </w:r>
      <w:r w:rsidRPr="0061449F">
        <w:rPr>
          <w:rFonts w:ascii="Times New Roman" w:eastAsia="Calibri" w:hAnsi="Times New Roman" w:cs="Times New Roman"/>
          <w:sz w:val="24"/>
          <w:szCs w:val="24"/>
          <w:lang w:val="fr-FR"/>
        </w:rPr>
        <w:t>nr.138, datë12.3.2014 i Këshillit të Ministrave “Për rregullat e organizimit e të funksionimit të Shkollës Shqiptare të Administratës Publike, trajnimin e nëpunësve civilë, si dhe të çdo individi tjetër jashtë shërbimit civil”, i ndryshuar.</w:t>
      </w:r>
    </w:p>
    <w:p w14:paraId="3C54B96B" w14:textId="77777777" w:rsidR="0061449F" w:rsidRPr="0061449F" w:rsidRDefault="0061449F" w:rsidP="0061449F">
      <w:pPr>
        <w:spacing w:before="100" w:beforeAutospacing="1" w:after="100" w:afterAutospacing="1" w:line="276" w:lineRule="auto"/>
        <w:jc w:val="both"/>
        <w:textAlignment w:val="baseline"/>
        <w:rPr>
          <w:rFonts w:ascii="Times New Roman" w:eastAsia="Times New Roman" w:hAnsi="Times New Roman" w:cs="Times New Roman"/>
          <w:b/>
          <w:sz w:val="24"/>
          <w:szCs w:val="24"/>
        </w:rPr>
      </w:pPr>
      <w:r w:rsidRPr="0061449F">
        <w:rPr>
          <w:rFonts w:ascii="Times New Roman" w:eastAsia="Times New Roman" w:hAnsi="Times New Roman" w:cs="Times New Roman"/>
          <w:b/>
          <w:sz w:val="24"/>
          <w:szCs w:val="24"/>
        </w:rPr>
        <w:t>2.3 Lidhja e “SND 2024–2030” me dokumentet strategjike:</w:t>
      </w:r>
    </w:p>
    <w:p w14:paraId="195A1072" w14:textId="77777777" w:rsidR="0061449F" w:rsidRPr="0061449F" w:rsidRDefault="0061449F" w:rsidP="0061449F">
      <w:pPr>
        <w:spacing w:before="100" w:beforeAutospacing="1" w:after="100" w:afterAutospacing="1" w:line="276" w:lineRule="auto"/>
        <w:jc w:val="both"/>
        <w:textAlignment w:val="baseline"/>
        <w:rPr>
          <w:rFonts w:ascii="Times New Roman" w:eastAsia="Times New Roman" w:hAnsi="Times New Roman" w:cs="Times New Roman"/>
          <w:b/>
          <w:sz w:val="24"/>
          <w:szCs w:val="24"/>
        </w:rPr>
      </w:pPr>
      <w:r w:rsidRPr="0061449F">
        <w:rPr>
          <w:rFonts w:ascii="Times New Roman" w:eastAsia="Times New Roman" w:hAnsi="Times New Roman" w:cs="Times New Roman"/>
          <w:b/>
          <w:sz w:val="24"/>
          <w:szCs w:val="24"/>
        </w:rPr>
        <w:t xml:space="preserve">2.3.1. </w:t>
      </w:r>
      <w:r w:rsidRPr="0061449F">
        <w:rPr>
          <w:rFonts w:ascii="Times New Roman" w:eastAsia="Times New Roman" w:hAnsi="Times New Roman" w:cs="Times New Roman"/>
          <w:b/>
          <w:sz w:val="24"/>
          <w:szCs w:val="24"/>
          <w:lang w:val="sq-AL"/>
        </w:rPr>
        <w:t xml:space="preserve">Lidhja e SND 2024-2030 me </w:t>
      </w:r>
      <w:r w:rsidRPr="0061449F">
        <w:rPr>
          <w:rFonts w:ascii="Times New Roman" w:eastAsia="Times New Roman" w:hAnsi="Times New Roman" w:cs="Times New Roman"/>
          <w:b/>
          <w:sz w:val="24"/>
          <w:szCs w:val="24"/>
        </w:rPr>
        <w:t>Strategjinë Kombëtare për Zhvillim dhe Integrim Evropian 2022-2030:</w:t>
      </w:r>
    </w:p>
    <w:p w14:paraId="2F359F56" w14:textId="77777777" w:rsidR="0061449F" w:rsidRPr="0061449F" w:rsidRDefault="0061449F" w:rsidP="0061449F">
      <w:pPr>
        <w:spacing w:before="100" w:beforeAutospacing="1" w:after="100" w:afterAutospacing="1" w:line="276" w:lineRule="auto"/>
        <w:jc w:val="both"/>
        <w:textAlignment w:val="baseline"/>
        <w:rPr>
          <w:rFonts w:ascii="Times New Roman" w:eastAsia="Times New Roman" w:hAnsi="Times New Roman" w:cs="Times New Roman"/>
          <w:sz w:val="24"/>
          <w:szCs w:val="24"/>
        </w:rPr>
      </w:pPr>
      <w:r w:rsidRPr="0061449F">
        <w:rPr>
          <w:rFonts w:ascii="Times New Roman" w:eastAsia="Times New Roman" w:hAnsi="Times New Roman" w:cs="Times New Roman"/>
          <w:b/>
          <w:bCs/>
          <w:sz w:val="24"/>
          <w:szCs w:val="24"/>
          <w:lang w:val="sq-AL"/>
        </w:rPr>
        <w:t>“SND</w:t>
      </w:r>
      <w:r w:rsidRPr="0061449F">
        <w:rPr>
          <w:rFonts w:ascii="Times New Roman" w:eastAsia="Times New Roman" w:hAnsi="Times New Roman" w:cs="Times New Roman"/>
          <w:b/>
          <w:bCs/>
          <w:noProof/>
          <w:sz w:val="24"/>
          <w:szCs w:val="24"/>
          <w:lang w:val="sq-AL"/>
        </w:rPr>
        <w:t xml:space="preserve"> - 2024-2030</w:t>
      </w:r>
      <w:r w:rsidRPr="0061449F">
        <w:rPr>
          <w:rFonts w:ascii="Times New Roman" w:eastAsia="Times New Roman" w:hAnsi="Times New Roman" w:cs="Times New Roman"/>
          <w:b/>
          <w:bCs/>
          <w:sz w:val="24"/>
          <w:szCs w:val="24"/>
          <w:lang w:val="sq-AL"/>
        </w:rPr>
        <w:t xml:space="preserve">”, </w:t>
      </w:r>
      <w:r w:rsidRPr="0061449F">
        <w:rPr>
          <w:rFonts w:ascii="Times New Roman" w:eastAsia="Times New Roman" w:hAnsi="Times New Roman" w:cs="Times New Roman"/>
          <w:bCs/>
          <w:sz w:val="24"/>
          <w:szCs w:val="24"/>
          <w:lang w:val="sq-AL"/>
        </w:rPr>
        <w:t>së bashku me dokumentet strategjike harmonizohet dhe është në përputhje të plotë me qëllimet, objektivat dhe parashikimet e</w:t>
      </w:r>
      <w:r w:rsidRPr="0061449F">
        <w:rPr>
          <w:rFonts w:ascii="Times New Roman" w:eastAsia="Times New Roman" w:hAnsi="Times New Roman" w:cs="Times New Roman"/>
          <w:sz w:val="24"/>
          <w:szCs w:val="24"/>
        </w:rPr>
        <w:t xml:space="preserve"> Strategjisë Kombëtare për Zhvillim dhe Integrim Evropian 2022-2030 (SKZHIE 2022-2030), veçanërisht me shtyllën I “Demokracia e fuqizimi i institucioneve dhe qeverisjes së mire”. Kjo shtyllë parashikon si komponentë kryesorë forcimin e mëtejshëm të institucioneve, funksionimin e sistemit të drejtësisë, modernizimin e shërbimeve publike dhe digjitalizimin, luftën ndaj korrupsionit dhe sigurimin e llogaridhënies dhe transparencës në sektorin publik, zgjerimin e decentralizimit dhe demokracisë vendore si dhe përfshirjen e qytetarëve dhe shoqërisë civile në këto procese, të cilët mbeten përparësi kyçe të qeverisjes së mirë për Shqipërinë.</w:t>
      </w:r>
    </w:p>
    <w:p w14:paraId="372E6961" w14:textId="77777777" w:rsidR="0061449F" w:rsidRPr="0061449F" w:rsidRDefault="0061449F" w:rsidP="0061449F">
      <w:pPr>
        <w:spacing w:before="100" w:beforeAutospacing="1" w:after="100" w:afterAutospacing="1" w:line="276" w:lineRule="auto"/>
        <w:jc w:val="both"/>
        <w:textAlignment w:val="baseline"/>
        <w:rPr>
          <w:rFonts w:ascii="Times New Roman" w:eastAsia="Times New Roman" w:hAnsi="Times New Roman" w:cs="Times New Roman"/>
          <w:sz w:val="24"/>
          <w:szCs w:val="24"/>
        </w:rPr>
      </w:pPr>
      <w:r w:rsidRPr="0061449F">
        <w:rPr>
          <w:rFonts w:ascii="Times New Roman" w:eastAsia="Times New Roman" w:hAnsi="Times New Roman" w:cs="Times New Roman"/>
          <w:sz w:val="24"/>
          <w:szCs w:val="24"/>
        </w:rPr>
        <w:lastRenderedPageBreak/>
        <w:t xml:space="preserve">Lidhur me sistemin e drejtësisë, në SKZHIE 2022-2030 parashikohet konkretisht reformimi i sistemit të drejtësisë që synon: (i) konsolidimin e ndryshimeve ligjore dhe institucionale; (ii) qasje të mirë në sistemin e drejtësisë dhe rritjen e cilësisë së shërbimeve nga gjykatat, institucionet e drejtësisë penale, nga institucione të tjera të varësisë të Ministrisë së Drejtësisë, në përputhje me standardet Evropiane; (iii) përmirësimin e infrastrukturës së sektorit dhe krijimin e një baze të dhënash elektronike për gjyqësorin të cilat ndikojnë në rritjen e efikasitetit dhe llogaridhënies; (iv) eleminimin e </w:t>
      </w:r>
      <w:r w:rsidRPr="0061449F">
        <w:rPr>
          <w:rFonts w:ascii="Times New Roman" w:eastAsia="Times New Roman" w:hAnsi="Times New Roman" w:cs="Times New Roman"/>
          <w:i/>
          <w:iCs/>
          <w:sz w:val="24"/>
          <w:szCs w:val="24"/>
        </w:rPr>
        <w:t>backlog</w:t>
      </w:r>
      <w:r w:rsidRPr="0061449F">
        <w:rPr>
          <w:rFonts w:ascii="Times New Roman" w:eastAsia="Times New Roman" w:hAnsi="Times New Roman" w:cs="Times New Roman"/>
          <w:sz w:val="24"/>
          <w:szCs w:val="24"/>
        </w:rPr>
        <w:t>-ut; (v) ofrimin e një drejtësie në nivelin dhe në përputhje me standartet e BE-së; (vi) forcimin ë besimit të publikut dhe transparencës në këtë sektor.</w:t>
      </w:r>
    </w:p>
    <w:p w14:paraId="0A8D7E7D" w14:textId="77777777" w:rsidR="0061449F" w:rsidRPr="0061449F" w:rsidRDefault="0061449F" w:rsidP="0061449F">
      <w:pPr>
        <w:spacing w:before="100" w:beforeAutospacing="1" w:after="100" w:afterAutospacing="1" w:line="276" w:lineRule="auto"/>
        <w:jc w:val="both"/>
        <w:textAlignment w:val="baseline"/>
        <w:rPr>
          <w:rFonts w:ascii="Times New Roman" w:eastAsia="Times New Roman" w:hAnsi="Times New Roman" w:cs="Times New Roman"/>
          <w:sz w:val="24"/>
          <w:szCs w:val="24"/>
        </w:rPr>
      </w:pPr>
      <w:r w:rsidRPr="0061449F">
        <w:rPr>
          <w:rFonts w:ascii="Times New Roman" w:eastAsia="Times New Roman" w:hAnsi="Times New Roman" w:cs="Times New Roman"/>
          <w:sz w:val="24"/>
          <w:szCs w:val="24"/>
        </w:rPr>
        <w:t xml:space="preserve">Në seksionin “Reformimi i sistemit të drejtësisë” të SKZHIE parashikohen katër qëllime të politikës: </w:t>
      </w:r>
    </w:p>
    <w:p w14:paraId="713A497D" w14:textId="77777777" w:rsidR="0061449F" w:rsidRPr="0061449F" w:rsidRDefault="0061449F" w:rsidP="0061449F">
      <w:pPr>
        <w:numPr>
          <w:ilvl w:val="0"/>
          <w:numId w:val="14"/>
        </w:numPr>
        <w:spacing w:before="100" w:beforeAutospacing="1" w:after="100" w:afterAutospacing="1" w:line="276" w:lineRule="auto"/>
        <w:jc w:val="both"/>
        <w:textAlignment w:val="baseline"/>
        <w:rPr>
          <w:rFonts w:ascii="Times New Roman" w:eastAsia="Times New Roman" w:hAnsi="Times New Roman" w:cs="Times New Roman"/>
          <w:sz w:val="24"/>
          <w:szCs w:val="24"/>
        </w:rPr>
      </w:pPr>
      <w:r w:rsidRPr="0061449F">
        <w:rPr>
          <w:rFonts w:ascii="Times New Roman" w:eastAsia="Times New Roman" w:hAnsi="Times New Roman" w:cs="Times New Roman"/>
          <w:sz w:val="24"/>
          <w:szCs w:val="24"/>
        </w:rPr>
        <w:t xml:space="preserve">Qëllimi i parë: Funksionimi i plotë dhe profesional i institucioneve të qeverisjes së sistemit të drejtësisë në përputhje me kërkesat kushtetuese dhe ligjore dhe standardet Evropiane, duke garantuar pavarësinë, efiçencën dhe llogaridhënien; </w:t>
      </w:r>
    </w:p>
    <w:p w14:paraId="64223692" w14:textId="77777777" w:rsidR="0061449F" w:rsidRPr="0061449F" w:rsidRDefault="0061449F" w:rsidP="0061449F">
      <w:pPr>
        <w:numPr>
          <w:ilvl w:val="0"/>
          <w:numId w:val="14"/>
        </w:numPr>
        <w:spacing w:before="100" w:beforeAutospacing="1" w:after="100" w:afterAutospacing="1" w:line="276" w:lineRule="auto"/>
        <w:jc w:val="both"/>
        <w:textAlignment w:val="baseline"/>
        <w:rPr>
          <w:rFonts w:ascii="Times New Roman" w:eastAsia="Times New Roman" w:hAnsi="Times New Roman" w:cs="Times New Roman"/>
          <w:sz w:val="24"/>
          <w:szCs w:val="24"/>
        </w:rPr>
      </w:pPr>
      <w:r w:rsidRPr="0061449F">
        <w:rPr>
          <w:rFonts w:ascii="Times New Roman" w:eastAsia="Times New Roman" w:hAnsi="Times New Roman" w:cs="Times New Roman"/>
          <w:sz w:val="24"/>
          <w:szCs w:val="24"/>
        </w:rPr>
        <w:t xml:space="preserve">Qëllimi i dytë: Fuqizimi i transparencës, efikasitetit të gjyqësorit dhe aksesit në drejtësi në përputhje me kërkesat kushtetuese, ligjore dhe standardet evropiane; </w:t>
      </w:r>
    </w:p>
    <w:p w14:paraId="0F946A1D" w14:textId="77777777" w:rsidR="0061449F" w:rsidRPr="0061449F" w:rsidRDefault="0061449F" w:rsidP="0061449F">
      <w:pPr>
        <w:numPr>
          <w:ilvl w:val="0"/>
          <w:numId w:val="14"/>
        </w:numPr>
        <w:spacing w:before="100" w:beforeAutospacing="1" w:after="100" w:afterAutospacing="1" w:line="276" w:lineRule="auto"/>
        <w:jc w:val="both"/>
        <w:textAlignment w:val="baseline"/>
        <w:rPr>
          <w:rFonts w:ascii="Times New Roman" w:eastAsia="Times New Roman" w:hAnsi="Times New Roman" w:cs="Times New Roman"/>
          <w:sz w:val="24"/>
          <w:szCs w:val="24"/>
        </w:rPr>
      </w:pPr>
      <w:r w:rsidRPr="0061449F">
        <w:rPr>
          <w:rFonts w:ascii="Times New Roman" w:eastAsia="Times New Roman" w:hAnsi="Times New Roman" w:cs="Times New Roman"/>
          <w:sz w:val="24"/>
          <w:szCs w:val="24"/>
        </w:rPr>
        <w:t xml:space="preserve">Qëllimi i tretë: Një Sistem i Drejtësisë Penale i mbështetetur në parimet moderne evropiane të drejtësisë, që garanton risocializimin, riintegrimin dhe rehabilitimin, si dhe respektimin e të drejtave dhe lirive të njeriut dhe barazisë gjinore brenda një qasjeje të integruar dhe me praktika solide të parandalimit të krimit; </w:t>
      </w:r>
    </w:p>
    <w:p w14:paraId="4BB7A3AA" w14:textId="77777777" w:rsidR="0061449F" w:rsidRPr="0061449F" w:rsidRDefault="0061449F" w:rsidP="0061449F">
      <w:pPr>
        <w:numPr>
          <w:ilvl w:val="0"/>
          <w:numId w:val="14"/>
        </w:numPr>
        <w:spacing w:before="100" w:beforeAutospacing="1" w:after="100" w:afterAutospacing="1" w:line="276" w:lineRule="auto"/>
        <w:jc w:val="both"/>
        <w:textAlignment w:val="baseline"/>
        <w:rPr>
          <w:rFonts w:ascii="Times New Roman" w:eastAsia="Times New Roman" w:hAnsi="Times New Roman" w:cs="Times New Roman"/>
          <w:sz w:val="24"/>
          <w:szCs w:val="24"/>
        </w:rPr>
      </w:pPr>
      <w:r w:rsidRPr="0061449F">
        <w:rPr>
          <w:rFonts w:ascii="Times New Roman" w:eastAsia="Times New Roman" w:hAnsi="Times New Roman" w:cs="Times New Roman"/>
          <w:sz w:val="24"/>
          <w:szCs w:val="24"/>
        </w:rPr>
        <w:t>Qëllimi i katërt: Koordinimi, menaxhimi efikas dhe efektiv i sistemit të drejtësisë në të gjithë institucionet e sektorit.</w:t>
      </w:r>
    </w:p>
    <w:p w14:paraId="5F0E9563" w14:textId="77777777" w:rsidR="0061449F" w:rsidRPr="0061449F" w:rsidRDefault="0061449F" w:rsidP="0061449F">
      <w:pPr>
        <w:spacing w:before="100" w:beforeAutospacing="1" w:after="100" w:afterAutospacing="1" w:line="276" w:lineRule="auto"/>
        <w:jc w:val="both"/>
        <w:textAlignment w:val="baseline"/>
        <w:rPr>
          <w:rFonts w:ascii="Times New Roman" w:eastAsia="Times New Roman" w:hAnsi="Times New Roman" w:cs="Times New Roman"/>
          <w:b/>
          <w:sz w:val="24"/>
          <w:szCs w:val="24"/>
        </w:rPr>
      </w:pPr>
      <w:r w:rsidRPr="0061449F">
        <w:rPr>
          <w:rFonts w:ascii="Times New Roman" w:eastAsia="Times New Roman" w:hAnsi="Times New Roman" w:cs="Times New Roman"/>
          <w:b/>
          <w:sz w:val="24"/>
          <w:szCs w:val="24"/>
        </w:rPr>
        <w:t xml:space="preserve"> </w:t>
      </w:r>
    </w:p>
    <w:p w14:paraId="4D85CEA1" w14:textId="77777777" w:rsidR="0061449F" w:rsidRPr="0061449F" w:rsidRDefault="0061449F" w:rsidP="0061449F">
      <w:pPr>
        <w:spacing w:before="100" w:beforeAutospacing="1" w:after="100" w:afterAutospacing="1" w:line="276" w:lineRule="auto"/>
        <w:jc w:val="both"/>
        <w:textAlignment w:val="baseline"/>
        <w:rPr>
          <w:rFonts w:ascii="Times New Roman" w:eastAsia="Times New Roman" w:hAnsi="Times New Roman" w:cs="Times New Roman"/>
          <w:b/>
          <w:bCs/>
          <w:sz w:val="24"/>
          <w:szCs w:val="24"/>
          <w:lang w:val="sq-AL"/>
        </w:rPr>
      </w:pPr>
      <w:r w:rsidRPr="0061449F">
        <w:rPr>
          <w:rFonts w:ascii="Times New Roman" w:eastAsia="Times New Roman" w:hAnsi="Times New Roman" w:cs="Times New Roman"/>
          <w:b/>
          <w:sz w:val="24"/>
          <w:szCs w:val="24"/>
          <w:lang w:val="it-IT"/>
        </w:rPr>
        <w:t>2.3.2. Lidhja me Programin e Qeverisë:</w:t>
      </w:r>
    </w:p>
    <w:p w14:paraId="2154E443" w14:textId="77777777" w:rsidR="0061449F" w:rsidRPr="0061449F" w:rsidRDefault="0061449F" w:rsidP="0061449F">
      <w:pPr>
        <w:spacing w:before="100" w:beforeAutospacing="1" w:after="100" w:afterAutospacing="1" w:line="276" w:lineRule="auto"/>
        <w:jc w:val="both"/>
        <w:textAlignment w:val="baseline"/>
        <w:rPr>
          <w:rFonts w:ascii="Times New Roman" w:eastAsia="Times New Roman" w:hAnsi="Times New Roman" w:cs="Times New Roman"/>
          <w:b/>
          <w:sz w:val="24"/>
          <w:szCs w:val="24"/>
          <w:lang w:val="sq-AL"/>
        </w:rPr>
      </w:pPr>
      <w:r w:rsidRPr="0061449F">
        <w:rPr>
          <w:rFonts w:ascii="Times New Roman" w:eastAsia="Times New Roman" w:hAnsi="Times New Roman" w:cs="Times New Roman"/>
          <w:sz w:val="24"/>
          <w:szCs w:val="24"/>
          <w:lang w:val="sq-AL"/>
        </w:rPr>
        <w:t>SND 2024 – 2030 lidhet në mënyrë të drejtëpërdrejtë me Programin Qeverisës 2021 – 2025, kryesisht me prioritetin “Shqipëria e së drejtës”.</w:t>
      </w:r>
      <w:r w:rsidRPr="0061449F">
        <w:rPr>
          <w:rFonts w:ascii="Times New Roman" w:eastAsia="Times New Roman" w:hAnsi="Times New Roman" w:cs="Times New Roman"/>
          <w:b/>
          <w:sz w:val="24"/>
          <w:szCs w:val="24"/>
          <w:lang w:val="sq-AL"/>
        </w:rPr>
        <w:t xml:space="preserve"> </w:t>
      </w:r>
    </w:p>
    <w:p w14:paraId="50C595C9" w14:textId="77777777" w:rsidR="0061449F" w:rsidRPr="0061449F" w:rsidRDefault="0061449F" w:rsidP="0061449F">
      <w:pPr>
        <w:spacing w:before="100" w:beforeAutospacing="1" w:after="100" w:afterAutospacing="1" w:line="276" w:lineRule="auto"/>
        <w:jc w:val="both"/>
        <w:textAlignment w:val="baseline"/>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sq-AL"/>
        </w:rPr>
        <w:t>2.3.3. Lidhja e SND 2024-2030 me Strategjinë Ndërsektoriale të Viktimave të Krimit 2024-2030:</w:t>
      </w:r>
    </w:p>
    <w:p w14:paraId="471029BE" w14:textId="77777777" w:rsidR="0061449F" w:rsidRPr="0061449F" w:rsidRDefault="0061449F" w:rsidP="0061449F">
      <w:pPr>
        <w:spacing w:before="100" w:beforeAutospacing="1" w:after="100" w:afterAutospacing="1" w:line="276" w:lineRule="auto"/>
        <w:jc w:val="both"/>
        <w:textAlignment w:val="baseline"/>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t xml:space="preserve">Strategjia Ndërsektoriale e Mbrojtjes së Viktimave të Krimit 2024-2030 është miratuar me vendimin nr. 729, datë 13.12.2023 të Këshillit të Ministrave. Vizioni i kësaj strategjie është: “Një sistem drejtësie penal efektiv, që garanton pa diskriminim të drejtat e viktimave në të gjitha fazat e procesit penal dhe që mban parasysh nevojat e veçanta të tyre”. Strategjia Ndërsektoriale për Mbrojtjen e Viktimave të Krimit 2024-2030 parashikon katër qëllime të politikave. </w:t>
      </w:r>
    </w:p>
    <w:p w14:paraId="521E432D" w14:textId="77777777" w:rsidR="0061449F" w:rsidRPr="0061449F" w:rsidRDefault="0061449F" w:rsidP="0061449F">
      <w:pPr>
        <w:spacing w:before="100" w:beforeAutospacing="1" w:after="100" w:afterAutospacing="1" w:line="276" w:lineRule="auto"/>
        <w:jc w:val="both"/>
        <w:textAlignment w:val="baseline"/>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t xml:space="preserve">“SNMVK 2024–2030” përcakton prioritete që lidhen me informimimin, ndërgjegjësimin, komunikimin efektiv me publikun e gjerë lidhur me shërbimet mbështetëse të viktimave të krimit, me mbledhjen, përpunimin, publikimin e statistikave të konsoliduara në përputhje me standardet ndërkombëtare. Dokumenti strategjik ndërsektorial i viktimave të krimit synon përafrim të legjislacionit penal, procedural penal dhe ligjeve të tjera në përputhje me </w:t>
      </w:r>
      <w:r w:rsidRPr="0061449F">
        <w:rPr>
          <w:rFonts w:ascii="Times New Roman" w:eastAsia="Times New Roman" w:hAnsi="Times New Roman" w:cs="Times New Roman"/>
          <w:i/>
          <w:iCs/>
          <w:sz w:val="24"/>
          <w:szCs w:val="24"/>
          <w:lang w:val="sq-AL"/>
        </w:rPr>
        <w:t>acquis</w:t>
      </w:r>
      <w:r w:rsidRPr="0061449F">
        <w:rPr>
          <w:rFonts w:ascii="Times New Roman" w:eastAsia="Times New Roman" w:hAnsi="Times New Roman" w:cs="Times New Roman"/>
          <w:sz w:val="24"/>
          <w:szCs w:val="24"/>
          <w:lang w:val="sq-AL"/>
        </w:rPr>
        <w:t xml:space="preserve"> e Bashkimit Evropian dhe akteve </w:t>
      </w:r>
      <w:r w:rsidRPr="0061449F">
        <w:rPr>
          <w:rFonts w:ascii="Times New Roman" w:eastAsia="Times New Roman" w:hAnsi="Times New Roman" w:cs="Times New Roman"/>
          <w:sz w:val="24"/>
          <w:szCs w:val="24"/>
          <w:lang w:val="sq-AL"/>
        </w:rPr>
        <w:lastRenderedPageBreak/>
        <w:t>ndërkombëtare të tjera. Gjatë periudhës së zbatimit të “SNMVK 2024–2030” synohet lehtësimi i aksesit në drejtësi dhe i ndihmës juridike parësore e dytësore, duke fo</w:t>
      </w:r>
      <w:r w:rsidRPr="0061449F">
        <w:rPr>
          <w:rFonts w:ascii="Times New Roman" w:eastAsia="Times New Roman" w:hAnsi="Times New Roman" w:cs="Times New Roman"/>
          <w:bCs/>
          <w:sz w:val="24"/>
          <w:szCs w:val="24"/>
          <w:lang w:val="sq-AL"/>
        </w:rPr>
        <w:t>rcuar kapacitetet e mbrojtësve ligjorë, lidhur me teknikat e mbrojtjes dhe të komunikimit me viktimat e krimit.</w:t>
      </w:r>
      <w:r w:rsidRPr="0061449F">
        <w:rPr>
          <w:rFonts w:ascii="Times New Roman" w:eastAsia="Times New Roman" w:hAnsi="Times New Roman" w:cs="Times New Roman"/>
          <w:b/>
          <w:bCs/>
          <w:sz w:val="24"/>
          <w:szCs w:val="24"/>
          <w:lang w:val="sq-AL"/>
        </w:rPr>
        <w:t xml:space="preserve"> </w:t>
      </w:r>
      <w:r w:rsidRPr="0061449F">
        <w:rPr>
          <w:rFonts w:ascii="Times New Roman" w:eastAsia="Times New Roman" w:hAnsi="Times New Roman" w:cs="Times New Roman"/>
          <w:bCs/>
          <w:sz w:val="24"/>
          <w:szCs w:val="24"/>
          <w:lang w:val="sq-AL"/>
        </w:rPr>
        <w:t>Gjithashtu “SNMVK”</w:t>
      </w:r>
      <w:r w:rsidRPr="0061449F">
        <w:rPr>
          <w:rFonts w:ascii="Times New Roman" w:eastAsia="Times New Roman" w:hAnsi="Times New Roman" w:cs="Times New Roman"/>
          <w:sz w:val="24"/>
          <w:szCs w:val="24"/>
          <w:lang w:val="sq-AL"/>
        </w:rPr>
        <w:t xml:space="preserve"> synon të përmirësojë aksesin në shërbimet mbështetëse përgjatë viteve </w:t>
      </w:r>
      <w:r w:rsidRPr="0061449F">
        <w:rPr>
          <w:rFonts w:ascii="Times New Roman" w:eastAsia="Times New Roman" w:hAnsi="Times New Roman" w:cs="Times New Roman"/>
          <w:bCs/>
          <w:sz w:val="24"/>
          <w:szCs w:val="24"/>
          <w:lang w:val="sq-AL"/>
        </w:rPr>
        <w:t>2024-2030</w:t>
      </w:r>
      <w:r w:rsidRPr="0061449F">
        <w:rPr>
          <w:rFonts w:ascii="Times New Roman" w:eastAsia="Times New Roman" w:hAnsi="Times New Roman" w:cs="Times New Roman"/>
          <w:sz w:val="24"/>
          <w:szCs w:val="24"/>
          <w:lang w:val="sq-AL"/>
        </w:rPr>
        <w:t>, të promovojë drejtësinë restaurese dhe ndërmjetësimin për viktimat në përputhje me standardet evropiane dhe të konsolidojë bashkëpunimin dhe koordinimin e aktorëve në nivel lokal dhe qëndror lidhur me shërbimet ndaj viktimave të krimit.</w:t>
      </w:r>
    </w:p>
    <w:p w14:paraId="6E03F76D" w14:textId="77777777" w:rsidR="0061449F" w:rsidRPr="0061449F" w:rsidRDefault="0061449F" w:rsidP="0061449F">
      <w:pPr>
        <w:spacing w:before="100" w:beforeAutospacing="1" w:after="100" w:afterAutospacing="1" w:line="276" w:lineRule="auto"/>
        <w:jc w:val="both"/>
        <w:textAlignment w:val="baseline"/>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t>SNMVK 2024-2030 adreson rekomandimet e Kapitullit 23 “Gjyqësori dhe të drejtat themelore” dhe lidhet me nenin 2, “Respekti për  parimet  demokratike  dhe  të  drejtat  e  njeriut”, me nenin 78 “Fuqizimi i institucioneve dhe shtetit të së drejtës” dhe me nenin 88 “Bashkëpunimi statistikor” të MSA-së.</w:t>
      </w:r>
    </w:p>
    <w:p w14:paraId="65934988" w14:textId="77777777" w:rsidR="0061449F" w:rsidRPr="0061449F" w:rsidRDefault="0061449F" w:rsidP="0061449F">
      <w:pPr>
        <w:spacing w:before="100" w:beforeAutospacing="1" w:after="100" w:afterAutospacing="1" w:line="276" w:lineRule="auto"/>
        <w:jc w:val="both"/>
        <w:textAlignment w:val="baseline"/>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nl-NL"/>
        </w:rPr>
        <w:t xml:space="preserve">2.3.4. </w:t>
      </w:r>
      <w:r w:rsidRPr="0061449F">
        <w:rPr>
          <w:rFonts w:ascii="Times New Roman" w:eastAsia="Times New Roman" w:hAnsi="Times New Roman" w:cs="Times New Roman"/>
          <w:b/>
          <w:sz w:val="24"/>
          <w:szCs w:val="24"/>
          <w:lang w:val="sq-AL"/>
        </w:rPr>
        <w:t>Lidhja e SND 2024-2030 me Strategjinë Ndërsektoriale të Drejtësisë për të Mitur 2022-2026</w:t>
      </w:r>
    </w:p>
    <w:p w14:paraId="5E78DDD7" w14:textId="77777777" w:rsidR="0061449F" w:rsidRPr="0061449F" w:rsidRDefault="0061449F" w:rsidP="0061449F">
      <w:pPr>
        <w:spacing w:before="100" w:beforeAutospacing="1" w:after="100" w:afterAutospacing="1" w:line="276" w:lineRule="auto"/>
        <w:jc w:val="both"/>
        <w:textAlignment w:val="baseline"/>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lang w:val="sq-AL"/>
        </w:rPr>
        <w:t xml:space="preserve">“SND 2024 – 2030” lidhet me Strategjinë Ndërsektoriale të Drejtësisë për të Mitur 2022-2026 (“SNDM 2022-2026”), e miratuar me Vendimin e Këshillit të Ministrave nr. 892, datë27.12.2022. Strategjia </w:t>
      </w:r>
      <w:r w:rsidRPr="0061449F">
        <w:rPr>
          <w:rFonts w:ascii="Times New Roman" w:eastAsia="MS Mincho" w:hAnsi="Times New Roman" w:cs="Times New Roman"/>
          <w:sz w:val="24"/>
          <w:szCs w:val="24"/>
          <w:lang w:val="sq-AL"/>
        </w:rPr>
        <w:t>Ndërsektoriale</w:t>
      </w:r>
      <w:r w:rsidRPr="0061449F">
        <w:rPr>
          <w:rFonts w:ascii="Times New Roman" w:eastAsia="Times New Roman" w:hAnsi="Times New Roman" w:cs="Times New Roman"/>
          <w:sz w:val="24"/>
          <w:szCs w:val="24"/>
          <w:lang w:val="sq-AL"/>
        </w:rPr>
        <w:t xml:space="preserve"> e Drejtësisë për të Mitur 2022-2026, Plani i saj i Veprimit si dhe pasaporta e treguesve </w:t>
      </w:r>
      <w:r w:rsidRPr="0061449F">
        <w:rPr>
          <w:rFonts w:ascii="Times New Roman" w:eastAsia="Times New Roman" w:hAnsi="Times New Roman" w:cs="Times New Roman"/>
          <w:sz w:val="24"/>
          <w:szCs w:val="24"/>
          <w:bdr w:val="none" w:sz="0" w:space="0" w:color="auto" w:frame="1"/>
          <w:lang w:val="sq-AL"/>
        </w:rPr>
        <w:t>ka katër qëllime strategjike për sistemin e drejtësisë penale për të mitur. Në këtë kontekst, SDM 2022-2026 synon përmirësimin e sistemit të drejtësisë në lidhje me aspekte si informimi, edukimi, ndërgjegjësimi dhe përmirësimi i aksesit në drejtësi, duke ofruar shërbime të cilësore të ndihmës juridike parësore dhe dytësore, ndërmjetësim, mbledhje, përpunim dhe publikim të statistikave për çështjet civile, familjare, administrative dhe penale, dhe shërbime mbështetëse për çdo fëmijë.</w:t>
      </w:r>
    </w:p>
    <w:p w14:paraId="5DE36F79" w14:textId="77777777" w:rsidR="0061449F" w:rsidRPr="0061449F" w:rsidRDefault="0061449F" w:rsidP="0061449F">
      <w:pPr>
        <w:spacing w:before="100" w:beforeAutospacing="1" w:after="100" w:afterAutospacing="1" w:line="276" w:lineRule="auto"/>
        <w:jc w:val="both"/>
        <w:textAlignment w:val="baseline"/>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t>“SDM 2022-2026”, adreson rekomandimet e Kapitullit 23 “Gjyqësori dhe të drejtat themelore”, dhe lidhet me nenin 2 “Respekti për parimet demokratike dhe të drejtat e njeriut”, me nenin 78 “Fuqizimi i institucioneve dhe shtetit të së drejtës”, dhe me nenin 88 “Bashkëpunimi statistikor” të MSA-së.</w:t>
      </w:r>
    </w:p>
    <w:p w14:paraId="79386426" w14:textId="77777777" w:rsidR="0061449F" w:rsidRPr="0061449F" w:rsidRDefault="0061449F" w:rsidP="0061449F">
      <w:pPr>
        <w:spacing w:line="276" w:lineRule="auto"/>
        <w:contextualSpacing/>
        <w:jc w:val="both"/>
        <w:textAlignment w:val="baseline"/>
        <w:rPr>
          <w:rFonts w:ascii="Times New Roman" w:eastAsia="Times New Roman" w:hAnsi="Times New Roman" w:cs="Times New Roman"/>
          <w:bCs/>
          <w:sz w:val="24"/>
          <w:szCs w:val="24"/>
          <w:lang w:val="sq-AL"/>
        </w:rPr>
      </w:pPr>
      <w:r w:rsidRPr="0061449F">
        <w:rPr>
          <w:rFonts w:ascii="Times New Roman" w:eastAsia="Calibri" w:hAnsi="Times New Roman" w:cs="Times New Roman"/>
          <w:sz w:val="24"/>
          <w:szCs w:val="24"/>
          <w:lang w:val="sq-AL"/>
        </w:rPr>
        <w:t>“SND 2024-2030” synon të avancoj</w:t>
      </w:r>
      <w:r w:rsidRPr="0061449F">
        <w:rPr>
          <w:rFonts w:ascii="Times New Roman" w:eastAsia="Times New Roman" w:hAnsi="Times New Roman" w:cs="Times New Roman"/>
          <w:bCs/>
          <w:sz w:val="24"/>
          <w:szCs w:val="24"/>
          <w:lang w:val="sq-AL"/>
        </w:rPr>
        <w:t>ë me refor</w:t>
      </w:r>
      <w:r w:rsidRPr="0061449F">
        <w:rPr>
          <w:rFonts w:ascii="Times New Roman" w:eastAsia="Calibri" w:hAnsi="Times New Roman" w:cs="Times New Roman"/>
          <w:bCs/>
          <w:sz w:val="24"/>
          <w:szCs w:val="24"/>
          <w:lang w:val="sq-AL"/>
        </w:rPr>
        <w:t>mat madhore të nisura</w:t>
      </w:r>
      <w:r w:rsidRPr="0061449F">
        <w:rPr>
          <w:rFonts w:ascii="Times New Roman" w:eastAsia="Calibri" w:hAnsi="Times New Roman" w:cs="Times New Roman"/>
          <w:sz w:val="24"/>
          <w:szCs w:val="24"/>
          <w:lang w:val="sq-AL"/>
        </w:rPr>
        <w:t xml:space="preserve"> në drejtësi që nga viti 2016.  Në këtë kuadër “SND 2024-2030”, synon prioritetet që lidhen me i</w:t>
      </w:r>
      <w:r w:rsidRPr="0061449F">
        <w:rPr>
          <w:rFonts w:ascii="Times New Roman" w:eastAsia="Times New Roman" w:hAnsi="Times New Roman" w:cs="Times New Roman"/>
          <w:bCs/>
          <w:sz w:val="24"/>
          <w:szCs w:val="24"/>
          <w:lang w:val="sq-AL"/>
        </w:rPr>
        <w:t>nformimin, ndërgjegjësimin, përmirësimin e komunikimit publik lidhur me reformën në drejtësi, rritjen e aksesit në drejtësi, forcimin e mekanizmave për  zgjidhjen alternative të mosmarrëveshjeve, ngritjen e kapaciteteve të ndërmjetësve, rritjen e cilësisë së arsyetimeve të vendimeve gjyqësore, garantimin e parimit të barazisë para ligjit, respektimin e të drejtës për një proces të rregullt ligjor, si dhe zbatimin e vendimeve gjyqësore dhe vendimeve të GjEDNj-së në kuadër të të drejtave dhe lirive themelore të njeriut, sipas Konventave Ndërkombëtare.</w:t>
      </w:r>
    </w:p>
    <w:p w14:paraId="0366F4ED" w14:textId="77777777" w:rsidR="0061449F" w:rsidRPr="0061449F" w:rsidRDefault="0061449F" w:rsidP="0061449F">
      <w:pPr>
        <w:spacing w:before="100" w:beforeAutospacing="1" w:after="100" w:afterAutospacing="1" w:line="276" w:lineRule="auto"/>
        <w:jc w:val="both"/>
        <w:textAlignment w:val="baseline"/>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sq-AL"/>
        </w:rPr>
        <w:t>2.3.4. Lidhja e “SND 2024–2030” me Planin Kombëtar të Integrimit Evropian (PKIE) DHE Raport Progresin të Komisionit Evropian:</w:t>
      </w:r>
    </w:p>
    <w:p w14:paraId="1FCEE9F6"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SND 2024 – 2030 lidhet me Planin Kombëtar për Integrimin Evropian 2024–2026 (PKIE), i cili –parashikon se: “</w:t>
      </w:r>
      <w:r w:rsidRPr="0061449F">
        <w:rPr>
          <w:rFonts w:ascii="Times New Roman" w:eastAsia="Calibri" w:hAnsi="Times New Roman" w:cs="Times New Roman"/>
          <w:i/>
          <w:sz w:val="24"/>
          <w:szCs w:val="24"/>
          <w:lang w:val="sq-AL"/>
        </w:rPr>
        <w:t xml:space="preserve">Procesi i negociatave dhe, më pas, anëtarësimi në Bashkimin Evropian, do të mbështesë më tej demokratizimin dhe forcimin e shtetit të së drejtës në Shqipëri, do të nxisë konsolidimin e institucioneve publike dhe vazhdimin e proceseve reformuese, duke përshpejtuar zhvillimin ekonomik </w:t>
      </w:r>
      <w:r w:rsidRPr="0061449F">
        <w:rPr>
          <w:rFonts w:ascii="Times New Roman" w:eastAsia="Calibri" w:hAnsi="Times New Roman" w:cs="Times New Roman"/>
          <w:i/>
          <w:sz w:val="24"/>
          <w:szCs w:val="24"/>
          <w:lang w:val="sq-AL"/>
        </w:rPr>
        <w:lastRenderedPageBreak/>
        <w:t>dhe përqasjen me nivelet më të mira evropiane të mirëqenies, konvergjencës dhe gjithëpërfshirjes sociale</w:t>
      </w:r>
      <w:r w:rsidRPr="0061449F">
        <w:rPr>
          <w:rFonts w:ascii="Times New Roman" w:eastAsia="Calibri" w:hAnsi="Times New Roman" w:cs="Times New Roman"/>
          <w:sz w:val="24"/>
          <w:szCs w:val="24"/>
          <w:lang w:val="sq-AL"/>
        </w:rPr>
        <w:t>”. Në këtë kontekst, “SND 2024-2030”, lidhet me Planin Kombëtar për Integrimin Evropian, lidhur me angazhimet në kuadër të Udhërrëfyesit për Grupkapitullin 1 “Themelorët” (“Shteti i së Drejtës)”. Në vijim të anagazhimeve të marra në kuadër të reformave në drejtësi, “SND 2024-2030” duhet të adresojë rekomandimet e Komisionit Evropian në Raportin e vitit 2023 për Shqipërinë,  rekomandimet e dhëna në kuadër të takimeve dhe mekanizmave të përbashkëta të ngritura në kuadër të Marrëveshjes së Stabilizim-Asociimit si dhe përputhshmërinë me objektivat strategjikë të Strategjisë Kombëtare për Zhvillim dhe Integrim Evropian 2022–20304 dhe Programin e Qeverisë Shqiptare si dhe me dokumentet e tjera strategjike të miratuara.</w:t>
      </w:r>
    </w:p>
    <w:p w14:paraId="5FF24F3E"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Plani Kombëtar për Integrimin Evropian (PKIE) 2024–2026 përfshin masa ligjore, institucionale, administrative që parashikohen të shtrihen deri në vitin 2026, me objektiva të synuara që lidhen me përafrimin gradual të legjislacionit shqiptar me </w:t>
      </w:r>
      <w:r w:rsidRPr="0061449F">
        <w:rPr>
          <w:rFonts w:ascii="Times New Roman" w:eastAsia="Calibri" w:hAnsi="Times New Roman" w:cs="Times New Roman"/>
          <w:i/>
          <w:iCs/>
          <w:sz w:val="24"/>
          <w:szCs w:val="24"/>
          <w:lang w:val="sq-AL"/>
        </w:rPr>
        <w:t>acquis</w:t>
      </w:r>
      <w:r w:rsidRPr="0061449F">
        <w:rPr>
          <w:rFonts w:ascii="Times New Roman" w:eastAsia="Calibri" w:hAnsi="Times New Roman" w:cs="Times New Roman"/>
          <w:sz w:val="24"/>
          <w:szCs w:val="24"/>
          <w:lang w:val="sq-AL"/>
        </w:rPr>
        <w:t xml:space="preserve"> e BE-së dhe forcimin e kapaciteteve për zbatimin e tij. Synohet përafrimi me </w:t>
      </w:r>
      <w:r w:rsidRPr="0061449F">
        <w:rPr>
          <w:rFonts w:ascii="Times New Roman" w:eastAsia="Calibri" w:hAnsi="Times New Roman" w:cs="Times New Roman"/>
          <w:i/>
          <w:iCs/>
          <w:sz w:val="24"/>
          <w:szCs w:val="24"/>
          <w:lang w:val="sq-AL"/>
        </w:rPr>
        <w:t>acquis</w:t>
      </w:r>
      <w:r w:rsidRPr="0061449F">
        <w:rPr>
          <w:rFonts w:ascii="Times New Roman" w:eastAsia="Calibri" w:hAnsi="Times New Roman" w:cs="Times New Roman"/>
          <w:sz w:val="24"/>
          <w:szCs w:val="24"/>
          <w:lang w:val="sq-AL"/>
        </w:rPr>
        <w:t xml:space="preserve"> të Bashkimit Evropian gjatë vitit 2024: - Në Grupkapitullin 1 “Themelorët”: projektligji “Kodi Penal i Republikës së Shqipërisë”. PKIE 2024-2026 synon përafrim të legjislacionit me </w:t>
      </w:r>
      <w:r w:rsidRPr="0061449F">
        <w:rPr>
          <w:rFonts w:ascii="Times New Roman" w:eastAsia="Calibri" w:hAnsi="Times New Roman" w:cs="Times New Roman"/>
          <w:i/>
          <w:iCs/>
          <w:sz w:val="24"/>
          <w:szCs w:val="24"/>
          <w:lang w:val="sq-AL"/>
        </w:rPr>
        <w:t>acquis</w:t>
      </w:r>
      <w:r w:rsidRPr="0061449F">
        <w:rPr>
          <w:rFonts w:ascii="Times New Roman" w:eastAsia="Calibri" w:hAnsi="Times New Roman" w:cs="Times New Roman"/>
          <w:sz w:val="24"/>
          <w:szCs w:val="24"/>
          <w:lang w:val="sq-AL"/>
        </w:rPr>
        <w:t xml:space="preserve"> të Bashkimit Evropian gjatë vitit 2025: - Në Grupkapitullin 1 “Themelorët”: projektligji “Për disa shtesa dhe ndryshime në ligjin nr. 60/2016 “Për sinjalizimin dhe mbrojtjen e sinjalizuesve”. </w:t>
      </w:r>
    </w:p>
    <w:p w14:paraId="6DD6E54C"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Për vitin 2026, aktet lidhur me të cilat synohet përafrimi me </w:t>
      </w:r>
      <w:r w:rsidRPr="0061449F">
        <w:rPr>
          <w:rFonts w:ascii="Times New Roman" w:eastAsia="Calibri" w:hAnsi="Times New Roman" w:cs="Times New Roman"/>
          <w:i/>
          <w:iCs/>
          <w:sz w:val="24"/>
          <w:szCs w:val="24"/>
          <w:lang w:val="sq-AL"/>
        </w:rPr>
        <w:t>acquis</w:t>
      </w:r>
      <w:r w:rsidRPr="0061449F">
        <w:rPr>
          <w:rFonts w:ascii="Times New Roman" w:eastAsia="Calibri" w:hAnsi="Times New Roman" w:cs="Times New Roman"/>
          <w:sz w:val="24"/>
          <w:szCs w:val="24"/>
          <w:lang w:val="sq-AL"/>
        </w:rPr>
        <w:t xml:space="preserve"> të Bashkimit Evropian janë : - Në Grupkapitullin 1 “Themelorët”: projektligji “Për disa shtesa dhe ndryshime në ligjin nr. 10193, datë 3.12.2009 “Për marrëdhëniet juridiksionale me autoritetet e huaja në çështjet penale”; projektligji “Për disa shtesa dhe ndryshime në ligjin nr. 111/2017 “Për ndihmën juridike të garantuar nga shteti”; projektligji “Për disa shtesa dhe ndryshime në ligjin nr. 37/2017 “Kodi i Drejtësisë Penale për të Miturit”; si dhe projektligji “Për disa shtesa dhe ndryshime në ligjin nr. 49/2012 “Për organizimin dhe funksionimin e gjykatave administrative dhe gjykimin e mosmarrëveshjeve administrative”. </w:t>
      </w:r>
    </w:p>
    <w:p w14:paraId="68278466"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SND 2024-2030 dhe Plani i saj i Veprimit adreson rekomandimet e Raport Progresit të Komisionit Evropian për Shqipërinë për vitin 2023 - Kapitulli 23: “Gjyqësori dhe të drejtat themelore / Nënkapitulli: Të drejtat themelore”. </w:t>
      </w:r>
    </w:p>
    <w:p w14:paraId="4F0F3D8E" w14:textId="77777777" w:rsidR="0061449F" w:rsidRPr="0061449F" w:rsidRDefault="0061449F" w:rsidP="0061449F">
      <w:pPr>
        <w:spacing w:line="276" w:lineRule="auto"/>
        <w:jc w:val="both"/>
        <w:rPr>
          <w:rFonts w:ascii="Times New Roman" w:eastAsia="Calibri" w:hAnsi="Times New Roman" w:cs="Times New Roman"/>
          <w:b/>
          <w:sz w:val="24"/>
          <w:szCs w:val="24"/>
          <w:lang w:val="it-IT"/>
        </w:rPr>
      </w:pPr>
      <w:r w:rsidRPr="0061449F">
        <w:rPr>
          <w:rFonts w:ascii="Times New Roman" w:eastAsia="Calibri" w:hAnsi="Times New Roman" w:cs="Times New Roman"/>
          <w:b/>
          <w:sz w:val="24"/>
          <w:szCs w:val="24"/>
          <w:lang w:val="it-IT"/>
        </w:rPr>
        <w:t xml:space="preserve">2.3.5. Lidhja e “SND 2024–2030” me Marrëveshjen e Stabilizim-Asociimit (MSA) </w:t>
      </w:r>
    </w:p>
    <w:p w14:paraId="16B95E22"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“SND 2024–2030” lidhet me Marrëveshjen e Stabilizim-Asociimit, e miratuar me ligjin nr. 9590, datë 27.7.2006 “Për ratifikimin e Marrëveshjes së Stabilizim-Asociimit ndërmjet Republikës së Shqipërisë dhe Komuniteteve Evropiane dhe shteteve të tyre anëtare”, me nenet respektive. Nenin 2 i MSA-së “</w:t>
      </w:r>
      <w:r w:rsidRPr="0061449F">
        <w:rPr>
          <w:rFonts w:ascii="Times New Roman" w:eastAsia="Calibri" w:hAnsi="Times New Roman" w:cs="Times New Roman"/>
          <w:i/>
          <w:sz w:val="24"/>
          <w:szCs w:val="24"/>
          <w:lang w:val="it-IT"/>
        </w:rPr>
        <w:t>Respekti për parimet demokratike dhe të drejtat e njeriut</w:t>
      </w:r>
      <w:r w:rsidRPr="0061449F">
        <w:rPr>
          <w:rFonts w:ascii="Times New Roman" w:eastAsia="Calibri" w:hAnsi="Times New Roman" w:cs="Times New Roman"/>
          <w:sz w:val="24"/>
          <w:szCs w:val="24"/>
          <w:lang w:val="it-IT"/>
        </w:rPr>
        <w:t xml:space="preserve">”, siç janë shpallur në Deklaratën Universale të së Drejtave të Njeriut dhe siç janë përkufizuar në Konventën Evropiane të të Drejtave të Njeriut, në Aktin Final të Helsinkit dhe në Kartën e Parisit për një Evropë të Re, respekti për parimet e së drejtës ndërkombëtare, ato të shtetit të së drejtës si edhe për parimet e ekonomisë së tregut, siç pasqyrohen në dokumentin e Konferencës së Bonit të KSBE-së për Bashkëpunimin Ekonomik, formojnë bazën e politikave të brendshme dhe të jashtme të palëve dhe përbëjnë elementët thelbësorë të kësaj marrëveshjeje. </w:t>
      </w:r>
    </w:p>
    <w:p w14:paraId="605D0741"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lastRenderedPageBreak/>
        <w:t xml:space="preserve">Në vijim, “SND 2024-2030” lidhet me nenin 70, i cili parashikon përafrim të legjislacionit, imponim të ligjeve dhe rregullave të konkurrencës ku: </w:t>
      </w:r>
    </w:p>
    <w:p w14:paraId="6BEC3EB3" w14:textId="77777777" w:rsidR="0061449F" w:rsidRPr="0061449F" w:rsidRDefault="0061449F" w:rsidP="0061449F">
      <w:pPr>
        <w:spacing w:line="276" w:lineRule="auto"/>
        <w:ind w:left="426" w:right="735"/>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1. Palët njohin rëndësinë e përafrimit të legjislacionit ekzistues shqiptar me atë të Komunitetit dhe zbatimin e tij me efektivitet.  Shqipëria përpiqet  të  sigurojë  që  ligjet  e  saj  ekzistuese  dhe  legjislacioni i ardhshëm të shkojnë gradualisht drejt përputhjes me </w:t>
      </w:r>
      <w:r w:rsidRPr="0061449F">
        <w:rPr>
          <w:rFonts w:ascii="Times New Roman" w:eastAsia="Calibri" w:hAnsi="Times New Roman" w:cs="Times New Roman"/>
          <w:i/>
          <w:iCs/>
          <w:sz w:val="24"/>
          <w:szCs w:val="24"/>
          <w:lang w:val="it-IT"/>
        </w:rPr>
        <w:t>acquis</w:t>
      </w:r>
      <w:r w:rsidRPr="0061449F">
        <w:rPr>
          <w:rFonts w:ascii="Times New Roman" w:eastAsia="Calibri" w:hAnsi="Times New Roman" w:cs="Times New Roman"/>
          <w:sz w:val="24"/>
          <w:szCs w:val="24"/>
          <w:lang w:val="it-IT"/>
        </w:rPr>
        <w:t xml:space="preserve"> e Komunitetit. Shqipëria do të sigurojë që legjislacioni ekzistues dhe i ardhshëm të zbatohet dhe imponohet si duhet. 2. Ky përafrim fillon në datën e nënshkrimit të Marrëveshjes dhe do të shtrihet gradualisht në tërë elementët e </w:t>
      </w:r>
      <w:r w:rsidRPr="0061449F">
        <w:rPr>
          <w:rFonts w:ascii="Times New Roman" w:eastAsia="Calibri" w:hAnsi="Times New Roman" w:cs="Times New Roman"/>
          <w:i/>
          <w:iCs/>
          <w:sz w:val="24"/>
          <w:szCs w:val="24"/>
          <w:lang w:val="it-IT"/>
        </w:rPr>
        <w:t>acquis</w:t>
      </w:r>
      <w:r w:rsidRPr="0061449F">
        <w:rPr>
          <w:rFonts w:ascii="Times New Roman" w:eastAsia="Calibri" w:hAnsi="Times New Roman" w:cs="Times New Roman"/>
          <w:sz w:val="24"/>
          <w:szCs w:val="24"/>
          <w:lang w:val="it-IT"/>
        </w:rPr>
        <w:t xml:space="preserve"> të Komunitetit të përmendura në këtë Marrëveshje brenda periudhës tranzitore të përcaktuar në Nenin 6 të kësaj Marrëveshjeje. 3. Gjatë  fazës  së  parë  të  përcaktuar  në Nenin 6 të kësaj  Marrëveshjeje,  përafrimi  do të  përqendrohet në elementët thelbësorë të </w:t>
      </w:r>
      <w:r w:rsidRPr="0061449F">
        <w:rPr>
          <w:rFonts w:ascii="Times New Roman" w:eastAsia="Calibri" w:hAnsi="Times New Roman" w:cs="Times New Roman"/>
          <w:i/>
          <w:sz w:val="24"/>
          <w:szCs w:val="24"/>
          <w:lang w:val="it-IT"/>
        </w:rPr>
        <w:t>acquis</w:t>
      </w:r>
      <w:r w:rsidRPr="0061449F">
        <w:rPr>
          <w:rFonts w:ascii="Times New Roman" w:eastAsia="Calibri" w:hAnsi="Times New Roman" w:cs="Times New Roman"/>
          <w:sz w:val="24"/>
          <w:szCs w:val="24"/>
          <w:lang w:val="it-IT"/>
        </w:rPr>
        <w:t xml:space="preserve"> së Tregut të Brendshëm ashtu si dhe në fusha të tjera të rëndësishme  si  konkurrenca,  të  drejtat  mbi  pronësinë  intelektuale,  industriale  dhe  tregtare,  prokurimi  publik, standardet dhe certifikimi, shërbimet financiare, transporti detar dhe tokësor – duke i kushtuar rëndësi  të  veçantë  sigurisë  dhe  standardeve  mjedisore  si  dhe  aspekteve  sociale –,  ligji  për  kompanitë  tregtare, kontabiliteti, mbrojtja e konsumatorit, mbrojtja e të dhënave, shëndeti dhe siguria në punë dhe mundësitë e barabarta. Gjatë fazës së dytë, Shqipëria përqendrohet në pjesët e mbetura të </w:t>
      </w:r>
      <w:r w:rsidRPr="0061449F">
        <w:rPr>
          <w:rFonts w:ascii="Times New Roman" w:eastAsia="Calibri" w:hAnsi="Times New Roman" w:cs="Times New Roman"/>
          <w:i/>
          <w:iCs/>
          <w:sz w:val="24"/>
          <w:szCs w:val="24"/>
          <w:lang w:val="it-IT"/>
        </w:rPr>
        <w:t>acquis</w:t>
      </w:r>
      <w:r w:rsidRPr="0061449F">
        <w:rPr>
          <w:rFonts w:ascii="Times New Roman" w:eastAsia="Calibri" w:hAnsi="Times New Roman" w:cs="Times New Roman"/>
          <w:sz w:val="24"/>
          <w:szCs w:val="24"/>
          <w:lang w:val="it-IT"/>
        </w:rPr>
        <w:t>. Përafrimi kryhet në bazë të një programi, për të cilin do të bihet dakord, ndërmjet Komisionit të Komuniteteve Europiane dhe Shqipërisë. 4. Shqipëria, në pajtim me Komisionin e Komuniteteve Europiane, do të përcaktojë modalitetet për monitorimin e zbatimit të veprimeve që ndërmerren për përafrimin e legjislacionit dhe imponimin e ligjeve.</w:t>
      </w:r>
    </w:p>
    <w:p w14:paraId="612E3D0E"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Gjithashtu “SND 2024–2030” lidhet me nenin 78 “</w:t>
      </w:r>
      <w:r w:rsidRPr="0061449F">
        <w:rPr>
          <w:rFonts w:ascii="Times New Roman" w:eastAsia="Calibri" w:hAnsi="Times New Roman" w:cs="Times New Roman"/>
          <w:i/>
          <w:sz w:val="24"/>
          <w:szCs w:val="24"/>
          <w:lang w:val="it-IT"/>
        </w:rPr>
        <w:t>Fuqizimi i institucioneve dhe shtetit të së drejtës</w:t>
      </w:r>
      <w:r w:rsidRPr="0061449F">
        <w:rPr>
          <w:rFonts w:ascii="Times New Roman" w:eastAsia="Calibri" w:hAnsi="Times New Roman" w:cs="Times New Roman"/>
          <w:sz w:val="24"/>
          <w:szCs w:val="24"/>
          <w:lang w:val="it-IT"/>
        </w:rPr>
        <w:t xml:space="preserve">” të MSA-së, i cili saktëson se: “Në bashkëpunimin e tyre në fushën e drejtësisë dhe çështjeve të brendshme, palët i kushtojnë rëndësi të veçantë forcimit të shtetit të së drejtës, dhe forcimit të institucioneve në të gjitha nivelet në fushën e administratës në përgjithësi, si edhe imponimit të ligjeve e administrimit të drejtësisë në veçanti. Bashkëpunimi synon veçanërisht fuqizimin e pavarësisë së gjyqësorit dhe përmirësimin e efikasitetit të tij, përmirësimin e funksionimit të policisë dhe organeve të tjera ligjzbatuese duke siguruar trajnime të mjaftueshme dhe duke luftuar korrupsionin dhe krimin e organizuar”. </w:t>
      </w:r>
    </w:p>
    <w:p w14:paraId="45E92ECF"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“SND 2024–2030” lidhet edhe me nenin 88 “</w:t>
      </w:r>
      <w:r w:rsidRPr="0061449F">
        <w:rPr>
          <w:rFonts w:ascii="Times New Roman" w:eastAsia="Calibri" w:hAnsi="Times New Roman" w:cs="Times New Roman"/>
          <w:i/>
          <w:sz w:val="24"/>
          <w:szCs w:val="24"/>
          <w:lang w:val="it-IT"/>
        </w:rPr>
        <w:t>Bashkëpunimi statistikor</w:t>
      </w:r>
      <w:r w:rsidRPr="0061449F">
        <w:rPr>
          <w:rFonts w:ascii="Times New Roman" w:eastAsia="Calibri" w:hAnsi="Times New Roman" w:cs="Times New Roman"/>
          <w:sz w:val="24"/>
          <w:szCs w:val="24"/>
          <w:lang w:val="it-IT"/>
        </w:rPr>
        <w:t xml:space="preserve">” të MSA-së, ku përcaktohet se “Bashkëpunimi midis palëve përqendrohet kryesisht në fushat prioritare që lidhen me </w:t>
      </w:r>
      <w:r w:rsidRPr="0061449F">
        <w:rPr>
          <w:rFonts w:ascii="Times New Roman" w:eastAsia="Calibri" w:hAnsi="Times New Roman" w:cs="Times New Roman"/>
          <w:i/>
          <w:iCs/>
          <w:sz w:val="24"/>
          <w:szCs w:val="24"/>
          <w:lang w:val="it-IT"/>
        </w:rPr>
        <w:t>acquis</w:t>
      </w:r>
      <w:r w:rsidRPr="0061449F">
        <w:rPr>
          <w:rFonts w:ascii="Times New Roman" w:eastAsia="Calibri" w:hAnsi="Times New Roman" w:cs="Times New Roman"/>
          <w:sz w:val="24"/>
          <w:szCs w:val="24"/>
          <w:lang w:val="it-IT"/>
        </w:rPr>
        <w:t xml:space="preserve"> e Komunitetit në fushën e statistikave. Ai synon veçanërisht zhvillimin e një sistemi statistikor efikas dhe të qëndrueshëm, të aftë për të siguruar të dhëna të krahasueshme, të besueshme, objektive dhe të sakta, që nevojiten për të planifikuar dhe monitoruar procesin e tranzicionit dhe reformës në Shqipëri. Ky sistem duhet gjithashtu t’i mundësojë Institutit Shqiptar të Statistikave të përmbushë më mirë nevojat e klientëve vendës dhe ndërkombëtarë (si të administratës publike ashtu dhe të sektorit privat). Sistemi statistikor duhet të respektojë parimet themelore të statistikave të nxjerra nga OKB-ja dhe Kodi Statistikor Evropian i Praktikës dhe parashikimet e së drejtës Statistikore Evropiane, dhe duhet të zhvillohet drejt </w:t>
      </w:r>
      <w:r w:rsidRPr="0061449F">
        <w:rPr>
          <w:rFonts w:ascii="Times New Roman" w:eastAsia="Calibri" w:hAnsi="Times New Roman" w:cs="Times New Roman"/>
          <w:i/>
          <w:sz w:val="24"/>
          <w:szCs w:val="24"/>
          <w:lang w:val="it-IT"/>
        </w:rPr>
        <w:t>acquis</w:t>
      </w:r>
      <w:r w:rsidRPr="0061449F">
        <w:rPr>
          <w:rFonts w:ascii="Times New Roman" w:eastAsia="Calibri" w:hAnsi="Times New Roman" w:cs="Times New Roman"/>
          <w:sz w:val="24"/>
          <w:szCs w:val="24"/>
          <w:lang w:val="it-IT"/>
        </w:rPr>
        <w:t>-së së Komunitetit”.</w:t>
      </w:r>
    </w:p>
    <w:p w14:paraId="1DB5842F" w14:textId="77777777" w:rsidR="0061449F" w:rsidRPr="0061449F" w:rsidRDefault="0061449F" w:rsidP="0061449F">
      <w:pPr>
        <w:spacing w:before="100" w:beforeAutospacing="1" w:after="100" w:afterAutospacing="1" w:line="276" w:lineRule="auto"/>
        <w:jc w:val="both"/>
        <w:textAlignment w:val="baseline"/>
        <w:rPr>
          <w:rFonts w:ascii="Times New Roman" w:eastAsia="Times New Roman" w:hAnsi="Times New Roman" w:cs="Times New Roman"/>
          <w:sz w:val="24"/>
          <w:szCs w:val="24"/>
          <w:lang w:val="it-IT"/>
        </w:rPr>
      </w:pPr>
      <w:r w:rsidRPr="0061449F">
        <w:rPr>
          <w:rFonts w:ascii="Times New Roman" w:eastAsia="Times New Roman" w:hAnsi="Times New Roman" w:cs="Times New Roman"/>
          <w:b/>
          <w:sz w:val="24"/>
          <w:szCs w:val="24"/>
          <w:lang w:val="it-IT"/>
        </w:rPr>
        <w:lastRenderedPageBreak/>
        <w:t>2.3.6. Lidhja e “SND 2024–2030” me dokumentet e tjera strategjike kombëtare</w:t>
      </w:r>
      <w:r w:rsidRPr="0061449F">
        <w:rPr>
          <w:rFonts w:ascii="Times New Roman" w:eastAsia="Times New Roman" w:hAnsi="Times New Roman" w:cs="Times New Roman"/>
          <w:sz w:val="24"/>
          <w:szCs w:val="24"/>
          <w:lang w:val="it-IT"/>
        </w:rPr>
        <w:t xml:space="preserve"> </w:t>
      </w:r>
    </w:p>
    <w:p w14:paraId="579CAF67" w14:textId="77777777" w:rsidR="0061449F" w:rsidRPr="0061449F" w:rsidRDefault="0061449F" w:rsidP="0061449F">
      <w:pPr>
        <w:spacing w:before="100" w:beforeAutospacing="1" w:after="100" w:afterAutospacing="1" w:line="276" w:lineRule="auto"/>
        <w:jc w:val="both"/>
        <w:textAlignment w:val="baseline"/>
        <w:rPr>
          <w:rFonts w:ascii="Times New Roman" w:eastAsia="Times New Roman" w:hAnsi="Times New Roman" w:cs="Times New Roman"/>
          <w:sz w:val="24"/>
          <w:szCs w:val="24"/>
          <w:lang w:val="it-IT"/>
        </w:rPr>
      </w:pPr>
      <w:r w:rsidRPr="0061449F">
        <w:rPr>
          <w:rFonts w:ascii="Times New Roman" w:eastAsia="Times New Roman" w:hAnsi="Times New Roman" w:cs="Times New Roman"/>
          <w:sz w:val="24"/>
          <w:szCs w:val="24"/>
          <w:lang w:val="it-IT"/>
        </w:rPr>
        <w:t>“SND 2024-2030” lidhet me Strategjinë Kombëtare të Sigurisë 2023-2028, Strategjinë kundër Krimit të Organizuar dhe Krimeve të Rënda 2021–2025 dhe Planin e Veprimit për Luftën kundër Trafikimit të Personave 2021–2023, Strategjinë kundër Terrorizmit dhe Esktremizmit të Dhunshëm dhe Planin e Veprimit 2023 – 2025, Strategjinë Kombëtare të Rinisë dhe Planin e Veprimit 2022 – 2029, Strategjinë Ndërsektoriale për Decentralizimin dhe Qeverisjen Vendore 2023-2030, dhe Planin e saj të Veprimit 2023-2025, Strategjinë Ndërsektoriale për Administratën Publike, Strategjinë Ndërsektoriale kundër Korrupsionit, Strategjinë Kombëtare për Sigurinë Kibernetike 2020-2025, Strategjinë Kombëtare të Barazisë Gjinore dhe Planin e Veprimit 2021-2030, me Dokumentin Politik të Përfshirjes Sociale 2016–2020, si dhe me Strategjinë për Sigurinë Publike dhe Planin e Veprimit 2024 – 2026.</w:t>
      </w:r>
    </w:p>
    <w:p w14:paraId="3101E254" w14:textId="77777777" w:rsidR="0061449F" w:rsidRPr="0061449F" w:rsidRDefault="0061449F" w:rsidP="0061449F">
      <w:pPr>
        <w:rPr>
          <w:rFonts w:ascii="Times New Roman" w:eastAsia="Calibri" w:hAnsi="Times New Roman" w:cs="Times New Roman"/>
          <w:b/>
          <w:sz w:val="24"/>
          <w:szCs w:val="24"/>
          <w:lang w:val="it-IT"/>
        </w:rPr>
      </w:pPr>
      <w:r w:rsidRPr="0061449F">
        <w:rPr>
          <w:rFonts w:ascii="Times New Roman" w:eastAsia="Calibri" w:hAnsi="Times New Roman" w:cs="Times New Roman"/>
          <w:b/>
          <w:sz w:val="24"/>
          <w:szCs w:val="24"/>
          <w:lang w:val="it-IT"/>
        </w:rPr>
        <w:t xml:space="preserve">2.3.7 Lidhja e “SND 2024-2030” me Objektivat e Zhvillimit të Qëndrueshëm </w:t>
      </w:r>
      <w:r w:rsidRPr="0061449F">
        <w:rPr>
          <w:rFonts w:ascii="Times New Roman" w:eastAsia="Calibri" w:hAnsi="Times New Roman" w:cs="Times New Roman"/>
          <w:b/>
          <w:bCs/>
          <w:sz w:val="24"/>
          <w:szCs w:val="24"/>
          <w:lang w:val="it-IT"/>
        </w:rPr>
        <w:t>(OZHQ):</w:t>
      </w:r>
      <w:r w:rsidRPr="0061449F">
        <w:rPr>
          <w:rFonts w:ascii="Times New Roman" w:eastAsia="Calibri" w:hAnsi="Times New Roman" w:cs="Times New Roman"/>
          <w:b/>
          <w:sz w:val="24"/>
          <w:szCs w:val="24"/>
          <w:lang w:val="it-IT"/>
        </w:rPr>
        <w:t xml:space="preserve"> </w:t>
      </w:r>
    </w:p>
    <w:p w14:paraId="3054772D" w14:textId="77777777" w:rsidR="0061449F" w:rsidRPr="0061449F" w:rsidRDefault="0061449F" w:rsidP="0061449F">
      <w:pPr>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SND 2024-2030 parashikon qëllimet dhe objektivat e hartuar në kuadër të përmbushjes së Objektivave të Zhvillimit të Qëndrueshëm 2030 (OZHQ) dhe Agjendës 2030, konkretisht me Objektivin 16 të Zhvillimit të Qëndrueshëm (OZHQ, “Promovimi i shoqërive paqësore dhe përfshirëse për zhvillim të qëndrueshëm, ofrim i aksesit në drejtësi për të gjithë dhe ndërtimi i institucioneve efektive, llogaridhënëse dhe gjithëpërfshirëse në të gjitha nivelet”.  SND 2024-2030, lidhet me nënobjektivin 16.3: “Promovimi i shtetit të së drejtës në nivelin kombëtar dhe ndërkombëtar dhe sigurimi i aksesit të barabartë në drejtësi për të gjithë”. Gjithashtu, SND 2024-2030, lidhet me nënobjektivin 16.6: “Zhvillimi i institucioneve efektive, llogaridhënëse dhe transparente në të gjitha nivelet”, me nënobjektivin 16.7: “Sigurimi i vendimmarrjes reaguese, përfshirëse, pjesëmarrëse dhe përfaqësuese në të gjitha nivelet” si dhe me nënobjektivin 16.10: “Sigurimi i aksesit të publikut në informacion dhe mbrojtja e lirive themelore, në përputhje me legjislacionin kombëtar dhe marrëveshjet ndërkombëtare”.</w:t>
      </w:r>
    </w:p>
    <w:p w14:paraId="336CB7D7" w14:textId="77777777" w:rsidR="0061449F" w:rsidRPr="0061449F" w:rsidRDefault="0061449F" w:rsidP="0061449F">
      <w:pPr>
        <w:jc w:val="both"/>
        <w:rPr>
          <w:rFonts w:ascii="Times New Roman" w:eastAsia="Calibri" w:hAnsi="Times New Roman" w:cs="Times New Roman"/>
          <w:b/>
          <w:sz w:val="24"/>
          <w:szCs w:val="24"/>
          <w:lang w:val="it-IT"/>
        </w:rPr>
      </w:pPr>
      <w:r w:rsidRPr="0061449F">
        <w:rPr>
          <w:rFonts w:ascii="Times New Roman" w:eastAsia="Calibri" w:hAnsi="Times New Roman" w:cs="Times New Roman"/>
          <w:b/>
          <w:sz w:val="24"/>
          <w:szCs w:val="24"/>
          <w:lang w:val="it-IT"/>
        </w:rPr>
        <w:t xml:space="preserve">Lidhja e “SND 2024-2030” me Udhërrëfyesin për Shtetin e së Drejtës </w:t>
      </w:r>
    </w:p>
    <w:p w14:paraId="6CD57950"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Udhërrëfyesi për Shtetin e së Drejtës - Kapitulli 23 “Gjyqësori dhe të Drejtat Themelore” mbulon tre aspekte madhore që janë : (i) Reforma në Drejtësi; (ii) Lufta kundër korrupsionit; dhe (iii) Të drejtat themelore. Ky dokument me karakter orientues përcakton fushat dhe objektivat e Reformës në Drejtësi, masat strategjike dhe legjislative, kornizën institucionale, kapacitetet dhe performancën për secilin nga institucionet e qeverisjes së sistemit të drejtësisë të cilat duhet të jetësohen në Strategjinë Ndërsektoriale të Drejtësisë 2024-2030. Reforma në Drejtësi, vendos objektiva vizionarë në kuadër të konsolidimit të arritjeve të mëtejshme të reformës në drejtësi, duke filluar nga finalizimi i procesit të rivlerësimit nga organet e </w:t>
      </w:r>
      <w:r w:rsidRPr="0061449F">
        <w:rPr>
          <w:rFonts w:ascii="Times New Roman" w:eastAsia="Calibri" w:hAnsi="Times New Roman" w:cs="Times New Roman"/>
          <w:i/>
          <w:iCs/>
          <w:sz w:val="24"/>
          <w:szCs w:val="24"/>
          <w:lang w:val="it-IT"/>
        </w:rPr>
        <w:t>vetting</w:t>
      </w:r>
      <w:r w:rsidRPr="0061449F">
        <w:rPr>
          <w:rFonts w:ascii="Times New Roman" w:eastAsia="Calibri" w:hAnsi="Times New Roman" w:cs="Times New Roman"/>
          <w:sz w:val="24"/>
          <w:szCs w:val="24"/>
          <w:lang w:val="it-IT"/>
        </w:rPr>
        <w:t>-ut brenda afateve kushtetuese, tek garantimi i qëndrueshmërisë së procesit të rivlerësimit të magjistratit gjatë gjithë periudhës në detyrë. Në nivel ndërinstitucional, duhet të forcohen kapacitetet e organeve të qeverisjes së sistemit të drejtësisë, të thellohet bashkëpunimi e koordinimi ndërinstitucional, të përmirësohet komunikimi publik në kuadër të Reformës në Drejtësi.  Parimet bazë që udhëheqin Reformën në Drejtësi janë pavarësia dhe paanshmëria, llogaridhënia, cilësia e drejtësisë, efikasiteti, integriteti, profesionalizimi.</w:t>
      </w:r>
    </w:p>
    <w:p w14:paraId="549BD378"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Lidhur me pavarësinë dhe paanshmërinë, duhen emëruar magjistratë në përputhje me parimin e meritës dhe anvacimi në karrierë duhet të bazohet në parimin e profesionalizmit dhe kontrollit të pasurisë dhe figurës së magjistratit.  </w:t>
      </w:r>
    </w:p>
    <w:p w14:paraId="790C8186"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lastRenderedPageBreak/>
        <w:t xml:space="preserve">Këshilli i Emërimeve në Drejtësi (KED), në funksion të këtij udhërrëfyesi duhet të ketë transparencë të plotë përsa i takon funksionimit të tij. Në kuadër të veprimatarisë funksionale, KED duhet të përafrojë plotësisht procedurat e tij me rekomandimet e Komisionit të Venecias. Një nga masat thelbësore të këtij udhërrëfyesi konsiston në parandalimin e ndërhyrjeve, të brendshme apo të jashtme, që mund të influencojnë gjyqtarët, prokurorët dhe stafin e gjykatave në ushtrimin e detyrës. </w:t>
      </w:r>
    </w:p>
    <w:p w14:paraId="6FD1F733"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Lidhur me llogaridhënien dhe integritetin në të gjitha nivelet e gjyqësorit, duhen përditësuar deklaratat e pasurisë së anëtarëve të sistemit gjyqësor dhe të prokurorisë. Këshilli i Lartë Gjyqësor dhe Këshilli i Lartë i Prokurorisë, duhet të ndjekin sistematikisht raportet e deklarimit të pasurisë nga ILDKPKI-ja dhe duhet të ndërmarrin hetime të mëtejshme në kontekstin e shqyrtimit të pasurisë dhe të figurës së magjistratëve, për të hetuar dhe për të raportuar sipas rastit, në prokurori. </w:t>
      </w:r>
    </w:p>
    <w:p w14:paraId="650553BD"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Lidhur me cilësinë në drejtësi, duhet përmirësuar performanca e magjistratëve duke forcuar kapacitetet nëpërmjet trajnimeve, duke përmirësuar gradualisht infrastrukturën gjyqësore, përfshirë krijimin e ambienteve të përshtatshme për Gjykatën e Apelit. Duhen krijuar kushte që mundësojnë aksesueshmërinë e praktikës gjyqësore, veçanërisht atë të vendimeve të Gjykatës së Lartë, dhe duhet përmirësuar cilësia e arsyetimit të vendimeve gjyqësore.</w:t>
      </w:r>
    </w:p>
    <w:p w14:paraId="186A6F60"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Lidhur me efikasitetin, duhet konsoliduar kuadri i përgjithshëm ligjor dhe institucional për të siguruar reduktimin gradual të çështjeve të mbartura dhe uljen në nivel të arsyeshëm të kohëzgjatjes së procedurave, proporcionalisht me rritjen e personelit në gjykata dhe në prokurori. Këshilli i Lartë Gjyqësor, këshillat e gjykatave dhe Prokuroria e Përgjithshme, duhet të zhvillojnë dhe miratojnë një strategji të reduktimit të dosjeve të mbetura dhe të shpërndarjes së barabartë të ngarkesës së punës për gjykatat dhe prokuroritë në të gjitha nivelet. Zbatimi dhe rivlerësimi i hartës gjyqësore, duhet t’i komunikohet në mënyrë të vazhdueshme publikut nga Këshilli i Lartë Gjyqësor dhe Prokuroria e Përgjithshme. Nga ana tjetër, Prokuroria e Përgjithshme, duhet të ndërmarrë masa organizative/proceduriale për të koordinuar dhe monitoruar zbatimin e hartës së re gjyqësore në lidhje me prokuroritë. </w:t>
      </w:r>
    </w:p>
    <w:p w14:paraId="463F7710"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Dhoma Kombëtare e Ndërmjetësve, duhet të forcojë ndërmjetësimin, me trajnime fillestare dhe të vazhdueshme për ndërmjetësit kandidatë dhe të diplomuar si dhe të kryejë fushata ndërgjegjësuese për ndërmjetësimin. Gjykatat kanë detyrimin ligjor të informojnë palët lidhur me mundësinë e zgjidhjes së mosmarrëveshjeve me anë të ndërmjetësimit. </w:t>
      </w:r>
    </w:p>
    <w:p w14:paraId="0BC77BB4"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Përsa i takon efikasitetit nëpërmjet teknologjisë së informacionit dhe komunikimit, duhet garantuar funksionaliteti i sistemit të integruar të menaxhimit të çështjeve (ICMIS), i cili duhet të përfshijë të gjitha proceset dhe detajet e funksionaliteteve. Miratimi dhe zbatimi i një plani strategjik të sistemit të teknologjisë së informacionit, duhet të sigurojë ndërlidhjen me sistemin e drejtësisë, prokurorinë, gjykatat dhe me institucionet e tjera të drejtësisë në mënyrë të tillë që vijohet përdorimi me efikasitet i sistemit të integruar të menaxhimit të çështjeve. </w:t>
      </w:r>
    </w:p>
    <w:p w14:paraId="7EE16887" w14:textId="77777777" w:rsidR="0061449F" w:rsidRPr="0061449F" w:rsidRDefault="0061449F" w:rsidP="0061449F">
      <w:pPr>
        <w:numPr>
          <w:ilvl w:val="0"/>
          <w:numId w:val="4"/>
        </w:numPr>
        <w:contextualSpacing/>
        <w:jc w:val="both"/>
        <w:rPr>
          <w:rFonts w:ascii="Times New Roman" w:eastAsia="Times New Roman" w:hAnsi="Times New Roman" w:cs="Times New Roman"/>
          <w:b/>
          <w:bCs/>
          <w:sz w:val="24"/>
          <w:szCs w:val="24"/>
          <w:bdr w:val="none" w:sz="0" w:space="0" w:color="auto" w:frame="1"/>
          <w:lang w:val="it-IT"/>
        </w:rPr>
      </w:pPr>
      <w:r w:rsidRPr="0061449F">
        <w:rPr>
          <w:rFonts w:ascii="Times New Roman" w:eastAsia="Times New Roman" w:hAnsi="Times New Roman" w:cs="Times New Roman"/>
          <w:b/>
          <w:bCs/>
          <w:sz w:val="24"/>
          <w:szCs w:val="24"/>
          <w:bdr w:val="none" w:sz="0" w:space="0" w:color="auto" w:frame="1"/>
          <w:lang w:val="it-IT"/>
        </w:rPr>
        <w:t>Analiza e zbatimit të SDN 2021-2025. Arritjet dhe mësimet e nxjerra nga zbatimi i saj</w:t>
      </w:r>
    </w:p>
    <w:p w14:paraId="2873EF77"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Nevoja për ndërmarrjen e reformave në sistemin e drejtësisë afirmohet që në vitin 2011, me miratimin e Strategjisë së parë Ndërsektoriale të Drejtësisë, dokument politikash që përmban objektiva të rëndësishëm me afat zbatimi dyvjeçar (2011-2013). Në vijim të kësaj reforme, në vitin 2015, Komisioni </w:t>
      </w:r>
      <w:r w:rsidRPr="0061449F">
        <w:rPr>
          <w:rFonts w:ascii="Times New Roman" w:eastAsia="Calibri" w:hAnsi="Times New Roman" w:cs="Times New Roman"/>
          <w:sz w:val="24"/>
          <w:szCs w:val="24"/>
          <w:lang w:val="it-IT"/>
        </w:rPr>
        <w:lastRenderedPageBreak/>
        <w:t xml:space="preserve">i Posaçëm Parlamentar për Reformën në Sistemin e Drejtësisë, Grupi i Ekspertëve të Nivelit të Lartë, në bashkëpunim dhe me kontributin e Ministrisë së Drejtësisë, të institucioneve të sistemit të drejtësisë dhe ekspertëve vendas dhe partnerëve ndërkombërë, hartuan dokumentin e parë analitik lidhur me gjendjen aktuale të sistemit të drejtësisë. </w:t>
      </w:r>
    </w:p>
    <w:p w14:paraId="02B67BC8" w14:textId="3C496446"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Në kuadër të procesit të anëtarësimit në Bashkimin Evropian dhe të adresimeve të rekomandimeve të BE-së, Ministria e Drejtësisë vijoi punën me hartimin e Strategjisë Kombëtare për Zhvillim dhe Integrim 2015-2020, një dokument orientues i politikave të përgjithshme shtetërore që përfshinte politika lidhur me sistemin e drejtësisë, i miratuar në vitin 2016. Në vijim të këtij dokumenti, u hodhën bazat ligjore dhe institucionale të reformës në drejtësi në vitin 2016, pasi u miratua Strategjia Ndërsektoriale e Drejtësisë 201</w:t>
      </w:r>
      <w:r w:rsidR="00E316F6">
        <w:rPr>
          <w:rFonts w:ascii="Times New Roman" w:eastAsia="Calibri" w:hAnsi="Times New Roman" w:cs="Times New Roman"/>
          <w:sz w:val="24"/>
          <w:szCs w:val="24"/>
          <w:lang w:val="it-IT"/>
        </w:rPr>
        <w:t>7</w:t>
      </w:r>
      <w:r w:rsidRPr="0061449F">
        <w:rPr>
          <w:rFonts w:ascii="Times New Roman" w:eastAsia="Calibri" w:hAnsi="Times New Roman" w:cs="Times New Roman"/>
          <w:sz w:val="24"/>
          <w:szCs w:val="24"/>
          <w:lang w:val="it-IT"/>
        </w:rPr>
        <w:t xml:space="preserve">-2020, e cila adresonte ndryshimet kushtetuese dhe legjislative në të gjithë sektorin, me një kornizë ligjore dhe institucionale në përputhje me standartet evropiane, duke parashikuar procesin e rivlerësimit kalimtar të gjyqtarëve dhe prokurorëve.  </w:t>
      </w:r>
    </w:p>
    <w:p w14:paraId="2DB74913"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Në vijim, u miratua Strategjia Ndërsektoriale e Drejtësisë 2017–2020, ku u hodhën bazat për konsolidimin e sistemit të drejtësisë. Nga evidentimi i nevojave për përmirësim në pesë vitet e ardhshme u hodhën bazat për miratimin e Strategjisë Ndërsektoriale të Drejtësisë 2021–2025, ku merrej angazhimi të thelloheshin ndryshimet e nisura në fazën e parë të Reformës duke harmonizuar njëkohëshisht sistemin e drejtësisë me standardet më të mira të BE-së. Me anë të këtij dokumenti strategjik, synohej konsolidmi i ndryshimeve institucionale, përmirësimi i drejtësisë penale në përputhje me standartet më të mira evropiane, infrastruktura në sistemin e drejtësisë me zgjidhje për IT-në, duke përfshirë këtu zgjidhjet inovative elektronike me një rritje thelbësore të efikasitetit dhe transparencës në sektorin e drejtësisë. </w:t>
      </w:r>
    </w:p>
    <w:p w14:paraId="6B7B3831"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Reforma në Drejtësi, është kontribut i vyer dhe i mbështetur nga partnerët ndërkombëtarë si Shtetet e Bashkuara të Amerikës dhe Bashkimi Evropian.  Gjatë dy fazave të fundit, sistemi i drejtësisë ka pësuar reforma të thella në funksion të përmbushjes së standardeve dhe praktikave më të mira evropiane. Reforma në Drejtësi, u krye nëpërmjet ndryshimeve kushtetuese, ligjore dhe institucionale që synonin garantimin e pavarësisë, paanshmërisë, profesionalizmit dhe integritetit të sistemit gjyqësor, duke përmirësuar mekanizmat llogaridhënës dhe monitorues të funksionimit të tij.</w:t>
      </w:r>
    </w:p>
    <w:p w14:paraId="71279BEB"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Në kuadrin e reformave institucionale të sistemit të drejtësisë, një hap vendimtar shënoi ngritja dhe funksionimi i plotë i organeve të qeverisjes së sistemit të drejtësisë, si Këshilli i Lartë Gjyqësor, Këshilli i Lartë i Prokurorisë, Inspektori i Lartë i Drejtësisë, Këshilli i Emërimeve në Drejtësi dhe ngritja e një kuadri të plotë institucional për hetimin e korrupsionit dhe krimit të organizuar. U krijua dhe u ngrit Byroja Kombëtare e Hetimit, Prokuroria e Posaçme kundër Korrupsionit dhe Krimit të Organizuar, Gjykata e Posaçme e Shkallës së Parë dhe e Apelit për Korrupsionin dhe Krimin e Organizuar. Sipas Raportit të Komisionit Evropian për Shqipërinë (2023), zbatimi i reformës në drejtësi ka vazhduar, duke çuar, përgjithësisht, në progres të mirë.</w:t>
      </w:r>
    </w:p>
    <w:p w14:paraId="17958AC6"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Pas mbajtjes së Konferencës së Parë Ndërqeveritare, më 19 korrik 2022, ku inicioi dhe procesi i takimeve dypalëshe BE - Shqipëri, vendi ynë ka vijuar me monitorime dhe raportime të rregullta ndaj Bashkimit Evropian. Pas një procesi të detajuar screening të kapaciteteve institucionale, administrative dhe të kuadrit ligjor shqiptar, Komisioni Evropian publikoi Raportin e Shqyrtimit Analatik në korrik 2023 </w:t>
      </w:r>
      <w:r w:rsidRPr="0061449F">
        <w:rPr>
          <w:rFonts w:ascii="Times New Roman" w:eastAsia="Calibri" w:hAnsi="Times New Roman" w:cs="Times New Roman"/>
          <w:sz w:val="24"/>
          <w:szCs w:val="24"/>
          <w:lang w:val="it-IT"/>
        </w:rPr>
        <w:lastRenderedPageBreak/>
        <w:t>lidhur me vlerësimet dhe gjetjet kryesore, për reformën në drejtësi dhe të drejtat e njeriut, pjesë e kapitullit 23 të drejtuar nga Ministria e Drejtësisë.</w:t>
      </w:r>
    </w:p>
    <w:p w14:paraId="5EF97FE8"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Në kontekstin e integrimit në BE, reforma në sistemin e drejtësisë dhe përparimi në zbatimin e saj mbeten të lidhura ngushtë me përmbushjen e kritereve për anëtarësim, përfshirë shtetin e së drejtës, luftën kundër korrupsionit dhe mbrojtjen e të drejtave themelore. Është jetike që angazhimet e ndërmarra nga Shqipëria në këtë proces të konkretizohen në hapa dhe masa të matshme, të cilat monitorohen dhe vlerësohen në mënyrë të vazhdueshme, për të siguruar një raportim transparent dhe përgjegjësi të plota për çdo përparim apo pengesë të hasur në rrugëtimin drejt integrimit evropian. Me gjithë arritjet tepër të rëndësishme, jetësimi me sukses i Reformës në Drejtësi kërkon vëmendje të shtuar edhe mbi përgjegjësitë që burojnë për institucionet e përfshira, të cilat kërkojnë përmirësimin e vazhdueshëm të shërbimeve sipas standardeve Evropiane, si dhe përmirësimin e infrastrukturës së sektorit dhe krijimin e një baze të dhënash elektronike për gjyqësorin. </w:t>
      </w:r>
    </w:p>
    <w:p w14:paraId="24ACC70B"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 Në kuadrin e politikave të përgjitshme shtetëore, u miratua Strategjia Kombëtare për Zhvillimin dhe Integrimin Evropian 2022-2030, dokument ombrellë që siguron prioritizimin e politikave në bazë të gjitha strategjive sektoriale apo edhe ndërsektoriale.  SKZHIE 2022-2030 përcakton drejtime politike prioritare afatmesëm dhe afatgjatë për zhvillimin dhe integrimin e vendit, përfshirë dhe shtatë fushat e përgjegjësisë për sistemin e drejtësisë si: (i) Sistemi i drejtësisë; (ii) Lufta kundër Korrupsionit; (iii) Të drejtat e Njeriut; (iv) Sistemi i Vuajtjes së Dënimit; (v) Procesi Legjislativ dhe Zgjedhor; (vi) Çështjet e pronësisë; (vii) Demokracia. Me ndryshimet lidhur me kabinetin qeveritar fusha “Lufta kundër korrupsionit”, i ka kaluar për kompetencë Ministrit të Shtetit </w:t>
      </w:r>
      <w:r w:rsidRPr="0061449F">
        <w:rPr>
          <w:rFonts w:ascii="Times New Roman" w:eastAsia="Times New Roman" w:hAnsi="Times New Roman" w:cs="Times New Roman"/>
          <w:sz w:val="24"/>
          <w:szCs w:val="24"/>
          <w:bdr w:val="none" w:sz="0" w:space="0" w:color="auto" w:frame="1"/>
          <w:lang w:val="it-IT"/>
        </w:rPr>
        <w:t>për Administratën Publike dhe Antikorrupsionin.</w:t>
      </w:r>
    </w:p>
    <w:p w14:paraId="135CA9B8"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Gjatë tre viteve të fundit të zbatimit të Strategjisë Ndërsektoriale të Drejtësisë 2021-2025 janë marrëvendime të rëndësishme, konkretisht me miratimin e hartës së re gjyqësore, si dhe me amendimin e ndryshimeve kushtetutese për zgjatjen e mandatit kushtetues të Komisionit të Pavarur të Kualifikimit, i cili pritet të përfundojë në dhjetor 2024. Gjykata Kushtetuese ka plotësuar vakancat e anëtarëve dhe është plotësisht funksionale. Për vitin 2022, u emëruan 22 prokurorë dhe 23 gjyqtarë të rinj të sqpodiplomuar nga  Shkolla e Magjistraturës, duke lehtësuar vakuumin e krijuar për shkak të vakancave që pësoi sistemi i gjyqësorit nga procesi i </w:t>
      </w:r>
      <w:r w:rsidRPr="0061449F">
        <w:rPr>
          <w:rFonts w:ascii="Times New Roman" w:eastAsia="Calibri" w:hAnsi="Times New Roman" w:cs="Times New Roman"/>
          <w:i/>
          <w:iCs/>
          <w:sz w:val="24"/>
          <w:szCs w:val="24"/>
          <w:lang w:val="it-IT"/>
        </w:rPr>
        <w:t>vetting</w:t>
      </w:r>
      <w:r w:rsidRPr="0061449F">
        <w:rPr>
          <w:rFonts w:ascii="Times New Roman" w:eastAsia="Calibri" w:hAnsi="Times New Roman" w:cs="Times New Roman"/>
          <w:sz w:val="24"/>
          <w:szCs w:val="24"/>
          <w:lang w:val="it-IT"/>
        </w:rPr>
        <w:t xml:space="preserve">-ut. U propozuan dhe u miratuan nismat ligjore për institucionet e qeverisjes së sistemit të drejtësisë, si dhe u përmirësua kuadri rregullator lidhur me funksionimin e Prokurorisë së Posaçme Kundër Korrupsionit dhe Krimit të Organizuar. </w:t>
      </w:r>
    </w:p>
    <w:p w14:paraId="64E7BE93"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Prokuroria ka shënuar progres lidhur me rritjen e numrit të hetimeve të kryera dhe po punohet intensivisht për uljen e numrit të çështjeve të prapambetura nga Gjykata e Lartë. Inspektori i Lartë i Drejtësisë ka trajtuar me prioritet kërkesat e trashëguara nga institucionet e mëparshme. Shkolla e Magjistraturës ka siguruar trajnime cilësore në përputhje me nevojat e magjistratëve. Qendra e Teknologjisë së Informacionit miratoi për herë të parë Udhërrëfyesin për zhvillimin e Sistemit të ri të Menaxhimit të Çështjeve. </w:t>
      </w:r>
    </w:p>
    <w:p w14:paraId="2986F93A"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Ministria e Drejtësisë, si institucioni lider për reformën në drejtësi, ka koordinuar me sukses punën me 55 institucione dhe përgatititi 23 prezantime gjatë takimeve bilaterale. Drejtoria e Ndihmës Juridike Falas, institucion në varësi të Ministrisë së Drejtësisë, për vitin 2022 ka tejkaluar targetin për ofrimin e </w:t>
      </w:r>
      <w:r w:rsidRPr="0061449F">
        <w:rPr>
          <w:rFonts w:ascii="Times New Roman" w:eastAsia="Calibri" w:hAnsi="Times New Roman" w:cs="Times New Roman"/>
          <w:sz w:val="24"/>
          <w:szCs w:val="24"/>
          <w:lang w:val="it-IT"/>
        </w:rPr>
        <w:lastRenderedPageBreak/>
        <w:t>ndihmës parësore dhe dytësore juridike falas me rritjen e numrit të fushatave ndërgjegjësuese për shërbimet e ndihmës juridike falas dhe shpërndarjen e materialeve promovuese. Për herë të parë, është bërë e munduar dhe është miratuar Master Plani i ri i Burgjeve, ku prioritet përbën ngritja e kapaciteteve të stafit dhe përmirësimi i performancës profesionale.</w:t>
      </w:r>
    </w:p>
    <w:p w14:paraId="3A13E828"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Duke qenë se Reforma në Drejtësi ka kaluar dy fazat dhe është në fazën e tretë të saj, është vlerësuar e nevojshme hartimi i një dokumenti strategjik që përcakton drejtimet e zhvillimeve në sistemin e drejtësisë për vitet 2024-2030. Strategjia Ndërsektoriale e Drejtësisë 2024-2030, Plani i saj i Veprimit dhe pasaporta e treguesve (këtu e në vijim “SND 2024- 2030”) është strategjia e tretë e cila adreson gjetjet dhe rekomandimet e raporteve të monitorimit të zbatimit të Strategjisë Ndërsektoriale të Drejtësisë 2021-2025, si dhe të gjitha rekomandimet në kuadër të procesit të negociatave të anëtarësimit në Bashkimin Evropian, të specifikauara në Udhërrëfyesin për Shtetin e së Drejtës, Kapitulli 23- Gjyqësori dhe të Drejtat Themelore. Udhërrëfyesi për Shtetin e së Drejtës është një dokument orientues i cili, pasi vendos piketat kryesore për adresimin e prioriteteve të Reformës në Drejtësi, rekomandon konsolidimin e një dokumenti strategjik me qasje ndërsektoriale për të orientuar zhvillimet në sistemin e drejtësisë për vitet 2024-2030. </w:t>
      </w:r>
    </w:p>
    <w:p w14:paraId="28BE2850"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Grupi Ndërinstitucional i Punës për Integrimin Evropian (ngritur sipas Urdhrit të Kryeministrit të Republikës së Shqipërisë nr.57 datë 24.4.2023) konsolidoi gjetjet e tij në një dokument të vetëm, Udhërrëfyesi për Shtetin e së Drejtës, i cili u miratua, me vendimin nr. 736, datë 13.12.2023, të Këshillit të Ministrave.  Udhërrëfyesi për Shtetin e së Drejtës është dokumenti kryesor me karakter sa orientues edhe rekomandues lidhur me ndërmarrjen e masave strategjike dhe institucionale për sistemin e drejtësisë, duke vendosur piketat hapëse të grupkapitullit të parë Themelorët” në kuadër të negociatave për anëtarësim në Bashkimin Evropian. Pjesë e rekomandimeve të këtij Udhërrëfyesi është edhe përditësimi i Strategjisë Ndërsektoriale të Drejtësisë 2021-2025. Objektivat e kësaj SND 2024-2030 lidhen me konsolidimin e arritjeve të Reformës në Drejtësi, dhe garantimin e pavarësisë, paanshmërisë, llogaridhënies, cilësisë dhe efikasitetit në sistemin e drejtësisë.</w:t>
      </w:r>
    </w:p>
    <w:p w14:paraId="221D607A"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Në mënyrë periodike, si institucioni lider për hartimin e politikave në fushën e drejtësisë, Ministria e Drejtësisë ka ndjekur dhe monitoruar zbatimin e SND 2021-2025 dhe ka hartuar raportet e moniorimit të cilat gjenden të publikuara në faqen zyrtare të saj: </w:t>
      </w:r>
      <w:hyperlink r:id="rId10" w:history="1">
        <w:r w:rsidRPr="0061449F">
          <w:rPr>
            <w:rFonts w:ascii="Times New Roman" w:eastAsia="Calibri" w:hAnsi="Times New Roman" w:cs="Times New Roman"/>
            <w:sz w:val="24"/>
            <w:szCs w:val="24"/>
            <w:u w:val="single"/>
            <w:lang w:val="it-IT"/>
          </w:rPr>
          <w:t>https://www.drejtesia.gov.al/plani-i-veprimit-te-strategjise-ndersektoriale-te-drejtesise/</w:t>
        </w:r>
      </w:hyperlink>
    </w:p>
    <w:p w14:paraId="5C0AF2DF" w14:textId="77777777" w:rsidR="0061449F" w:rsidRPr="0061449F" w:rsidRDefault="0061449F" w:rsidP="0061449F">
      <w:pPr>
        <w:autoSpaceDE w:val="0"/>
        <w:autoSpaceDN w:val="0"/>
        <w:adjustRightInd w:val="0"/>
        <w:spacing w:after="0" w:line="276" w:lineRule="auto"/>
        <w:jc w:val="both"/>
        <w:rPr>
          <w:rFonts w:ascii="Times New Roman" w:eastAsia="MS Mincho" w:hAnsi="Times New Roman" w:cs="Times New Roman"/>
          <w:sz w:val="24"/>
          <w:szCs w:val="24"/>
          <w:lang w:val="sq-AL" w:eastAsia="en-GB"/>
        </w:rPr>
      </w:pPr>
      <w:r w:rsidRPr="0061449F">
        <w:rPr>
          <w:rFonts w:ascii="Times New Roman" w:eastAsia="MS Mincho" w:hAnsi="Times New Roman" w:cs="Times New Roman"/>
          <w:sz w:val="24"/>
          <w:szCs w:val="24"/>
          <w:lang w:val="sq-AL" w:eastAsia="en-GB"/>
        </w:rPr>
        <w:t xml:space="preserve">Në mënyrë të përmbledhur, </w:t>
      </w:r>
      <w:r w:rsidRPr="0061449F">
        <w:rPr>
          <w:rFonts w:ascii="Times New Roman" w:eastAsia="Times New Roman" w:hAnsi="Times New Roman" w:cs="Times New Roman"/>
          <w:b/>
          <w:bCs/>
          <w:noProof/>
          <w:sz w:val="24"/>
          <w:szCs w:val="24"/>
          <w:lang w:val="sq-AL"/>
        </w:rPr>
        <w:t>Raporti Vjetor i Monitorimit për vitin</w:t>
      </w:r>
      <w:r w:rsidRPr="0061449F">
        <w:rPr>
          <w:rFonts w:ascii="Times New Roman" w:eastAsia="MS Mincho" w:hAnsi="Times New Roman" w:cs="Times New Roman"/>
          <w:b/>
          <w:bCs/>
          <w:sz w:val="24"/>
          <w:szCs w:val="24"/>
          <w:lang w:val="sq-AL" w:eastAsia="en-GB"/>
        </w:rPr>
        <w:t xml:space="preserve"> 2021</w:t>
      </w:r>
      <w:r w:rsidRPr="0061449F">
        <w:rPr>
          <w:rFonts w:ascii="Times New Roman" w:eastAsia="MS Mincho" w:hAnsi="Times New Roman" w:cs="Times New Roman"/>
          <w:sz w:val="24"/>
          <w:szCs w:val="24"/>
          <w:lang w:val="sq-AL" w:eastAsia="en-GB"/>
        </w:rPr>
        <w:t xml:space="preserve"> evidentoi disa arritje të rëndësishme gjatë zbatimit të  Strategjisë Ndërsektoriale të Drejtësisë, ku konkretisht mund të përmendim:</w:t>
      </w:r>
    </w:p>
    <w:p w14:paraId="2B144AF3" w14:textId="77777777" w:rsidR="0061449F" w:rsidRPr="0061449F" w:rsidRDefault="0061449F" w:rsidP="0061449F">
      <w:pPr>
        <w:numPr>
          <w:ilvl w:val="0"/>
          <w:numId w:val="20"/>
        </w:numPr>
        <w:spacing w:after="0" w:line="276" w:lineRule="auto"/>
        <w:contextualSpacing/>
        <w:jc w:val="both"/>
        <w:rPr>
          <w:rFonts w:ascii="Times New Roman" w:eastAsia="MS Mincho" w:hAnsi="Times New Roman" w:cs="Times New Roman"/>
          <w:sz w:val="24"/>
          <w:szCs w:val="24"/>
          <w:lang w:val="sq-AL"/>
        </w:rPr>
      </w:pPr>
      <w:r w:rsidRPr="0061449F">
        <w:rPr>
          <w:rFonts w:ascii="Times New Roman" w:eastAsia="MS Mincho" w:hAnsi="Times New Roman" w:cs="Times New Roman"/>
          <w:sz w:val="24"/>
          <w:szCs w:val="24"/>
          <w:lang w:val="sq-AL"/>
        </w:rPr>
        <w:t>Nga 120 dosje të parashikuara për t’u vlerësuar për vitin 2021, Komisioni i Pavarur i Kualifikimit ka përmbyllur 167 dosje, duke tejkaluar kështu me 39% synimin e vendosur.</w:t>
      </w:r>
    </w:p>
    <w:p w14:paraId="448C225F" w14:textId="77777777" w:rsidR="0061449F" w:rsidRPr="0061449F" w:rsidRDefault="0061449F" w:rsidP="0061449F">
      <w:pPr>
        <w:numPr>
          <w:ilvl w:val="0"/>
          <w:numId w:val="20"/>
        </w:numPr>
        <w:spacing w:after="0" w:line="276" w:lineRule="auto"/>
        <w:contextualSpacing/>
        <w:jc w:val="both"/>
        <w:rPr>
          <w:rFonts w:ascii="Times New Roman" w:eastAsia="MS Mincho" w:hAnsi="Times New Roman" w:cs="Times New Roman"/>
          <w:sz w:val="24"/>
          <w:szCs w:val="24"/>
          <w:lang w:val="sq-AL"/>
        </w:rPr>
      </w:pPr>
      <w:r w:rsidRPr="0061449F">
        <w:rPr>
          <w:rFonts w:ascii="Times New Roman" w:eastAsia="MS Mincho" w:hAnsi="Times New Roman" w:cs="Times New Roman"/>
          <w:sz w:val="24"/>
          <w:szCs w:val="24"/>
          <w:lang w:val="sq-AL"/>
        </w:rPr>
        <w:t xml:space="preserve">Kolegji të Posaçëm të Apelimit ka shpallur 38 vendime, duke vendosur lënien në fuqi të vendimit të Komisionit të Pavarur të Kualifikimit në 29 vendime; ndryshimin e vendimit të Komisionit të Pavarur të Kualifikimit, ndërprerjen e procesit të rivlerësimit dhe ndalimin e subjekteve të rivlerësimit të emërohen gjyqtarë apo prokurorë të çdo niveli, anëtar i KLGJ ose KLP, Inspektor i Lartë i Drejtësisë ose Prokuror i Përgjithshëm për një periudhë 15-vjeçare: në 1 vendim; ndryshimin e vendimit të Komisionit të Pavarur të Kualifikimit, duke vendosur shkarkimin nga </w:t>
      </w:r>
      <w:r w:rsidRPr="0061449F">
        <w:rPr>
          <w:rFonts w:ascii="Times New Roman" w:eastAsia="MS Mincho" w:hAnsi="Times New Roman" w:cs="Times New Roman"/>
          <w:sz w:val="24"/>
          <w:szCs w:val="24"/>
          <w:lang w:val="sq-AL"/>
        </w:rPr>
        <w:lastRenderedPageBreak/>
        <w:t>detyra të subjektit të rivlerësimit : në 5 vendime; ndryshimin e vendimit të Komisionit të Pavarur të Kualifikimit, duke vendosur konfirmimin në detyrë të subjektit të rivlerësimit : në  1 vendim; prishjen e vendimit të Komisionit të Pavarur të Kualifikimit, duke urdhëruar Komisionin e Pavarur të Kualifikimit të vazhdojë kryerjen e procesit të rivlerësimit : në 1 vendim; prishjen e vendimit të Komisionit të Pavarur të Kualifikimit në 1 vendim. Gjatë periudhës janar - dhjetor 2021, në regjistrin e denoncimeve të publikut të KPA-së janë regjistruar 151 denoncime.</w:t>
      </w:r>
    </w:p>
    <w:p w14:paraId="4F0F6509" w14:textId="77777777" w:rsidR="0061449F" w:rsidRPr="0061449F" w:rsidRDefault="0061449F" w:rsidP="0061449F">
      <w:pPr>
        <w:numPr>
          <w:ilvl w:val="0"/>
          <w:numId w:val="20"/>
        </w:numPr>
        <w:spacing w:after="0" w:line="276" w:lineRule="auto"/>
        <w:contextualSpacing/>
        <w:jc w:val="both"/>
        <w:rPr>
          <w:rFonts w:ascii="Times New Roman" w:eastAsia="MS Mincho" w:hAnsi="Times New Roman" w:cs="Times New Roman"/>
          <w:b/>
          <w:bCs/>
          <w:sz w:val="24"/>
          <w:szCs w:val="24"/>
          <w:lang w:val="sq-AL"/>
        </w:rPr>
      </w:pPr>
      <w:r w:rsidRPr="0061449F">
        <w:rPr>
          <w:rFonts w:ascii="Times New Roman" w:eastAsia="MS Mincho" w:hAnsi="Times New Roman" w:cs="Times New Roman"/>
          <w:sz w:val="24"/>
          <w:szCs w:val="24"/>
          <w:lang w:val="sq-AL"/>
        </w:rPr>
        <w:t xml:space="preserve">KLGJ ka sugjeruar draftpropozimet ligjore mbi paketën e eficencës miratuar nga Kuvendi në mars të 2021. Pjesë e kësaj pakete ishin ligjet bazë të reformës ndër të cilat përmendim ligjin Nr. 115/2016 </w:t>
      </w:r>
      <w:r w:rsidRPr="0061449F">
        <w:rPr>
          <w:rFonts w:ascii="Times New Roman" w:eastAsia="MS Mincho" w:hAnsi="Times New Roman" w:cs="Times New Roman"/>
          <w:i/>
          <w:sz w:val="24"/>
          <w:szCs w:val="24"/>
          <w:lang w:val="sq-AL"/>
        </w:rPr>
        <w:t>“Për organet e qeverisjes së sistemit të drejtësisë”</w:t>
      </w:r>
      <w:r w:rsidRPr="0061449F">
        <w:rPr>
          <w:rFonts w:ascii="Times New Roman" w:eastAsia="MS Mincho" w:hAnsi="Times New Roman" w:cs="Times New Roman"/>
          <w:sz w:val="24"/>
          <w:szCs w:val="24"/>
          <w:lang w:val="sq-AL"/>
        </w:rPr>
        <w:t xml:space="preserve"> dhe Nr. 96/2016 </w:t>
      </w:r>
      <w:r w:rsidRPr="0061449F">
        <w:rPr>
          <w:rFonts w:ascii="Times New Roman" w:eastAsia="MS Mincho" w:hAnsi="Times New Roman" w:cs="Times New Roman"/>
          <w:i/>
          <w:sz w:val="24"/>
          <w:szCs w:val="24"/>
          <w:lang w:val="sq-AL"/>
        </w:rPr>
        <w:t>“Për statusin e gjyqtarëve dhe prokuroriëve në Republikën e Shqipërisë”.</w:t>
      </w:r>
    </w:p>
    <w:p w14:paraId="1CA3F1E6" w14:textId="77777777" w:rsidR="0061449F" w:rsidRPr="0061449F" w:rsidRDefault="0061449F" w:rsidP="0061449F">
      <w:pPr>
        <w:numPr>
          <w:ilvl w:val="0"/>
          <w:numId w:val="20"/>
        </w:numPr>
        <w:spacing w:after="0" w:line="276" w:lineRule="auto"/>
        <w:contextualSpacing/>
        <w:jc w:val="both"/>
        <w:rPr>
          <w:rFonts w:ascii="Times New Roman" w:eastAsia="MS Mincho" w:hAnsi="Times New Roman" w:cs="Times New Roman"/>
          <w:bCs/>
          <w:sz w:val="24"/>
          <w:szCs w:val="24"/>
          <w:lang w:val="sq-AL"/>
        </w:rPr>
      </w:pPr>
      <w:r w:rsidRPr="0061449F">
        <w:rPr>
          <w:rFonts w:ascii="Times New Roman" w:eastAsia="MS Mincho" w:hAnsi="Times New Roman" w:cs="Times New Roman"/>
          <w:bCs/>
          <w:sz w:val="24"/>
          <w:szCs w:val="24"/>
          <w:lang w:val="sq-AL"/>
        </w:rPr>
        <w:t>Për të shmangur efektet e uljes së numrit të prokurorëve nga procesi i vetting-ut, Kuvendi i RSH, me kërkesë të Prokurorit të Përgjithshëm ka shtuar 30 vende për oficerë të policisë gjyqësore në strukturën e prokurorisë, shoqëruar me fondin përkatës nga Ministria e Financave. Në vijimësi, duke analizuar kërkesat dhe nevojat e prokurorive të juridiksionit të përgjithshëm janë kryer ndërhyrje strukturore për funksionimin sa më eficient të prokurorive.</w:t>
      </w:r>
    </w:p>
    <w:p w14:paraId="5883C00C" w14:textId="77777777" w:rsidR="0061449F" w:rsidRPr="0061449F" w:rsidRDefault="0061449F" w:rsidP="0061449F">
      <w:pPr>
        <w:numPr>
          <w:ilvl w:val="0"/>
          <w:numId w:val="20"/>
        </w:numPr>
        <w:spacing w:after="0" w:line="276" w:lineRule="auto"/>
        <w:contextualSpacing/>
        <w:jc w:val="both"/>
        <w:rPr>
          <w:rFonts w:ascii="Times New Roman" w:eastAsia="MS Mincho" w:hAnsi="Times New Roman" w:cs="Times New Roman"/>
          <w:sz w:val="24"/>
          <w:szCs w:val="24"/>
          <w:lang w:val="sq-AL"/>
        </w:rPr>
      </w:pPr>
      <w:r w:rsidRPr="0061449F">
        <w:rPr>
          <w:rFonts w:ascii="Times New Roman" w:eastAsia="MS Mincho" w:hAnsi="Times New Roman" w:cs="Times New Roman"/>
          <w:sz w:val="24"/>
          <w:szCs w:val="24"/>
          <w:lang w:val="sq-AL"/>
        </w:rPr>
        <w:t>Zyra e Inspektorit të Lartë të Drejtësisë qe në vitin e parë të funksionimit (2020) dhe duke vijuar në vitin 2021, ka nisur ngritjen e grupeve të punës për administrimin dhe kategorizimin e ankesave të dorëzuara pranë organeve kompetente gjatë periudhës kalimtare deri në krijimin e institucionit të Inspektorit të Lartë të Drejtësisë. Pas përfundimit të procesit të kategorizimit, ka vijuar puna me shpërndarjen e ankesave me objekt magjistratë prokurorë dhe gjyqtarë të administruara pranë Zyrës së Inspektorit të Lartë të Drejtësisë, sipas një përparësie të caktuar.</w:t>
      </w:r>
    </w:p>
    <w:p w14:paraId="516B6EBD" w14:textId="77777777" w:rsidR="0061449F" w:rsidRPr="0061449F" w:rsidRDefault="0061449F" w:rsidP="0061449F">
      <w:pPr>
        <w:numPr>
          <w:ilvl w:val="0"/>
          <w:numId w:val="20"/>
        </w:numPr>
        <w:spacing w:after="0" w:line="276" w:lineRule="auto"/>
        <w:contextualSpacing/>
        <w:jc w:val="both"/>
        <w:rPr>
          <w:rFonts w:ascii="Times New Roman" w:eastAsia="MS Mincho" w:hAnsi="Times New Roman" w:cs="Times New Roman"/>
          <w:sz w:val="24"/>
          <w:szCs w:val="24"/>
          <w:lang w:val="sq-AL"/>
        </w:rPr>
      </w:pPr>
      <w:r w:rsidRPr="0061449F">
        <w:rPr>
          <w:rFonts w:ascii="Times New Roman" w:eastAsia="MS Mincho" w:hAnsi="Times New Roman" w:cs="Times New Roman"/>
          <w:sz w:val="24"/>
          <w:szCs w:val="24"/>
          <w:lang w:val="sq-AL"/>
        </w:rPr>
        <w:t>Inspektori i Lartë i Drejtësisë, ka treguar një vëmendje të veçantë lidhur me rritjen e kapaciteteve të Zyrës së Inspektorit të Lartë të Drejtësisë, duke i dhënë prioritet zhvillimit të trajnimeve nga ekspërtë ndërkombëtare dhe kombëtarë që nga krijimi i insitutcionit. Konkretisht, për trajnimin e njësisë së inspektorëve deri tani Zyra e Inspektorit të Lartë të Drejtësisë  ka patur bashkëpunime me organizata të huaja si Taiex, Opdat, Cepej, Misioni Euralius V etj, dhe me ASPA-n. Me partnerë te huaj janë kryer 9 trajnime gjatë vitit 2021.</w:t>
      </w:r>
    </w:p>
    <w:p w14:paraId="21843575" w14:textId="77777777" w:rsidR="0061449F" w:rsidRPr="0061449F" w:rsidRDefault="0061449F" w:rsidP="0061449F">
      <w:pPr>
        <w:numPr>
          <w:ilvl w:val="0"/>
          <w:numId w:val="20"/>
        </w:numPr>
        <w:spacing w:after="0" w:line="276" w:lineRule="auto"/>
        <w:contextualSpacing/>
        <w:jc w:val="both"/>
        <w:rPr>
          <w:rFonts w:ascii="Times New Roman" w:eastAsia="MS Mincho" w:hAnsi="Times New Roman" w:cs="Times New Roman"/>
          <w:sz w:val="24"/>
          <w:szCs w:val="24"/>
          <w:lang w:val="sq-AL"/>
        </w:rPr>
      </w:pPr>
      <w:r w:rsidRPr="0061449F">
        <w:rPr>
          <w:rFonts w:ascii="Times New Roman" w:eastAsia="MS Mincho" w:hAnsi="Times New Roman" w:cs="Times New Roman"/>
          <w:sz w:val="24"/>
          <w:szCs w:val="24"/>
          <w:lang w:val="sq-AL"/>
        </w:rPr>
        <w:t xml:space="preserve">Është rinovuar rrjeti informatik i Gjykatës Kushtetuese, janë siguruar </w:t>
      </w:r>
      <w:r w:rsidRPr="0061449F">
        <w:rPr>
          <w:rFonts w:ascii="Times New Roman" w:eastAsia="MS Mincho" w:hAnsi="Times New Roman" w:cs="Times New Roman"/>
          <w:i/>
          <w:iCs/>
          <w:sz w:val="24"/>
          <w:szCs w:val="24"/>
          <w:lang w:val="sq-AL"/>
        </w:rPr>
        <w:t>software</w:t>
      </w:r>
      <w:r w:rsidRPr="0061449F">
        <w:rPr>
          <w:rFonts w:ascii="Times New Roman" w:eastAsia="MS Mincho" w:hAnsi="Times New Roman" w:cs="Times New Roman"/>
          <w:sz w:val="24"/>
          <w:szCs w:val="24"/>
          <w:lang w:val="sq-AL"/>
        </w:rPr>
        <w:t xml:space="preserve">-et dhe </w:t>
      </w:r>
      <w:r w:rsidRPr="0061449F">
        <w:rPr>
          <w:rFonts w:ascii="Times New Roman" w:eastAsia="MS Mincho" w:hAnsi="Times New Roman" w:cs="Times New Roman"/>
          <w:i/>
          <w:iCs/>
          <w:sz w:val="24"/>
          <w:szCs w:val="24"/>
          <w:lang w:val="sq-AL"/>
        </w:rPr>
        <w:t>hardware</w:t>
      </w:r>
      <w:r w:rsidRPr="0061449F">
        <w:rPr>
          <w:rFonts w:ascii="Times New Roman" w:eastAsia="MS Mincho" w:hAnsi="Times New Roman" w:cs="Times New Roman"/>
          <w:sz w:val="24"/>
          <w:szCs w:val="24"/>
          <w:lang w:val="sq-AL"/>
        </w:rPr>
        <w:t>-et e planifikuara.</w:t>
      </w:r>
    </w:p>
    <w:p w14:paraId="68039973" w14:textId="77777777" w:rsidR="0061449F" w:rsidRPr="0061449F" w:rsidRDefault="0061449F" w:rsidP="0061449F">
      <w:pPr>
        <w:numPr>
          <w:ilvl w:val="0"/>
          <w:numId w:val="20"/>
        </w:numPr>
        <w:spacing w:after="0" w:line="276" w:lineRule="auto"/>
        <w:contextualSpacing/>
        <w:jc w:val="both"/>
        <w:rPr>
          <w:rFonts w:ascii="Times New Roman" w:eastAsia="MS Mincho" w:hAnsi="Times New Roman" w:cs="Times New Roman"/>
          <w:sz w:val="24"/>
          <w:szCs w:val="24"/>
          <w:lang w:val="sq-AL"/>
        </w:rPr>
      </w:pPr>
      <w:r w:rsidRPr="0061449F">
        <w:rPr>
          <w:rFonts w:ascii="Times New Roman" w:eastAsia="MS Mincho" w:hAnsi="Times New Roman" w:cs="Times New Roman"/>
          <w:sz w:val="24"/>
          <w:szCs w:val="24"/>
          <w:lang w:val="sq-AL"/>
        </w:rPr>
        <w:t xml:space="preserve">Është krijuar databaza e të dhënave të lektorëve dhe trajnerëve të Shkollës së Magjistraturës, që kanë njohuri mbi legjislacionin e BE-së. Është kryer identifikimi nga pikëpamja sasiore e numrit të gjyqtarëve dhe prokurorëve që do të trajnohen lidhur me legjislacionin dhe standardet e BE-së dhe praktikën ndërkombëtare. </w:t>
      </w:r>
      <w:r w:rsidRPr="0061449F">
        <w:rPr>
          <w:rFonts w:ascii="Times New Roman" w:eastAsia="Times New Roman" w:hAnsi="Times New Roman" w:cs="Times New Roman"/>
          <w:sz w:val="24"/>
          <w:szCs w:val="24"/>
          <w:shd w:val="clear" w:color="auto" w:fill="FFFFFF"/>
          <w:lang w:val="sq-AL" w:eastAsia="en-GB"/>
        </w:rPr>
        <w:t xml:space="preserve">Gjatë kësaj periudhe zbatimi të planit të veprimit, janë identifikuar edhe problematika, duke ndikuar në realizueshmërinë e disa prej objektivave të strategjisë dhe në arritjet e qëllimit themelor dhe përfundimtar të politikave. </w:t>
      </w:r>
    </w:p>
    <w:p w14:paraId="6D22C9B6" w14:textId="77777777" w:rsidR="0061449F" w:rsidRPr="0061449F" w:rsidRDefault="0061449F" w:rsidP="0061449F">
      <w:pPr>
        <w:numPr>
          <w:ilvl w:val="0"/>
          <w:numId w:val="20"/>
        </w:numPr>
        <w:spacing w:after="0" w:line="276" w:lineRule="auto"/>
        <w:contextualSpacing/>
        <w:jc w:val="both"/>
        <w:rPr>
          <w:rFonts w:ascii="Times New Roman" w:eastAsia="Times New Roman" w:hAnsi="Times New Roman" w:cs="Times New Roman"/>
          <w:sz w:val="24"/>
          <w:szCs w:val="24"/>
          <w:lang w:val="sq-AL"/>
        </w:rPr>
      </w:pPr>
      <w:r w:rsidRPr="0061449F">
        <w:rPr>
          <w:rFonts w:ascii="Times New Roman" w:eastAsia="Times New Roman" w:hAnsi="Times New Roman" w:cs="Times New Roman"/>
          <w:bCs/>
          <w:sz w:val="24"/>
          <w:szCs w:val="24"/>
          <w:lang w:val="sq-AL"/>
        </w:rPr>
        <w:t>8153</w:t>
      </w:r>
      <w:r w:rsidRPr="0061449F">
        <w:rPr>
          <w:rFonts w:ascii="Times New Roman" w:eastAsia="Times New Roman" w:hAnsi="Times New Roman" w:cs="Times New Roman"/>
          <w:sz w:val="24"/>
          <w:szCs w:val="24"/>
          <w:lang w:val="sq-AL"/>
        </w:rPr>
        <w:t xml:space="preserve"> persona kanë përfituar ndihmë juridike parësore gjatë vitit 2021 duke tejkaluar </w:t>
      </w:r>
      <w:r w:rsidRPr="0061449F">
        <w:rPr>
          <w:rFonts w:ascii="Times New Roman" w:eastAsia="Times New Roman" w:hAnsi="Times New Roman" w:cs="Times New Roman"/>
          <w:bCs/>
          <w:sz w:val="24"/>
          <w:szCs w:val="24"/>
          <w:lang w:val="sq-AL"/>
        </w:rPr>
        <w:t>duke rritur vlerën e synuar me 94.12%.</w:t>
      </w:r>
    </w:p>
    <w:p w14:paraId="6AA12B66" w14:textId="77777777" w:rsidR="0061449F" w:rsidRPr="0061449F" w:rsidRDefault="0061449F" w:rsidP="0061449F">
      <w:pPr>
        <w:numPr>
          <w:ilvl w:val="0"/>
          <w:numId w:val="20"/>
        </w:numPr>
        <w:spacing w:after="0" w:line="276" w:lineRule="auto"/>
        <w:contextualSpacing/>
        <w:jc w:val="both"/>
        <w:rPr>
          <w:rFonts w:ascii="Times New Roman" w:eastAsia="Times New Roman" w:hAnsi="Times New Roman" w:cs="Times New Roman"/>
          <w:bCs/>
          <w:sz w:val="24"/>
          <w:szCs w:val="24"/>
          <w:lang w:val="sq-AL"/>
        </w:rPr>
      </w:pPr>
      <w:r w:rsidRPr="0061449F">
        <w:rPr>
          <w:rFonts w:ascii="Times New Roman" w:eastAsia="Times New Roman" w:hAnsi="Times New Roman" w:cs="Times New Roman"/>
          <w:sz w:val="24"/>
          <w:szCs w:val="24"/>
          <w:lang w:val="sq-AL"/>
        </w:rPr>
        <w:t>% e inspektimeve të kërkuara ligjërisht për noterët publikë të kryera nga MD janë</w:t>
      </w:r>
      <w:r w:rsidRPr="0061449F">
        <w:rPr>
          <w:rFonts w:ascii="Times New Roman" w:eastAsia="Times New Roman" w:hAnsi="Times New Roman" w:cs="Times New Roman"/>
          <w:bCs/>
          <w:sz w:val="24"/>
          <w:szCs w:val="24"/>
          <w:lang w:val="sq-AL"/>
        </w:rPr>
        <w:t xml:space="preserve"> tejkaluar nga vlera e synuar për vitin 2021, duke arritur në 63%.</w:t>
      </w:r>
    </w:p>
    <w:p w14:paraId="440AD1A1" w14:textId="77777777" w:rsidR="0061449F" w:rsidRPr="0061449F" w:rsidRDefault="0061449F" w:rsidP="0061449F">
      <w:pPr>
        <w:numPr>
          <w:ilvl w:val="0"/>
          <w:numId w:val="20"/>
        </w:numPr>
        <w:spacing w:after="0" w:line="276" w:lineRule="auto"/>
        <w:contextualSpacing/>
        <w:jc w:val="both"/>
        <w:rPr>
          <w:rFonts w:ascii="Times New Roman" w:eastAsia="Times New Roman" w:hAnsi="Times New Roman" w:cs="Times New Roman"/>
          <w:bCs/>
          <w:sz w:val="24"/>
          <w:szCs w:val="24"/>
          <w:lang w:val="sq-AL"/>
        </w:rPr>
      </w:pPr>
      <w:r w:rsidRPr="0061449F">
        <w:rPr>
          <w:rFonts w:ascii="Times New Roman" w:eastAsia="Times New Roman" w:hAnsi="Times New Roman" w:cs="Times New Roman"/>
          <w:bCs/>
          <w:sz w:val="24"/>
          <w:szCs w:val="24"/>
          <w:lang w:val="sq-AL"/>
        </w:rPr>
        <w:t xml:space="preserve">Drejtoria e Përgjithshme e Burgjeve në bashkëpunim me Ministrinë e Drejtësisë pas kryerjes së analizës në lidhje me nevojën për hartimin e legjistlacionit, ka ndërrmarrë të gjitha proceset për të hartuar draft-aktet nënligjore sipas ndryshimeve të paketës legjislative penitenciare. </w:t>
      </w:r>
      <w:r w:rsidRPr="0061449F">
        <w:rPr>
          <w:rFonts w:ascii="Times New Roman" w:eastAsia="Times New Roman" w:hAnsi="Times New Roman" w:cs="Times New Roman"/>
          <w:bCs/>
          <w:sz w:val="24"/>
          <w:szCs w:val="24"/>
          <w:lang w:val="sq-AL"/>
        </w:rPr>
        <w:lastRenderedPageBreak/>
        <w:t>Gjithashtu, janë hartuar të gjitha rregulloret, ku ndër to është në proces miratimi Rregullorja e Përgjithshme e Burgjeve me Vendim të Këshillit të Ministrave.</w:t>
      </w:r>
    </w:p>
    <w:p w14:paraId="6E18E4B4" w14:textId="77777777" w:rsidR="0061449F" w:rsidRPr="0061449F" w:rsidRDefault="0061449F" w:rsidP="0061449F">
      <w:pPr>
        <w:numPr>
          <w:ilvl w:val="0"/>
          <w:numId w:val="20"/>
        </w:numPr>
        <w:spacing w:after="0" w:line="276" w:lineRule="auto"/>
        <w:contextualSpacing/>
        <w:jc w:val="both"/>
        <w:rPr>
          <w:rFonts w:ascii="Times New Roman" w:eastAsia="Times New Roman" w:hAnsi="Times New Roman" w:cs="Times New Roman"/>
          <w:sz w:val="24"/>
          <w:szCs w:val="24"/>
          <w:shd w:val="clear" w:color="auto" w:fill="FFFFFF"/>
          <w:lang w:val="sq-AL" w:eastAsia="en-GB"/>
        </w:rPr>
      </w:pPr>
      <w:r w:rsidRPr="0061449F">
        <w:rPr>
          <w:rFonts w:ascii="Times New Roman" w:eastAsia="Times New Roman" w:hAnsi="Times New Roman" w:cs="Times New Roman"/>
          <w:bCs/>
          <w:sz w:val="24"/>
          <w:szCs w:val="24"/>
          <w:lang w:val="sq-AL"/>
        </w:rPr>
        <w:t xml:space="preserve">Është kryer studimi i status </w:t>
      </w:r>
      <w:r w:rsidRPr="0061449F">
        <w:rPr>
          <w:rFonts w:ascii="Times New Roman" w:eastAsia="Times New Roman" w:hAnsi="Times New Roman" w:cs="Times New Roman"/>
          <w:bCs/>
          <w:i/>
          <w:sz w:val="24"/>
          <w:szCs w:val="24"/>
          <w:lang w:val="sq-AL"/>
        </w:rPr>
        <w:t>quo-së</w:t>
      </w:r>
      <w:r w:rsidRPr="0061449F">
        <w:rPr>
          <w:rFonts w:ascii="Times New Roman" w:eastAsia="Times New Roman" w:hAnsi="Times New Roman" w:cs="Times New Roman"/>
          <w:bCs/>
          <w:sz w:val="24"/>
          <w:szCs w:val="24"/>
          <w:lang w:val="sq-AL"/>
        </w:rPr>
        <w:t xml:space="preserve"> dhe analiza e ndërhyrjes për Kodin e Procedurës Penale (KPP). Është përgatitur projektligji për disa ndryshime dhe shtesa në ligjin nr. 49/2012 të ndryshuar, i cili iu përcoll për mendim institucioneve dhe organizatave ndërkombëtare.</w:t>
      </w:r>
    </w:p>
    <w:p w14:paraId="4C0AB7B7" w14:textId="77777777" w:rsidR="0061449F" w:rsidRPr="0061449F" w:rsidRDefault="0061449F" w:rsidP="0061449F">
      <w:pPr>
        <w:numPr>
          <w:ilvl w:val="0"/>
          <w:numId w:val="20"/>
        </w:numPr>
        <w:spacing w:after="0" w:line="276" w:lineRule="auto"/>
        <w:contextualSpacing/>
        <w:jc w:val="both"/>
        <w:rPr>
          <w:rFonts w:ascii="Times New Roman" w:eastAsia="Times New Roman" w:hAnsi="Times New Roman" w:cs="Times New Roman"/>
          <w:sz w:val="24"/>
          <w:szCs w:val="24"/>
          <w:shd w:val="clear" w:color="auto" w:fill="FFFFFF"/>
          <w:lang w:val="sq-AL" w:eastAsia="en-GB"/>
        </w:rPr>
      </w:pPr>
      <w:r w:rsidRPr="0061449F">
        <w:rPr>
          <w:rFonts w:ascii="Times New Roman" w:eastAsia="Times New Roman" w:hAnsi="Times New Roman" w:cs="Times New Roman"/>
          <w:sz w:val="24"/>
          <w:szCs w:val="24"/>
          <w:shd w:val="clear" w:color="auto" w:fill="FFFFFF"/>
          <w:lang w:val="sq-AL" w:eastAsia="en-GB"/>
        </w:rPr>
        <w:t>DPB është në hapat e fundit të finalizimit të programit "Aftësitë për jetën", të cilat do të adresojnë nevojat e të burgosurve në funksion të rehabilitimit holistik të tyre dhe riintegrimit të mëtejshmë në shoqëri. Gjatë vitit 2021, janë miratuar 2 manuale të rëndësishme për stafet e kujdesit psiko-social në IEVP, për punën rehabilituese me personat me probleme të abuzimit/varësisë nga substancat narkotike, të rinjtë e grupmoshës 18-21 vjeçare, personat me probleme të shëndetit mendor, vlerësimi i riskut dhe i nevojave.</w:t>
      </w:r>
    </w:p>
    <w:p w14:paraId="5236B7BA" w14:textId="77777777" w:rsidR="0061449F" w:rsidRPr="0061449F" w:rsidRDefault="0061449F" w:rsidP="0061449F">
      <w:pPr>
        <w:numPr>
          <w:ilvl w:val="0"/>
          <w:numId w:val="20"/>
        </w:numPr>
        <w:shd w:val="clear" w:color="auto" w:fill="FFFFFF"/>
        <w:spacing w:after="0" w:line="276" w:lineRule="auto"/>
        <w:contextualSpacing/>
        <w:jc w:val="both"/>
        <w:rPr>
          <w:rFonts w:ascii="Times New Roman" w:eastAsia="MS Mincho" w:hAnsi="Times New Roman" w:cs="Times New Roman"/>
          <w:sz w:val="24"/>
          <w:szCs w:val="24"/>
          <w:lang w:val="sq-AL"/>
        </w:rPr>
      </w:pPr>
      <w:r w:rsidRPr="0061449F">
        <w:rPr>
          <w:rFonts w:ascii="Times New Roman" w:eastAsia="MS Mincho" w:hAnsi="Times New Roman" w:cs="Times New Roman"/>
          <w:sz w:val="24"/>
          <w:szCs w:val="24"/>
          <w:lang w:val="sq-AL"/>
        </w:rPr>
        <w:t>Gjatë vitit 2021, mbipopullimi është eliminuar plotësisht dhe aktualisht ndodhemi në kushtet e nënpopullimit të burgjeve. Mesatarisht popullimi gjatë 2021 ka qenë -590 vende, ose -14%. Eliminimi i mbipopullimit në burgje ka ardhur si rezultat i masave konkrete në investime, si rikonstruksioni i dy godinave në IEVP Lezhë, investim i Qeverisë Shqiptare, ashtu edhe përmes kryerjes rast pas rasti të një studimi të kujdesshëm të shpërndarjes dhe akomodimit të burgosurve në IEVP.</w:t>
      </w:r>
    </w:p>
    <w:p w14:paraId="18334904" w14:textId="77777777" w:rsidR="0061449F" w:rsidRPr="0061449F" w:rsidRDefault="0061449F" w:rsidP="0061449F">
      <w:pPr>
        <w:numPr>
          <w:ilvl w:val="0"/>
          <w:numId w:val="20"/>
        </w:numPr>
        <w:spacing w:after="0" w:line="276" w:lineRule="auto"/>
        <w:contextualSpacing/>
        <w:jc w:val="both"/>
        <w:rPr>
          <w:rFonts w:ascii="Times New Roman" w:eastAsia="Times New Roman" w:hAnsi="Times New Roman" w:cs="Times New Roman"/>
          <w:sz w:val="24"/>
          <w:szCs w:val="24"/>
          <w:shd w:val="clear" w:color="auto" w:fill="FFFFFF"/>
          <w:lang w:val="sq-AL" w:eastAsia="en-GB"/>
        </w:rPr>
      </w:pPr>
      <w:r w:rsidRPr="0061449F">
        <w:rPr>
          <w:rFonts w:ascii="Times New Roman" w:eastAsia="Times New Roman" w:hAnsi="Times New Roman" w:cs="Times New Roman"/>
          <w:sz w:val="24"/>
          <w:szCs w:val="24"/>
          <w:shd w:val="clear" w:color="auto" w:fill="FFFFFF"/>
          <w:lang w:val="sq-AL" w:eastAsia="en-GB"/>
        </w:rPr>
        <w:t xml:space="preserve">Është rishikuar dhe miratuar Ligji Nr.10193 datë 3.12.2009 </w:t>
      </w:r>
      <w:r w:rsidRPr="0061449F">
        <w:rPr>
          <w:rFonts w:ascii="Times New Roman" w:eastAsia="Times New Roman" w:hAnsi="Times New Roman" w:cs="Times New Roman"/>
          <w:i/>
          <w:sz w:val="24"/>
          <w:szCs w:val="24"/>
          <w:shd w:val="clear" w:color="auto" w:fill="FFFFFF"/>
          <w:lang w:val="sq-AL" w:eastAsia="en-GB"/>
        </w:rPr>
        <w:t xml:space="preserve">"Për Marrëdhëniet Juridiksionale me Autoritetet Huaja në Çështjet Penale" </w:t>
      </w:r>
      <w:r w:rsidRPr="0061449F">
        <w:rPr>
          <w:rFonts w:ascii="Times New Roman" w:eastAsia="Times New Roman" w:hAnsi="Times New Roman" w:cs="Times New Roman"/>
          <w:sz w:val="24"/>
          <w:szCs w:val="24"/>
          <w:shd w:val="clear" w:color="auto" w:fill="FFFFFF"/>
          <w:lang w:val="sq-AL" w:eastAsia="en-GB"/>
        </w:rPr>
        <w:t>I ndryshuar 97/21 datë 7.7.2021.</w:t>
      </w:r>
    </w:p>
    <w:p w14:paraId="0284EE41"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p>
    <w:p w14:paraId="40B4F83F" w14:textId="77777777" w:rsidR="0061449F" w:rsidRPr="0061449F" w:rsidRDefault="0061449F" w:rsidP="0061449F">
      <w:pPr>
        <w:jc w:val="both"/>
        <w:rPr>
          <w:rFonts w:ascii="Times New Roman" w:eastAsia="Calibri" w:hAnsi="Times New Roman" w:cs="Times New Roman"/>
          <w:sz w:val="24"/>
          <w:szCs w:val="24"/>
          <w:lang w:val="sq-AL"/>
        </w:rPr>
      </w:pPr>
      <w:r w:rsidRPr="0061449F">
        <w:rPr>
          <w:rFonts w:ascii="Times New Roman" w:eastAsia="Times New Roman" w:hAnsi="Times New Roman" w:cs="Times New Roman"/>
          <w:b/>
          <w:bCs/>
          <w:noProof/>
          <w:sz w:val="24"/>
          <w:szCs w:val="24"/>
          <w:lang w:val="sq-AL"/>
        </w:rPr>
        <w:t>Raporti Vjetor i Monitorimit për vitin 2022</w:t>
      </w:r>
      <w:r w:rsidRPr="0061449F">
        <w:rPr>
          <w:rFonts w:ascii="Times New Roman" w:eastAsia="Times New Roman" w:hAnsi="Times New Roman" w:cs="Times New Roman"/>
          <w:noProof/>
          <w:sz w:val="24"/>
          <w:szCs w:val="24"/>
          <w:lang w:val="sq-AL"/>
        </w:rPr>
        <w:t xml:space="preserve"> ka evidentuar gjetjet e mëposhtme. </w:t>
      </w:r>
    </w:p>
    <w:p w14:paraId="79A47169" w14:textId="77777777" w:rsidR="0061449F" w:rsidRPr="0061449F" w:rsidRDefault="0061449F" w:rsidP="0061449F">
      <w:pPr>
        <w:numPr>
          <w:ilvl w:val="0"/>
          <w:numId w:val="18"/>
        </w:numPr>
        <w:ind w:left="0" w:firstLine="142"/>
        <w:contextualSpacing/>
        <w:rPr>
          <w:rFonts w:ascii="Times New Roman" w:eastAsia="MS Mincho" w:hAnsi="Times New Roman" w:cs="Times New Roman"/>
          <w:bCs/>
          <w:sz w:val="24"/>
          <w:szCs w:val="24"/>
          <w:lang w:val="sq-AL" w:eastAsia="sq-AL" w:bidi="sq-AL"/>
        </w:rPr>
      </w:pPr>
      <w:r w:rsidRPr="0061449F">
        <w:rPr>
          <w:rFonts w:ascii="Times New Roman" w:eastAsia="Times New Roman" w:hAnsi="Times New Roman" w:cs="Times New Roman"/>
          <w:noProof/>
          <w:sz w:val="24"/>
          <w:szCs w:val="24"/>
          <w:lang w:val="sq-AL"/>
        </w:rPr>
        <w:t>Lidhur</w:t>
      </w:r>
      <w:r w:rsidRPr="0061449F">
        <w:rPr>
          <w:rFonts w:ascii="Times New Roman" w:eastAsia="Times New Roman" w:hAnsi="Times New Roman" w:cs="Times New Roman"/>
          <w:bCs/>
          <w:sz w:val="24"/>
          <w:szCs w:val="24"/>
          <w:lang w:val="sq-AL" w:eastAsia="en-GB" w:bidi="sq-AL"/>
        </w:rPr>
        <w:t xml:space="preserve"> me </w:t>
      </w:r>
      <w:r w:rsidRPr="0061449F">
        <w:rPr>
          <w:rFonts w:ascii="Times New Roman" w:eastAsia="Times New Roman" w:hAnsi="Times New Roman" w:cs="Times New Roman"/>
          <w:bCs/>
          <w:noProof/>
          <w:sz w:val="24"/>
          <w:szCs w:val="24"/>
          <w:lang w:val="sq-AL"/>
        </w:rPr>
        <w:t xml:space="preserve">përmbushjen e objektivave të </w:t>
      </w:r>
      <w:r w:rsidRPr="0061449F">
        <w:rPr>
          <w:rFonts w:ascii="Times New Roman" w:eastAsia="Times New Roman" w:hAnsi="Times New Roman" w:cs="Times New Roman"/>
          <w:bCs/>
          <w:sz w:val="24"/>
          <w:szCs w:val="24"/>
          <w:lang w:val="sq-AL" w:eastAsia="en-GB" w:bidi="sq-AL"/>
        </w:rPr>
        <w:t xml:space="preserve">Qëllimit  të Parë të Politikës </w:t>
      </w:r>
      <w:r w:rsidRPr="0061449F">
        <w:rPr>
          <w:rFonts w:ascii="Times New Roman" w:eastAsia="Times New Roman" w:hAnsi="Times New Roman" w:cs="Times New Roman"/>
          <w:bCs/>
          <w:i/>
          <w:iCs/>
          <w:sz w:val="24"/>
          <w:szCs w:val="24"/>
          <w:lang w:val="sq-AL" w:eastAsia="en-GB" w:bidi="sq-AL"/>
        </w:rPr>
        <w:t>“</w:t>
      </w:r>
      <w:r w:rsidRPr="0061449F">
        <w:rPr>
          <w:rFonts w:ascii="Times New Roman" w:eastAsia="Calibri" w:hAnsi="Times New Roman" w:cs="Times New Roman"/>
          <w:bCs/>
          <w:i/>
          <w:iCs/>
          <w:sz w:val="24"/>
          <w:szCs w:val="24"/>
          <w:lang w:val="sq-AL" w:eastAsia="en-GB" w:bidi="sq-AL"/>
        </w:rPr>
        <w:t>Funksionimi i plotë dhe profesional i institucioneve të qeverisjes së sistemit të drejtësisë në përputhje me kërkesat kushtetuese dhe ligjore dhe standardet Evropiane, duke garantuar pavarësinë, efiçencën dhe llogaridhënien”</w:t>
      </w:r>
      <w:r w:rsidRPr="0061449F">
        <w:rPr>
          <w:rFonts w:ascii="Times New Roman" w:eastAsia="Calibri" w:hAnsi="Times New Roman" w:cs="Times New Roman"/>
          <w:bCs/>
          <w:sz w:val="24"/>
          <w:szCs w:val="24"/>
          <w:lang w:val="sq-AL" w:eastAsia="en-GB" w:bidi="sq-AL"/>
        </w:rPr>
        <w:t>, janë arritur rezultatet e mëposhtme:</w:t>
      </w:r>
    </w:p>
    <w:p w14:paraId="349FC8E6" w14:textId="77777777" w:rsidR="0061449F" w:rsidRPr="0061449F" w:rsidRDefault="0061449F" w:rsidP="0061449F">
      <w:pPr>
        <w:widowControl w:val="0"/>
        <w:numPr>
          <w:ilvl w:val="0"/>
          <w:numId w:val="15"/>
        </w:numPr>
        <w:spacing w:after="120" w:line="276" w:lineRule="auto"/>
        <w:ind w:right="26"/>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 xml:space="preserve">Procesi i rivlerësimit kalimtar të gjyqtarëve dhe prokurorëve ka ecur me ritme të rregullta në vitin 2022. KPK arriti të përfundojë vlerësimin e 75% subjekteve që i nënshtrohen </w:t>
      </w:r>
      <w:r w:rsidRPr="0061449F">
        <w:rPr>
          <w:rFonts w:ascii="Times New Roman" w:eastAsia="MS Mincho" w:hAnsi="Times New Roman" w:cs="Times New Roman"/>
          <w:i/>
          <w:iCs/>
          <w:sz w:val="24"/>
          <w:szCs w:val="24"/>
          <w:lang w:val="sq-AL" w:eastAsia="sq-AL" w:bidi="sq-AL"/>
        </w:rPr>
        <w:t>vetting</w:t>
      </w:r>
      <w:r w:rsidRPr="0061449F">
        <w:rPr>
          <w:rFonts w:ascii="Times New Roman" w:eastAsia="MS Mincho" w:hAnsi="Times New Roman" w:cs="Times New Roman"/>
          <w:sz w:val="24"/>
          <w:szCs w:val="24"/>
          <w:lang w:val="sq-AL" w:eastAsia="sq-AL" w:bidi="sq-AL"/>
        </w:rPr>
        <w:t xml:space="preserve">-ut, duke përmbushur kështu objektivin e vendosur në pasaportën e treguesve për vitin 2022. Ndryshimet Kushtetuese në lidhje me zgjatjen e mandatit të organeve të rivlerësimit (deri në dhjetor 2024) kanë dhënë garancitë e nevojshme për t'u mundësuar atyre përfundimin e të gjithë procesit në mënyrë efektive dhe në kohë. </w:t>
      </w:r>
    </w:p>
    <w:p w14:paraId="70EAEDDA" w14:textId="77777777" w:rsidR="0061449F" w:rsidRPr="0061449F" w:rsidRDefault="0061449F" w:rsidP="0061449F">
      <w:pPr>
        <w:widowControl w:val="0"/>
        <w:numPr>
          <w:ilvl w:val="0"/>
          <w:numId w:val="15"/>
        </w:numPr>
        <w:spacing w:after="120" w:line="276" w:lineRule="auto"/>
        <w:ind w:right="26"/>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KLGJ, KLP dhe ILD kanë përgatitur analiza në lidhje me kuadrin ligjor të institucioneve të tyre dhe kanë sugjeruar ndryshimet e nevojshme në lidhje me Ligjin për Statusin, Ligjin për Qeverisjen si dhe të ligjeve të tjera përkatëse.</w:t>
      </w:r>
    </w:p>
    <w:p w14:paraId="7FB3BD47" w14:textId="77777777" w:rsidR="0061449F" w:rsidRPr="0061449F" w:rsidRDefault="0061449F" w:rsidP="0061449F">
      <w:pPr>
        <w:widowControl w:val="0"/>
        <w:numPr>
          <w:ilvl w:val="0"/>
          <w:numId w:val="15"/>
        </w:numPr>
        <w:spacing w:after="120" w:line="276" w:lineRule="auto"/>
        <w:ind w:right="26"/>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 xml:space="preserve">ILD ka nxjerrë një numër të konsiderueshëm urdhrash dhe aktesh administrative që rregullojnë organizimin dhe funksionimin e brendshëm e ILD për të garantuar cilësinë dhe efikasitetin e veprimtarive të kryera dhe të shërbimeve të ofruara. </w:t>
      </w:r>
    </w:p>
    <w:p w14:paraId="2D713B04" w14:textId="77777777" w:rsidR="0061449F" w:rsidRPr="0061449F" w:rsidRDefault="0061449F" w:rsidP="0061449F">
      <w:pPr>
        <w:widowControl w:val="0"/>
        <w:numPr>
          <w:ilvl w:val="0"/>
          <w:numId w:val="15"/>
        </w:numPr>
        <w:spacing w:after="120" w:line="276" w:lineRule="auto"/>
        <w:ind w:right="26"/>
        <w:jc w:val="both"/>
        <w:rPr>
          <w:rFonts w:ascii="Times New Roman" w:eastAsia="MS Mincho" w:hAnsi="Times New Roman" w:cs="Times New Roman"/>
          <w:sz w:val="24"/>
          <w:szCs w:val="24"/>
          <w:lang w:val="sq-AL" w:eastAsia="sq-AL" w:bidi="sq-AL"/>
        </w:rPr>
      </w:pPr>
      <w:bookmarkStart w:id="4" w:name="_Hlk132235836"/>
      <w:r w:rsidRPr="0061449F">
        <w:rPr>
          <w:rFonts w:ascii="Times New Roman" w:eastAsia="MS Mincho" w:hAnsi="Times New Roman" w:cs="Times New Roman"/>
          <w:sz w:val="24"/>
          <w:szCs w:val="24"/>
          <w:lang w:val="sq-AL" w:eastAsia="sq-AL" w:bidi="sq-AL"/>
        </w:rPr>
        <w:t xml:space="preserve">ILD ka kryer 3 inspektime tematike në bazë të Metodologjisë së miratuar. Dy prej tyre kanë përfunduar dhe raportet përkatëse i janë dërguar institucioneve përkatëse për zbatimin e rekomandimeve. </w:t>
      </w:r>
      <w:bookmarkEnd w:id="4"/>
    </w:p>
    <w:p w14:paraId="6BF1C36B" w14:textId="77777777" w:rsidR="0061449F" w:rsidRPr="0061449F" w:rsidRDefault="0061449F" w:rsidP="0061449F">
      <w:pPr>
        <w:widowControl w:val="0"/>
        <w:numPr>
          <w:ilvl w:val="0"/>
          <w:numId w:val="15"/>
        </w:numPr>
        <w:spacing w:after="120" w:line="276" w:lineRule="auto"/>
        <w:ind w:right="26"/>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lastRenderedPageBreak/>
        <w:t xml:space="preserve">23 gjyqtarë dhe 22 prokurorë të rinj janë emëruar nga KLGJ dhe KLP në vitin 2022, pas diplomimit nga SHM.  </w:t>
      </w:r>
    </w:p>
    <w:p w14:paraId="34E2DE34" w14:textId="77777777" w:rsidR="0061449F" w:rsidRPr="0061449F" w:rsidRDefault="0061449F" w:rsidP="0061449F">
      <w:pPr>
        <w:widowControl w:val="0"/>
        <w:numPr>
          <w:ilvl w:val="0"/>
          <w:numId w:val="15"/>
        </w:numPr>
        <w:spacing w:after="120" w:line="276" w:lineRule="auto"/>
        <w:ind w:right="26"/>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KLGJ ka ngritur në detyrë gjashtë (6) gjyqtarë në GJL dhe 11 gjyqtarë në gjykatat e Apelit (7 ngritje në detyrë në gjykatat e apelit të juridiksionit të përgjithshëm, 1 në Gjykatën Administrative të</w:t>
      </w:r>
      <w:r w:rsidRPr="0061449F" w:rsidDel="00907234">
        <w:rPr>
          <w:rFonts w:ascii="Times New Roman" w:eastAsia="MS Mincho" w:hAnsi="Times New Roman" w:cs="Times New Roman"/>
          <w:sz w:val="24"/>
          <w:szCs w:val="24"/>
          <w:lang w:val="sq-AL" w:eastAsia="sq-AL" w:bidi="sq-AL"/>
        </w:rPr>
        <w:t xml:space="preserve"> </w:t>
      </w:r>
      <w:r w:rsidRPr="0061449F">
        <w:rPr>
          <w:rFonts w:ascii="Times New Roman" w:eastAsia="MS Mincho" w:hAnsi="Times New Roman" w:cs="Times New Roman"/>
          <w:sz w:val="24"/>
          <w:szCs w:val="24"/>
          <w:lang w:val="sq-AL" w:eastAsia="sq-AL" w:bidi="sq-AL"/>
        </w:rPr>
        <w:t xml:space="preserve">Apelit, 3 në Gjykatën e Posaçme të Apelit për Korrupsionin dhe Krimin e Organizuar), si edhe 1 në Gjykatën e Posaçme të Shkallës së Parë për Korrupsionin dhe Krimin e Organizuar. </w:t>
      </w:r>
    </w:p>
    <w:p w14:paraId="7E732DF4" w14:textId="77777777" w:rsidR="0061449F" w:rsidRPr="0061449F" w:rsidRDefault="0061449F" w:rsidP="0061449F">
      <w:pPr>
        <w:widowControl w:val="0"/>
        <w:spacing w:after="120" w:line="276" w:lineRule="auto"/>
        <w:jc w:val="center"/>
        <w:rPr>
          <w:rFonts w:ascii="Times New Roman" w:eastAsia="Times New Roman" w:hAnsi="Times New Roman" w:cs="Times New Roman"/>
          <w:b/>
          <w:sz w:val="24"/>
          <w:szCs w:val="24"/>
          <w:lang w:val="sq-AL" w:eastAsia="en-GB" w:bidi="sq-AL"/>
        </w:rPr>
      </w:pPr>
    </w:p>
    <w:p w14:paraId="23B6EB45" w14:textId="77777777" w:rsidR="0061449F" w:rsidRPr="0061449F" w:rsidRDefault="0061449F" w:rsidP="0061449F">
      <w:pPr>
        <w:numPr>
          <w:ilvl w:val="0"/>
          <w:numId w:val="18"/>
        </w:numPr>
        <w:snapToGrid w:val="0"/>
        <w:spacing w:afterLines="120" w:after="288" w:line="276" w:lineRule="auto"/>
        <w:ind w:left="0" w:firstLine="142"/>
        <w:contextualSpacing/>
        <w:jc w:val="both"/>
        <w:rPr>
          <w:rFonts w:ascii="Times New Roman" w:eastAsia="MS Mincho" w:hAnsi="Times New Roman" w:cs="Times New Roman"/>
          <w:bCs/>
          <w:sz w:val="24"/>
          <w:szCs w:val="24"/>
          <w:lang w:val="sq-AL" w:eastAsia="sq-AL" w:bidi="sq-AL"/>
        </w:rPr>
      </w:pPr>
      <w:r w:rsidRPr="0061449F">
        <w:rPr>
          <w:rFonts w:ascii="Times New Roman" w:eastAsia="Times New Roman" w:hAnsi="Times New Roman" w:cs="Times New Roman"/>
          <w:bCs/>
          <w:sz w:val="24"/>
          <w:szCs w:val="24"/>
          <w:lang w:val="sq-AL" w:eastAsia="en-GB" w:bidi="sq-AL"/>
        </w:rPr>
        <w:t xml:space="preserve">Lidhur me </w:t>
      </w:r>
      <w:r w:rsidRPr="0061449F">
        <w:rPr>
          <w:rFonts w:ascii="Times New Roman" w:eastAsia="Times New Roman" w:hAnsi="Times New Roman" w:cs="Times New Roman"/>
          <w:noProof/>
          <w:sz w:val="24"/>
          <w:szCs w:val="24"/>
          <w:lang w:val="sq-AL"/>
        </w:rPr>
        <w:t>përmbushjen</w:t>
      </w:r>
      <w:r w:rsidRPr="0061449F">
        <w:rPr>
          <w:rFonts w:ascii="Times New Roman" w:eastAsia="Times New Roman" w:hAnsi="Times New Roman" w:cs="Times New Roman"/>
          <w:bCs/>
          <w:noProof/>
          <w:sz w:val="24"/>
          <w:szCs w:val="24"/>
          <w:lang w:val="sq-AL"/>
        </w:rPr>
        <w:t xml:space="preserve"> e objektivave të </w:t>
      </w:r>
      <w:r w:rsidRPr="0061449F">
        <w:rPr>
          <w:rFonts w:ascii="Times New Roman" w:eastAsia="Times New Roman" w:hAnsi="Times New Roman" w:cs="Times New Roman"/>
          <w:bCs/>
          <w:sz w:val="24"/>
          <w:szCs w:val="24"/>
          <w:lang w:val="sq-AL" w:eastAsia="en-GB" w:bidi="sq-AL"/>
        </w:rPr>
        <w:t xml:space="preserve">Qëllimit  të Dytë të Politikës </w:t>
      </w:r>
      <w:r w:rsidRPr="0061449F">
        <w:rPr>
          <w:rFonts w:ascii="Times New Roman" w:eastAsia="Times New Roman" w:hAnsi="Times New Roman" w:cs="Times New Roman"/>
          <w:bCs/>
          <w:i/>
          <w:iCs/>
          <w:sz w:val="24"/>
          <w:szCs w:val="24"/>
          <w:lang w:val="sq-AL" w:eastAsia="en-GB" w:bidi="sq-AL"/>
        </w:rPr>
        <w:t>“</w:t>
      </w:r>
      <w:r w:rsidRPr="0061449F">
        <w:rPr>
          <w:rFonts w:ascii="Times New Roman" w:eastAsia="Calibri" w:hAnsi="Times New Roman" w:cs="Times New Roman"/>
          <w:bCs/>
          <w:i/>
          <w:iCs/>
          <w:sz w:val="24"/>
          <w:szCs w:val="24"/>
          <w:lang w:val="sq-AL" w:eastAsia="en-GB" w:bidi="sq-AL"/>
        </w:rPr>
        <w:t>Fuqizimi i transparencës, efikasitetit të gjyqësorit dhe aksesit në drejtësi në përputhje me kërkesat kushtetuese, ligjore dhe standardet evropiane”</w:t>
      </w:r>
      <w:r w:rsidRPr="0061449F">
        <w:rPr>
          <w:rFonts w:ascii="Times New Roman" w:eastAsia="Calibri" w:hAnsi="Times New Roman" w:cs="Times New Roman"/>
          <w:bCs/>
          <w:sz w:val="24"/>
          <w:szCs w:val="24"/>
          <w:lang w:val="sq-AL" w:eastAsia="en-GB" w:bidi="sq-AL"/>
        </w:rPr>
        <w:t>, janë arritur rezultatet e mëposhtme:</w:t>
      </w:r>
    </w:p>
    <w:p w14:paraId="3B6C72D5" w14:textId="77777777" w:rsidR="0061449F" w:rsidRPr="0061449F" w:rsidRDefault="0061449F" w:rsidP="0061449F">
      <w:pPr>
        <w:widowControl w:val="0"/>
        <w:numPr>
          <w:ilvl w:val="0"/>
          <w:numId w:val="15"/>
        </w:numPr>
        <w:spacing w:after="120" w:line="276" w:lineRule="auto"/>
        <w:ind w:right="26"/>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 xml:space="preserve">Falë plotësimit të vendeve vakante në GJL gjatë vitit 2022 (është arritur kuota 15 gjyqtarë, nga 19 të parashikuar në ligj) dhe miratimit të disa masave për reduktimin e </w:t>
      </w:r>
      <w:r w:rsidRPr="0061449F">
        <w:rPr>
          <w:rFonts w:ascii="Times New Roman" w:eastAsia="MS Mincho" w:hAnsi="Times New Roman" w:cs="Times New Roman"/>
          <w:i/>
          <w:iCs/>
          <w:sz w:val="24"/>
          <w:szCs w:val="24"/>
          <w:lang w:val="sq-AL" w:eastAsia="sq-AL" w:bidi="sq-AL"/>
        </w:rPr>
        <w:t>backlog</w:t>
      </w:r>
      <w:r w:rsidRPr="0061449F">
        <w:rPr>
          <w:rFonts w:ascii="Times New Roman" w:eastAsia="MS Mincho" w:hAnsi="Times New Roman" w:cs="Times New Roman"/>
          <w:sz w:val="24"/>
          <w:szCs w:val="24"/>
          <w:lang w:val="sq-AL" w:eastAsia="sq-AL" w:bidi="sq-AL"/>
        </w:rPr>
        <w:t xml:space="preserve">-ut, GJL ka nisur një trend pozitiv të reduktimit gradual të backlog dhe të uljes së </w:t>
      </w:r>
      <w:r w:rsidRPr="0061449F">
        <w:rPr>
          <w:rFonts w:ascii="Times New Roman" w:eastAsia="MS Mincho" w:hAnsi="Times New Roman" w:cs="Times New Roman"/>
          <w:i/>
          <w:sz w:val="24"/>
          <w:szCs w:val="24"/>
          <w:lang w:val="sq-AL" w:eastAsia="sq-AL" w:bidi="sq-AL"/>
        </w:rPr>
        <w:t>disposition time</w:t>
      </w:r>
      <w:r w:rsidRPr="0061449F">
        <w:rPr>
          <w:rFonts w:ascii="Times New Roman" w:eastAsia="MS Mincho" w:hAnsi="Times New Roman" w:cs="Times New Roman"/>
          <w:sz w:val="24"/>
          <w:szCs w:val="24"/>
          <w:lang w:val="sq-AL" w:eastAsia="sq-AL" w:bidi="sq-AL"/>
        </w:rPr>
        <w:t xml:space="preserve"> të çështjeve.  </w:t>
      </w:r>
    </w:p>
    <w:p w14:paraId="4A7E3B22" w14:textId="77777777" w:rsidR="0061449F" w:rsidRPr="0061449F" w:rsidRDefault="0061449F" w:rsidP="0061449F">
      <w:pPr>
        <w:widowControl w:val="0"/>
        <w:numPr>
          <w:ilvl w:val="0"/>
          <w:numId w:val="15"/>
        </w:numPr>
        <w:spacing w:after="120" w:line="276" w:lineRule="auto"/>
        <w:ind w:right="26"/>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 xml:space="preserve">Gjykata Kushtetuese është funksionale. Në bazë të propozimeve të KED, gjatë vitit raportues u plotësuan edhe tre vende vakante të tjera në GJK. Kryetari i GJK është zgjedhur nga radhët e gjyqtarëve të GJK. Miratimi i Kodit të Etikës për gjyqtarët e Gjykatës Kushtetuese shënon një tjetër arritje të këtij viti. Infrastruktura dhe logjistika e Gjykatës Kushtetuese lehtësojnë punën e përditshme të gjyqtarëve dhe personelit mbështetës. </w:t>
      </w:r>
    </w:p>
    <w:p w14:paraId="67AF5473" w14:textId="77777777" w:rsidR="0061449F" w:rsidRPr="0061449F" w:rsidRDefault="0061449F" w:rsidP="0061449F">
      <w:pPr>
        <w:widowControl w:val="0"/>
        <w:numPr>
          <w:ilvl w:val="0"/>
          <w:numId w:val="15"/>
        </w:numPr>
        <w:spacing w:after="120" w:line="276" w:lineRule="auto"/>
        <w:ind w:right="26"/>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 xml:space="preserve">GJK arriti të reduktojë me sukses volumin e çështjeve në pritje, duke arritur dhe tejkaluar objektivin e vitit 2025 në Pasaportën e Treguesve që në vitin 2022. </w:t>
      </w:r>
    </w:p>
    <w:p w14:paraId="4C47BC75" w14:textId="77777777" w:rsidR="0061449F" w:rsidRPr="0061449F" w:rsidRDefault="0061449F" w:rsidP="0061449F">
      <w:pPr>
        <w:widowControl w:val="0"/>
        <w:numPr>
          <w:ilvl w:val="0"/>
          <w:numId w:val="15"/>
        </w:numPr>
        <w:spacing w:after="120" w:line="276" w:lineRule="auto"/>
        <w:ind w:right="26"/>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iCs/>
          <w:sz w:val="24"/>
          <w:szCs w:val="24"/>
          <w:lang w:val="sq-AL" w:eastAsia="sq-AL" w:bidi="sq-AL"/>
        </w:rPr>
        <w:t xml:space="preserve">Shkolla e Magjistraturës ofroi formim fillestar në auditore për 163 kandidatë për magjistratë  dhe 4 kandidatë për këshilltarë dhe ndihmës ligjorë në vit të parë, të dytë dhe të tretë të Programit të Formimit Fillestar dhe diplomoi 46 kandidatë. Ajo realizoi 81 aktivitete trajnuese me magjistratë të të gjitha niveleve të sistemit gjyqësor dhe nëpunës civilë gjyqësorë, bazuar në një metodologji të riparë si për vlerësimin e nevojave për trajnim, edhe për cilësinë e trajnimit dhe eficencën e tij. SHM ka krijuar gjithashtu një bazë të dhënash të lektorëve dhe trajnerëve me ekspertizë në të drejtën e BE-së, të cilët janë angazhuar të trajtojnë ligjin e BE në kurrikulën e formimit fillestar dhe vazhdues dhe lidhjen e tij me ligjin shqiptar. </w:t>
      </w:r>
      <w:r w:rsidRPr="0061449F">
        <w:rPr>
          <w:rFonts w:ascii="Times New Roman" w:eastAsia="MS Mincho" w:hAnsi="Times New Roman" w:cs="Times New Roman"/>
          <w:sz w:val="24"/>
          <w:szCs w:val="24"/>
          <w:lang w:val="sq-AL" w:eastAsia="sq-AL" w:bidi="sq-AL"/>
        </w:rPr>
        <w:t>Me qëllim adresimin e nevojave të menjëhershme të sistemit të drejtësisë duke garantuar edhe aksesin në drejtësi për qytetarët, Harta e Re Gjyqësore u miratua me VKM nr. 495, datë 21.07.2022, "Mbi riorganizimin e rretheve gjyqësore dhe kompetencave gjyqësore të gjykatave". Harta gjyqësore e reformuar përfshin, ndër të tjera, 13 gjykata të shkallës së parë dhe një (1) gjykatë apeli të juridiksionit të përgjithshëm, si dhe 2 gjykata administrative të shkallës së parë dhe 1 gjykatë administrative apeli, dhe përcakton kompetencat e tyre territoriale përkatëse.</w:t>
      </w:r>
    </w:p>
    <w:p w14:paraId="7715B7EE" w14:textId="77777777" w:rsidR="0061449F" w:rsidRPr="0061449F" w:rsidRDefault="0061449F" w:rsidP="0061449F">
      <w:pPr>
        <w:widowControl w:val="0"/>
        <w:numPr>
          <w:ilvl w:val="0"/>
          <w:numId w:val="15"/>
        </w:numPr>
        <w:spacing w:after="120" w:line="276" w:lineRule="auto"/>
        <w:ind w:right="26"/>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KLGJ miratoi Planin e Komunikimit për Gjykatat në Nëntor 2022 dhe ka nisur zbatimin e tij.</w:t>
      </w:r>
    </w:p>
    <w:p w14:paraId="173E2717" w14:textId="77777777" w:rsidR="0061449F" w:rsidRPr="0061449F" w:rsidRDefault="0061449F" w:rsidP="0061449F">
      <w:pPr>
        <w:widowControl w:val="0"/>
        <w:numPr>
          <w:ilvl w:val="0"/>
          <w:numId w:val="15"/>
        </w:numPr>
        <w:spacing w:after="120" w:line="276" w:lineRule="auto"/>
        <w:ind w:right="26"/>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ILD ka vendosur një procedurë për komunikim të drejtpërdrejtë me qytetarët e cila tashmë ka rezultate shumë të mira. Nisma siguron qasje të lehtë në drejtësi dhe transparencë.</w:t>
      </w:r>
    </w:p>
    <w:p w14:paraId="466E5A1F" w14:textId="77777777" w:rsidR="0061449F" w:rsidRPr="0061449F" w:rsidRDefault="0061449F" w:rsidP="0061449F">
      <w:pPr>
        <w:widowControl w:val="0"/>
        <w:numPr>
          <w:ilvl w:val="0"/>
          <w:numId w:val="15"/>
        </w:numPr>
        <w:spacing w:after="120" w:line="276" w:lineRule="auto"/>
        <w:ind w:right="26"/>
        <w:jc w:val="both"/>
        <w:rPr>
          <w:rFonts w:ascii="Times New Roman" w:eastAsia="MS Mincho" w:hAnsi="Times New Roman" w:cs="Times New Roman"/>
          <w:sz w:val="24"/>
          <w:szCs w:val="24"/>
          <w:lang w:val="sq-AL" w:eastAsia="sq-AL" w:bidi="sq-AL"/>
        </w:rPr>
      </w:pPr>
      <w:bookmarkStart w:id="5" w:name="_Hlk132231083"/>
      <w:r w:rsidRPr="0061449F">
        <w:rPr>
          <w:rFonts w:ascii="Times New Roman" w:eastAsia="MS Mincho" w:hAnsi="Times New Roman" w:cs="Times New Roman"/>
          <w:sz w:val="24"/>
          <w:szCs w:val="24"/>
          <w:lang w:val="sq-AL" w:eastAsia="sq-AL" w:bidi="sq-AL"/>
        </w:rPr>
        <w:t xml:space="preserve">Drejtoria e Ndihmës Juridike Falas ka arritur rezultate të shkëlqyera në vitin 2022 dhe ka zbatuar të </w:t>
      </w:r>
      <w:r w:rsidRPr="0061449F">
        <w:rPr>
          <w:rFonts w:ascii="Times New Roman" w:eastAsia="MS Mincho" w:hAnsi="Times New Roman" w:cs="Times New Roman"/>
          <w:sz w:val="24"/>
          <w:szCs w:val="24"/>
          <w:lang w:val="sq-AL" w:eastAsia="sq-AL" w:bidi="sq-AL"/>
        </w:rPr>
        <w:lastRenderedPageBreak/>
        <w:t>gjitha masat përkatëse të Planit të Veprimit. Gjithashtu, ka tejkaluar shumë vlerat e synuara në Pasaportën e Treguesve për ndihmën juridike falas, parësore dhe dytësore. Gjithashtu janë organizuar me sukses me mbështetjen e programeve të donatorëve, disa trajnime, të listuara në planin e veprimit.</w:t>
      </w:r>
      <w:bookmarkEnd w:id="5"/>
    </w:p>
    <w:p w14:paraId="12843D04" w14:textId="77777777" w:rsidR="0061449F" w:rsidRPr="0061449F" w:rsidRDefault="0061449F" w:rsidP="0061449F">
      <w:pPr>
        <w:widowControl w:val="0"/>
        <w:numPr>
          <w:ilvl w:val="0"/>
          <w:numId w:val="15"/>
        </w:numPr>
        <w:spacing w:after="120" w:line="276" w:lineRule="auto"/>
        <w:ind w:right="26"/>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 xml:space="preserve">Është miratuar statuti i ri i Dhomës Kombëtare të Ndërmjetësuesve. Në vitin 2022 janë dhënë 247 licenca. Gjithashtu, 89 kandidatë janë trajnuar për t'u licencuar përmes provimit në MD. 27 ndërmjetës janë trajnuar për trajnim të vazhdueshëm, i cili është i detyrueshëm. </w:t>
      </w:r>
    </w:p>
    <w:p w14:paraId="76258F8D" w14:textId="77777777" w:rsidR="0061449F" w:rsidRPr="0061449F" w:rsidRDefault="0061449F" w:rsidP="0061449F">
      <w:pPr>
        <w:widowControl w:val="0"/>
        <w:spacing w:after="120" w:line="276" w:lineRule="auto"/>
        <w:jc w:val="center"/>
        <w:rPr>
          <w:rFonts w:ascii="Times New Roman" w:eastAsia="Times New Roman" w:hAnsi="Times New Roman" w:cs="Times New Roman"/>
          <w:b/>
          <w:sz w:val="24"/>
          <w:szCs w:val="24"/>
          <w:lang w:val="sq-AL" w:eastAsia="en-GB" w:bidi="sq-AL"/>
        </w:rPr>
      </w:pPr>
    </w:p>
    <w:p w14:paraId="1A0110E8" w14:textId="77777777" w:rsidR="0061449F" w:rsidRPr="0061449F" w:rsidRDefault="0061449F" w:rsidP="0061449F">
      <w:pPr>
        <w:numPr>
          <w:ilvl w:val="0"/>
          <w:numId w:val="18"/>
        </w:numPr>
        <w:ind w:left="0" w:firstLine="284"/>
        <w:contextualSpacing/>
        <w:jc w:val="both"/>
        <w:rPr>
          <w:rFonts w:ascii="Times New Roman" w:eastAsia="MS Mincho" w:hAnsi="Times New Roman" w:cs="Times New Roman"/>
          <w:bCs/>
          <w:sz w:val="24"/>
          <w:szCs w:val="24"/>
          <w:lang w:val="sq-AL" w:eastAsia="sq-AL" w:bidi="sq-AL"/>
        </w:rPr>
      </w:pPr>
      <w:r w:rsidRPr="0061449F">
        <w:rPr>
          <w:rFonts w:ascii="Times New Roman" w:eastAsia="Times New Roman" w:hAnsi="Times New Roman" w:cs="Times New Roman"/>
          <w:bCs/>
          <w:sz w:val="24"/>
          <w:szCs w:val="24"/>
          <w:lang w:val="sq-AL" w:eastAsia="en-GB" w:bidi="sq-AL"/>
        </w:rPr>
        <w:t xml:space="preserve">Lidhur me </w:t>
      </w:r>
      <w:r w:rsidRPr="0061449F">
        <w:rPr>
          <w:rFonts w:ascii="Times New Roman" w:eastAsia="Times New Roman" w:hAnsi="Times New Roman" w:cs="Times New Roman"/>
          <w:bCs/>
          <w:noProof/>
          <w:sz w:val="24"/>
          <w:szCs w:val="24"/>
          <w:lang w:val="sq-AL"/>
        </w:rPr>
        <w:t xml:space="preserve">përmbushjen e objektivave të </w:t>
      </w:r>
      <w:r w:rsidRPr="0061449F">
        <w:rPr>
          <w:rFonts w:ascii="Times New Roman" w:eastAsia="Times New Roman" w:hAnsi="Times New Roman" w:cs="Times New Roman"/>
          <w:bCs/>
          <w:sz w:val="24"/>
          <w:szCs w:val="24"/>
          <w:lang w:val="sq-AL" w:eastAsia="en-GB" w:bidi="sq-AL"/>
        </w:rPr>
        <w:t xml:space="preserve">Qëllimit  të Tretë të Politikës </w:t>
      </w:r>
      <w:r w:rsidRPr="0061449F">
        <w:rPr>
          <w:rFonts w:ascii="Times New Roman" w:eastAsia="Times New Roman" w:hAnsi="Times New Roman" w:cs="Times New Roman"/>
          <w:bCs/>
          <w:i/>
          <w:iCs/>
          <w:sz w:val="24"/>
          <w:szCs w:val="24"/>
          <w:lang w:val="sq-AL" w:eastAsia="en-GB" w:bidi="sq-AL"/>
        </w:rPr>
        <w:t>“Një Sistem i Drejtësisë Penale i mbështetetur në  parimet moderne evropiane të drejtësisë, që garanton risocializimin, riintegrimin dhe rehabilitimin, si dhe respektimin e të drejtave dhe lirive të njeriut dhe barazisë gjinore brenda një qasjeje të integruar dhe me praktika solide të parandalimit të krimit</w:t>
      </w:r>
      <w:r w:rsidRPr="0061449F">
        <w:rPr>
          <w:rFonts w:ascii="Times New Roman" w:eastAsia="Calibri" w:hAnsi="Times New Roman" w:cs="Times New Roman"/>
          <w:bCs/>
          <w:i/>
          <w:iCs/>
          <w:sz w:val="24"/>
          <w:szCs w:val="24"/>
          <w:lang w:val="sq-AL" w:eastAsia="en-GB" w:bidi="sq-AL"/>
        </w:rPr>
        <w:t>”</w:t>
      </w:r>
      <w:r w:rsidRPr="0061449F">
        <w:rPr>
          <w:rFonts w:ascii="Times New Roman" w:eastAsia="Calibri" w:hAnsi="Times New Roman" w:cs="Times New Roman"/>
          <w:bCs/>
          <w:sz w:val="24"/>
          <w:szCs w:val="24"/>
          <w:lang w:val="sq-AL" w:eastAsia="en-GB" w:bidi="sq-AL"/>
        </w:rPr>
        <w:t>, janë arritur rezultatet e mëposhtme:</w:t>
      </w:r>
    </w:p>
    <w:p w14:paraId="35F25159" w14:textId="77777777" w:rsidR="0061449F" w:rsidRPr="0061449F" w:rsidRDefault="0061449F" w:rsidP="0061449F">
      <w:pPr>
        <w:widowControl w:val="0"/>
        <w:numPr>
          <w:ilvl w:val="0"/>
          <w:numId w:val="15"/>
        </w:numPr>
        <w:spacing w:after="120" w:line="276" w:lineRule="auto"/>
        <w:ind w:right="26"/>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Në vitin 2022 janë trajnuar dhe emëruar 21 oficerë të policisë gjyqësore dhe 21 prokurorë në prokuroritë e juridiksionit të përgjithshëm. Gjithashtu, gjatë vitit 2022, kanë marrë pjesë në trajnime të vazhdueshme, 741 prokurorë dhe 84 oficerë të policisë gjyqësore.</w:t>
      </w:r>
    </w:p>
    <w:p w14:paraId="2C279E99" w14:textId="77777777" w:rsidR="0061449F" w:rsidRPr="0061449F" w:rsidRDefault="0061449F" w:rsidP="0061449F">
      <w:pPr>
        <w:widowControl w:val="0"/>
        <w:numPr>
          <w:ilvl w:val="0"/>
          <w:numId w:val="15"/>
        </w:numPr>
        <w:spacing w:after="120" w:line="276" w:lineRule="auto"/>
        <w:ind w:right="26"/>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Në qershor 2022, BKH plotësoi numrin total të hetuesve të parashikuar në organigramë (60 hetues). 60 hetuesit e BKH morën pjesë në 36 trajnime. Ata janë angazhuar në hetimet e rreth 300 hetimeve procedurale.</w:t>
      </w:r>
    </w:p>
    <w:p w14:paraId="06FC1034" w14:textId="77777777" w:rsidR="0061449F" w:rsidRPr="0061449F" w:rsidRDefault="0061449F" w:rsidP="0061449F">
      <w:pPr>
        <w:widowControl w:val="0"/>
        <w:numPr>
          <w:ilvl w:val="0"/>
          <w:numId w:val="15"/>
        </w:numPr>
        <w:spacing w:after="120" w:line="276" w:lineRule="auto"/>
        <w:ind w:right="26"/>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SPAK ka bërë progres drejt funksionalitetit të plotë. Nga 20 pozicione të parashikuara, 17 prokurorë janë ngritur në detyrë si prokurorë në SPAK. Janë organizuar dhe zhvilluar trajnime të posaçme për prokurorët e SPAK.</w:t>
      </w:r>
    </w:p>
    <w:p w14:paraId="0F064C59" w14:textId="77777777" w:rsidR="0061449F" w:rsidRPr="0061449F" w:rsidRDefault="0061449F" w:rsidP="0061449F">
      <w:pPr>
        <w:widowControl w:val="0"/>
        <w:numPr>
          <w:ilvl w:val="0"/>
          <w:numId w:val="15"/>
        </w:numPr>
        <w:spacing w:after="120" w:line="276" w:lineRule="auto"/>
        <w:ind w:right="26"/>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 xml:space="preserve">Të gjitha masat e parashikuara në OS 3.4 janë zbatuar me sukses nga Drejtoria e Përgjithshme e Shërbimit të Provës. </w:t>
      </w:r>
    </w:p>
    <w:p w14:paraId="7FABA14F" w14:textId="77777777" w:rsidR="0061449F" w:rsidRPr="0061449F" w:rsidRDefault="0061449F" w:rsidP="0061449F">
      <w:pPr>
        <w:widowControl w:val="0"/>
        <w:numPr>
          <w:ilvl w:val="0"/>
          <w:numId w:val="15"/>
        </w:numPr>
        <w:spacing w:after="120" w:line="276" w:lineRule="auto"/>
        <w:ind w:right="26"/>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Gjatë periudhës janar-dhjetor 2022 janë trajnuar 1774 punonjës të Drejtorisë së Përgjithshme të Burgjeve (44% e numrit total).</w:t>
      </w:r>
    </w:p>
    <w:p w14:paraId="76584FA1" w14:textId="77777777" w:rsidR="0061449F" w:rsidRPr="0061449F" w:rsidRDefault="0061449F" w:rsidP="0061449F">
      <w:pPr>
        <w:widowControl w:val="0"/>
        <w:numPr>
          <w:ilvl w:val="0"/>
          <w:numId w:val="15"/>
        </w:numPr>
        <w:spacing w:after="120" w:line="276" w:lineRule="auto"/>
        <w:ind w:right="26"/>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 xml:space="preserve">Është hartuar raporti analitik për kushtet e punës në burgje/identifikimi i problemeve dhe nevojave për përmirësim dhe hartimi i një plan veprimi masash në zbatim të gjetjeve të raportit analitik. Roli aktiv mbështetës i KE në arritjen e shumicës së rezultateve nga DPB. </w:t>
      </w:r>
    </w:p>
    <w:p w14:paraId="34F3BE1D" w14:textId="77777777" w:rsidR="0061449F" w:rsidRPr="0061449F" w:rsidRDefault="0061449F" w:rsidP="0061449F">
      <w:pPr>
        <w:widowControl w:val="0"/>
        <w:spacing w:after="120" w:line="276" w:lineRule="auto"/>
        <w:ind w:left="360" w:right="26"/>
        <w:jc w:val="both"/>
        <w:rPr>
          <w:rFonts w:ascii="Times New Roman" w:eastAsia="MS Mincho" w:hAnsi="Times New Roman" w:cs="Times New Roman"/>
          <w:sz w:val="24"/>
          <w:szCs w:val="24"/>
          <w:lang w:val="sq-AL" w:eastAsia="sq-AL" w:bidi="sq-AL"/>
        </w:rPr>
      </w:pPr>
    </w:p>
    <w:p w14:paraId="05D1244C" w14:textId="77777777" w:rsidR="0061449F" w:rsidRPr="0061449F" w:rsidRDefault="0061449F" w:rsidP="0061449F">
      <w:pPr>
        <w:widowControl w:val="0"/>
        <w:numPr>
          <w:ilvl w:val="0"/>
          <w:numId w:val="18"/>
        </w:numPr>
        <w:spacing w:after="120" w:line="276" w:lineRule="auto"/>
        <w:ind w:left="0" w:firstLine="284"/>
        <w:contextualSpacing/>
        <w:jc w:val="both"/>
        <w:rPr>
          <w:rFonts w:ascii="Calibri" w:eastAsia="Calibri" w:hAnsi="Calibri" w:cs="Times New Roman"/>
          <w:lang w:val="sq-AL" w:eastAsia="en-GB" w:bidi="sq-AL"/>
        </w:rPr>
      </w:pPr>
      <w:r w:rsidRPr="0061449F">
        <w:rPr>
          <w:rFonts w:ascii="Times New Roman" w:eastAsia="Times New Roman" w:hAnsi="Times New Roman" w:cs="Times New Roman"/>
          <w:bCs/>
          <w:sz w:val="24"/>
          <w:szCs w:val="24"/>
          <w:lang w:val="sq-AL" w:eastAsia="en-GB" w:bidi="sq-AL"/>
        </w:rPr>
        <w:t xml:space="preserve">Lidhur me </w:t>
      </w:r>
      <w:r w:rsidRPr="0061449F">
        <w:rPr>
          <w:rFonts w:ascii="Times New Roman" w:eastAsia="Times New Roman" w:hAnsi="Times New Roman" w:cs="Times New Roman"/>
          <w:bCs/>
          <w:noProof/>
          <w:sz w:val="24"/>
          <w:szCs w:val="24"/>
          <w:lang w:val="sq-AL"/>
        </w:rPr>
        <w:t xml:space="preserve">përmbushjen e objektivave të </w:t>
      </w:r>
      <w:r w:rsidRPr="0061449F">
        <w:rPr>
          <w:rFonts w:ascii="Times New Roman" w:eastAsia="Times New Roman" w:hAnsi="Times New Roman" w:cs="Times New Roman"/>
          <w:bCs/>
          <w:sz w:val="24"/>
          <w:szCs w:val="24"/>
          <w:lang w:val="sq-AL" w:eastAsia="en-GB" w:bidi="sq-AL"/>
        </w:rPr>
        <w:t xml:space="preserve">Qëllimit  të Katërt të Politikës </w:t>
      </w:r>
      <w:r w:rsidRPr="0061449F">
        <w:rPr>
          <w:rFonts w:ascii="Times New Roman" w:eastAsia="Times New Roman" w:hAnsi="Times New Roman" w:cs="Times New Roman"/>
          <w:bCs/>
          <w:i/>
          <w:iCs/>
          <w:sz w:val="24"/>
          <w:szCs w:val="24"/>
          <w:lang w:val="sq-AL" w:eastAsia="en-GB" w:bidi="sq-AL"/>
        </w:rPr>
        <w:t>“Një Sistem i Drejtësisë Penale i mbështetetur në  parimet moderne evropiane të drejtësisë, që garanton risocializimin, riintegrimin dhe rehabilitimin, si dhe respektimin e të drejtave dhe lirive të njeriut dhe barazisë gjinore brenda një qasjeje të integruar dhe me praktika solide të parandalimit të krimit</w:t>
      </w:r>
      <w:r w:rsidRPr="0061449F">
        <w:rPr>
          <w:rFonts w:ascii="Times New Roman" w:eastAsia="Calibri" w:hAnsi="Times New Roman" w:cs="Times New Roman"/>
          <w:bCs/>
          <w:i/>
          <w:iCs/>
          <w:sz w:val="24"/>
          <w:szCs w:val="24"/>
          <w:lang w:val="sq-AL" w:eastAsia="en-GB" w:bidi="sq-AL"/>
        </w:rPr>
        <w:t>”</w:t>
      </w:r>
      <w:r w:rsidRPr="0061449F">
        <w:rPr>
          <w:rFonts w:ascii="Times New Roman" w:eastAsia="Calibri" w:hAnsi="Times New Roman" w:cs="Times New Roman"/>
          <w:bCs/>
          <w:sz w:val="24"/>
          <w:szCs w:val="24"/>
          <w:lang w:val="sq-AL" w:eastAsia="en-GB" w:bidi="sq-AL"/>
        </w:rPr>
        <w:t>, janë arritur rezultatet e mëposhtme</w:t>
      </w:r>
      <w:r w:rsidRPr="0061449F">
        <w:rPr>
          <w:rFonts w:ascii="Calibri" w:eastAsia="Calibri" w:hAnsi="Calibri" w:cs="Times New Roman"/>
          <w:lang w:val="sq-AL" w:eastAsia="en-GB" w:bidi="sq-AL"/>
        </w:rPr>
        <w:t>:</w:t>
      </w:r>
    </w:p>
    <w:p w14:paraId="436A2F35" w14:textId="77777777" w:rsidR="0061449F" w:rsidRPr="0061449F" w:rsidRDefault="0061449F" w:rsidP="0061449F">
      <w:pPr>
        <w:widowControl w:val="0"/>
        <w:numPr>
          <w:ilvl w:val="0"/>
          <w:numId w:val="15"/>
        </w:numPr>
        <w:spacing w:after="120" w:line="276" w:lineRule="auto"/>
        <w:ind w:right="-64"/>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Këshilli i Lartë Gjyqësor ka miratuar udhëzuesin për zhvillimin e sistemit të ri të menaxhimit të çështjeve si një hap i parë për zhvillimet e ardhshme të sistemit të menaxhimit elektronik të çështjeve gjyqësore.</w:t>
      </w:r>
    </w:p>
    <w:p w14:paraId="5BA1D58D" w14:textId="77777777" w:rsidR="0061449F" w:rsidRPr="0061449F" w:rsidRDefault="0061449F" w:rsidP="0061449F">
      <w:pPr>
        <w:widowControl w:val="0"/>
        <w:numPr>
          <w:ilvl w:val="0"/>
          <w:numId w:val="15"/>
        </w:numPr>
        <w:spacing w:after="120" w:line="276" w:lineRule="auto"/>
        <w:ind w:right="-64"/>
        <w:jc w:val="both"/>
        <w:rPr>
          <w:rFonts w:ascii="Times New Roman" w:eastAsia="MS Mincho" w:hAnsi="Times New Roman" w:cs="Times New Roman"/>
          <w:i/>
          <w:iCs/>
          <w:sz w:val="24"/>
          <w:szCs w:val="24"/>
          <w:lang w:val="sq-AL" w:eastAsia="sq-AL" w:bidi="sq-AL"/>
        </w:rPr>
      </w:pPr>
      <w:r w:rsidRPr="0061449F">
        <w:rPr>
          <w:rFonts w:ascii="Times New Roman" w:eastAsia="MS Mincho" w:hAnsi="Times New Roman" w:cs="Times New Roman"/>
          <w:sz w:val="24"/>
          <w:szCs w:val="24"/>
          <w:lang w:val="sq-AL" w:eastAsia="sq-AL" w:bidi="sq-AL"/>
        </w:rPr>
        <w:lastRenderedPageBreak/>
        <w:t xml:space="preserve">Më datë 22.04.2022, në Gjykatën e Rrethit Gjyqësor Tiranë, KLGJ nisi sistemin e ri dhe inovativ online (pilotimi), mbi njoftimet elektronike të avokatëve lidhur me proceset gjyqësore, me qëllim përmirësimin e shërbimit të drejtësisë. </w:t>
      </w:r>
    </w:p>
    <w:p w14:paraId="6A8A5F22" w14:textId="77777777" w:rsidR="0061449F" w:rsidRPr="0061449F" w:rsidRDefault="0061449F" w:rsidP="0061449F">
      <w:pPr>
        <w:widowControl w:val="0"/>
        <w:numPr>
          <w:ilvl w:val="0"/>
          <w:numId w:val="15"/>
        </w:numPr>
        <w:spacing w:after="120" w:line="276" w:lineRule="auto"/>
        <w:ind w:right="-64"/>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 xml:space="preserve">Është ngritur dhe vënë në funksion rrjeti i intranetit WAN ndërmjet KLGJ-së dhe 38 Gjykatave. </w:t>
      </w:r>
    </w:p>
    <w:p w14:paraId="59707E2E" w14:textId="77777777" w:rsidR="0061449F" w:rsidRPr="0061449F" w:rsidRDefault="0061449F" w:rsidP="0061449F">
      <w:pPr>
        <w:widowControl w:val="0"/>
        <w:numPr>
          <w:ilvl w:val="0"/>
          <w:numId w:val="15"/>
        </w:numPr>
        <w:spacing w:after="120" w:line="276" w:lineRule="auto"/>
        <w:ind w:right="-64"/>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 xml:space="preserve">U krijua një infrastrukturë mbështetëse (Server, Storage, firewal etj.) për rrjetin e klasifikuar me qëllim shkëmbimin e materialeve konfidenciale nga anëtarët e KLGJ. U ngrit gjithashtu një infrastrukturë mbështetëse (Server, Storage, firewall, etj.) për programin e dixhitalizimit të arkivit gjyqësor. </w:t>
      </w:r>
    </w:p>
    <w:p w14:paraId="4BA59AF4" w14:textId="77777777" w:rsidR="0061449F" w:rsidRPr="0061449F" w:rsidRDefault="0061449F" w:rsidP="0061449F">
      <w:pPr>
        <w:widowControl w:val="0"/>
        <w:numPr>
          <w:ilvl w:val="0"/>
          <w:numId w:val="15"/>
        </w:numPr>
        <w:spacing w:after="120" w:line="276" w:lineRule="auto"/>
        <w:ind w:right="-64"/>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 xml:space="preserve">Ka filluar zbatimi i Regjistrit Elektronik të OJF-ve. Ai bazohet në udhëzimet e ligjit 80/2021 “Për regjistrimin e organizatave jofitimprurëse” dhe parashikohet të hyjë në funksion në fund të vitit 2023. </w:t>
      </w:r>
    </w:p>
    <w:p w14:paraId="2B36603A" w14:textId="77777777" w:rsidR="0061449F" w:rsidRPr="0061449F" w:rsidRDefault="0061449F" w:rsidP="0061449F">
      <w:pPr>
        <w:widowControl w:val="0"/>
        <w:numPr>
          <w:ilvl w:val="0"/>
          <w:numId w:val="15"/>
        </w:numPr>
        <w:spacing w:after="120" w:line="276" w:lineRule="auto"/>
        <w:ind w:right="-64"/>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 xml:space="preserve">Objektivi i Ministrisë së Drejtësisë, në cilësinë e institucionit drejtues për Kriterin Politik dhe Kapitullin 23 “Gjyqësori dhe të Drejtat Themelore” në kuadër të procesit të negociatave, është përgatitja për zhvillimin e Takimeve Dypalëshe BE-Shqipëri; përditësimi dhe përmirësimi i dokumenteve të analizës së mangësive ligjore (AML), tabelave të përputhshmërisë (TOC) dhe analizës institucionale dhe administrative (AIA), për Kapitullin 23. Konferenca e Parë Ndërqeveritare ndërmjet Shqipërisë dhe Bashkimit Evropian u mbajt në Bruksel më 19 korrik 2022. U hartua një plan masash në janar 2022 për të adresuar rekomandimet e raportit të Komisionit për Shqipërinë në 2021 dhe monitorimi i tij vazhdoi gjatë gjithë vitit 2022; vazhdoi procesi i monitorimit të masave ligjore dhe zbatuese të parashikuara në PKIE 2022-2024 për Kapitullin 23 “Gjyqësori dhe të Drejtat Themelore”; PKIE 2022-2024 u miratua me VKM nr. 91, datë 09.02.2022; </w:t>
      </w:r>
    </w:p>
    <w:p w14:paraId="601665E3" w14:textId="77777777" w:rsidR="0061449F" w:rsidRPr="0061449F" w:rsidRDefault="0061449F" w:rsidP="0061449F">
      <w:pPr>
        <w:widowControl w:val="0"/>
        <w:numPr>
          <w:ilvl w:val="0"/>
          <w:numId w:val="15"/>
        </w:numPr>
        <w:spacing w:after="120" w:line="276" w:lineRule="auto"/>
        <w:ind w:right="-64"/>
        <w:jc w:val="both"/>
        <w:rPr>
          <w:rFonts w:ascii="Times New Roman" w:eastAsia="MS Mincho" w:hAnsi="Times New Roman" w:cs="Times New Roman"/>
          <w:sz w:val="24"/>
          <w:szCs w:val="24"/>
          <w:lang w:val="sq-AL" w:eastAsia="sq-AL" w:bidi="sq-AL"/>
        </w:rPr>
      </w:pPr>
      <w:r w:rsidRPr="0061449F">
        <w:rPr>
          <w:rFonts w:ascii="Times New Roman" w:eastAsia="MS Mincho" w:hAnsi="Times New Roman" w:cs="Times New Roman"/>
          <w:sz w:val="24"/>
          <w:szCs w:val="24"/>
          <w:lang w:val="sq-AL" w:eastAsia="sq-AL" w:bidi="sq-AL"/>
        </w:rPr>
        <w:t xml:space="preserve">Takimet shpjeguese për Kapitullin 23 dhe Funksionimin e Institucioneve Demokratike u zhvilluan gjatë muajit shtator, si p.sh. takimet dypalëshe BE-Shqipëri për Kapitullin 23 që u mbajtën në datat 24 dhe 25 nëntor 2022. </w:t>
      </w:r>
    </w:p>
    <w:p w14:paraId="564FA6FB" w14:textId="77777777" w:rsidR="0061449F" w:rsidRPr="0061449F" w:rsidRDefault="0061449F" w:rsidP="0061449F">
      <w:pPr>
        <w:jc w:val="both"/>
        <w:rPr>
          <w:rFonts w:ascii="Times New Roman" w:eastAsia="Calibri" w:hAnsi="Times New Roman" w:cs="Times New Roman"/>
          <w:sz w:val="24"/>
          <w:szCs w:val="24"/>
          <w:lang w:val="sq-AL"/>
        </w:rPr>
      </w:pPr>
    </w:p>
    <w:p w14:paraId="48C5CC24" w14:textId="77777777" w:rsidR="0061449F" w:rsidRPr="0061449F" w:rsidRDefault="0061449F" w:rsidP="0061449F">
      <w:pPr>
        <w:snapToGrid w:val="0"/>
        <w:spacing w:afterLines="120" w:after="288" w:line="276" w:lineRule="auto"/>
        <w:jc w:val="both"/>
        <w:rPr>
          <w:rFonts w:ascii="Times New Roman" w:eastAsia="Times New Roman" w:hAnsi="Times New Roman" w:cs="Times New Roman"/>
          <w:noProof/>
          <w:sz w:val="24"/>
          <w:szCs w:val="24"/>
          <w:lang w:val="sq-AL"/>
        </w:rPr>
      </w:pPr>
      <w:r w:rsidRPr="0061449F">
        <w:rPr>
          <w:rFonts w:ascii="Times New Roman" w:eastAsia="Times New Roman" w:hAnsi="Times New Roman" w:cs="Times New Roman"/>
          <w:b/>
          <w:bCs/>
          <w:noProof/>
          <w:sz w:val="24"/>
          <w:szCs w:val="24"/>
          <w:lang w:val="sq-AL"/>
        </w:rPr>
        <w:t>Raporti Vjetor i Monitorimit për vitin 2023</w:t>
      </w:r>
      <w:r w:rsidRPr="0061449F">
        <w:rPr>
          <w:rFonts w:ascii="Times New Roman" w:eastAsia="Times New Roman" w:hAnsi="Times New Roman" w:cs="Times New Roman"/>
          <w:noProof/>
          <w:sz w:val="24"/>
          <w:szCs w:val="24"/>
          <w:lang w:val="sq-AL"/>
        </w:rPr>
        <w:t>, mbi zbatimin e  SND 2021-2025, është raporti vjetor i tretë i monitorimit të zbatimit të SND 2021-2025. Ky raport është hartuar në një kohë që përkon me realizimin e gjysmës së afatit kohor 5 vjeçar, të zbatueshmërisë së SND 2021-2025.</w:t>
      </w:r>
    </w:p>
    <w:p w14:paraId="67355C90" w14:textId="77777777" w:rsidR="0061449F" w:rsidRPr="0061449F" w:rsidRDefault="0061449F" w:rsidP="0061449F">
      <w:pPr>
        <w:snapToGrid w:val="0"/>
        <w:spacing w:after="120" w:line="276" w:lineRule="auto"/>
        <w:jc w:val="both"/>
        <w:rPr>
          <w:rFonts w:ascii="Times New Roman" w:eastAsia="Times New Roman" w:hAnsi="Times New Roman" w:cs="Times New Roman"/>
          <w:noProof/>
          <w:sz w:val="24"/>
          <w:szCs w:val="24"/>
          <w:lang w:val="sq-AL"/>
        </w:rPr>
      </w:pPr>
      <w:r w:rsidRPr="0061449F">
        <w:rPr>
          <w:rFonts w:ascii="Times New Roman" w:eastAsia="Times New Roman" w:hAnsi="Times New Roman" w:cs="Times New Roman"/>
          <w:noProof/>
          <w:sz w:val="24"/>
          <w:szCs w:val="24"/>
          <w:lang w:val="sq-AL"/>
        </w:rPr>
        <w:t>I.</w:t>
      </w:r>
      <w:r w:rsidRPr="0061449F">
        <w:rPr>
          <w:rFonts w:ascii="Times New Roman" w:eastAsia="Times New Roman" w:hAnsi="Times New Roman" w:cs="Times New Roman"/>
          <w:noProof/>
          <w:sz w:val="24"/>
          <w:szCs w:val="24"/>
          <w:lang w:val="sq-AL"/>
        </w:rPr>
        <w:tab/>
        <w:t xml:space="preserve">Lidhur me përmbushjen e objektivave të Qëllimit Politik për </w:t>
      </w:r>
      <w:r w:rsidRPr="0061449F">
        <w:rPr>
          <w:rFonts w:ascii="Times New Roman" w:eastAsia="Times New Roman" w:hAnsi="Times New Roman" w:cs="Times New Roman"/>
          <w:i/>
          <w:noProof/>
          <w:sz w:val="24"/>
          <w:szCs w:val="24"/>
          <w:lang w:val="sq-AL"/>
        </w:rPr>
        <w:t>“Funksionimin e plotë dhe profesional të institucioneve të qeverisjes së sistemit të drejtësisë në përputhje me kërkesat kushtetuese dhe ligjore dhe standardet Evropiane, duke garantuar pavarësinë, efiçencën dhe llogaridhënien</w:t>
      </w:r>
      <w:r w:rsidRPr="0061449F">
        <w:rPr>
          <w:rFonts w:ascii="Times New Roman" w:eastAsia="Times New Roman" w:hAnsi="Times New Roman" w:cs="Times New Roman"/>
          <w:noProof/>
          <w:sz w:val="24"/>
          <w:szCs w:val="24"/>
          <w:lang w:val="sq-AL"/>
        </w:rPr>
        <w:t>”, konstatohet se:</w:t>
      </w:r>
    </w:p>
    <w:p w14:paraId="052CF834"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noProof/>
          <w:sz w:val="24"/>
          <w:szCs w:val="24"/>
          <w:lang w:val="sq-AL"/>
        </w:rPr>
      </w:pPr>
      <w:r w:rsidRPr="0061449F">
        <w:rPr>
          <w:rFonts w:ascii="Times New Roman" w:eastAsia="Times New Roman" w:hAnsi="Times New Roman" w:cs="Times New Roman"/>
          <w:noProof/>
          <w:sz w:val="24"/>
          <w:szCs w:val="24"/>
          <w:lang w:val="sq-AL"/>
        </w:rPr>
        <w:t xml:space="preserve">Vijueshmëria e procesit të verifikimit kalimtar të subjekteve të vlerësimit nga organet ekzistuese të rivlerësimit kalimtar të gjyqtarëve dhe prokurorëve po ecën me ritme të mira, si nga ana e KPK-së dhe KPA-së. Referuar treguesve për vitin 2023, ka gjasa që ky proces të finalizohet brenda afatit ligjor nga ana e Komisionit të Pavarur të Kualifikimit. Ndërkohë që, sa i takon Kolegjit të Posaçëm të Apelimit, duke marrë në konsideratë numrin e subjekteve që janë për gjykim në Kolegjin e Posacëm të Apelimit, numrin potencial të ankimeve të pritshme për raportet të cilat janë ende në vlerësim në KPK, si dhe numrin mesatar të raporteve përfundimtare të vlerësuara në një muaj nga </w:t>
      </w:r>
      <w:r w:rsidRPr="0061449F">
        <w:rPr>
          <w:rFonts w:ascii="Times New Roman" w:eastAsia="Times New Roman" w:hAnsi="Times New Roman" w:cs="Times New Roman"/>
          <w:noProof/>
          <w:sz w:val="24"/>
          <w:szCs w:val="24"/>
          <w:lang w:val="sq-AL"/>
        </w:rPr>
        <w:lastRenderedPageBreak/>
        <w:t>ana e KPA-së për vitin 2023, ekziston një risk potencial lidhur me përfundimin e procesit brenda afatit ligjor (qershori i vitit 2026) nga ana e KPA-së. Bazuar në raportimin e KPA-së numri mesatar i çështjeve për 1 muaj është 5 çështje për vitin 2023. Kjo tregon një tendencë që mund të ndikojë afatin ligjor të mandatit të KPA-së.</w:t>
      </w:r>
    </w:p>
    <w:p w14:paraId="293A87FB"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noProof/>
          <w:sz w:val="24"/>
          <w:szCs w:val="24"/>
          <w:lang w:val="sq-AL"/>
        </w:rPr>
      </w:pPr>
      <w:r w:rsidRPr="0061449F">
        <w:rPr>
          <w:rFonts w:ascii="Times New Roman" w:eastAsia="Times New Roman" w:hAnsi="Times New Roman" w:cs="Times New Roman"/>
          <w:noProof/>
          <w:sz w:val="24"/>
          <w:szCs w:val="24"/>
          <w:lang w:val="sq-AL"/>
        </w:rPr>
        <w:t xml:space="preserve">Ndërmarrja nga ana e institucioneve të qeverisjes së sistemit të drejtësisë (KLGJ, KLP) e masave të cilat sigurojnë vijueshmërinë e standarteve të procesit të verifikimit kalimtar të subjekteve, edhe pas përfundimit të organeve të rivlerësimit kalimtar të gjyqtarëve dhe prokurorëve, mbetet një sfidë e cila duhet adresuar në të ardhmen. Zhvillimi i kapaciteteve të KLGJ dhe KLP, procedurat e emërimit, promovimit dhe transferimit të magjistratëve duhet të kalojnë nëpërmjet sistemit të kontrolleve të integritetit përpara hyrjes në karrierën e magistraturës si dhe gjatë karrierës, si dhe kontrollit të pasurisë. Standardet e larta të vendosura nga organet e </w:t>
      </w:r>
      <w:r w:rsidRPr="0061449F">
        <w:rPr>
          <w:rFonts w:ascii="Times New Roman" w:eastAsia="Times New Roman" w:hAnsi="Times New Roman" w:cs="Times New Roman"/>
          <w:i/>
          <w:iCs/>
          <w:noProof/>
          <w:sz w:val="24"/>
          <w:szCs w:val="24"/>
          <w:lang w:val="sq-AL"/>
        </w:rPr>
        <w:t>vetting</w:t>
      </w:r>
      <w:r w:rsidRPr="0061449F">
        <w:rPr>
          <w:rFonts w:ascii="Times New Roman" w:eastAsia="Times New Roman" w:hAnsi="Times New Roman" w:cs="Times New Roman"/>
          <w:noProof/>
          <w:sz w:val="24"/>
          <w:szCs w:val="24"/>
          <w:lang w:val="sq-AL"/>
        </w:rPr>
        <w:t xml:space="preserve">-ut lidhur me kontrollin e pasurisë dhe figurës, duhet tashmë të pranohen dhe zbatohen nga KLGJ dhe KLP. Për të ndihmuar këtë proces, duke marrë në konsideratë faktin se organet e </w:t>
      </w:r>
      <w:r w:rsidRPr="0061449F">
        <w:rPr>
          <w:rFonts w:ascii="Times New Roman" w:eastAsia="Times New Roman" w:hAnsi="Times New Roman" w:cs="Times New Roman"/>
          <w:i/>
          <w:iCs/>
          <w:noProof/>
          <w:sz w:val="24"/>
          <w:szCs w:val="24"/>
          <w:lang w:val="sq-AL"/>
        </w:rPr>
        <w:t>vetting</w:t>
      </w:r>
      <w:r w:rsidRPr="0061449F">
        <w:rPr>
          <w:rFonts w:ascii="Times New Roman" w:eastAsia="Times New Roman" w:hAnsi="Times New Roman" w:cs="Times New Roman"/>
          <w:noProof/>
          <w:sz w:val="24"/>
          <w:szCs w:val="24"/>
          <w:lang w:val="sq-AL"/>
        </w:rPr>
        <w:t>-ut janë në fund të mandatit të tyre, do të ishte e rekomandueshme rialokimi i stafit të KPK dhe KPA në përputhje me parimin e ruajtjes dhe valorizimit të kapaciteteve me vlerë të veçantë specializimi.</w:t>
      </w:r>
    </w:p>
    <w:p w14:paraId="457F7EA7"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noProof/>
          <w:sz w:val="24"/>
          <w:szCs w:val="24"/>
          <w:lang w:val="sq-AL"/>
        </w:rPr>
      </w:pPr>
      <w:r w:rsidRPr="0061449F">
        <w:rPr>
          <w:rFonts w:ascii="Times New Roman" w:eastAsia="Times New Roman" w:hAnsi="Times New Roman" w:cs="Times New Roman"/>
          <w:bCs/>
          <w:noProof/>
          <w:sz w:val="24"/>
          <w:szCs w:val="24"/>
          <w:lang w:val="sq-AL" w:eastAsia="nl-NL"/>
        </w:rPr>
        <w:t xml:space="preserve">Po kështu, sa i përket kompletimit të paketës nënligjore, bazuar në komponentin e lidhur me KLP, edhe pse kemi një </w:t>
      </w:r>
      <w:r w:rsidRPr="0061449F">
        <w:rPr>
          <w:rFonts w:ascii="Times New Roman" w:eastAsia="Times New Roman" w:hAnsi="Times New Roman" w:cs="Times New Roman"/>
          <w:noProof/>
          <w:sz w:val="24"/>
          <w:szCs w:val="24"/>
          <w:lang w:val="sq-AL"/>
        </w:rPr>
        <w:t>numër</w:t>
      </w:r>
      <w:r w:rsidRPr="0061449F">
        <w:rPr>
          <w:rFonts w:ascii="Times New Roman" w:eastAsia="Times New Roman" w:hAnsi="Times New Roman" w:cs="Times New Roman"/>
          <w:bCs/>
          <w:noProof/>
          <w:sz w:val="24"/>
          <w:szCs w:val="24"/>
          <w:lang w:val="sq-AL" w:eastAsia="nl-NL"/>
        </w:rPr>
        <w:t xml:space="preserve"> aktesh nënligjore të miratuara në fund të vitit 2023, ka ende boshllëk nënligjor. Për sa më sipër, kërkohet një planifikim më i mirë i procesit të draftimit dhe miratimit të akteve, në mënyrë që ky process të marrë kohën e nevojshme dhe të mundësojë miratimin e akteve nënligjore me cilësi dhe në kohën e duhur. Cilësia e akteve nënligjore, e të gjitha organeve të drejtësisë, përfshirë këtu edhe gjykatat dhe institucionet e varësisë, mbetet një sfidë e së ardhmes e cila ndikon drejtpërsëdrejti në mirëfunksionimin e sistemit të drejtësisë dhe është një parakusht për funksionimin me efiçencë të këtyre institucioneve.</w:t>
      </w:r>
    </w:p>
    <w:p w14:paraId="472A97AC"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Përfundimi i procesit të trajtimit të ankesave të mbartura nga institucionet e mëparshme (</w:t>
      </w:r>
      <w:r w:rsidRPr="0061449F">
        <w:rPr>
          <w:rFonts w:ascii="Times New Roman" w:eastAsia="Times New Roman" w:hAnsi="Times New Roman" w:cs="Times New Roman"/>
          <w:bCs/>
          <w:i/>
          <w:iCs/>
          <w:noProof/>
          <w:sz w:val="24"/>
          <w:szCs w:val="24"/>
          <w:lang w:val="sq-AL" w:eastAsia="nl-NL"/>
        </w:rPr>
        <w:t>backlog</w:t>
      </w:r>
      <w:r w:rsidRPr="0061449F">
        <w:rPr>
          <w:rFonts w:ascii="Times New Roman" w:eastAsia="Times New Roman" w:hAnsi="Times New Roman" w:cs="Times New Roman"/>
          <w:bCs/>
          <w:noProof/>
          <w:sz w:val="24"/>
          <w:szCs w:val="24"/>
          <w:lang w:val="sq-AL" w:eastAsia="nl-NL"/>
        </w:rPr>
        <w:t>), nga ana e ILD-së evidentohet si një arritje e konsiderueshme përgjatë vitit 2023, e lidhur me arritjen e objektivave të Qëllimit I të Politikës.</w:t>
      </w:r>
    </w:p>
    <w:p w14:paraId="48097481"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 xml:space="preserve">Vakancat në numrin e inspektorëve magjistratë dhe jo-magjistratë në ILD mund të ndikojnë në numrin e inspektimeve të planifikuara dhe tematike, gjë që kërkon adresimin sa më të shpejt të kësaj çështjeje dhe plotësimin e vakancave të inspektorëve magistratë dhe jo-magistratë, por veçanërisht plotësimin e pozicioneve të inspektorëve magjistratë në ILD.  Për këtë problematikë, duhen marrë në konsideratë disa aspekte me qëllim rekrutimin jo vetëm të kandidatëve magjistratë të cilët përmbushin kriteret ligjore, por gjithashtu sigurimin e një procesi rekrutimi që mundëson transferimin e magjistratëve me përvojë të cilët zotërojnë kapacitetin e duhur profesional dhe integritet të lartë për të hetuar oganet gjyqësore dhe magjistratët në detyrë. Sigurisht, do të nevojiteshin edhe ndryshime ligjore për të garantuar këtë rezultat, pra ngritjen dhe forcimin e imazhit të inspektorëve të ILD-së si një model për të gjithë magjistratët dhe për të garantuar respektimin dhe vlerësimin e tyre nga kolegët e gjyqësorit. </w:t>
      </w:r>
    </w:p>
    <w:p w14:paraId="2DC75C98"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Po kaq e rëndësishme është, brenda vitit 2024 dhe 2025, në bashkëpunim me partnerët dhe me institucionet e tjera, marrja e masave nga ana e ILD-së lidhur me forcimin e kapaciteteve të inspektimit; promovimin e imazhit publik të inspektorëve; hapjen e thirrjeve me qëllim tërheqjen e inspektorëve të profilit të lartë dhe; rekrutimin e inspektorëve me inspektorë të profilit të lartë.</w:t>
      </w:r>
    </w:p>
    <w:p w14:paraId="543803FE" w14:textId="77777777" w:rsidR="0061449F" w:rsidRPr="0061449F" w:rsidRDefault="0061449F" w:rsidP="0061449F">
      <w:pPr>
        <w:spacing w:after="120" w:line="276" w:lineRule="auto"/>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lastRenderedPageBreak/>
        <w:t>II.</w:t>
      </w:r>
      <w:r w:rsidRPr="0061449F">
        <w:rPr>
          <w:rFonts w:ascii="Times New Roman" w:eastAsia="Times New Roman" w:hAnsi="Times New Roman" w:cs="Times New Roman"/>
          <w:bCs/>
          <w:noProof/>
          <w:sz w:val="24"/>
          <w:szCs w:val="24"/>
          <w:lang w:val="sq-AL" w:eastAsia="nl-NL"/>
        </w:rPr>
        <w:tab/>
        <w:t xml:space="preserve">Lidhur me përmbushjen e objektivave të Qëllimit Politik </w:t>
      </w:r>
      <w:r w:rsidRPr="0061449F">
        <w:rPr>
          <w:rFonts w:ascii="Times New Roman" w:eastAsia="Times New Roman" w:hAnsi="Times New Roman" w:cs="Times New Roman"/>
          <w:bCs/>
          <w:i/>
          <w:noProof/>
          <w:sz w:val="24"/>
          <w:szCs w:val="24"/>
          <w:lang w:val="sq-AL" w:eastAsia="nl-NL"/>
        </w:rPr>
        <w:t>“Forcimi i transparencës, efikasitetit të gjyqësorit dhe aksesit në drejtësi në përputhje me standardet kushtetuese, ligjore dhe evropiane”,</w:t>
      </w:r>
      <w:r w:rsidRPr="0061449F">
        <w:rPr>
          <w:rFonts w:ascii="Times New Roman" w:eastAsia="Times New Roman" w:hAnsi="Times New Roman" w:cs="Times New Roman"/>
          <w:bCs/>
          <w:noProof/>
          <w:sz w:val="24"/>
          <w:szCs w:val="24"/>
          <w:lang w:val="sq-AL" w:eastAsia="nl-NL"/>
        </w:rPr>
        <w:t xml:space="preserve"> konstatohet se:</w:t>
      </w:r>
    </w:p>
    <w:p w14:paraId="03FDF9C6"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 xml:space="preserve">Ka arritje në drejtim të plotësimit të vakancave dhe forcimit të kapaciteteve infrastrukturore në Gjykatën Kushtetuese, gjë e cila konsiderohet një premisë për funksionimin e plotë të kësaj Gjykate. </w:t>
      </w:r>
    </w:p>
    <w:p w14:paraId="4163D3E2"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Gjithashtu, po vijon implementimi me sukses i hartës së re gjyqësore, me ngritjen e 13 gjykatave të shkallës së parë dhe të apelit të juridiksionit të përgjithshëm. Megjithatë, infrastruktura në zbatim të hartës së re gjyqësore nuk është e siguruar, pasi ka probleme me miratimin e shesheve të ndërtimit nga ana e bashkive për godinat e reja të gjykatave. Mungesa e një studimi të mirëfilltë fizibiliteti mbetet një shqetësim potencial në sigurimin e infrastrukturës ndërtimore.</w:t>
      </w:r>
    </w:p>
    <w:p w14:paraId="2DC44C5C"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Plotësimi i vakancave të magjistratëve në gjykatat e shkallës së parë dhe të dytë të juridiksionit të përgjithshëm, mbetet një problematikë e cila vjen më së shumti si pasojë e procesit të vetting-ut. Në adresimin dhe plotësimin e vakancave është e rëndësishme që KLGJ të marrë në konsideratë masa për të mundësuar emërimet, lëvizjen paralele dhe ngritjen në detyrë të magjistratëve, bazuar në vlerësime etike dhe profesionale të rregullta dhe në kohë. Momentalisht, vakancat në Gjykatën e Apelit për gjyqtarë dhe staf administrativ janë problematika më e madhe pasi ambientet për Gjykatën e Apelit nuk janë konceptuar për këtë numër gjyqtarësh dhe anëtarësh stafi.</w:t>
      </w:r>
    </w:p>
    <w:p w14:paraId="5EB2354B"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Zhvillimi i standarteve të plota dhe të gjithanshme lidhur me treguesit e performancës së gjykatave përbën një risk për monitorimin e performancës së gjykatave, sipas standarteve më të mira. Pjesë e procesit të zhvillimit të standarteve duhet të konsiderohet ngritja e mekanizmave monitorues të zbatimit të tyre.</w:t>
      </w:r>
    </w:p>
    <w:p w14:paraId="75B37036"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 xml:space="preserve">Fillimi i punës për hartimin e një strategjie të mirëfilltë dhe një plan veprimi me masa konkrete, për uljen e numrit të cështjeve të prapambetura, mund të konsiderohet si një hap pozitiv për krijimin e hapësirave për uljen e </w:t>
      </w:r>
      <w:r w:rsidRPr="0061449F">
        <w:rPr>
          <w:rFonts w:ascii="Times New Roman" w:eastAsia="Times New Roman" w:hAnsi="Times New Roman" w:cs="Times New Roman"/>
          <w:bCs/>
          <w:i/>
          <w:iCs/>
          <w:noProof/>
          <w:sz w:val="24"/>
          <w:szCs w:val="24"/>
          <w:lang w:val="sq-AL" w:eastAsia="nl-NL"/>
        </w:rPr>
        <w:t>backlog</w:t>
      </w:r>
      <w:r w:rsidRPr="0061449F">
        <w:rPr>
          <w:rFonts w:ascii="Times New Roman" w:eastAsia="Times New Roman" w:hAnsi="Times New Roman" w:cs="Times New Roman"/>
          <w:bCs/>
          <w:noProof/>
          <w:sz w:val="24"/>
          <w:szCs w:val="24"/>
          <w:lang w:val="sq-AL" w:eastAsia="nl-NL"/>
        </w:rPr>
        <w:t>-ut dhe përshpejtimin e gjykimit të cështjeve gjyqësore.</w:t>
      </w:r>
    </w:p>
    <w:p w14:paraId="7FE4AC04"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 xml:space="preserve">Evidetohet një përpjekje e mirë në plotësimin e kuadrit nënligjor për funksionimin e gjykatave por nevojitet një mbështetje më e madhe për zbatimin e këtyre akteve si dhe për vlerësimin e efikasitetit për zbatimin e legjislacionit dytësor. </w:t>
      </w:r>
    </w:p>
    <w:p w14:paraId="02A824F2"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 xml:space="preserve">Referuar raportimeve nga institucionet, konstatohen arritje në drejtim të metodologjisë së trajnimeve të magjistratëve në mënyrë që ato të jenë sa më të dobishme për përfituesit e tyre dhe të rrisin cilësinë e gjyqësorit, po ashtu edhe për procesin e trajnimit të magistrateve dhe të subjekteve të tjera. Në përputhje dhe me rekomandimet e </w:t>
      </w:r>
      <w:r w:rsidRPr="0061449F">
        <w:rPr>
          <w:rFonts w:ascii="Times New Roman" w:eastAsia="Times New Roman" w:hAnsi="Times New Roman" w:cs="Times New Roman"/>
          <w:bCs/>
          <w:i/>
          <w:iCs/>
          <w:noProof/>
          <w:sz w:val="24"/>
          <w:szCs w:val="24"/>
          <w:lang w:val="sq-AL" w:eastAsia="nl-NL"/>
        </w:rPr>
        <w:t>Screening Report</w:t>
      </w:r>
      <w:r w:rsidRPr="0061449F">
        <w:rPr>
          <w:rFonts w:ascii="Times New Roman" w:eastAsia="Times New Roman" w:hAnsi="Times New Roman" w:cs="Times New Roman"/>
          <w:bCs/>
          <w:noProof/>
          <w:sz w:val="24"/>
          <w:szCs w:val="24"/>
          <w:lang w:val="sq-AL" w:eastAsia="nl-NL"/>
        </w:rPr>
        <w:t xml:space="preserve"> të BE-së, në emërimin e profileve profesionale të Shkollës së Magistraturës duhet marë parasysh plotësimi i kritereve profesionalë dhe etikë në mënyrë që të shmanget përfshirja e magjistratëve të shkarkuar nga procesi i </w:t>
      </w:r>
      <w:r w:rsidRPr="0061449F">
        <w:rPr>
          <w:rFonts w:ascii="Times New Roman" w:eastAsia="Times New Roman" w:hAnsi="Times New Roman" w:cs="Times New Roman"/>
          <w:bCs/>
          <w:i/>
          <w:iCs/>
          <w:noProof/>
          <w:sz w:val="24"/>
          <w:szCs w:val="24"/>
          <w:lang w:val="sq-AL" w:eastAsia="nl-NL"/>
        </w:rPr>
        <w:t>vetting</w:t>
      </w:r>
      <w:r w:rsidRPr="0061449F">
        <w:rPr>
          <w:rFonts w:ascii="Times New Roman" w:eastAsia="Times New Roman" w:hAnsi="Times New Roman" w:cs="Times New Roman"/>
          <w:bCs/>
          <w:noProof/>
          <w:sz w:val="24"/>
          <w:szCs w:val="24"/>
          <w:lang w:val="sq-AL" w:eastAsia="nl-NL"/>
        </w:rPr>
        <w:t>-ut. Krijimi i modeleve pozitivë në përgatitjen e magjistatëve të rinj është një nga synimet më të rëndësishme të agjendës së ardhshme.</w:t>
      </w:r>
    </w:p>
    <w:p w14:paraId="079E0566"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Sa i takon arritjes së objektivit “Informimi dhe rritja e ndërgjegjësimit të subjekteve të ligjit “Për ndihmën juridike falas” për të drejtat e tyre për ndihmë dhe akses në institucione” konstatohet progres i dukshëm nëpërmjet organizimit të fushatave ndërgjegjësuese, materialeve promovuese, ndërtimit dhe përmirësimit të ëebsite informativ dhe i aksesueshëm për të gjitha grupet vulnerabël.</w:t>
      </w:r>
    </w:p>
    <w:p w14:paraId="5441D759"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 xml:space="preserve">Në drejtim të zbatimit të sistemeve alternativë të zgjidhjes së mosmarrëveshjeve mbetet sfidë puna në drejtim të rritjes së kapaciteteve të DHKN, rritjes së numrit të rasteve për zgjidhjen e </w:t>
      </w:r>
      <w:r w:rsidRPr="0061449F">
        <w:rPr>
          <w:rFonts w:ascii="Times New Roman" w:eastAsia="Times New Roman" w:hAnsi="Times New Roman" w:cs="Times New Roman"/>
          <w:bCs/>
          <w:noProof/>
          <w:sz w:val="24"/>
          <w:szCs w:val="24"/>
          <w:lang w:val="sq-AL" w:eastAsia="nl-NL"/>
        </w:rPr>
        <w:lastRenderedPageBreak/>
        <w:t>mosmarrëveshjeve në rrugë alternative, gjetjen e mekanizmave për ta bërë ndërmjetësimin më të aksesueshëm, si dhe kërkimi dhe aplikimi i praktikave më të mira evropiane.</w:t>
      </w:r>
    </w:p>
    <w:p w14:paraId="7CEF5220" w14:textId="77777777" w:rsidR="0061449F" w:rsidRPr="0061449F" w:rsidRDefault="0061449F" w:rsidP="0061449F">
      <w:pPr>
        <w:spacing w:after="0" w:line="276" w:lineRule="auto"/>
        <w:jc w:val="both"/>
        <w:rPr>
          <w:rFonts w:ascii="Times New Roman" w:eastAsia="Times New Roman" w:hAnsi="Times New Roman" w:cs="Times New Roman"/>
          <w:bCs/>
          <w:noProof/>
          <w:sz w:val="24"/>
          <w:szCs w:val="24"/>
          <w:lang w:val="sq-AL" w:eastAsia="nl-NL"/>
        </w:rPr>
      </w:pPr>
    </w:p>
    <w:p w14:paraId="042EA09F" w14:textId="77777777" w:rsidR="0061449F" w:rsidRPr="0061449F" w:rsidRDefault="0061449F" w:rsidP="0061449F">
      <w:pPr>
        <w:spacing w:after="120" w:line="276" w:lineRule="auto"/>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III.</w:t>
      </w:r>
      <w:r w:rsidRPr="0061449F">
        <w:rPr>
          <w:rFonts w:ascii="Times New Roman" w:eastAsia="Times New Roman" w:hAnsi="Times New Roman" w:cs="Times New Roman"/>
          <w:bCs/>
          <w:noProof/>
          <w:sz w:val="24"/>
          <w:szCs w:val="24"/>
          <w:lang w:val="sq-AL" w:eastAsia="nl-NL"/>
        </w:rPr>
        <w:tab/>
        <w:t xml:space="preserve">Lidhur me përmbushjen e objektivave të Qëllimit Politik </w:t>
      </w:r>
      <w:r w:rsidRPr="0061449F">
        <w:rPr>
          <w:rFonts w:ascii="Times New Roman" w:eastAsia="Times New Roman" w:hAnsi="Times New Roman" w:cs="Times New Roman"/>
          <w:bCs/>
          <w:i/>
          <w:noProof/>
          <w:sz w:val="24"/>
          <w:szCs w:val="24"/>
          <w:lang w:val="sq-AL" w:eastAsia="nl-NL"/>
        </w:rPr>
        <w:t>“Një Sistem i Drejtësisë Penale i mbështetetur në parimet moderne evropiane të drejtësisë, që garanton risocializimin, riintegrimin dhe rehabilitimin, si dhe respektimin e të drejtave dhe lirive të njeriut dhe barazisë gjinore brenda një qasjeje të integruar dhe me praktika solide të parandalimit të krimit”,</w:t>
      </w:r>
      <w:r w:rsidRPr="0061449F">
        <w:rPr>
          <w:rFonts w:ascii="Times New Roman" w:eastAsia="Times New Roman" w:hAnsi="Times New Roman" w:cs="Times New Roman"/>
          <w:bCs/>
          <w:noProof/>
          <w:sz w:val="24"/>
          <w:szCs w:val="24"/>
          <w:lang w:val="sq-AL" w:eastAsia="nl-NL"/>
        </w:rPr>
        <w:t xml:space="preserve"> konstatohet se:</w:t>
      </w:r>
    </w:p>
    <w:p w14:paraId="0BD4A525"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 xml:space="preserve">Me gjithë hapat e bëra deri tashmë, procesi i hartimit dhe miratimit të ndyshimeve të reja të Kodit Penal, në përputhje me acquis dhe rekomandimet e </w:t>
      </w:r>
      <w:r w:rsidRPr="0061449F">
        <w:rPr>
          <w:rFonts w:ascii="Times New Roman" w:eastAsia="Times New Roman" w:hAnsi="Times New Roman" w:cs="Times New Roman"/>
          <w:bCs/>
          <w:i/>
          <w:iCs/>
          <w:noProof/>
          <w:sz w:val="24"/>
          <w:szCs w:val="24"/>
          <w:lang w:val="sq-AL" w:eastAsia="nl-NL"/>
        </w:rPr>
        <w:t>Screening Report</w:t>
      </w:r>
      <w:r w:rsidRPr="0061449F">
        <w:rPr>
          <w:rFonts w:ascii="Times New Roman" w:eastAsia="Times New Roman" w:hAnsi="Times New Roman" w:cs="Times New Roman"/>
          <w:bCs/>
          <w:noProof/>
          <w:sz w:val="24"/>
          <w:szCs w:val="24"/>
          <w:lang w:val="sq-AL" w:eastAsia="nl-NL"/>
        </w:rPr>
        <w:t xml:space="preserve">, në fushën penale dhe kriminalitetin, ende mbetet i pafinalizuar. Duhet theksuar se hartimi i Kodit të ri Penal në përputhje me </w:t>
      </w:r>
      <w:r w:rsidRPr="0061449F">
        <w:rPr>
          <w:rFonts w:ascii="Times New Roman" w:eastAsia="Times New Roman" w:hAnsi="Times New Roman" w:cs="Times New Roman"/>
          <w:bCs/>
          <w:i/>
          <w:iCs/>
          <w:noProof/>
          <w:sz w:val="24"/>
          <w:szCs w:val="24"/>
          <w:lang w:val="sq-AL" w:eastAsia="nl-NL"/>
        </w:rPr>
        <w:t>acquis</w:t>
      </w:r>
      <w:r w:rsidRPr="0061449F">
        <w:rPr>
          <w:rFonts w:ascii="Times New Roman" w:eastAsia="Times New Roman" w:hAnsi="Times New Roman" w:cs="Times New Roman"/>
          <w:bCs/>
          <w:noProof/>
          <w:sz w:val="24"/>
          <w:szCs w:val="24"/>
          <w:lang w:val="sq-AL" w:eastAsia="nl-NL"/>
        </w:rPr>
        <w:t xml:space="preserve"> e BE-së është sfidues dhe kërkon kohën, burime dhe profesionalizmin e duhur. Kështu cilësia e Kodti të ri Penal duhet konsideruar si prioritet. </w:t>
      </w:r>
    </w:p>
    <w:p w14:paraId="77D02473"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 xml:space="preserve">Lidhur me strukturat e SPAK, duhet të vijojë plotësimi i vacancave në pozicionet e oficerëve të policisë gjyqësore dhe punonjësve të administratës të Byrosë Kombëtare të Hetimit. Nga ana e institucionit janë paraqitur synime për struktura më eficente, të kompletuara me njësi të analizës së riskut, bashkëpunimit ndërkombëtar dhe operacionale, si dhe rekrutimi i kapacitetet njerëzore cilësore. </w:t>
      </w:r>
    </w:p>
    <w:p w14:paraId="07134FD5"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Institucionet e varësisë së Ministrisë së Drejtësisë, pavarësisht hapave pozitivë në drejtim të përmirësimit të infrastrukturës, ndeshen ende me disa nevoja, si p.sh. Drejtoria e Përgjithshme e Shërbimit të Provës, paraqet nevoja lidhur me zgjerimin e hapësirave dhe përmirësimin e standarteve të godinave të degëve lokale, gjë e cila do të sigurojë përmirësimin e shërbimit që ofron kjo Drejtori.</w:t>
      </w:r>
    </w:p>
    <w:p w14:paraId="0AEA6231"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Mbetet sfidë bashkëpunimi ndërinstitucional në fushën e drejtësisë penale, veçanërisht bashkëpunimi midis prokurorive dhe shërbimit të provës, për të mundësuar respektimin e afateve ligjore për ekzekutimin e vendimeve me shërbim prove. Vonesa në ekzekutimin e shërbimit të provës ndikon në zbatimin e duhur të shërbimit të provës si dënim alternativ, efektin individual të këtij ndëshkimi si dhe cënon besimin në sistemin e drejtesisë.</w:t>
      </w:r>
    </w:p>
    <w:p w14:paraId="5CC5B409" w14:textId="77777777" w:rsidR="0061449F" w:rsidRPr="0061449F" w:rsidRDefault="0061449F" w:rsidP="0061449F">
      <w:pPr>
        <w:spacing w:after="0" w:line="276" w:lineRule="auto"/>
        <w:jc w:val="both"/>
        <w:rPr>
          <w:rFonts w:ascii="Times New Roman" w:eastAsia="Times New Roman" w:hAnsi="Times New Roman" w:cs="Times New Roman"/>
          <w:bCs/>
          <w:noProof/>
          <w:sz w:val="24"/>
          <w:szCs w:val="24"/>
          <w:lang w:val="sq-AL" w:eastAsia="nl-NL"/>
        </w:rPr>
      </w:pPr>
    </w:p>
    <w:p w14:paraId="2798ACFD" w14:textId="77777777" w:rsidR="0061449F" w:rsidRPr="0061449F" w:rsidRDefault="0061449F" w:rsidP="0061449F">
      <w:pPr>
        <w:spacing w:after="120" w:line="276" w:lineRule="auto"/>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IV.</w:t>
      </w:r>
      <w:r w:rsidRPr="0061449F">
        <w:rPr>
          <w:rFonts w:ascii="Times New Roman" w:eastAsia="Times New Roman" w:hAnsi="Times New Roman" w:cs="Times New Roman"/>
          <w:bCs/>
          <w:noProof/>
          <w:sz w:val="24"/>
          <w:szCs w:val="24"/>
          <w:lang w:val="sq-AL" w:eastAsia="nl-NL"/>
        </w:rPr>
        <w:tab/>
        <w:t xml:space="preserve">Lidhur me përmbushjen e objektivave të Qëllimit Politik </w:t>
      </w:r>
      <w:r w:rsidRPr="0061449F">
        <w:rPr>
          <w:rFonts w:ascii="Times New Roman" w:eastAsia="Times New Roman" w:hAnsi="Times New Roman" w:cs="Times New Roman"/>
          <w:bCs/>
          <w:i/>
          <w:noProof/>
          <w:sz w:val="24"/>
          <w:szCs w:val="24"/>
          <w:lang w:val="sq-AL" w:eastAsia="nl-NL"/>
        </w:rPr>
        <w:t>“Koordinimi, menaxhimi efikas dhe efektiv i sistemit të drejtësisë në të gjithë institucionet e sektorit”,</w:t>
      </w:r>
      <w:r w:rsidRPr="0061449F">
        <w:rPr>
          <w:rFonts w:ascii="Times New Roman" w:eastAsia="Times New Roman" w:hAnsi="Times New Roman" w:cs="Times New Roman"/>
          <w:bCs/>
          <w:noProof/>
          <w:sz w:val="24"/>
          <w:szCs w:val="24"/>
          <w:lang w:val="sq-AL" w:eastAsia="nl-NL"/>
        </w:rPr>
        <w:t xml:space="preserve"> konstatohet se:</w:t>
      </w:r>
    </w:p>
    <w:p w14:paraId="27313915"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Miratimi dhe implementimi me një sërë aktivitetesh i Strategjisë dhe Planit të Komunikimit në fushën e drejtësisë është një arritje e regjistruar përgjatë vitit 2023 nga ana e Ministrisë së Drejtësisë.</w:t>
      </w:r>
    </w:p>
    <w:p w14:paraId="2667A5EF"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Në vijim të procesit të integrimit të Shqipërisë në Bashkimin Evropian, për herë të parë, Qeveria Shqiptare me vendimin nr. 729, datë 13.12.2023, miratoi Strategjinë Ndërsektoriale për Mbrojtjen e Viktimave të Krimit 2024-2030, të propozuar nga Ministria e Drejtësisë, në përputhje me prioritetet dhe programin e Qeverisë Shqiptare, duke siguruar një kuadër të plotë për mbrojtjen e të drejtave të viktimave të krimit.</w:t>
      </w:r>
    </w:p>
    <w:p w14:paraId="71558A5A"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 xml:space="preserve">Ndërkohë, dixhitalizimi i sistemit të drejtësisë dhe vënia në funksion e sistemit të integruar të menaxhimit të çështjeve paraqet vështirësi dhe sfida, të cilat duhen adresuar. Vonesat në ndërtimin e sistemit të integruar të menaxhimit të çështjeve paraqesin një risk të konsiderueshëm, në vënien në funksion të këtij sistemi. Zbatimi i Udhërrëfyesit ndërinstitucional për digjitalizimin e sistemit të drejtësisë dhe në këtë kuadër ndërlidhja e sistemeve të menaxhimit të çështjeve të çdo institucioni </w:t>
      </w:r>
      <w:r w:rsidRPr="0061449F">
        <w:rPr>
          <w:rFonts w:ascii="Times New Roman" w:eastAsia="Times New Roman" w:hAnsi="Times New Roman" w:cs="Times New Roman"/>
          <w:bCs/>
          <w:noProof/>
          <w:sz w:val="24"/>
          <w:szCs w:val="24"/>
          <w:lang w:val="sq-AL" w:eastAsia="nl-NL"/>
        </w:rPr>
        <w:lastRenderedPageBreak/>
        <w:t>në një system të integruar të menaxhimit të çeshtjeve, duke marë në konsideratë hapat e ngadaltë deri më tani, mbart në vetvete gjithashtu një risk të konsiderueshëm dhe kërkon përpjekje maksimale për vënien në jetë.</w:t>
      </w:r>
    </w:p>
    <w:p w14:paraId="79A9984D" w14:textId="77777777" w:rsidR="0061449F" w:rsidRP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 xml:space="preserve">Dixhitalizimi i sistemit të drejtësisë dhe vënia në funksion e sistemit të integruar të menaxhimit të çështjeve, synohet të arrihet nëpërmjet: plotësimit të vakancave, rritjes së kapaciteteve, ndryshimeve ligjore, bashkëpunimit ndërmjet institucioneve për sistemin e ri të menaxhimit të cështjeve, si dhe sigurimit të buxheteve të nevojshme, për vënien në funksion të sistemit. </w:t>
      </w:r>
    </w:p>
    <w:p w14:paraId="7A44BAAE" w14:textId="77777777" w:rsidR="0061449F" w:rsidRDefault="0061449F" w:rsidP="0061449F">
      <w:pPr>
        <w:numPr>
          <w:ilvl w:val="0"/>
          <w:numId w:val="19"/>
        </w:numPr>
        <w:snapToGrid w:val="0"/>
        <w:spacing w:afterLines="120" w:after="288" w:line="276" w:lineRule="auto"/>
        <w:ind w:left="426" w:hanging="426"/>
        <w:contextualSpacing/>
        <w:jc w:val="both"/>
        <w:rPr>
          <w:rFonts w:ascii="Times New Roman" w:eastAsia="Times New Roman" w:hAnsi="Times New Roman" w:cs="Times New Roman"/>
          <w:bCs/>
          <w:noProof/>
          <w:sz w:val="24"/>
          <w:szCs w:val="24"/>
          <w:lang w:val="sq-AL" w:eastAsia="nl-NL"/>
        </w:rPr>
      </w:pPr>
      <w:r w:rsidRPr="0061449F">
        <w:rPr>
          <w:rFonts w:ascii="Times New Roman" w:eastAsia="Times New Roman" w:hAnsi="Times New Roman" w:cs="Times New Roman"/>
          <w:bCs/>
          <w:noProof/>
          <w:sz w:val="24"/>
          <w:szCs w:val="24"/>
          <w:lang w:val="sq-AL" w:eastAsia="nl-NL"/>
        </w:rPr>
        <w:t>Rritja në tërësi e bashkëpunimit ndërinstitucional, për zbatimin e politikave dhe reformave, gjithsesi, mbetet sfidë e agjendës së ardhshme.</w:t>
      </w:r>
    </w:p>
    <w:p w14:paraId="4C78EF15" w14:textId="77777777" w:rsidR="007440A2" w:rsidRPr="0061449F" w:rsidRDefault="007440A2" w:rsidP="007440A2">
      <w:pPr>
        <w:snapToGrid w:val="0"/>
        <w:spacing w:afterLines="120" w:after="288" w:line="276" w:lineRule="auto"/>
        <w:ind w:left="426"/>
        <w:contextualSpacing/>
        <w:jc w:val="both"/>
        <w:rPr>
          <w:rFonts w:ascii="Times New Roman" w:eastAsia="Times New Roman" w:hAnsi="Times New Roman" w:cs="Times New Roman"/>
          <w:bCs/>
          <w:noProof/>
          <w:sz w:val="24"/>
          <w:szCs w:val="24"/>
          <w:lang w:val="sq-AL" w:eastAsia="nl-NL"/>
        </w:rPr>
      </w:pPr>
    </w:p>
    <w:p w14:paraId="39BA9707"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Në kuadrin e vlerësimit afatmesëm të SND 2021-2025, raporti i fundit i monitorimit evidentoi, nga ana e përmbajtjes, nevojën e përditësimit të Strategjisë për të reflektuar qëllime të politikës lidhur më ngushtë me arritjet e nevojshme për të garantuar integrimin në BE. Sa i përket aspekteve proceduriale dhe të menaxhimit të monitorimit të Strategjisë dhe raportimit u evidentua nevoja për ngritjen dhe përdorimin e një Mekanizmi të Paralajmërimit të Hershëm i cili ka për qëllim të sigurojë që vlerësimi mbi ecurinë e Strategjisë të kryhet në çdo fazë të zbatimit të saj, dhe problematikat e mundshme të adresohen dhe zgjidhen në kohën e duhur dhe efektivisht. Një mekanizëm i tillë është një risi e përfshirë në monitorimin dhe raportimin e SND 2024-2030. </w:t>
      </w:r>
    </w:p>
    <w:p w14:paraId="4640BE16"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Me gjithë arritjet e shënuara, duhet theksuar se konsolidimi i arritjeve të Reformës në Drejtësi përgjatë viteve 2024-2030 bën të nevojshme politika që përmirësojnë kuadrin ligjor në fuqi lidhur me sistemin e drejtëisë, për një drejtësi efikase mbështetur në parime të konsoliduara nga Reformën në Drejtësi, si parimet e pavarësisë, paanësisë, profesionalizmit, integritetit në sistemin gjyqësor e në prokurori. Politikat e reja synojnë të reformojnë sistemin e drejtësisë, forcojnë kapacitetet e institucioneve të drejtësisë, harmonizojnë legjislacionin në fushën e sistemit të drejtësisë, në përputhje me </w:t>
      </w:r>
      <w:r w:rsidRPr="0061449F">
        <w:rPr>
          <w:rFonts w:ascii="Times New Roman" w:eastAsia="Calibri" w:hAnsi="Times New Roman" w:cs="Times New Roman"/>
          <w:i/>
          <w:iCs/>
          <w:sz w:val="24"/>
          <w:szCs w:val="24"/>
          <w:lang w:val="sq-AL"/>
        </w:rPr>
        <w:t>acquis</w:t>
      </w:r>
      <w:r w:rsidRPr="0061449F">
        <w:rPr>
          <w:rFonts w:ascii="Times New Roman" w:eastAsia="Calibri" w:hAnsi="Times New Roman" w:cs="Times New Roman"/>
          <w:sz w:val="24"/>
          <w:szCs w:val="24"/>
          <w:lang w:val="sq-AL"/>
        </w:rPr>
        <w:t xml:space="preserve"> të BE-së dhe standardet evropiane, rritjen e komunikimit publik dhe rikthimin e besimit të publikut tek sistemi i drejtësisë. </w:t>
      </w:r>
    </w:p>
    <w:p w14:paraId="3CC923F7"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Dokumenti ndërsektorial i drejtësisë, synon të sjellë reforma rrënjësore në drejtësi që forcojnë parimet e pavarësisë dhe integritetit të organeve të qeverisjes së sistemit të drejtësisë dhe fuqizojnë rolin e Këshillit të Lartë Gjyqësor si dhe të Këshillit të Lartë të Prokurorisë, duke vendosur standarte kontrolli të figurës dhe të pasurisë ndaj anëtarëve jo-magjistratë në përbërjen e Këshillave deri më sot dhe transparencë të plotë. Përgjatë viteve 2024-2030, Këshilli i Lartë i Prokurorisë, në funksion të Strategjisë Ndërsektoriale të Drejtësisë, duhet të miratojë aktet nënligjore sipas ligjit duke siguruar standartet e cilësisë. Kjo strategji synon gjithashtu zbatimin me efektivitet të rregulloreve mbi organizimin e gjykatave dhe prokurorive nga institucionet përkatëse (KLGj, KLP, PP) lidhur me zbatimin e hartës së re gjyqësore. </w:t>
      </w:r>
    </w:p>
    <w:p w14:paraId="0B7589A2" w14:textId="77777777" w:rsidR="0061449F" w:rsidRPr="0061449F" w:rsidRDefault="0061449F" w:rsidP="0061449F">
      <w:pPr>
        <w:spacing w:line="276" w:lineRule="auto"/>
        <w:jc w:val="both"/>
        <w:rPr>
          <w:rFonts w:ascii="Times New Roman" w:eastAsia="Times New Roman" w:hAnsi="Times New Roman" w:cs="Times New Roman"/>
          <w:b/>
          <w:bCs/>
          <w:lang w:val="sq-AL"/>
        </w:rPr>
      </w:pPr>
      <w:r w:rsidRPr="0061449F">
        <w:rPr>
          <w:rFonts w:ascii="Times New Roman" w:eastAsia="Calibri" w:hAnsi="Times New Roman" w:cs="Times New Roman"/>
          <w:sz w:val="24"/>
          <w:szCs w:val="24"/>
          <w:lang w:val="sq-AL"/>
        </w:rPr>
        <w:t xml:space="preserve">Procesi i </w:t>
      </w:r>
      <w:r w:rsidRPr="0061449F">
        <w:rPr>
          <w:rFonts w:ascii="Times New Roman" w:eastAsia="Calibri" w:hAnsi="Times New Roman" w:cs="Times New Roman"/>
          <w:i/>
          <w:iCs/>
          <w:sz w:val="24"/>
          <w:szCs w:val="24"/>
          <w:lang w:val="sq-AL"/>
        </w:rPr>
        <w:t>vetting</w:t>
      </w:r>
      <w:r w:rsidRPr="0061449F">
        <w:rPr>
          <w:rFonts w:ascii="Times New Roman" w:eastAsia="Calibri" w:hAnsi="Times New Roman" w:cs="Times New Roman"/>
          <w:sz w:val="24"/>
          <w:szCs w:val="24"/>
          <w:lang w:val="sq-AL"/>
        </w:rPr>
        <w:t xml:space="preserve">-ut, nën mbikëqyrjen e Operacionit Ndërkombëtar të Monitorimit, ka shënuar progres por nevojitet që procesi i rivlerësimit të përfundojë brenda afateve kushtetuese ligjore. Standartet e kontrollit të figurës dhe kontrollit të pasurisë duhet të aplikohen tek magjistratët gjatë gjithë vazhdimësisë së karrierës të statusit të magjistratit. Procesi i rivlerësimit, si dhe kontrolli i integritetit duhet të zbatohet përpara dhe gjatë gjithë karrierës së statusit të magjistratit. Garantimi i standarteve të kontrollit të pasurisë passjell nevojën lidhur me përditësimin dhe verifikimin periodik të deklaratave të pasurisë të </w:t>
      </w:r>
      <w:r w:rsidRPr="0061449F">
        <w:rPr>
          <w:rFonts w:ascii="Times New Roman" w:eastAsia="Calibri" w:hAnsi="Times New Roman" w:cs="Times New Roman"/>
          <w:sz w:val="24"/>
          <w:szCs w:val="24"/>
          <w:lang w:val="sq-AL"/>
        </w:rPr>
        <w:lastRenderedPageBreak/>
        <w:t>anëtarëve magjistratë gjyqtarë dhe prokurorë. KLGJ dhe KLP, duhet të sigururojnë n</w:t>
      </w:r>
      <w:r w:rsidRPr="0061449F">
        <w:rPr>
          <w:rFonts w:ascii="Times New Roman" w:eastAsia="Times New Roman" w:hAnsi="Times New Roman" w:cs="Times New Roman"/>
          <w:sz w:val="24"/>
          <w:szCs w:val="24"/>
          <w:lang w:val="sq-AL"/>
        </w:rPr>
        <w:t>djekjen sistematike të raporteve të deklarimit të pasurisë nga ILDKPKI-ja dhe të ndërmarrin hetime të mëtejshme në kontekstin e shqyrtimit të pasurisë dhe të figurës së magjistratëve</w:t>
      </w:r>
      <w:r w:rsidRPr="0061449F">
        <w:rPr>
          <w:rFonts w:ascii="Times New Roman" w:eastAsia="Times New Roman" w:hAnsi="Times New Roman" w:cs="Times New Roman"/>
          <w:sz w:val="20"/>
          <w:szCs w:val="20"/>
          <w:lang w:val="sq-AL"/>
        </w:rPr>
        <w:t xml:space="preserve">. </w:t>
      </w:r>
      <w:r w:rsidRPr="0061449F">
        <w:rPr>
          <w:rFonts w:ascii="Times New Roman" w:eastAsia="Calibri" w:hAnsi="Times New Roman" w:cs="Times New Roman"/>
          <w:sz w:val="24"/>
          <w:szCs w:val="24"/>
          <w:lang w:val="sq-AL"/>
        </w:rPr>
        <w:t xml:space="preserve">Synohet që gjatë viteve 2024-2030, të plotësohen vakancat për inspektorët e ILD-së me profil magjistrat. Rritja e efikasitetit është kushti themelor për vlerësimin dhe promovimin e magjistratëve. Angazhime të tjera në nivel strategjik janë marrja e masave parandaluese për çdo ndërhyrje abuzuese, të brendshme apo të jashtme, që i bëhet gjyqtarëve, prokurorëve dhe stafit të gjykatave. </w:t>
      </w:r>
    </w:p>
    <w:p w14:paraId="372DC998"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Më tej, kjo strategji synon të adresojë politika në kuadër të përmirësimit të perfomancës së magjistratëve, duke iu referuar përmirësimeve lidhur me trajnimin fillestar dhe vazhdues të magjistratëve, si dhe duke iu referuar forcimit të nevojshëm të kapaciteteteve të cilësisë, efikasitetit, integritetit të stafit pedagogjik të Shkollës së Magjistraturës, duke parandaluar praktikat e dëmshme lidhur me përfshirjen në të ardhmen të magjistratëve të shkarkuar nga </w:t>
      </w:r>
      <w:r w:rsidRPr="0061449F">
        <w:rPr>
          <w:rFonts w:ascii="Times New Roman" w:eastAsia="Calibri" w:hAnsi="Times New Roman" w:cs="Times New Roman"/>
          <w:i/>
          <w:iCs/>
          <w:sz w:val="24"/>
          <w:szCs w:val="24"/>
          <w:lang w:val="sq-AL"/>
        </w:rPr>
        <w:t>vetting</w:t>
      </w:r>
      <w:r w:rsidRPr="0061449F">
        <w:rPr>
          <w:rFonts w:ascii="Times New Roman" w:eastAsia="Calibri" w:hAnsi="Times New Roman" w:cs="Times New Roman"/>
          <w:sz w:val="24"/>
          <w:szCs w:val="24"/>
          <w:lang w:val="sq-AL"/>
        </w:rPr>
        <w:t>-u. Masat e nevojshme për ndryshime ligjore duhet të forcojnë kapacitetet e Shkollës së Magjistraturës, Këshillit të Lartë Gjyqësor dhe Këshillit të Lartë të Prokurorisë, në mënyrë që të garantohen standartet e vlerësimit lidhur me kontrollin e pasurisë dhe të figurës së kandidatëve jomagjistratë,</w:t>
      </w:r>
    </w:p>
    <w:p w14:paraId="729B9978"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Forcimi i parimeve të disponueshmërisë/aksesueshmërisë të vendimeve gjyqësore, veçanërisht të Gjykatës së Lartë, si dhe unifikimi i vendimeve të gjykatave nga Gjykata e Lartë, përbëjnë gjithashtu një element të rëndësishëm të Strategjisë Ndërsektoriale të Drejtësisë 2024-2030. </w:t>
      </w:r>
    </w:p>
    <w:p w14:paraId="565B74D9"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Synimi i  kësaj strategjie është të sigurojë një drejtësi thelbësisht efikase nëpërmjet rritjes së cilësisë së arsyetimeve të vendimeve gjyqësore, me rritjen e efiçencës dhe cilësisë së shërbimeve të ofruara në gjykata dhe në prokurori.  Sfidë por dhe perspektivë premtuese mbetet trendi lidhur me uljen dhe eliminimin e </w:t>
      </w:r>
      <w:r w:rsidRPr="0061449F">
        <w:rPr>
          <w:rFonts w:ascii="Times New Roman" w:eastAsia="Calibri" w:hAnsi="Times New Roman" w:cs="Times New Roman"/>
          <w:i/>
          <w:iCs/>
          <w:sz w:val="24"/>
          <w:szCs w:val="24"/>
          <w:lang w:val="sq-AL"/>
        </w:rPr>
        <w:t>backlog</w:t>
      </w:r>
      <w:r w:rsidRPr="0061449F">
        <w:rPr>
          <w:rFonts w:ascii="Times New Roman" w:eastAsia="Calibri" w:hAnsi="Times New Roman" w:cs="Times New Roman"/>
          <w:sz w:val="24"/>
          <w:szCs w:val="24"/>
          <w:lang w:val="sq-AL"/>
        </w:rPr>
        <w:t xml:space="preserve">-ut në gjykata, ngritja dhe funksionimi i plotë i Sistemit të Integruar të Menaxhimit të Çështjeve (ICMS), përdorimi me efikasitet të plotë i këtij sistemi të unifikuar në të gjitha gjykatat dhe prokuroritë, si dhe përmirësimi i infrastrukturës në gjykata, me qëllim forcimin e parimit të aksesit në drejtësi nga publiku i gjerë. Për këtë qëllim, sigurimi i burimeve të nevojshme njerëzore dhe financiare, ndikon ndjeshëm lidhur me përmbushjen në mënyrë efektive të detyrave funksionale të Qendrës së Teknologjisë së Informacionit. </w:t>
      </w:r>
    </w:p>
    <w:p w14:paraId="0D9E842C"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Jetësimi i prioriteteve strategjikë të reformës në drejtësi, passjell nevojën lidhur me fuqizimin e kapaciteteve të strukturave të posaçme, si Prokuroria e Posaçme, Byroja Kombëtare e Hetimit dhe Gjykatat Kundër Korrupsionit dhe Krimit të Organizuar. Objektivat e Reformës në Drejtësi garantojnë rritjen e efikasitetit në sistemin gjyqësor dhe në prokurori, por gjithmonë duke u orientuar nga nismat ligjore në këtë drejtim. Aksesi në drejtësi, duhet të jetë i hapur për publikun e gjerë, duhet të jetë i mirëorganizuar në gjykata dhe në prokurori, duke siguruar që transferimi apo ngritja në detyrë e magjistratëve të jenë funksionalë në kuadër të marrjes së masave implementuese dhe vlerësuese në mënyrë periodike të hartës së re gjyqësore. Rezultatet e Reformës në Drejtësi duhet të jenë të prekshme, pasi ato synojnë trendin për uljen e ngarkesës së punës dhe forcimin e kapaciteteve të ndihmësve ligjorë, në përputhje me standartet dhe praktikat më të mira evropiane. Në vijimësi të arritjeve të rezultave të prekshme, kjo strategji synon të përmirësojë mekanizmin referues për zgjidhjen alternative të mosmarrëveshjeve, të forcojë rolin e ndërmjetësimit dhe rolin e gjykatave në këtë fushë, të rrisë ndërgjegjësimin dhe numrin e rasteve të shërbimeve të ndërmjetësimit nga publiku i gjerë. Gjithashtu, </w:t>
      </w:r>
      <w:r w:rsidRPr="0061449F">
        <w:rPr>
          <w:rFonts w:ascii="Times New Roman" w:eastAsia="Calibri" w:hAnsi="Times New Roman" w:cs="Times New Roman"/>
          <w:sz w:val="24"/>
          <w:szCs w:val="24"/>
          <w:lang w:val="sq-AL"/>
        </w:rPr>
        <w:lastRenderedPageBreak/>
        <w:t xml:space="preserve">për sektorin e drejtësisë, mbetet sfidë ulja e mbipopullimit në burgje. Ndërsa lidhur me fushën penale dhe të kriminalitetit mbetet e domosdoshme miratimi i një Kodi të Ri Penal, në përputhje me </w:t>
      </w:r>
      <w:r w:rsidRPr="0061449F">
        <w:rPr>
          <w:rFonts w:ascii="Times New Roman" w:eastAsia="Calibri" w:hAnsi="Times New Roman" w:cs="Times New Roman"/>
          <w:i/>
          <w:iCs/>
          <w:sz w:val="24"/>
          <w:szCs w:val="24"/>
          <w:lang w:val="sq-AL"/>
        </w:rPr>
        <w:t>acquis</w:t>
      </w:r>
      <w:r w:rsidRPr="0061449F">
        <w:rPr>
          <w:rFonts w:ascii="Times New Roman" w:eastAsia="Calibri" w:hAnsi="Times New Roman" w:cs="Times New Roman"/>
          <w:sz w:val="24"/>
          <w:szCs w:val="24"/>
          <w:lang w:val="sq-AL"/>
        </w:rPr>
        <w:t xml:space="preserve"> e BE-së duke u bazuar në rekomandimet e </w:t>
      </w:r>
      <w:r w:rsidRPr="0061449F">
        <w:rPr>
          <w:rFonts w:ascii="Times New Roman" w:eastAsia="Calibri" w:hAnsi="Times New Roman" w:cs="Times New Roman"/>
          <w:i/>
          <w:sz w:val="24"/>
          <w:szCs w:val="24"/>
          <w:lang w:val="sq-AL"/>
        </w:rPr>
        <w:t>Screening Report</w:t>
      </w:r>
      <w:r w:rsidRPr="0061449F">
        <w:rPr>
          <w:rFonts w:ascii="Times New Roman" w:eastAsia="Calibri" w:hAnsi="Times New Roman" w:cs="Times New Roman"/>
          <w:sz w:val="24"/>
          <w:szCs w:val="24"/>
          <w:lang w:val="sq-AL"/>
        </w:rPr>
        <w:t>.</w:t>
      </w:r>
    </w:p>
    <w:p w14:paraId="15414F93" w14:textId="77777777" w:rsidR="0061449F" w:rsidRPr="0061449F" w:rsidRDefault="0061449F" w:rsidP="0061449F">
      <w:pPr>
        <w:spacing w:line="276" w:lineRule="auto"/>
        <w:jc w:val="both"/>
        <w:rPr>
          <w:rFonts w:ascii="Calibri" w:eastAsia="Calibri" w:hAnsi="Calibri" w:cs="Times New Roman"/>
          <w:lang w:val="sq-AL"/>
        </w:rPr>
      </w:pPr>
      <w:r w:rsidRPr="0061449F">
        <w:rPr>
          <w:rFonts w:ascii="Times New Roman" w:eastAsia="Calibri" w:hAnsi="Times New Roman" w:cs="Times New Roman"/>
          <w:sz w:val="24"/>
          <w:szCs w:val="24"/>
          <w:lang w:val="sq-AL"/>
        </w:rPr>
        <w:t xml:space="preserve">Koordinimi dhe bashkëpunimi ndërinstitucional i drejtësisë mbetet një nga prioritetet kyçe të sistemit të drejtësisë. Ndaj edhe në kuadër të bashkëpunimit, vlerësohet si e nevojshme ndërmarrja e masave përmirësuese lidhur me komunikimin publik për Reformën në Drejtësi, si dhe masave që ndikojnë në rritjen e ndërgjegjësimit të edukimit ligjor të publikut dhe zbatimin me efikasitet të strategjive dhe planeve të komunikimit. Zbatimi në kohë dhe në mënyrë efektive i vendimeve gjyqësore të formës së prerë, duke përfshirë edhe vendimet e GJEDNJ-në, është një nga prioritetet thelbësore për sektorin e drejtësisë, me qëllim respektimin e Konventës Ndërkombëtare të të Drejtave të Njeriut dhe protokolleve të saj shtesë.  </w:t>
      </w:r>
    </w:p>
    <w:bookmarkEnd w:id="3"/>
    <w:p w14:paraId="059667BD" w14:textId="77777777" w:rsidR="0061449F" w:rsidRPr="0061449F" w:rsidRDefault="0061449F" w:rsidP="0061449F">
      <w:pPr>
        <w:spacing w:line="276" w:lineRule="auto"/>
        <w:jc w:val="center"/>
        <w:rPr>
          <w:rFonts w:ascii="Times New Roman" w:eastAsia="Calibri" w:hAnsi="Times New Roman" w:cs="Times New Roman"/>
          <w:b/>
          <w:bCs/>
          <w:sz w:val="24"/>
          <w:szCs w:val="24"/>
          <w:lang w:val="sq-AL"/>
        </w:rPr>
      </w:pPr>
      <w:r w:rsidRPr="0061449F">
        <w:rPr>
          <w:rFonts w:ascii="Times New Roman" w:eastAsia="Calibri" w:hAnsi="Times New Roman" w:cs="Times New Roman"/>
          <w:b/>
          <w:bCs/>
          <w:sz w:val="24"/>
          <w:szCs w:val="24"/>
          <w:lang w:val="sq-AL"/>
        </w:rPr>
        <w:t>Situata aktuale dhe vlerësimi mbi Edukimin Ligjor të Publikut në Shqipëri</w:t>
      </w:r>
    </w:p>
    <w:p w14:paraId="76166D03"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Edukimi ligjor i publikut në Shqipëri ka fituar një rëndësi të jashtëzakonshme në vitet e fundit, duke u bërë një komponent thelbësor në forcimin e shtetit të së drejtës dhe në krijimin e një shoqërie të drejtë dhe të informuar. Ky proces përfshin përhapjen e njohurive ligjore tek qytetarët, duke siguruar që ata të jenë të informuar mbi të drejtat dhe detyrimet e tyre, si dhe mbi funksionimin e institucioneve të drejtësisë. Në një vend si Shqipëria, ku historia e sistemit ligjor ka qenë shpeshherë e ndërlikuar dhe e ndikuar nga faktorë të ndryshëm socio-politikë, edukimi ligjor i publikut është bërë një domosdoshmëri. Ai nuk është vetëm një mjet për të informuar qytetarët për ligjet ekzistuese, por edhe një mënyrë për të krijuar një kulturë ligjore të fortë dhe të qëndrueshme. </w:t>
      </w:r>
    </w:p>
    <w:p w14:paraId="55610480"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lang w:val="sq-AL"/>
        </w:rPr>
        <w:t xml:space="preserve">Një shoqëri e informuar ligjërisht është një shtyllë e rëndësishme për një shtet të fortë të së drejtës. Edukimi ligjor ndihmon në krijimin e një kulture ligjore ku ligjet respektohen dhe zbatohen në mënyrë të barabartë për të gjithë. Kjo kontribuon në ndërtimin e institucioneve të drejtësisë të besueshme dhe të qëndrueshme. Në të njëjtën kohë, edukimi ligjor i publikut ndihmon në rritjen e transparencës dhe llogaridhënies së institucioneve publike. Kur qytetarët janë të informuar mbi të drejtat e tyre dhe mbi mënyrën se si funksionojnë institucionet e drejtësisë, ata janë më të aftë për të kërkuar llogari nga këto institucione. </w:t>
      </w:r>
      <w:r w:rsidRPr="0061449F">
        <w:rPr>
          <w:rFonts w:ascii="Times New Roman" w:eastAsia="Calibri" w:hAnsi="Times New Roman" w:cs="Times New Roman"/>
          <w:sz w:val="24"/>
          <w:szCs w:val="24"/>
        </w:rPr>
        <w:t xml:space="preserve">Kjo ndihmon në luftën kundër korrupsionit dhe abuzimit me pushtetin. </w:t>
      </w:r>
    </w:p>
    <w:p w14:paraId="05F67872"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Në Shqipëri, edukimi ligjor i publikut fitoi një rëndësi të veçantë, veçanërisht pas analizës së kryer në vitin 2015 nga grupi i ekspertëve të Komisionit të Posaçëm për Reformën në Sistemin e Drejtësisë. Kjo analizë nxori në pah një sërë problemesh dhe nevojën urgjente për projekte të mirëkoordinuara, plane dhe strategji që mund të përmirësojnë edukimin ligjor të qytetarëve. Edukimi ligjor është një element thelbësor për forcimin e shtetit të së drejtës dhe për fuqizimin e qytetarëve në njohjen dhe mbrojtjen e të drejtave të tyre.</w:t>
      </w:r>
    </w:p>
    <w:p w14:paraId="5B776E00"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Analiza e kryer në këtë periudhë evidentoi se edukimi ligjor në Shqipëri përballej me sfida të theksuara. </w:t>
      </w:r>
      <w:r w:rsidRPr="0061449F">
        <w:rPr>
          <w:rFonts w:ascii="Times New Roman" w:eastAsia="Calibri" w:hAnsi="Times New Roman" w:cs="Times New Roman"/>
          <w:i/>
          <w:iCs/>
          <w:sz w:val="24"/>
          <w:szCs w:val="24"/>
        </w:rPr>
        <w:t>Së pari</w:t>
      </w:r>
      <w:r w:rsidRPr="0061449F">
        <w:rPr>
          <w:rFonts w:ascii="Times New Roman" w:eastAsia="Calibri" w:hAnsi="Times New Roman" w:cs="Times New Roman"/>
          <w:sz w:val="24"/>
          <w:szCs w:val="24"/>
        </w:rPr>
        <w:t xml:space="preserve">, mungesa e koordinimit dhe institucionalizimit ka qenë një pengesë e madhe. Edukimi ligjor i publikut është realizuar kryesisht nga organizata jofitimprurëse dhe me mbështetjen e partnerëve ndërkombëtarë, por pa një qasje të mirëkoordinuar dhe të institucionalizuar. </w:t>
      </w:r>
      <w:r w:rsidRPr="0061449F">
        <w:rPr>
          <w:rFonts w:ascii="Times New Roman" w:eastAsia="Calibri" w:hAnsi="Times New Roman" w:cs="Times New Roman"/>
          <w:i/>
          <w:iCs/>
          <w:sz w:val="24"/>
          <w:szCs w:val="24"/>
        </w:rPr>
        <w:t>Një tjetër problem</w:t>
      </w:r>
      <w:r w:rsidRPr="0061449F">
        <w:rPr>
          <w:rFonts w:ascii="Times New Roman" w:eastAsia="Calibri" w:hAnsi="Times New Roman" w:cs="Times New Roman"/>
          <w:sz w:val="24"/>
          <w:szCs w:val="24"/>
        </w:rPr>
        <w:t xml:space="preserve"> ka qenë korniza ligjore e paqartë. Ligjet ekzistuese shpesh përmendnin institucionet përgjegjëse për edukimin ligjor, por nuk specifikojnë detyrime të qarta për to. Kjo mungesë qartësie ligjore ka rezultuar në </w:t>
      </w:r>
      <w:r w:rsidRPr="0061449F">
        <w:rPr>
          <w:rFonts w:ascii="Times New Roman" w:eastAsia="Calibri" w:hAnsi="Times New Roman" w:cs="Times New Roman"/>
          <w:sz w:val="24"/>
          <w:szCs w:val="24"/>
        </w:rPr>
        <w:lastRenderedPageBreak/>
        <w:t xml:space="preserve">përgjegjësi të papërcaktuara qartë dhe pa mekanizma të qarta zbatimi. </w:t>
      </w:r>
      <w:r w:rsidRPr="0061449F">
        <w:rPr>
          <w:rFonts w:ascii="Times New Roman" w:eastAsia="Calibri" w:hAnsi="Times New Roman" w:cs="Times New Roman"/>
          <w:i/>
          <w:iCs/>
          <w:sz w:val="24"/>
          <w:szCs w:val="24"/>
        </w:rPr>
        <w:t>Përveç kësaj</w:t>
      </w:r>
      <w:r w:rsidRPr="0061449F">
        <w:rPr>
          <w:rFonts w:ascii="Times New Roman" w:eastAsia="Calibri" w:hAnsi="Times New Roman" w:cs="Times New Roman"/>
          <w:sz w:val="24"/>
          <w:szCs w:val="24"/>
        </w:rPr>
        <w:t xml:space="preserve">, mungesa e burimeve financiare dhe njerëzore ka qenë një sfidë tjetër e rëndësishme. Institucionet përballen me mungesa të theksuara të burimeve të nevojshme për të realizuar aktivitetet e edukimit ligjor. Kjo ndikon në cilësinë dhe qëndrueshmërinë e programeve të edukimit ligjor, duke i bërë ato të paqëndrueshme dhe të varura nga financime të përkohshme. </w:t>
      </w:r>
    </w:p>
    <w:p w14:paraId="0FC3E5DF"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Me qëllim minimizimin e këtyre sfidave u hartua Strategjia për Edukimin Ligjor të Publikut (SELP), miratuar me vendimin e Kuvendit numër 47/2019, “Për Miratimin Strategjisë për Edukimin Ligjor të Publikut 2019-2023”. Ky dokument strategjik shërbeu si kuadri i parë rregullues kushtuar në mënyrë specifike Edukimit Ligjor të Publikut (ELP).  Strategjia synonte të siguronte një qasje gjithëpërfshirëse dhe të mirëkoordinuar për edukimin ligjor në vend duke promovuar aktivizimin qytetar dhe forcimin e shtetit të së drejtës. </w:t>
      </w:r>
    </w:p>
    <w:p w14:paraId="695656C1"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Strategjia Kombëtare ELP 2019-2023 bazohej në katër shtylla kryesore: </w:t>
      </w:r>
    </w:p>
    <w:p w14:paraId="304B138A" w14:textId="77777777" w:rsidR="0061449F" w:rsidRPr="0061449F" w:rsidRDefault="0061449F" w:rsidP="0061449F">
      <w:pPr>
        <w:numPr>
          <w:ilvl w:val="0"/>
          <w:numId w:val="22"/>
        </w:numPr>
        <w:spacing w:line="276" w:lineRule="auto"/>
        <w:contextualSpacing/>
        <w:jc w:val="both"/>
        <w:rPr>
          <w:rFonts w:ascii="Times New Roman" w:eastAsia="Calibri" w:hAnsi="Times New Roman" w:cs="Times New Roman"/>
          <w:i/>
          <w:iCs/>
          <w:sz w:val="24"/>
          <w:szCs w:val="24"/>
        </w:rPr>
      </w:pPr>
      <w:r w:rsidRPr="0061449F">
        <w:rPr>
          <w:rFonts w:ascii="Times New Roman" w:eastAsia="Calibri" w:hAnsi="Times New Roman" w:cs="Times New Roman"/>
          <w:i/>
          <w:iCs/>
          <w:sz w:val="24"/>
          <w:szCs w:val="24"/>
        </w:rPr>
        <w:t xml:space="preserve">Përmirësimi i organizimit dhe funksionimit institucional në ofrimin e ELP </w:t>
      </w:r>
    </w:p>
    <w:p w14:paraId="4B395E6A" w14:textId="77777777" w:rsidR="0061449F" w:rsidRPr="0061449F" w:rsidRDefault="0061449F" w:rsidP="0061449F">
      <w:pPr>
        <w:numPr>
          <w:ilvl w:val="0"/>
          <w:numId w:val="22"/>
        </w:numPr>
        <w:spacing w:line="276" w:lineRule="auto"/>
        <w:contextualSpacing/>
        <w:jc w:val="both"/>
        <w:rPr>
          <w:rFonts w:ascii="Times New Roman" w:eastAsia="Calibri" w:hAnsi="Times New Roman" w:cs="Times New Roman"/>
          <w:i/>
          <w:iCs/>
          <w:sz w:val="24"/>
          <w:szCs w:val="24"/>
        </w:rPr>
      </w:pPr>
      <w:r w:rsidRPr="0061449F">
        <w:rPr>
          <w:rFonts w:ascii="Times New Roman" w:eastAsia="Calibri" w:hAnsi="Times New Roman" w:cs="Times New Roman"/>
          <w:i/>
          <w:iCs/>
          <w:sz w:val="24"/>
          <w:szCs w:val="24"/>
        </w:rPr>
        <w:t xml:space="preserve">Garantimi dhe forcimi i bashkëpunimit efektiv ndërinstitucional në nivel kombëtar, rajonal dhe vendor për realizimin e ELP; </w:t>
      </w:r>
    </w:p>
    <w:p w14:paraId="72E7D4B5" w14:textId="77777777" w:rsidR="0061449F" w:rsidRPr="0061449F" w:rsidRDefault="0061449F" w:rsidP="0061449F">
      <w:pPr>
        <w:numPr>
          <w:ilvl w:val="0"/>
          <w:numId w:val="22"/>
        </w:numPr>
        <w:spacing w:line="276" w:lineRule="auto"/>
        <w:contextualSpacing/>
        <w:jc w:val="both"/>
        <w:rPr>
          <w:rFonts w:ascii="Times New Roman" w:eastAsia="Calibri" w:hAnsi="Times New Roman" w:cs="Times New Roman"/>
          <w:i/>
          <w:iCs/>
          <w:sz w:val="24"/>
          <w:szCs w:val="24"/>
        </w:rPr>
      </w:pPr>
      <w:r w:rsidRPr="0061449F">
        <w:rPr>
          <w:rFonts w:ascii="Times New Roman" w:eastAsia="Calibri" w:hAnsi="Times New Roman" w:cs="Times New Roman"/>
          <w:i/>
          <w:iCs/>
          <w:sz w:val="24"/>
          <w:szCs w:val="24"/>
        </w:rPr>
        <w:t xml:space="preserve">Sigurimi i performancës efektive dhe efiçente të institucioneve publike dhe të pavarura, medias dhe shoqërisë civile; </w:t>
      </w:r>
    </w:p>
    <w:p w14:paraId="42D8198B" w14:textId="77777777" w:rsidR="0061449F" w:rsidRPr="0061449F" w:rsidRDefault="0061449F" w:rsidP="0061449F">
      <w:pPr>
        <w:numPr>
          <w:ilvl w:val="0"/>
          <w:numId w:val="22"/>
        </w:numPr>
        <w:spacing w:line="276" w:lineRule="auto"/>
        <w:contextualSpacing/>
        <w:jc w:val="both"/>
        <w:rPr>
          <w:rFonts w:ascii="Times New Roman" w:eastAsia="Calibri" w:hAnsi="Times New Roman" w:cs="Times New Roman"/>
          <w:i/>
          <w:iCs/>
          <w:sz w:val="24"/>
          <w:szCs w:val="24"/>
        </w:rPr>
      </w:pPr>
      <w:r w:rsidRPr="0061449F">
        <w:rPr>
          <w:rFonts w:ascii="Times New Roman" w:eastAsia="Calibri" w:hAnsi="Times New Roman" w:cs="Times New Roman"/>
          <w:i/>
          <w:iCs/>
          <w:sz w:val="24"/>
          <w:szCs w:val="24"/>
        </w:rPr>
        <w:t xml:space="preserve">Ndërgjegjësimi i publikut për rëndësinë e njohjes së ligjit, të drejtave dhe detyrimeve të tyre, bazuar në nevojat specifike dhe nxitjen e aktivizimit qytetar për forcimin e shtetit të së drejtës. </w:t>
      </w:r>
    </w:p>
    <w:p w14:paraId="7758B1A6"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Nën koordinimin e Ministrisë së Drejtësisë, në 2020 u hartua edhe Plani i Veprimit të ELP i cili parashikonte masa dhe aktivitete për institucionet publike dhe jo publike për periudhën 2020-2023 me qëllim rritjen e nivelit të informimit të publikut mbi të drejtat e tyre, kuadrin ligjor në fuqi dhe mjetet që individët kanë në dorë për të aksesuar sistemin e drejtësisë dhe rivendosur në vend të drejtat e tyre të cenuara. </w:t>
      </w:r>
    </w:p>
    <w:p w14:paraId="20A42A70"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Strategjia i ngarkoi Kuvendit detyrën për ngritjen e Rrjetit Kombëtar të ELP me përbërjen e përfaqësuesve të institucioneve kryesore kushtetuese ose të krijuara me ligj (si Presidenti, Kuvendi, Kryeministria, Avokati i Popullit, Komisioneri për të drejtën e informimit dhe mbrojtjen e të dhënave personale etj), përfaqësuesve të  ministrive, institucioneve të drejtësisë, AMA-s, të Radiotelevizionit Shqiptar, dhomave të profesioneve të lira si noterë, avokatë, ndërmjetës dhe përmbarues gjyqësorë privatë, përfaqësues nga Agjencia Kombëtare e Shoqërisë së Informacionit, shoqatat e Bashkive, Këshilli Kombëtar i Shoqërisë Civile, Organizatat e Shoqërisë Civile që punojnë për edukimin ligjor të publikut, Organizata Ndërkombëtare dhe fakultete të drejtësisë. Për koordinimin e Rrjetit u ngritën nga Kuvendi i RSh organet e Rrjetit: Komisioni Drejtues i Edukimit Ligjor të Publikut (KDELP) dhe Bordi Këshillimor (BK).</w:t>
      </w:r>
    </w:p>
    <w:p w14:paraId="54FCCB5A"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Paralelisht me SELP, masa lidhur me edukimin ligjor të publikut kanë qenë të përfshira edhe në dokumente të tjera strategjike si Strategjia Ndërsektoriale e Drejtësisë (I dhe II) apo Strategjia për Drejtësinë për të Mitur (I dhe II). </w:t>
      </w:r>
    </w:p>
    <w:p w14:paraId="01120C2C"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Pas miratimit të ligjit nr.111/2017 “Për ndihmën juridike të garantuar nga shteti” sistemi i informimit ligjor të publikut synohej të mbulohej edhe përmes Qendrave të Ndihmës Juridike Falas dhe klinikave </w:t>
      </w:r>
      <w:r w:rsidRPr="0061449F">
        <w:rPr>
          <w:rFonts w:ascii="Times New Roman" w:eastAsia="Calibri" w:hAnsi="Times New Roman" w:cs="Times New Roman"/>
          <w:sz w:val="24"/>
          <w:szCs w:val="24"/>
        </w:rPr>
        <w:lastRenderedPageBreak/>
        <w:t xml:space="preserve">të ligjit. Megjithatë, vonesat lidhur me ngritjen e këtyre Qendrave dhe kufizimet buxhetore patën ndikim edhe në realizimin e aktiviteteve të parashikuara në Planin e veprimit mbi Edukimin Ligjor të Publikut. Gradualisht, me ngritjen e Qendrave të reja të ndihmës Juridike, Drejtoria e ndihmës Juridike luan një rol thelbësor lidhur me informimin dhe edukimin ligjor të publikut. Krahas saj, institucionet e sistemit të drejtësisë, gjykatat, Këshilli i Lartë Gjyqësor, Këshilli i Lartë i Prokurorisë, Inspektoriati i Lartë i Drejtësisë, Prokuroria e Përgjithshme dhe Ministria e Drejtësisë kanë hartuar në periudha 2 vjeçare Strategjitë dhe Planet e Komunikimit të cilat vendosin bazat kryesore të nismave të ndërmarra nga këto institucione lidhur me edukimin ligjor të publikut mbi sistemin e drejtësisë. </w:t>
      </w:r>
    </w:p>
    <w:p w14:paraId="2C69AA9C" w14:textId="77777777" w:rsidR="0061449F" w:rsidRPr="0061449F" w:rsidRDefault="0061449F" w:rsidP="0061449F">
      <w:pPr>
        <w:spacing w:line="276" w:lineRule="auto"/>
        <w:jc w:val="both"/>
        <w:rPr>
          <w:rFonts w:ascii="Times New Roman" w:eastAsia="Calibri" w:hAnsi="Times New Roman" w:cs="Times New Roman"/>
          <w:sz w:val="24"/>
          <w:szCs w:val="24"/>
        </w:rPr>
      </w:pPr>
    </w:p>
    <w:p w14:paraId="6CC2E61B"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Megithatë, analiza lidhur me zbatimin e SELP tregoi se në më shumë se 40% të masave të Planit të Veprimit të kësaj strategjie nuk ishin zbatuar në përfundim të periudhës së mbuluar nga ky dokument strategjik. Arsyet lidheshin kryesisht me mungesën e koordinimit midis institucioneve kryesore përgjegjëse dhe Kuvendit lidhur me zbatimin e masave respektive, mungesën e burimeve financiare të nevojshme për realizimin e aktiviteteve lidhur me edukimin ligjor të publikut apo kufizimet lidhur me burimet njerëzore të cilat pamundësonin zbatimin në të njëjtën kohë edhe të detyrave funksionale, edhe të aktiviteteve të edukimit ligjor të publikut. </w:t>
      </w:r>
    </w:p>
    <w:p w14:paraId="0C02916F"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Me qëllim krijimin e një rrjeti më të koordinuar të informimit ligjor të publikut dhe adresimit të sfidave me të cilat është përballur edukimi ligjor i publikut gjatë zbatimit të SELP 2019-2023, edukimi ligjor i publikut është parashikuar si një qëllim politik i rëndësishëm në Strategjinë Ndërsektoriale të Drejtësisë 2024-2030. Qëllimi 5 i kësaj Strategjie thekson rëndësinë e edukimit ligjor të publikut si një mjet për të përmirësuar qasjen në drejtësi, për të fuqizuar qytetarët dhe për të forcuar shtetin e së drejtës. Ky qëllim synon të sigurojë që edukimi ligjor të jetë një prioritet në politikat publike dhe të mbështetet nga të gjitha institucionet përkatëse. Strategjia parashikon si autoritetet kryesore përgjegjëse të ngarkuara me informimin dhe edukimin ligjor të publikut të gjitha institucionet që janë pjesë e Sistemit të Drejtësisë në vend. Për secilin prej tyre, Plani i Veprimit detajon masa dhe aktivitete për të gjithë periudhën e shtrirjes së SND III nga 2024-2030 duke u fokusuar kryesisht në planifikimin e masave dhe aktiviteteve me synim garantimin e:</w:t>
      </w:r>
    </w:p>
    <w:p w14:paraId="599215AE" w14:textId="77777777" w:rsidR="0061449F" w:rsidRPr="0061449F" w:rsidRDefault="0061449F" w:rsidP="0061449F">
      <w:pPr>
        <w:numPr>
          <w:ilvl w:val="0"/>
          <w:numId w:val="21"/>
        </w:numPr>
        <w:spacing w:line="276" w:lineRule="auto"/>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Informimit, edukimit dhe ndërgjegjësimit të publikut mbi sistemin e drejtësisë përmes përdorimit të mjeteve dhe metodave inovative të komunikimit</w:t>
      </w:r>
    </w:p>
    <w:p w14:paraId="5456A38E" w14:textId="77777777" w:rsidR="0061449F" w:rsidRPr="0061449F" w:rsidRDefault="0061449F" w:rsidP="0061449F">
      <w:pPr>
        <w:numPr>
          <w:ilvl w:val="0"/>
          <w:numId w:val="21"/>
        </w:numPr>
        <w:spacing w:line="276" w:lineRule="auto"/>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Forcimit të bashkëpunimit efektiv të institucioneve të sistemit të drejtësisë për realizimin e ELP dhe rritjen e aksesit të qytetarëve në informacionin mbi kuadrin ligjor dhe sistemin e drejtësisë   </w:t>
      </w:r>
    </w:p>
    <w:p w14:paraId="1ACD5548" w14:textId="77777777" w:rsidR="0061449F" w:rsidRPr="0061449F" w:rsidRDefault="0061449F" w:rsidP="0061449F">
      <w:pPr>
        <w:numPr>
          <w:ilvl w:val="0"/>
          <w:numId w:val="21"/>
        </w:numPr>
        <w:spacing w:line="276" w:lineRule="auto"/>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Rritjen e njohurive dhe kuptueshmërisë së publikut mbi proceset e integrimit evropian përmes iniciativave të edukimit ligjor të publikut</w:t>
      </w:r>
    </w:p>
    <w:p w14:paraId="524D64B3" w14:textId="77777777" w:rsidR="0061449F" w:rsidRPr="0061449F" w:rsidRDefault="0061449F" w:rsidP="0061449F">
      <w:pPr>
        <w:autoSpaceDE w:val="0"/>
        <w:autoSpaceDN w:val="0"/>
        <w:adjustRightInd w:val="0"/>
        <w:spacing w:after="0" w:line="276" w:lineRule="auto"/>
        <w:contextualSpacing/>
        <w:jc w:val="both"/>
        <w:rPr>
          <w:rFonts w:ascii="Times New Roman" w:eastAsia="Calibri" w:hAnsi="Times New Roman" w:cs="Times New Roman"/>
          <w:bCs/>
          <w:noProof/>
          <w:sz w:val="24"/>
          <w:szCs w:val="24"/>
          <w:lang w:val="sq-AL"/>
        </w:rPr>
      </w:pPr>
    </w:p>
    <w:p w14:paraId="7E1D140B" w14:textId="77777777" w:rsidR="0061449F" w:rsidRPr="0061449F" w:rsidRDefault="0061449F" w:rsidP="0061449F">
      <w:pPr>
        <w:autoSpaceDE w:val="0"/>
        <w:autoSpaceDN w:val="0"/>
        <w:adjustRightInd w:val="0"/>
        <w:spacing w:after="0" w:line="276" w:lineRule="auto"/>
        <w:contextualSpacing/>
        <w:jc w:val="both"/>
        <w:rPr>
          <w:rFonts w:ascii="Times New Roman" w:eastAsia="Calibri" w:hAnsi="Times New Roman" w:cs="Times New Roman"/>
          <w:bCs/>
          <w:noProof/>
          <w:sz w:val="24"/>
          <w:szCs w:val="24"/>
          <w:lang w:val="sq-AL"/>
        </w:rPr>
      </w:pPr>
    </w:p>
    <w:p w14:paraId="3C96F537" w14:textId="77777777" w:rsidR="0061449F" w:rsidRPr="0061449F" w:rsidRDefault="0061449F" w:rsidP="0061449F">
      <w:pPr>
        <w:numPr>
          <w:ilvl w:val="0"/>
          <w:numId w:val="4"/>
        </w:numPr>
        <w:shd w:val="clear" w:color="auto" w:fill="FFFFFF"/>
        <w:spacing w:beforeAutospacing="1" w:after="0" w:afterAutospacing="1" w:line="414" w:lineRule="atLeast"/>
        <w:contextualSpacing/>
        <w:jc w:val="both"/>
        <w:outlineLvl w:val="1"/>
        <w:rPr>
          <w:rFonts w:ascii="Times New Roman" w:eastAsia="Times New Roman" w:hAnsi="Times New Roman" w:cs="Times New Roman"/>
          <w:b/>
          <w:bCs/>
          <w:sz w:val="24"/>
          <w:szCs w:val="24"/>
          <w:bdr w:val="none" w:sz="0" w:space="0" w:color="auto" w:frame="1"/>
          <w:lang w:val="en-GB"/>
        </w:rPr>
      </w:pPr>
      <w:r w:rsidRPr="0061449F">
        <w:rPr>
          <w:rFonts w:ascii="Times New Roman" w:eastAsia="Times New Roman" w:hAnsi="Times New Roman" w:cs="Times New Roman"/>
          <w:b/>
          <w:bCs/>
          <w:sz w:val="24"/>
          <w:szCs w:val="24"/>
          <w:bdr w:val="none" w:sz="0" w:space="0" w:color="auto" w:frame="1"/>
          <w:lang w:val="en-GB"/>
        </w:rPr>
        <w:t>Vizioni dhe misioni i dokumentit</w:t>
      </w:r>
    </w:p>
    <w:p w14:paraId="064A0558" w14:textId="77777777" w:rsidR="0061449F" w:rsidRPr="0061449F" w:rsidRDefault="0061449F" w:rsidP="0061449F">
      <w:pPr>
        <w:shd w:val="clear" w:color="auto" w:fill="FFFFFF"/>
        <w:spacing w:beforeAutospacing="1" w:after="0" w:afterAutospacing="1" w:line="414" w:lineRule="atLeast"/>
        <w:ind w:left="720"/>
        <w:contextualSpacing/>
        <w:jc w:val="both"/>
        <w:outlineLvl w:val="1"/>
        <w:rPr>
          <w:rFonts w:ascii="Times New Roman" w:eastAsia="Times New Roman" w:hAnsi="Times New Roman" w:cs="Times New Roman"/>
          <w:b/>
          <w:bCs/>
          <w:sz w:val="24"/>
          <w:szCs w:val="24"/>
          <w:bdr w:val="none" w:sz="0" w:space="0" w:color="auto" w:frame="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440A2" w:rsidRPr="0061449F" w14:paraId="0AB45435" w14:textId="77777777" w:rsidTr="0061449F">
        <w:tc>
          <w:tcPr>
            <w:tcW w:w="4675" w:type="dxa"/>
            <w:shd w:val="clear" w:color="auto" w:fill="BDD6EE"/>
          </w:tcPr>
          <w:p w14:paraId="60BBA395" w14:textId="77777777" w:rsidR="0061449F" w:rsidRPr="0061449F" w:rsidRDefault="0061449F" w:rsidP="0061449F">
            <w:pPr>
              <w:spacing w:line="276" w:lineRule="auto"/>
              <w:jc w:val="both"/>
              <w:rPr>
                <w:rFonts w:ascii="Times New Roman" w:eastAsia="Times New Roman" w:hAnsi="Times New Roman" w:cs="Times New Roman"/>
                <w:b/>
                <w:bCs/>
                <w:kern w:val="24"/>
                <w:sz w:val="24"/>
                <w:szCs w:val="24"/>
              </w:rPr>
            </w:pPr>
            <w:r w:rsidRPr="0061449F">
              <w:rPr>
                <w:rFonts w:ascii="Times New Roman" w:eastAsia="Times New Roman" w:hAnsi="Times New Roman" w:cs="Times New Roman"/>
                <w:b/>
                <w:bCs/>
                <w:kern w:val="24"/>
                <w:sz w:val="24"/>
                <w:szCs w:val="24"/>
              </w:rPr>
              <w:t>VIZIONI</w:t>
            </w:r>
          </w:p>
        </w:tc>
        <w:tc>
          <w:tcPr>
            <w:tcW w:w="4675" w:type="dxa"/>
            <w:shd w:val="clear" w:color="auto" w:fill="9CC2E5"/>
          </w:tcPr>
          <w:p w14:paraId="197F8830" w14:textId="77777777" w:rsidR="0061449F" w:rsidRPr="0061449F" w:rsidRDefault="0061449F" w:rsidP="0061449F">
            <w:pPr>
              <w:spacing w:line="276" w:lineRule="auto"/>
              <w:jc w:val="both"/>
              <w:rPr>
                <w:rFonts w:ascii="Times New Roman" w:eastAsia="Times New Roman" w:hAnsi="Times New Roman" w:cs="Times New Roman"/>
                <w:b/>
                <w:bCs/>
                <w:kern w:val="24"/>
                <w:sz w:val="24"/>
                <w:szCs w:val="24"/>
              </w:rPr>
            </w:pPr>
            <w:r w:rsidRPr="0061449F">
              <w:rPr>
                <w:rFonts w:ascii="Times New Roman" w:eastAsia="Times New Roman" w:hAnsi="Times New Roman" w:cs="Times New Roman"/>
                <w:b/>
                <w:bCs/>
                <w:kern w:val="24"/>
                <w:sz w:val="24"/>
                <w:szCs w:val="24"/>
              </w:rPr>
              <w:t xml:space="preserve">MISIONI </w:t>
            </w:r>
          </w:p>
          <w:p w14:paraId="4C9852FB" w14:textId="77777777" w:rsidR="0061449F" w:rsidRPr="0061449F" w:rsidRDefault="0061449F" w:rsidP="0061449F">
            <w:pPr>
              <w:spacing w:line="276" w:lineRule="auto"/>
              <w:jc w:val="both"/>
              <w:rPr>
                <w:rFonts w:ascii="Times New Roman" w:eastAsia="Calibri" w:hAnsi="Times New Roman" w:cs="Times New Roman"/>
                <w:sz w:val="24"/>
                <w:szCs w:val="24"/>
              </w:rPr>
            </w:pPr>
          </w:p>
        </w:tc>
      </w:tr>
      <w:tr w:rsidR="007440A2" w:rsidRPr="0061449F" w14:paraId="0AC164A1" w14:textId="77777777" w:rsidTr="003F6980">
        <w:tc>
          <w:tcPr>
            <w:tcW w:w="4675" w:type="dxa"/>
          </w:tcPr>
          <w:p w14:paraId="430F33BF"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Times New Roman" w:hAnsi="Times New Roman" w:cs="Times New Roman"/>
                <w:bCs/>
                <w:kern w:val="24"/>
                <w:sz w:val="24"/>
                <w:szCs w:val="24"/>
              </w:rPr>
              <w:lastRenderedPageBreak/>
              <w:t>“Shqipëria konsolidon arritjet e Reformës në sistemin e drejtësisë në mënyrë të qëndrueshme dhe të vazhdueshme, me synimin për të rritur më tej efikasitetin e drejtësisë në përputhje me standardet evropiane”.</w:t>
            </w:r>
          </w:p>
        </w:tc>
        <w:tc>
          <w:tcPr>
            <w:tcW w:w="4675" w:type="dxa"/>
          </w:tcPr>
          <w:p w14:paraId="3940EC98"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Times New Roman" w:hAnsi="Times New Roman" w:cs="Times New Roman"/>
                <w:bCs/>
                <w:kern w:val="24"/>
                <w:sz w:val="24"/>
                <w:szCs w:val="24"/>
              </w:rPr>
              <w:t>“Avancimi strategjik i reformave në sistemin e drejtësisë, të ndërtuara mbi bazat e pavarësisë dhe paanshmërisë, që thekson rëndësinë e trasparencës, përgjegjësisë dhe siguron akses universal, në përputhje me standardet më të mira evropiane”.</w:t>
            </w:r>
          </w:p>
        </w:tc>
      </w:tr>
    </w:tbl>
    <w:p w14:paraId="383E2D0F" w14:textId="77777777" w:rsidR="0061449F" w:rsidRPr="0061449F" w:rsidRDefault="0061449F" w:rsidP="0061449F">
      <w:pPr>
        <w:pBdr>
          <w:bottom w:val="single" w:sz="24" w:space="1" w:color="F0CDA1"/>
        </w:pBdr>
        <w:spacing w:before="120" w:after="120" w:line="288" w:lineRule="auto"/>
        <w:rPr>
          <w:rFonts w:ascii="Times New Roman" w:eastAsia="Arial" w:hAnsi="Times New Roman" w:cs="Times New Roman"/>
          <w:b/>
          <w:sz w:val="40"/>
          <w:szCs w:val="40"/>
          <w:lang w:val="it-IT"/>
        </w:rPr>
      </w:pPr>
    </w:p>
    <w:p w14:paraId="4453779C" w14:textId="77777777" w:rsidR="0061449F" w:rsidRPr="0061449F" w:rsidRDefault="0061449F" w:rsidP="0061449F">
      <w:pPr>
        <w:pBdr>
          <w:bottom w:val="single" w:sz="24" w:space="1" w:color="F0CDA1"/>
        </w:pBdr>
        <w:spacing w:before="120" w:after="120" w:line="288" w:lineRule="auto"/>
        <w:rPr>
          <w:rFonts w:ascii="Times New Roman" w:eastAsia="Arial" w:hAnsi="Times New Roman" w:cs="Times New Roman"/>
          <w:b/>
          <w:sz w:val="40"/>
          <w:szCs w:val="40"/>
          <w:lang w:val="it-IT"/>
        </w:rPr>
      </w:pPr>
      <w:bookmarkStart w:id="6" w:name="_Toc118282608"/>
      <w:r w:rsidRPr="0061449F">
        <w:rPr>
          <w:rFonts w:ascii="Times New Roman" w:eastAsia="Arial" w:hAnsi="Times New Roman" w:cs="Times New Roman"/>
          <w:b/>
          <w:sz w:val="40"/>
          <w:szCs w:val="40"/>
          <w:lang w:val="it-IT"/>
        </w:rPr>
        <w:t>PJESA II – QËLLIMI I POLITIKAVE, OBJEKTIVAT SPECIFIKE, MASAT PARËSORE TË SND 2024 – 2030</w:t>
      </w:r>
    </w:p>
    <w:p w14:paraId="5120695F" w14:textId="77777777" w:rsidR="0061449F" w:rsidRPr="0061449F" w:rsidRDefault="0061449F" w:rsidP="0061449F">
      <w:pPr>
        <w:spacing w:line="276" w:lineRule="auto"/>
        <w:jc w:val="both"/>
        <w:rPr>
          <w:rFonts w:ascii="Times New Roman" w:eastAsia="Calibri" w:hAnsi="Times New Roman" w:cs="Times New Roman"/>
          <w:sz w:val="24"/>
          <w:szCs w:val="24"/>
        </w:rPr>
      </w:pPr>
    </w:p>
    <w:p w14:paraId="63774936" w14:textId="77777777" w:rsidR="0061449F" w:rsidRPr="0061449F" w:rsidRDefault="0061449F" w:rsidP="0061449F">
      <w:pPr>
        <w:spacing w:after="0" w:line="276" w:lineRule="auto"/>
        <w:jc w:val="center"/>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 xml:space="preserve">Qëllimet e Politikës së </w:t>
      </w:r>
      <w:bookmarkEnd w:id="6"/>
      <w:r w:rsidRPr="0061449F">
        <w:rPr>
          <w:rFonts w:ascii="Times New Roman" w:eastAsia="Calibri" w:hAnsi="Times New Roman" w:cs="Times New Roman"/>
          <w:sz w:val="24"/>
          <w:szCs w:val="24"/>
          <w:lang w:val="fr-FR"/>
        </w:rPr>
        <w:t>SND 2024 – 2030</w:t>
      </w:r>
    </w:p>
    <w:p w14:paraId="72408570" w14:textId="77777777" w:rsidR="0061449F" w:rsidRPr="0061449F" w:rsidRDefault="0061449F" w:rsidP="0061449F">
      <w:pPr>
        <w:spacing w:after="0" w:line="276" w:lineRule="auto"/>
        <w:jc w:val="center"/>
        <w:rPr>
          <w:rFonts w:ascii="Times New Roman" w:eastAsia="Calibri" w:hAnsi="Times New Roman" w:cs="Times New Roman"/>
          <w:sz w:val="24"/>
          <w:szCs w:val="24"/>
          <w:lang w:val="fr-FR"/>
        </w:rPr>
      </w:pPr>
    </w:p>
    <w:p w14:paraId="304C1E50" w14:textId="77777777" w:rsidR="0061449F" w:rsidRPr="0061449F" w:rsidRDefault="0061449F" w:rsidP="0061449F">
      <w:pPr>
        <w:spacing w:after="0" w:line="276" w:lineRule="auto"/>
        <w:jc w:val="center"/>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SND 2024 – 2030 </w:t>
      </w:r>
      <w:r w:rsidRPr="0061449F">
        <w:rPr>
          <w:rFonts w:ascii="Times New Roman" w:eastAsia="Calibri" w:hAnsi="Times New Roman" w:cs="Times New Roman"/>
          <w:sz w:val="24"/>
          <w:szCs w:val="24"/>
          <w:lang w:val="sq-AL"/>
        </w:rPr>
        <w:t>përmban 5 (pesë) qëllime kryesore:</w:t>
      </w:r>
    </w:p>
    <w:p w14:paraId="7333AA04" w14:textId="77777777" w:rsidR="0061449F" w:rsidRPr="0061449F" w:rsidRDefault="0061449F" w:rsidP="0061449F">
      <w:pPr>
        <w:spacing w:line="240" w:lineRule="auto"/>
        <w:jc w:val="both"/>
        <w:rPr>
          <w:rFonts w:ascii="Calibri" w:eastAsia="Times New Roman" w:hAnsi="Calibri" w:cs="Calibri"/>
        </w:rPr>
      </w:pPr>
    </w:p>
    <w:p w14:paraId="200E5C2F" w14:textId="77777777" w:rsidR="0061449F" w:rsidRPr="0061449F" w:rsidRDefault="0061449F" w:rsidP="0061449F">
      <w:pPr>
        <w:spacing w:line="240" w:lineRule="auto"/>
        <w:jc w:val="both"/>
        <w:rPr>
          <w:rFonts w:ascii="Calibri" w:eastAsia="Times New Roman" w:hAnsi="Calibri" w:cs="Calibri"/>
        </w:rPr>
      </w:pPr>
    </w:p>
    <w:p w14:paraId="61F32CF2" w14:textId="77777777" w:rsidR="0061449F" w:rsidRPr="0061449F" w:rsidRDefault="0061449F" w:rsidP="0061449F">
      <w:pPr>
        <w:spacing w:line="240" w:lineRule="auto"/>
        <w:jc w:val="both"/>
        <w:rPr>
          <w:rFonts w:ascii="Calibri" w:eastAsia="Times New Roman"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440A2" w:rsidRPr="0061449F" w14:paraId="1233B29F" w14:textId="77777777" w:rsidTr="003F6980">
        <w:tc>
          <w:tcPr>
            <w:tcW w:w="4675" w:type="dxa"/>
          </w:tcPr>
          <w:p w14:paraId="491030C1" w14:textId="77777777" w:rsidR="0061449F" w:rsidRPr="0061449F" w:rsidRDefault="0061449F" w:rsidP="0061449F">
            <w:pPr>
              <w:jc w:val="both"/>
              <w:rPr>
                <w:rFonts w:ascii="Calibri" w:eastAsia="Times New Roman" w:hAnsi="Calibri" w:cs="Calibri"/>
                <w:sz w:val="28"/>
                <w:szCs w:val="28"/>
              </w:rPr>
            </w:pPr>
            <w:r w:rsidRPr="0061449F">
              <w:rPr>
                <w:rFonts w:ascii="Times New Roman" w:eastAsia="Times New Roman" w:hAnsi="Times New Roman" w:cs="Times New Roman"/>
                <w:b/>
                <w:bCs/>
                <w:iCs/>
                <w:noProof/>
                <w:sz w:val="28"/>
                <w:szCs w:val="28"/>
              </w:rPr>
              <mc:AlternateContent>
                <mc:Choice Requires="wps">
                  <w:drawing>
                    <wp:anchor distT="0" distB="0" distL="114300" distR="114300" simplePos="0" relativeHeight="251710464" behindDoc="0" locked="0" layoutInCell="1" allowOverlap="1" wp14:anchorId="7B113AF3" wp14:editId="5F0F8219">
                      <wp:simplePos x="0" y="0"/>
                      <wp:positionH relativeFrom="column">
                        <wp:posOffset>1374196</wp:posOffset>
                      </wp:positionH>
                      <wp:positionV relativeFrom="paragraph">
                        <wp:posOffset>107978</wp:posOffset>
                      </wp:positionV>
                      <wp:extent cx="818984" cy="45719"/>
                      <wp:effectExtent l="0" t="19050" r="38735" b="31115"/>
                      <wp:wrapNone/>
                      <wp:docPr id="2" name="Right Arrow 2"/>
                      <wp:cNvGraphicFramePr/>
                      <a:graphic xmlns:a="http://schemas.openxmlformats.org/drawingml/2006/main">
                        <a:graphicData uri="http://schemas.microsoft.com/office/word/2010/wordprocessingShape">
                          <wps:wsp>
                            <wps:cNvSpPr/>
                            <wps:spPr>
                              <a:xfrm>
                                <a:off x="0" y="0"/>
                                <a:ext cx="818984" cy="45719"/>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4D49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08.2pt;margin-top:8.5pt;width:64.5pt;height:3.6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" adj="20997" fillcolor="#5b9bd5" strokecolor="#41719c" strokeweight="1pt"/>
                  </w:pict>
                </mc:Fallback>
              </mc:AlternateContent>
            </w:r>
            <w:r w:rsidRPr="0061449F">
              <w:rPr>
                <w:rFonts w:ascii="Times New Roman" w:eastAsia="Times New Roman" w:hAnsi="Times New Roman" w:cs="Times New Roman"/>
                <w:b/>
                <w:bCs/>
                <w:iCs/>
                <w:sz w:val="28"/>
                <w:szCs w:val="28"/>
              </w:rPr>
              <w:t xml:space="preserve">Qëllimi i Parë </w:t>
            </w:r>
          </w:p>
        </w:tc>
        <w:tc>
          <w:tcPr>
            <w:tcW w:w="4675" w:type="dxa"/>
          </w:tcPr>
          <w:p w14:paraId="0D2B4B16" w14:textId="77777777" w:rsidR="0061449F" w:rsidRPr="0061449F" w:rsidRDefault="0061449F" w:rsidP="0061449F">
            <w:pPr>
              <w:jc w:val="both"/>
              <w:rPr>
                <w:rFonts w:ascii="Times New Roman" w:eastAsia="Times New Roman" w:hAnsi="Times New Roman" w:cs="Times New Roman"/>
                <w:sz w:val="28"/>
                <w:szCs w:val="28"/>
                <w:lang w:val="sq-AL" w:eastAsia="en-CA" w:bidi="sq-AL"/>
              </w:rPr>
            </w:pPr>
            <w:r w:rsidRPr="0061449F">
              <w:rPr>
                <w:rFonts w:ascii="Times New Roman" w:eastAsia="Times New Roman" w:hAnsi="Times New Roman" w:cs="Times New Roman"/>
                <w:sz w:val="28"/>
                <w:szCs w:val="28"/>
                <w:lang w:val="sq-AL" w:eastAsia="en-CA" w:bidi="sq-AL"/>
              </w:rPr>
              <w:t>Konsolidimi dhe qëndrueshmëria e arritjeve të Reformës në Drejtësi në përputhje me standartet evropiane</w:t>
            </w:r>
          </w:p>
          <w:p w14:paraId="50EC3ED8" w14:textId="77777777" w:rsidR="0061449F" w:rsidRPr="0061449F" w:rsidRDefault="0061449F" w:rsidP="0061449F">
            <w:pPr>
              <w:jc w:val="both"/>
              <w:rPr>
                <w:rFonts w:ascii="Calibri" w:eastAsia="Times New Roman" w:hAnsi="Calibri" w:cs="Calibri"/>
              </w:rPr>
            </w:pPr>
          </w:p>
        </w:tc>
      </w:tr>
      <w:tr w:rsidR="007440A2" w:rsidRPr="0061449F" w14:paraId="016662BE" w14:textId="77777777" w:rsidTr="003F6980">
        <w:tc>
          <w:tcPr>
            <w:tcW w:w="4675" w:type="dxa"/>
          </w:tcPr>
          <w:p w14:paraId="6458428B" w14:textId="77777777" w:rsidR="0061449F" w:rsidRPr="0061449F" w:rsidRDefault="0061449F" w:rsidP="0061449F">
            <w:pPr>
              <w:jc w:val="both"/>
              <w:rPr>
                <w:rFonts w:ascii="Times New Roman" w:eastAsia="Times New Roman" w:hAnsi="Times New Roman" w:cs="Times New Roman"/>
                <w:b/>
                <w:bCs/>
                <w:sz w:val="28"/>
                <w:szCs w:val="28"/>
              </w:rPr>
            </w:pPr>
          </w:p>
          <w:p w14:paraId="28FDC4F6" w14:textId="77777777" w:rsidR="0061449F" w:rsidRPr="0061449F" w:rsidRDefault="0061449F" w:rsidP="0061449F">
            <w:pPr>
              <w:jc w:val="both"/>
              <w:rPr>
                <w:rFonts w:ascii="Calibri" w:eastAsia="Times New Roman" w:hAnsi="Calibri" w:cs="Calibri"/>
                <w:sz w:val="28"/>
                <w:szCs w:val="28"/>
              </w:rPr>
            </w:pPr>
            <w:r w:rsidRPr="0061449F">
              <w:rPr>
                <w:rFonts w:ascii="Times New Roman" w:eastAsia="Times New Roman" w:hAnsi="Times New Roman" w:cs="Times New Roman"/>
                <w:b/>
                <w:bCs/>
                <w:iCs/>
                <w:noProof/>
                <w:sz w:val="28"/>
                <w:szCs w:val="28"/>
              </w:rPr>
              <mc:AlternateContent>
                <mc:Choice Requires="wps">
                  <w:drawing>
                    <wp:anchor distT="0" distB="0" distL="114300" distR="114300" simplePos="0" relativeHeight="251711488" behindDoc="0" locked="0" layoutInCell="1" allowOverlap="1" wp14:anchorId="70FEE2CE" wp14:editId="7D4FDDFC">
                      <wp:simplePos x="0" y="0"/>
                      <wp:positionH relativeFrom="column">
                        <wp:posOffset>1361219</wp:posOffset>
                      </wp:positionH>
                      <wp:positionV relativeFrom="paragraph">
                        <wp:posOffset>111484</wp:posOffset>
                      </wp:positionV>
                      <wp:extent cx="818984" cy="45719"/>
                      <wp:effectExtent l="0" t="19050" r="38735" b="31115"/>
                      <wp:wrapNone/>
                      <wp:docPr id="3" name="Right Arrow 3"/>
                      <wp:cNvGraphicFramePr/>
                      <a:graphic xmlns:a="http://schemas.openxmlformats.org/drawingml/2006/main">
                        <a:graphicData uri="http://schemas.microsoft.com/office/word/2010/wordprocessingShape">
                          <wps:wsp>
                            <wps:cNvSpPr/>
                            <wps:spPr>
                              <a:xfrm>
                                <a:off x="0" y="0"/>
                                <a:ext cx="818984" cy="45719"/>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004964" id="Right Arrow 3" o:spid="_x0000_s1026" type="#_x0000_t13" style="position:absolute;margin-left:107.2pt;margin-top:8.8pt;width:64.5pt;height:3.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" adj="20997" fillcolor="#5b9bd5" strokecolor="#41719c" strokeweight="1pt"/>
                  </w:pict>
                </mc:Fallback>
              </mc:AlternateContent>
            </w:r>
            <w:r w:rsidRPr="0061449F">
              <w:rPr>
                <w:rFonts w:ascii="Times New Roman" w:eastAsia="Times New Roman" w:hAnsi="Times New Roman" w:cs="Times New Roman"/>
                <w:b/>
                <w:bCs/>
                <w:sz w:val="28"/>
                <w:szCs w:val="28"/>
              </w:rPr>
              <w:t xml:space="preserve">Qëllimi i Dytë </w:t>
            </w:r>
          </w:p>
        </w:tc>
        <w:tc>
          <w:tcPr>
            <w:tcW w:w="4675" w:type="dxa"/>
          </w:tcPr>
          <w:p w14:paraId="2A79CB83" w14:textId="77777777" w:rsidR="0061449F" w:rsidRPr="0061449F" w:rsidRDefault="0061449F" w:rsidP="0061449F">
            <w:pPr>
              <w:jc w:val="both"/>
              <w:rPr>
                <w:rFonts w:ascii="Times New Roman" w:eastAsia="Times New Roman" w:hAnsi="Times New Roman" w:cs="Times New Roman"/>
                <w:sz w:val="24"/>
                <w:szCs w:val="24"/>
                <w:lang w:val="sq-AL" w:eastAsia="en-CA" w:bidi="sq-AL"/>
              </w:rPr>
            </w:pPr>
          </w:p>
          <w:p w14:paraId="1D8138A2" w14:textId="77777777" w:rsidR="0061449F" w:rsidRPr="0061449F" w:rsidRDefault="0061449F" w:rsidP="0061449F">
            <w:pPr>
              <w:jc w:val="both"/>
              <w:rPr>
                <w:rFonts w:ascii="Calibri" w:eastAsia="Times New Roman" w:hAnsi="Calibri" w:cs="Calibri"/>
                <w:sz w:val="28"/>
                <w:szCs w:val="28"/>
              </w:rPr>
            </w:pPr>
            <w:r w:rsidRPr="0061449F">
              <w:rPr>
                <w:rFonts w:ascii="Times New Roman" w:eastAsia="Times New Roman" w:hAnsi="Times New Roman" w:cs="Times New Roman"/>
                <w:sz w:val="28"/>
                <w:szCs w:val="28"/>
                <w:lang w:val="sq-AL" w:eastAsia="en-CA" w:bidi="sq-AL"/>
              </w:rPr>
              <w:t xml:space="preserve">Forcimi i pavarësisë, paanshmërisë dhe llogaridhënies në sistemin e drejtësisë   </w:t>
            </w:r>
          </w:p>
        </w:tc>
      </w:tr>
      <w:tr w:rsidR="007440A2" w:rsidRPr="0061449F" w14:paraId="438FC9C0" w14:textId="77777777" w:rsidTr="003F6980">
        <w:tc>
          <w:tcPr>
            <w:tcW w:w="4675" w:type="dxa"/>
          </w:tcPr>
          <w:p w14:paraId="4FE6B5DD" w14:textId="77777777" w:rsidR="0061449F" w:rsidRPr="0061449F" w:rsidRDefault="0061449F" w:rsidP="0061449F">
            <w:pPr>
              <w:jc w:val="both"/>
              <w:rPr>
                <w:rFonts w:ascii="Times New Roman" w:eastAsia="Times New Roman" w:hAnsi="Times New Roman" w:cs="Times New Roman"/>
                <w:b/>
                <w:bCs/>
                <w:iCs/>
                <w:sz w:val="28"/>
                <w:szCs w:val="28"/>
              </w:rPr>
            </w:pPr>
          </w:p>
          <w:p w14:paraId="60DBCAE2" w14:textId="77777777" w:rsidR="0061449F" w:rsidRPr="0061449F" w:rsidRDefault="0061449F" w:rsidP="0061449F">
            <w:pPr>
              <w:jc w:val="both"/>
              <w:rPr>
                <w:rFonts w:ascii="Times New Roman" w:eastAsia="Times New Roman" w:hAnsi="Times New Roman" w:cs="Times New Roman"/>
                <w:b/>
                <w:bCs/>
                <w:iCs/>
                <w:sz w:val="28"/>
                <w:szCs w:val="28"/>
              </w:rPr>
            </w:pPr>
          </w:p>
          <w:p w14:paraId="6B031F1C" w14:textId="77777777" w:rsidR="0061449F" w:rsidRPr="0061449F" w:rsidRDefault="0061449F" w:rsidP="0061449F">
            <w:pPr>
              <w:jc w:val="both"/>
              <w:rPr>
                <w:rFonts w:ascii="Calibri" w:eastAsia="Times New Roman" w:hAnsi="Calibri" w:cs="Calibri"/>
                <w:sz w:val="28"/>
                <w:szCs w:val="28"/>
              </w:rPr>
            </w:pPr>
            <w:r w:rsidRPr="0061449F">
              <w:rPr>
                <w:rFonts w:ascii="Times New Roman" w:eastAsia="Times New Roman" w:hAnsi="Times New Roman" w:cs="Times New Roman"/>
                <w:b/>
                <w:bCs/>
                <w:iCs/>
                <w:noProof/>
                <w:sz w:val="28"/>
                <w:szCs w:val="28"/>
              </w:rPr>
              <mc:AlternateContent>
                <mc:Choice Requires="wps">
                  <w:drawing>
                    <wp:anchor distT="0" distB="0" distL="114300" distR="114300" simplePos="0" relativeHeight="251712512" behindDoc="0" locked="0" layoutInCell="1" allowOverlap="1" wp14:anchorId="7C041523" wp14:editId="43ABE503">
                      <wp:simplePos x="0" y="0"/>
                      <wp:positionH relativeFrom="column">
                        <wp:posOffset>1344875</wp:posOffset>
                      </wp:positionH>
                      <wp:positionV relativeFrom="paragraph">
                        <wp:posOffset>104140</wp:posOffset>
                      </wp:positionV>
                      <wp:extent cx="818984" cy="45719"/>
                      <wp:effectExtent l="0" t="19050" r="38735" b="31115"/>
                      <wp:wrapNone/>
                      <wp:docPr id="4" name="Right Arrow 4"/>
                      <wp:cNvGraphicFramePr/>
                      <a:graphic xmlns:a="http://schemas.openxmlformats.org/drawingml/2006/main">
                        <a:graphicData uri="http://schemas.microsoft.com/office/word/2010/wordprocessingShape">
                          <wps:wsp>
                            <wps:cNvSpPr/>
                            <wps:spPr>
                              <a:xfrm>
                                <a:off x="0" y="0"/>
                                <a:ext cx="818984" cy="45719"/>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5CB43E" id="Right Arrow 4" o:spid="_x0000_s1026" type="#_x0000_t13" style="position:absolute;margin-left:105.9pt;margin-top:8.2pt;width:64.5pt;height:3.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" adj="20997" fillcolor="#5b9bd5" strokecolor="#41719c" strokeweight="1pt"/>
                  </w:pict>
                </mc:Fallback>
              </mc:AlternateContent>
            </w:r>
            <w:r w:rsidRPr="0061449F">
              <w:rPr>
                <w:rFonts w:ascii="Times New Roman" w:eastAsia="Times New Roman" w:hAnsi="Times New Roman" w:cs="Times New Roman"/>
                <w:b/>
                <w:bCs/>
                <w:iCs/>
                <w:sz w:val="28"/>
                <w:szCs w:val="28"/>
              </w:rPr>
              <w:t xml:space="preserve">Qëllimi i Tretë </w:t>
            </w:r>
          </w:p>
        </w:tc>
        <w:tc>
          <w:tcPr>
            <w:tcW w:w="4675" w:type="dxa"/>
          </w:tcPr>
          <w:p w14:paraId="71CD5B4C" w14:textId="77777777" w:rsidR="0061449F" w:rsidRPr="0061449F" w:rsidRDefault="0061449F" w:rsidP="0061449F">
            <w:pPr>
              <w:jc w:val="both"/>
              <w:rPr>
                <w:rFonts w:ascii="Times New Roman" w:eastAsia="Times New Roman" w:hAnsi="Times New Roman" w:cs="Times New Roman"/>
                <w:sz w:val="24"/>
                <w:szCs w:val="24"/>
                <w:lang w:val="sq-AL" w:eastAsia="en-CA" w:bidi="sq-AL"/>
              </w:rPr>
            </w:pPr>
          </w:p>
          <w:p w14:paraId="6E3462A0" w14:textId="77777777" w:rsidR="0061449F" w:rsidRPr="0061449F" w:rsidRDefault="0061449F" w:rsidP="0061449F">
            <w:pPr>
              <w:jc w:val="both"/>
              <w:rPr>
                <w:rFonts w:ascii="Times New Roman" w:eastAsia="Times New Roman" w:hAnsi="Times New Roman" w:cs="Times New Roman"/>
                <w:sz w:val="24"/>
                <w:szCs w:val="24"/>
                <w:lang w:val="sq-AL" w:eastAsia="en-CA" w:bidi="sq-AL"/>
              </w:rPr>
            </w:pPr>
          </w:p>
          <w:p w14:paraId="6AB8833E" w14:textId="77777777" w:rsidR="0061449F" w:rsidRPr="0061449F" w:rsidRDefault="0061449F" w:rsidP="0061449F">
            <w:pPr>
              <w:jc w:val="both"/>
              <w:rPr>
                <w:rFonts w:ascii="Calibri" w:eastAsia="Times New Roman" w:hAnsi="Calibri" w:cs="Calibri"/>
              </w:rPr>
            </w:pPr>
            <w:r w:rsidRPr="0061449F">
              <w:rPr>
                <w:rFonts w:ascii="Times New Roman" w:eastAsia="Times New Roman" w:hAnsi="Times New Roman" w:cs="Times New Roman"/>
                <w:sz w:val="28"/>
                <w:szCs w:val="28"/>
                <w:lang w:val="sq-AL" w:eastAsia="en-CA" w:bidi="sq-AL"/>
              </w:rPr>
              <w:t>Rritja e efikasitetit të institucioneve në sistemin e drejtësisë</w:t>
            </w:r>
          </w:p>
        </w:tc>
      </w:tr>
      <w:tr w:rsidR="007440A2" w:rsidRPr="0061449F" w14:paraId="25EDAE01" w14:textId="77777777" w:rsidTr="003F6980">
        <w:trPr>
          <w:trHeight w:val="324"/>
        </w:trPr>
        <w:tc>
          <w:tcPr>
            <w:tcW w:w="4675" w:type="dxa"/>
          </w:tcPr>
          <w:p w14:paraId="7E3B979F" w14:textId="77777777" w:rsidR="0061449F" w:rsidRPr="0061449F" w:rsidRDefault="0061449F" w:rsidP="0061449F">
            <w:pPr>
              <w:jc w:val="both"/>
              <w:rPr>
                <w:rFonts w:ascii="Times New Roman" w:eastAsia="Times New Roman" w:hAnsi="Times New Roman" w:cs="Times New Roman"/>
                <w:b/>
                <w:bCs/>
                <w:iCs/>
                <w:sz w:val="28"/>
                <w:szCs w:val="28"/>
              </w:rPr>
            </w:pPr>
          </w:p>
          <w:p w14:paraId="4F34BCE6" w14:textId="77777777" w:rsidR="0061449F" w:rsidRPr="0061449F" w:rsidRDefault="0061449F" w:rsidP="0061449F">
            <w:pPr>
              <w:jc w:val="both"/>
              <w:rPr>
                <w:rFonts w:ascii="Times New Roman" w:eastAsia="Times New Roman" w:hAnsi="Times New Roman" w:cs="Times New Roman"/>
                <w:b/>
                <w:bCs/>
                <w:iCs/>
                <w:sz w:val="28"/>
                <w:szCs w:val="28"/>
              </w:rPr>
            </w:pPr>
          </w:p>
          <w:p w14:paraId="353FB36C" w14:textId="77777777" w:rsidR="0061449F" w:rsidRPr="0061449F" w:rsidRDefault="0061449F" w:rsidP="0061449F">
            <w:pPr>
              <w:jc w:val="both"/>
              <w:rPr>
                <w:rFonts w:ascii="Calibri" w:eastAsia="Times New Roman" w:hAnsi="Calibri" w:cs="Calibri"/>
                <w:sz w:val="28"/>
                <w:szCs w:val="28"/>
              </w:rPr>
            </w:pPr>
            <w:r w:rsidRPr="0061449F">
              <w:rPr>
                <w:rFonts w:ascii="Times New Roman" w:eastAsia="Times New Roman" w:hAnsi="Times New Roman" w:cs="Times New Roman"/>
                <w:b/>
                <w:bCs/>
                <w:iCs/>
                <w:noProof/>
                <w:sz w:val="28"/>
                <w:szCs w:val="28"/>
              </w:rPr>
              <mc:AlternateContent>
                <mc:Choice Requires="wps">
                  <w:drawing>
                    <wp:anchor distT="0" distB="0" distL="114300" distR="114300" simplePos="0" relativeHeight="251713536" behindDoc="0" locked="0" layoutInCell="1" allowOverlap="1" wp14:anchorId="347D8353" wp14:editId="4E23DBD2">
                      <wp:simplePos x="0" y="0"/>
                      <wp:positionH relativeFrom="column">
                        <wp:posOffset>1321517</wp:posOffset>
                      </wp:positionH>
                      <wp:positionV relativeFrom="paragraph">
                        <wp:posOffset>96962</wp:posOffset>
                      </wp:positionV>
                      <wp:extent cx="818984" cy="45719"/>
                      <wp:effectExtent l="0" t="19050" r="38735" b="31115"/>
                      <wp:wrapNone/>
                      <wp:docPr id="5" name="Right Arrow 5"/>
                      <wp:cNvGraphicFramePr/>
                      <a:graphic xmlns:a="http://schemas.openxmlformats.org/drawingml/2006/main">
                        <a:graphicData uri="http://schemas.microsoft.com/office/word/2010/wordprocessingShape">
                          <wps:wsp>
                            <wps:cNvSpPr/>
                            <wps:spPr>
                              <a:xfrm>
                                <a:off x="0" y="0"/>
                                <a:ext cx="818984" cy="45719"/>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E0161E" id="Right Arrow 5" o:spid="_x0000_s1026" type="#_x0000_t13" style="position:absolute;margin-left:104.05pt;margin-top:7.65pt;width:64.5pt;height:3.6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" adj="20997" fillcolor="#5b9bd5" strokecolor="#41719c" strokeweight="1pt"/>
                  </w:pict>
                </mc:Fallback>
              </mc:AlternateContent>
            </w:r>
            <w:r w:rsidRPr="0061449F">
              <w:rPr>
                <w:rFonts w:ascii="Times New Roman" w:eastAsia="Times New Roman" w:hAnsi="Times New Roman" w:cs="Times New Roman"/>
                <w:b/>
                <w:bCs/>
                <w:iCs/>
                <w:sz w:val="28"/>
                <w:szCs w:val="28"/>
              </w:rPr>
              <w:t xml:space="preserve">Qëllimi i Katërt </w:t>
            </w:r>
          </w:p>
        </w:tc>
        <w:tc>
          <w:tcPr>
            <w:tcW w:w="4675" w:type="dxa"/>
          </w:tcPr>
          <w:p w14:paraId="67D31757" w14:textId="77777777" w:rsidR="0061449F" w:rsidRPr="0061449F" w:rsidRDefault="0061449F" w:rsidP="0061449F">
            <w:pPr>
              <w:spacing w:line="276" w:lineRule="auto"/>
              <w:rPr>
                <w:rFonts w:ascii="Times New Roman" w:eastAsia="Times New Roman" w:hAnsi="Times New Roman" w:cs="Times New Roman"/>
                <w:sz w:val="28"/>
                <w:szCs w:val="28"/>
                <w:lang w:val="sq-AL" w:eastAsia="en-CA" w:bidi="sq-AL"/>
              </w:rPr>
            </w:pPr>
          </w:p>
          <w:p w14:paraId="28334E08" w14:textId="77777777" w:rsidR="0061449F" w:rsidRPr="0061449F" w:rsidRDefault="0061449F" w:rsidP="0061449F">
            <w:pPr>
              <w:spacing w:line="276" w:lineRule="auto"/>
              <w:rPr>
                <w:rFonts w:ascii="Times New Roman" w:eastAsia="Times New Roman" w:hAnsi="Times New Roman" w:cs="Times New Roman"/>
                <w:sz w:val="28"/>
                <w:szCs w:val="28"/>
                <w:lang w:val="sq-AL" w:eastAsia="en-CA" w:bidi="sq-AL"/>
              </w:rPr>
            </w:pPr>
          </w:p>
          <w:p w14:paraId="5345522F" w14:textId="77777777" w:rsidR="0061449F" w:rsidRPr="0061449F" w:rsidRDefault="0061449F" w:rsidP="0061449F">
            <w:pPr>
              <w:spacing w:line="276" w:lineRule="auto"/>
              <w:rPr>
                <w:rFonts w:ascii="Times New Roman" w:eastAsia="Times New Roman" w:hAnsi="Times New Roman" w:cs="Times New Roman"/>
                <w:sz w:val="28"/>
                <w:szCs w:val="28"/>
                <w:lang w:val="sq-AL" w:eastAsia="en-CA" w:bidi="sq-AL"/>
              </w:rPr>
            </w:pPr>
            <w:r w:rsidRPr="0061449F">
              <w:rPr>
                <w:rFonts w:ascii="Times New Roman" w:eastAsia="Times New Roman" w:hAnsi="Times New Roman" w:cs="Times New Roman"/>
                <w:sz w:val="28"/>
                <w:szCs w:val="28"/>
                <w:lang w:val="sq-AL" w:eastAsia="en-CA" w:bidi="sq-AL"/>
              </w:rPr>
              <w:t>Forcimi i cilësisë së drejtësisë</w:t>
            </w:r>
          </w:p>
          <w:p w14:paraId="256EC7A4" w14:textId="77777777" w:rsidR="0061449F" w:rsidRPr="0061449F" w:rsidRDefault="0061449F" w:rsidP="0061449F">
            <w:pPr>
              <w:jc w:val="both"/>
              <w:rPr>
                <w:rFonts w:ascii="Calibri" w:eastAsia="Times New Roman" w:hAnsi="Calibri" w:cs="Calibri"/>
              </w:rPr>
            </w:pPr>
          </w:p>
        </w:tc>
      </w:tr>
      <w:tr w:rsidR="007440A2" w:rsidRPr="0061449F" w14:paraId="6CA2BF12" w14:textId="77777777" w:rsidTr="003F6980">
        <w:tc>
          <w:tcPr>
            <w:tcW w:w="4675" w:type="dxa"/>
          </w:tcPr>
          <w:p w14:paraId="2A392485" w14:textId="77777777" w:rsidR="0061449F" w:rsidRPr="0061449F" w:rsidRDefault="0061449F" w:rsidP="0061449F">
            <w:pPr>
              <w:jc w:val="both"/>
              <w:rPr>
                <w:rFonts w:ascii="Times New Roman" w:eastAsia="Times New Roman" w:hAnsi="Times New Roman" w:cs="Times New Roman"/>
                <w:b/>
                <w:bCs/>
                <w:iCs/>
                <w:noProof/>
                <w:sz w:val="28"/>
                <w:szCs w:val="28"/>
                <w:lang w:val="en-GB" w:eastAsia="en-GB"/>
              </w:rPr>
            </w:pPr>
          </w:p>
          <w:p w14:paraId="6D3AD915" w14:textId="77777777" w:rsidR="0061449F" w:rsidRPr="0061449F" w:rsidRDefault="0061449F" w:rsidP="0061449F">
            <w:pPr>
              <w:jc w:val="both"/>
              <w:rPr>
                <w:rFonts w:ascii="Times New Roman" w:eastAsia="Times New Roman" w:hAnsi="Times New Roman" w:cs="Times New Roman"/>
                <w:b/>
                <w:bCs/>
                <w:iCs/>
                <w:noProof/>
                <w:sz w:val="28"/>
                <w:szCs w:val="28"/>
                <w:lang w:val="en-GB" w:eastAsia="en-GB"/>
              </w:rPr>
            </w:pPr>
          </w:p>
          <w:p w14:paraId="05A6E182" w14:textId="77777777" w:rsidR="0061449F" w:rsidRPr="0061449F" w:rsidRDefault="0061449F" w:rsidP="0061449F">
            <w:pPr>
              <w:jc w:val="both"/>
              <w:rPr>
                <w:rFonts w:ascii="Times New Roman" w:eastAsia="Times New Roman" w:hAnsi="Times New Roman" w:cs="Times New Roman"/>
                <w:b/>
                <w:bCs/>
                <w:iCs/>
                <w:noProof/>
                <w:sz w:val="28"/>
                <w:szCs w:val="28"/>
                <w:lang w:val="en-GB" w:eastAsia="en-GB"/>
              </w:rPr>
            </w:pPr>
            <w:r w:rsidRPr="0061449F">
              <w:rPr>
                <w:rFonts w:ascii="Times New Roman" w:eastAsia="Times New Roman" w:hAnsi="Times New Roman" w:cs="Times New Roman"/>
                <w:b/>
                <w:bCs/>
                <w:iCs/>
                <w:noProof/>
                <w:sz w:val="28"/>
                <w:szCs w:val="28"/>
              </w:rPr>
              <mc:AlternateContent>
                <mc:Choice Requires="wps">
                  <w:drawing>
                    <wp:anchor distT="0" distB="0" distL="114300" distR="114300" simplePos="0" relativeHeight="251714560" behindDoc="0" locked="0" layoutInCell="1" allowOverlap="1" wp14:anchorId="50B4EADE" wp14:editId="47A32FD9">
                      <wp:simplePos x="0" y="0"/>
                      <wp:positionH relativeFrom="column">
                        <wp:posOffset>1352550</wp:posOffset>
                      </wp:positionH>
                      <wp:positionV relativeFrom="paragraph">
                        <wp:posOffset>69215</wp:posOffset>
                      </wp:positionV>
                      <wp:extent cx="818984" cy="45719"/>
                      <wp:effectExtent l="0" t="19050" r="38735" b="31115"/>
                      <wp:wrapNone/>
                      <wp:docPr id="14" name="Right Arrow 14"/>
                      <wp:cNvGraphicFramePr/>
                      <a:graphic xmlns:a="http://schemas.openxmlformats.org/drawingml/2006/main">
                        <a:graphicData uri="http://schemas.microsoft.com/office/word/2010/wordprocessingShape">
                          <wps:wsp>
                            <wps:cNvSpPr/>
                            <wps:spPr>
                              <a:xfrm>
                                <a:off x="0" y="0"/>
                                <a:ext cx="818984" cy="45719"/>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595512" id="Right Arrow 14" o:spid="_x0000_s1026" type="#_x0000_t13" style="position:absolute;margin-left:106.5pt;margin-top:5.45pt;width:64.5pt;height:3.6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" adj="20997" fillcolor="#5b9bd5" strokecolor="#41719c" strokeweight="1pt"/>
                  </w:pict>
                </mc:Fallback>
              </mc:AlternateContent>
            </w:r>
            <w:r w:rsidRPr="0061449F">
              <w:rPr>
                <w:rFonts w:ascii="Times New Roman" w:eastAsia="Times New Roman" w:hAnsi="Times New Roman" w:cs="Times New Roman"/>
                <w:b/>
                <w:bCs/>
                <w:iCs/>
                <w:noProof/>
                <w:sz w:val="28"/>
                <w:szCs w:val="28"/>
                <w:lang w:val="en-GB" w:eastAsia="en-GB"/>
              </w:rPr>
              <w:t>Qëllimi i Pestë</w:t>
            </w:r>
          </w:p>
        </w:tc>
        <w:tc>
          <w:tcPr>
            <w:tcW w:w="4675" w:type="dxa"/>
          </w:tcPr>
          <w:p w14:paraId="6E25FAD6" w14:textId="77777777" w:rsidR="0061449F" w:rsidRPr="0061449F" w:rsidRDefault="0061449F" w:rsidP="0061449F">
            <w:pPr>
              <w:jc w:val="both"/>
              <w:rPr>
                <w:rFonts w:ascii="Times New Roman" w:eastAsia="Times New Roman" w:hAnsi="Times New Roman" w:cs="Times New Roman"/>
                <w:sz w:val="24"/>
                <w:szCs w:val="24"/>
                <w:lang w:val="sq-AL" w:eastAsia="en-CA" w:bidi="sq-AL"/>
              </w:rPr>
            </w:pPr>
          </w:p>
          <w:p w14:paraId="4214CFF0" w14:textId="77777777" w:rsidR="0061449F" w:rsidRPr="0061449F" w:rsidRDefault="0061449F" w:rsidP="0061449F">
            <w:pPr>
              <w:jc w:val="both"/>
              <w:rPr>
                <w:rFonts w:ascii="Times New Roman" w:eastAsia="Times New Roman" w:hAnsi="Times New Roman" w:cs="Times New Roman"/>
                <w:sz w:val="24"/>
                <w:szCs w:val="24"/>
                <w:lang w:val="sq-AL" w:eastAsia="en-CA" w:bidi="sq-AL"/>
              </w:rPr>
            </w:pPr>
          </w:p>
          <w:p w14:paraId="337A0F1E" w14:textId="77777777" w:rsidR="0061449F" w:rsidRPr="0061449F" w:rsidRDefault="0061449F" w:rsidP="0061449F">
            <w:pPr>
              <w:jc w:val="both"/>
              <w:rPr>
                <w:rFonts w:ascii="Times New Roman" w:eastAsia="Times New Roman" w:hAnsi="Times New Roman" w:cs="Times New Roman"/>
                <w:sz w:val="28"/>
                <w:szCs w:val="28"/>
                <w:lang w:val="sq-AL" w:eastAsia="en-CA" w:bidi="sq-AL"/>
              </w:rPr>
            </w:pPr>
            <w:r w:rsidRPr="0061449F">
              <w:rPr>
                <w:rFonts w:ascii="Times New Roman" w:eastAsia="Times New Roman" w:hAnsi="Times New Roman" w:cs="Times New Roman"/>
                <w:sz w:val="28"/>
                <w:szCs w:val="28"/>
                <w:lang w:val="sq-AL" w:eastAsia="en-CA" w:bidi="sq-AL"/>
              </w:rPr>
              <w:t>Drejtësi më e afërt me qytetarët</w:t>
            </w:r>
          </w:p>
        </w:tc>
      </w:tr>
      <w:tr w:rsidR="007440A2" w:rsidRPr="0061449F" w14:paraId="389825D2" w14:textId="77777777" w:rsidTr="003F6980">
        <w:trPr>
          <w:gridAfter w:val="1"/>
          <w:wAfter w:w="4675" w:type="dxa"/>
        </w:trPr>
        <w:tc>
          <w:tcPr>
            <w:tcW w:w="4675" w:type="dxa"/>
          </w:tcPr>
          <w:p w14:paraId="3A891930" w14:textId="77777777" w:rsidR="0061449F" w:rsidRPr="0061449F" w:rsidRDefault="0061449F" w:rsidP="0061449F">
            <w:pPr>
              <w:jc w:val="both"/>
              <w:rPr>
                <w:rFonts w:ascii="Times New Roman" w:eastAsia="Times New Roman" w:hAnsi="Times New Roman" w:cs="Times New Roman"/>
                <w:sz w:val="24"/>
                <w:szCs w:val="24"/>
                <w:lang w:val="sq-AL" w:eastAsia="en-CA" w:bidi="sq-AL"/>
              </w:rPr>
            </w:pPr>
          </w:p>
        </w:tc>
      </w:tr>
    </w:tbl>
    <w:p w14:paraId="3FEFCBE5" w14:textId="77777777" w:rsidR="0061449F" w:rsidRPr="0061449F" w:rsidRDefault="0061449F" w:rsidP="0061449F">
      <w:pPr>
        <w:spacing w:line="276" w:lineRule="auto"/>
        <w:jc w:val="both"/>
        <w:rPr>
          <w:rFonts w:ascii="Times New Roman" w:eastAsia="Calibri" w:hAnsi="Times New Roman" w:cs="Times New Roman"/>
          <w:sz w:val="24"/>
          <w:szCs w:val="24"/>
          <w:lang w:val="fr-FR"/>
        </w:rPr>
      </w:pPr>
    </w:p>
    <w:p w14:paraId="6D6DEB87" w14:textId="77777777" w:rsidR="0061449F" w:rsidRPr="0061449F" w:rsidRDefault="0061449F" w:rsidP="0061449F">
      <w:pPr>
        <w:rPr>
          <w:rFonts w:ascii="Times New Roman" w:eastAsia="Calibri" w:hAnsi="Times New Roman" w:cs="Times New Roman"/>
          <w:sz w:val="24"/>
          <w:szCs w:val="24"/>
          <w:lang w:val="fr-FR"/>
        </w:rPr>
      </w:pPr>
    </w:p>
    <w:p w14:paraId="2CF183FE" w14:textId="77777777" w:rsidR="0061449F" w:rsidRPr="0061449F" w:rsidRDefault="0061449F" w:rsidP="0061449F">
      <w:pPr>
        <w:rPr>
          <w:rFonts w:ascii="Times New Roman" w:eastAsia="Calibri" w:hAnsi="Times New Roman" w:cs="Times New Roman"/>
          <w:sz w:val="24"/>
          <w:szCs w:val="24"/>
          <w:lang w:val="fr-FR"/>
        </w:rPr>
      </w:pPr>
    </w:p>
    <w:p w14:paraId="48617B1E" w14:textId="77777777" w:rsidR="0061449F" w:rsidRPr="0061449F" w:rsidRDefault="0061449F" w:rsidP="0061449F">
      <w:pPr>
        <w:rPr>
          <w:rFonts w:ascii="Times New Roman" w:eastAsia="Calibri" w:hAnsi="Times New Roman" w:cs="Times New Roman"/>
          <w:sz w:val="24"/>
          <w:szCs w:val="24"/>
          <w:lang w:val="fr-FR"/>
        </w:rPr>
      </w:pPr>
    </w:p>
    <w:p w14:paraId="5EBD118D" w14:textId="77777777" w:rsidR="0061449F" w:rsidRPr="0061449F" w:rsidRDefault="0061449F" w:rsidP="0061449F">
      <w:pPr>
        <w:spacing w:line="276" w:lineRule="auto"/>
        <w:jc w:val="both"/>
        <w:rPr>
          <w:rFonts w:ascii="Times New Roman" w:eastAsia="Times New Roman" w:hAnsi="Times New Roman" w:cs="Times New Roman"/>
          <w:b/>
          <w:sz w:val="24"/>
          <w:szCs w:val="24"/>
          <w:lang w:val="sq-AL" w:eastAsia="en-CA" w:bidi="sq-AL"/>
        </w:rPr>
      </w:pPr>
    </w:p>
    <w:p w14:paraId="16573E65" w14:textId="77777777" w:rsidR="0061449F" w:rsidRPr="0061449F" w:rsidRDefault="0061449F" w:rsidP="0061449F">
      <w:pPr>
        <w:spacing w:line="276" w:lineRule="auto"/>
        <w:jc w:val="both"/>
        <w:rPr>
          <w:rFonts w:ascii="Times New Roman" w:eastAsia="Times New Roman" w:hAnsi="Times New Roman" w:cs="Times New Roman"/>
          <w:b/>
          <w:sz w:val="24"/>
          <w:szCs w:val="24"/>
          <w:lang w:val="sq-AL" w:eastAsia="en-CA" w:bidi="sq-AL"/>
        </w:rPr>
      </w:pPr>
    </w:p>
    <w:p w14:paraId="2C0158F2" w14:textId="77777777" w:rsidR="0061449F" w:rsidRPr="0061449F" w:rsidRDefault="0061449F" w:rsidP="0061449F">
      <w:pPr>
        <w:spacing w:line="276" w:lineRule="auto"/>
        <w:jc w:val="both"/>
        <w:rPr>
          <w:rFonts w:ascii="Times New Roman" w:eastAsia="Times New Roman" w:hAnsi="Times New Roman" w:cs="Times New Roman"/>
          <w:b/>
          <w:sz w:val="24"/>
          <w:szCs w:val="24"/>
          <w:lang w:val="sq-AL" w:eastAsia="en-CA" w:bidi="sq-AL"/>
        </w:rPr>
      </w:pPr>
    </w:p>
    <w:p w14:paraId="4ABE14DB" w14:textId="77777777" w:rsidR="0061449F" w:rsidRPr="0061449F" w:rsidRDefault="0061449F" w:rsidP="0061449F">
      <w:pPr>
        <w:spacing w:line="276" w:lineRule="auto"/>
        <w:jc w:val="both"/>
        <w:rPr>
          <w:rFonts w:ascii="Times New Roman" w:eastAsia="Times New Roman" w:hAnsi="Times New Roman" w:cs="Times New Roman"/>
          <w:b/>
          <w:sz w:val="24"/>
          <w:szCs w:val="24"/>
          <w:lang w:val="sq-AL" w:eastAsia="en-CA" w:bidi="sq-AL"/>
        </w:rPr>
      </w:pPr>
    </w:p>
    <w:p w14:paraId="7932E055" w14:textId="77777777" w:rsidR="0061449F" w:rsidRPr="0061449F" w:rsidRDefault="0061449F" w:rsidP="0061449F">
      <w:pPr>
        <w:spacing w:line="276" w:lineRule="auto"/>
        <w:jc w:val="both"/>
        <w:rPr>
          <w:rFonts w:ascii="Times New Roman" w:eastAsia="Times New Roman" w:hAnsi="Times New Roman" w:cs="Times New Roman"/>
          <w:b/>
          <w:sz w:val="24"/>
          <w:szCs w:val="24"/>
          <w:lang w:val="sq-AL" w:eastAsia="en-CA" w:bidi="sq-AL"/>
        </w:rPr>
      </w:pPr>
    </w:p>
    <w:p w14:paraId="2FD527B9" w14:textId="77777777" w:rsidR="0061449F" w:rsidRPr="0061449F" w:rsidRDefault="0061449F" w:rsidP="0061449F">
      <w:pPr>
        <w:spacing w:line="276" w:lineRule="auto"/>
        <w:jc w:val="both"/>
        <w:rPr>
          <w:rFonts w:ascii="Times New Roman" w:eastAsia="Times New Roman" w:hAnsi="Times New Roman" w:cs="Times New Roman"/>
          <w:b/>
          <w:sz w:val="24"/>
          <w:szCs w:val="24"/>
          <w:lang w:val="sq-AL" w:eastAsia="en-CA" w:bidi="sq-AL"/>
        </w:rPr>
      </w:pPr>
    </w:p>
    <w:p w14:paraId="1F61AE04" w14:textId="77777777" w:rsidR="0061449F" w:rsidRPr="0061449F" w:rsidRDefault="0061449F" w:rsidP="0061449F">
      <w:pPr>
        <w:spacing w:line="276" w:lineRule="auto"/>
        <w:jc w:val="both"/>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Qëllimi Politik 1 : Konsolidimi dhe qëndrueshmëria e arritjeve të reformës në drejtësi në përputhje me standartet Evropiane</w:t>
      </w:r>
    </w:p>
    <w:p w14:paraId="015D7FB6"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Shqipëria ka zbatuar një reformë thelbësore në drejtësi që nga viti 2016 me qëllim ristrukturimin e të gjithë sistemit të drejtësisë. Reforma e vazhdueshme në drejtësi është bazuar së pari, në ristrukturimi institucional të sistemit gjyqësor dhe të prokurorisë, duke përfshirë edhe reformën e Gjykatës Kushtetuese dhe ngritjen e institucioneve të reja të qeverisjes së sistemit të drejtësisë, bazuar kjo në një reformë tërësore të kuadrit ligjor dhe rregullativ. </w:t>
      </w:r>
    </w:p>
    <w:p w14:paraId="7AF91BB1"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noProof/>
          <w:sz w:val="24"/>
          <w:szCs w:val="24"/>
          <w:lang w:val="sq-AL"/>
        </w:rPr>
        <w:t>Vijueshmëria e procesit të verifikimit kalimtar të subjekteve të vlerësimit (</w:t>
      </w:r>
      <w:r w:rsidRPr="0061449F">
        <w:rPr>
          <w:rFonts w:ascii="Times New Roman" w:eastAsia="Calibri" w:hAnsi="Times New Roman" w:cs="Times New Roman"/>
          <w:i/>
          <w:iCs/>
          <w:sz w:val="24"/>
          <w:szCs w:val="24"/>
          <w:lang w:val="sq-AL"/>
        </w:rPr>
        <w:t>vetting</w:t>
      </w:r>
      <w:r w:rsidRPr="0061449F">
        <w:rPr>
          <w:rFonts w:ascii="Times New Roman" w:eastAsia="Calibri" w:hAnsi="Times New Roman" w:cs="Times New Roman"/>
          <w:sz w:val="24"/>
          <w:szCs w:val="24"/>
          <w:lang w:val="sq-AL"/>
        </w:rPr>
        <w:t xml:space="preserve">) </w:t>
      </w:r>
      <w:r w:rsidRPr="0061449F">
        <w:rPr>
          <w:rFonts w:ascii="Times New Roman" w:eastAsia="Calibri" w:hAnsi="Times New Roman" w:cs="Times New Roman"/>
          <w:noProof/>
          <w:sz w:val="24"/>
          <w:szCs w:val="24"/>
          <w:lang w:val="sq-AL"/>
        </w:rPr>
        <w:t xml:space="preserve"> nga organet ekzistuese të rivlerësimit kalimtar të gjyqtarëve dhe prokurorëve po ecën me ritme të mira, si nga ana e KPK-së dhe KPA-së. Megjithatë, gjatë këtyre viteve të zbatimit të Reformës, janë hasur edhe sfida, të cilat Strategjia Ndërsektoriale e Drejtësisë 2024-2030 synon ti adresojë nëpërmjet masave dhe nismave konkrete të përfshira në Qëllimin e parë të saj.</w:t>
      </w:r>
    </w:p>
    <w:p w14:paraId="41A84672" w14:textId="5576AB85"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Konkretisht, nëpërmjet këtij Qëllimi politik, institucionet do angazhohen të çojnë përpara arritjet e Reformës, në drejtim të konsolidimit dhe kompletimit të kuadrit ligjor dhe institucional, si dhe në përafrimin e plotë të direktivave dhe standarteve të BE-së. Në këtë kuadër nëpërmjet objektivave të parashikuara në këtë Qëllim synohet që, nëpërmjet analizave të thelluara, të përmirësohet kuadri strategjik dhe rregullativ, duke përfshirë </w:t>
      </w:r>
      <w:r w:rsidRPr="0061449F">
        <w:rPr>
          <w:rFonts w:ascii="Times New Roman" w:eastAsia="Calibri" w:hAnsi="Times New Roman" w:cs="Times New Roman"/>
          <w:bCs/>
          <w:sz w:val="24"/>
          <w:szCs w:val="24"/>
          <w:lang w:val="sq-AL"/>
        </w:rPr>
        <w:t xml:space="preserve">një sërë ligjesh, përfshirë </w:t>
      </w:r>
      <w:r w:rsidRPr="0061449F">
        <w:rPr>
          <w:rFonts w:ascii="Times New Roman" w:eastAsia="Times New Roman" w:hAnsi="Times New Roman" w:cs="Times New Roman"/>
          <w:sz w:val="24"/>
          <w:szCs w:val="24"/>
          <w:bdr w:val="none" w:sz="0" w:space="0" w:color="auto" w:frame="1"/>
          <w:lang w:val="sq-AL"/>
        </w:rPr>
        <w:t>Kodin Penal, Kodin e Procedurës Penale, Kodin Civil, Kodin e Procedurës Civile</w:t>
      </w:r>
      <w:r w:rsidRPr="0061449F">
        <w:rPr>
          <w:rFonts w:ascii="Times New Roman" w:eastAsia="Calibri" w:hAnsi="Times New Roman" w:cs="Times New Roman"/>
          <w:bCs/>
          <w:sz w:val="24"/>
          <w:szCs w:val="24"/>
          <w:lang w:val="sq-AL"/>
        </w:rPr>
        <w:t xml:space="preserve">, </w:t>
      </w:r>
      <w:r w:rsidRPr="0061449F">
        <w:rPr>
          <w:rFonts w:ascii="Times New Roman" w:eastAsia="Times New Roman" w:hAnsi="Times New Roman" w:cs="Times New Roman"/>
          <w:sz w:val="24"/>
          <w:szCs w:val="24"/>
          <w:bdr w:val="none" w:sz="0" w:space="0" w:color="auto" w:frame="1"/>
          <w:lang w:val="sq-AL"/>
        </w:rPr>
        <w:t>Kodin e Familjes, si dhe ligje të tjera të evidentuara si të nevojshme për konsolidimin, pavarësinë, integritetin dhe efikasitetin e sistemit të drejtësisë</w:t>
      </w:r>
      <w:r w:rsidRPr="0061449F">
        <w:rPr>
          <w:rFonts w:ascii="Times New Roman" w:eastAsia="Calibri" w:hAnsi="Times New Roman" w:cs="Times New Roman"/>
          <w:sz w:val="24"/>
          <w:szCs w:val="24"/>
          <w:lang w:val="sq-AL"/>
        </w:rPr>
        <w:t xml:space="preserve">. Ky Qëllim synon që gjetjet dhe rekomandimet e evidentuara nga institucionet në analizat e tyre të brendshme, si dhe të evidentuara nga ekspertët vendas dhe ndërkombëtarë mbi ecurinë e Reformës, të pasqyrohen në një legjislacion të konsoliduar, në përputhje me </w:t>
      </w:r>
      <w:r w:rsidRPr="0061449F">
        <w:rPr>
          <w:rFonts w:ascii="Times New Roman" w:eastAsia="Calibri" w:hAnsi="Times New Roman" w:cs="Times New Roman"/>
          <w:i/>
          <w:iCs/>
          <w:sz w:val="24"/>
          <w:szCs w:val="24"/>
          <w:lang w:val="sq-AL"/>
        </w:rPr>
        <w:t>acquis</w:t>
      </w:r>
      <w:r w:rsidRPr="0061449F">
        <w:rPr>
          <w:rFonts w:ascii="Times New Roman" w:eastAsia="Calibri" w:hAnsi="Times New Roman" w:cs="Times New Roman"/>
          <w:sz w:val="24"/>
          <w:szCs w:val="24"/>
          <w:lang w:val="sq-AL"/>
        </w:rPr>
        <w:t xml:space="preserve"> të BE-së, si dhe në praktika institucionale, sipas standarteve më të mira. </w:t>
      </w:r>
    </w:p>
    <w:p w14:paraId="6FA34D11"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Në të njëjtën kohë, ruajtja dhe zhvillimi i mëtejshëm i kapacitetit profesional, pavarësisë dhe efikasitetit të institucioneve të qeverisjes së drejtësisë është një tjetër element thelbësor për të konsoliduar dhe vijuar arritjet e Reformës. </w:t>
      </w:r>
    </w:p>
    <w:p w14:paraId="66D07438"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lastRenderedPageBreak/>
        <w:t xml:space="preserve">Forcimi i bashkëpunimit ndërinstitucional dhe përmirësimi i komunikimit publik janë gjithashtu thelbësore për arritjen e këtij Qëllimi. Në këtë kuadër, nëpërmjet masave konkrete do të sigurohet që bashkëpunimi efektiv ndërmjet institucioneve përgjegjësë të garantojë që Reforma të zbatohet në mënyrë koherente dhe të harmonizuar në të gjitha nivelet e qeverisjes së drejtësisë. Nga ana tjetër, përmirësimi i komunikimit publik rrit transparencën dhe besimin e publikut në Reformën në Drejtësi, duke krijuar një lidhje të fortë midis institucioneve dhe qytetarëve. </w:t>
      </w:r>
    </w:p>
    <w:p w14:paraId="660769AC"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MS Mincho" w:hAnsi="Times New Roman" w:cs="Times New Roman"/>
          <w:bCs/>
          <w:sz w:val="24"/>
          <w:szCs w:val="24"/>
          <w:lang w:val="sq-AL"/>
        </w:rPr>
        <w:t xml:space="preserve">Për arritjen e këtij Qëllimi politik, institucionet përgjegjëse në bashkëpunim me institucionet partnerë vendas dhe ndërkombëtarë do të fokusohen në përmbushjen e 4 objektivave specifikë duke garantuar jo vetëm konsolidimin dhe </w:t>
      </w:r>
      <w:r w:rsidRPr="0061449F">
        <w:rPr>
          <w:rFonts w:ascii="Times New Roman" w:eastAsia="Calibri" w:hAnsi="Times New Roman" w:cs="Times New Roman"/>
          <w:sz w:val="24"/>
          <w:szCs w:val="24"/>
          <w:lang w:val="sq-AL"/>
        </w:rPr>
        <w:t>qëndrueshmërisë së reformës në drejtësi, por edhe duke siguruar  që legjislacioni vendas të jetë në përputhje me standardet evropiane, që proceset dhe institucionet të jenë të qëndrueshme, efikase dhe të mbrojtura nga çdo ndërhyrje, duke garantuar një sistem drejtësie të besueshëm dhe të respektuar.</w:t>
      </w:r>
    </w:p>
    <w:p w14:paraId="456DE9D0"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 xml:space="preserve">Objektivi Specifik 1.1: </w:t>
      </w:r>
      <w:r w:rsidRPr="0061449F">
        <w:rPr>
          <w:rFonts w:ascii="Times New Roman" w:eastAsia="Calibri" w:hAnsi="Times New Roman" w:cs="Times New Roman"/>
          <w:sz w:val="24"/>
          <w:szCs w:val="24"/>
          <w:lang w:val="sq-AL"/>
        </w:rPr>
        <w:t xml:space="preserve">Përditësimi i legjislacionit të Reformës në Drejtësi në përputhje me parimet e pavarësisë, llogaridhënies, efikasitetit, cilësisë dhe sigurimi i harmonizimit të legjislacionit shqiptar me </w:t>
      </w:r>
      <w:r w:rsidRPr="0061449F">
        <w:rPr>
          <w:rFonts w:ascii="Times New Roman" w:eastAsia="Calibri" w:hAnsi="Times New Roman" w:cs="Times New Roman"/>
          <w:i/>
          <w:iCs/>
          <w:sz w:val="24"/>
          <w:szCs w:val="24"/>
          <w:lang w:val="sq-AL"/>
        </w:rPr>
        <w:t>acquis</w:t>
      </w:r>
      <w:r w:rsidRPr="0061449F">
        <w:rPr>
          <w:rFonts w:ascii="Times New Roman" w:eastAsia="Calibri" w:hAnsi="Times New Roman" w:cs="Times New Roman"/>
          <w:sz w:val="24"/>
          <w:szCs w:val="24"/>
          <w:lang w:val="sq-AL"/>
        </w:rPr>
        <w:t xml:space="preserve"> të BE-së;</w:t>
      </w:r>
    </w:p>
    <w:p w14:paraId="24AFB3D8"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 xml:space="preserve">Objektivi Specifik 1.2: </w:t>
      </w:r>
      <w:r w:rsidRPr="0061449F">
        <w:rPr>
          <w:rFonts w:ascii="Times New Roman" w:eastAsia="Calibri" w:hAnsi="Times New Roman" w:cs="Times New Roman"/>
          <w:sz w:val="24"/>
          <w:szCs w:val="24"/>
          <w:lang w:val="sq-AL"/>
        </w:rPr>
        <w:t>Përfundimi i procesit të rivlerësimit kalimtar (vetting-ut) brenda afateve kushtetuese dhe vendosja e mekanizmave për të siguruar qëndrueshmërinë e këtij procesi;</w:t>
      </w:r>
    </w:p>
    <w:p w14:paraId="039332CC"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 xml:space="preserve">Objektivi Specifik 1.3: </w:t>
      </w:r>
      <w:r w:rsidRPr="0061449F">
        <w:rPr>
          <w:rFonts w:ascii="Times New Roman" w:eastAsia="Calibri" w:hAnsi="Times New Roman" w:cs="Times New Roman"/>
          <w:sz w:val="24"/>
          <w:szCs w:val="24"/>
          <w:lang w:val="sq-AL"/>
        </w:rPr>
        <w:t>Ruajtja dhe zhvillimi i mëtejshëm i kapacitetit profesional, pavarësisë dhe efikasitetit të organeve të qeverisjes së drejtësisë;</w:t>
      </w:r>
    </w:p>
    <w:p w14:paraId="411080F8"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 xml:space="preserve">Objektivi Specifik 1.4: </w:t>
      </w:r>
      <w:r w:rsidRPr="0061449F">
        <w:rPr>
          <w:rFonts w:ascii="Times New Roman" w:eastAsia="Calibri" w:hAnsi="Times New Roman" w:cs="Times New Roman"/>
          <w:sz w:val="24"/>
          <w:szCs w:val="24"/>
          <w:lang w:val="sq-AL"/>
        </w:rPr>
        <w:t>Forcimi i bashkëpunimit ndërinstitucional dhe përmirësimi thelbësor i komunikimit publik.</w:t>
      </w:r>
    </w:p>
    <w:p w14:paraId="31308129" w14:textId="77777777" w:rsidR="0061449F" w:rsidRPr="0061449F" w:rsidRDefault="0061449F" w:rsidP="0061449F">
      <w:pPr>
        <w:spacing w:line="276" w:lineRule="auto"/>
        <w:jc w:val="both"/>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Lidhja midis Qëllimit Politik 1 dhe Objektivave të Zhvillimit të Qëndrueshëm (OZHQ)</w:t>
      </w:r>
    </w:p>
    <w:p w14:paraId="2CD7DE48" w14:textId="77777777" w:rsidR="0061449F" w:rsidRPr="0061449F" w:rsidRDefault="0061449F" w:rsidP="0061449F">
      <w:pPr>
        <w:spacing w:after="0" w:line="276" w:lineRule="atLeast"/>
        <w:jc w:val="both"/>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t>Qëllimi Politik 1 lidhet me Objektivin 16 të Zhvillimit të Qëndrueshëm (OZHQ, “Promovimi i shoqërive paqësore dhe përfshirëse për zhvillim të qëndrueshëm, ofrim i aksesit në drejtësi për të gjithë dhe ndërtimi i institucioneve efektive, llogaridhënëse dhe gjithëpërfshirëse në të gjitha nivelet”.  SND 2024-2030, lidhet me nënobjektivin 16.3: “Promovimi i shtetit të së drejtës në nivelin kombëtar dhe ndërkombëtar dhe sigurimi i aksesit të barabartë në drejtësi për të gjithë”. Gjithashtu, SND 2024-2030, lidhet me nënobjektivin 16.6: “Zhvillimi i institucioneve efektive, llogaridhënëse dhe transparente në të gjitha nivelet”, me nënobjektivin 16.7: “Sigurimi i vendimmarrjes reaguese, përfshirëse, pjesëmarrëse dhe përfaqësuese në të gjitha nivelet” si dhe me nënobjektivin 16.10: “Sigurimi i aksesit të publikut në informacion dhe mbrojtja e lirive themelore, në përputhje me legjislacionin kombëtar dhe marrëveshjet ndërkombëtare”.</w:t>
      </w:r>
    </w:p>
    <w:p w14:paraId="70774892" w14:textId="77777777" w:rsidR="0061449F" w:rsidRPr="0061449F" w:rsidRDefault="0061449F" w:rsidP="0061449F">
      <w:pPr>
        <w:spacing w:line="276" w:lineRule="auto"/>
        <w:ind w:left="2340" w:hanging="2340"/>
        <w:jc w:val="both"/>
        <w:rPr>
          <w:rFonts w:ascii="Times New Roman" w:eastAsia="Calibri" w:hAnsi="Times New Roman" w:cs="Times New Roman"/>
          <w:b/>
          <w:sz w:val="24"/>
          <w:szCs w:val="24"/>
          <w:lang w:val="sq-AL"/>
        </w:rPr>
      </w:pPr>
    </w:p>
    <w:p w14:paraId="2B27EFC4" w14:textId="77777777" w:rsidR="0061449F" w:rsidRPr="0061449F" w:rsidRDefault="0061449F" w:rsidP="0061449F">
      <w:pPr>
        <w:spacing w:line="276" w:lineRule="auto"/>
        <w:ind w:left="2340" w:hanging="2340"/>
        <w:jc w:val="both"/>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 xml:space="preserve">Objektivi Specifik 1.1: </w:t>
      </w:r>
      <w:r w:rsidRPr="0061449F">
        <w:rPr>
          <w:rFonts w:ascii="Times New Roman" w:eastAsia="Calibri" w:hAnsi="Times New Roman" w:cs="Times New Roman"/>
          <w:sz w:val="24"/>
          <w:szCs w:val="24"/>
          <w:lang w:val="sq-AL"/>
        </w:rPr>
        <w:t xml:space="preserve">Përditësimi i legjislacionit të reformës në drejtësi në përputhje me parimet e pavarësisë, llogaridhënies, efikasitetit, cilësisë dhe sigurimi i harmonizimit të legjislacionit shqiptar me </w:t>
      </w:r>
      <w:r w:rsidRPr="0061449F">
        <w:rPr>
          <w:rFonts w:ascii="Times New Roman" w:eastAsia="Calibri" w:hAnsi="Times New Roman" w:cs="Times New Roman"/>
          <w:i/>
          <w:iCs/>
          <w:sz w:val="24"/>
          <w:szCs w:val="24"/>
          <w:lang w:val="sq-AL"/>
        </w:rPr>
        <w:t>acquis</w:t>
      </w:r>
      <w:r w:rsidRPr="0061449F">
        <w:rPr>
          <w:rFonts w:ascii="Times New Roman" w:eastAsia="Calibri" w:hAnsi="Times New Roman" w:cs="Times New Roman"/>
          <w:sz w:val="24"/>
          <w:szCs w:val="24"/>
          <w:lang w:val="sq-AL"/>
        </w:rPr>
        <w:t xml:space="preserve"> të BE-së;</w:t>
      </w:r>
    </w:p>
    <w:p w14:paraId="36260D3E"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p>
    <w:p w14:paraId="6CD6D199"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lastRenderedPageBreak/>
        <w:t xml:space="preserve">Zbatimi i Reformës në Drejtësi, përpjekja për adoptimin e mekanizmave dhe standarteve më të mira për të garantuar funksionimin e plotë të institucioneve të krijuara nga Reforma kanë evidentuar nevojën për përmirësimin e legjislacionit dhe për përafrimin me </w:t>
      </w:r>
      <w:r w:rsidRPr="0061449F">
        <w:rPr>
          <w:rFonts w:ascii="Times New Roman" w:eastAsia="Calibri" w:hAnsi="Times New Roman" w:cs="Times New Roman"/>
          <w:i/>
          <w:iCs/>
          <w:sz w:val="24"/>
          <w:szCs w:val="24"/>
          <w:lang w:val="sq-AL"/>
        </w:rPr>
        <w:t>acquis</w:t>
      </w:r>
      <w:r w:rsidRPr="0061449F">
        <w:rPr>
          <w:rFonts w:ascii="Times New Roman" w:eastAsia="Calibri" w:hAnsi="Times New Roman" w:cs="Times New Roman"/>
          <w:sz w:val="24"/>
          <w:szCs w:val="24"/>
          <w:lang w:val="sq-AL"/>
        </w:rPr>
        <w:t xml:space="preserve"> të BE-së, në përputhje me  agjendën e integrimit në BE.</w:t>
      </w:r>
    </w:p>
    <w:p w14:paraId="0833BEC4"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Përditësimi Kodeve me qëllim përafrimin me </w:t>
      </w:r>
      <w:r w:rsidRPr="0061449F">
        <w:rPr>
          <w:rFonts w:ascii="Times New Roman" w:eastAsia="Calibri" w:hAnsi="Times New Roman" w:cs="Times New Roman"/>
          <w:i/>
          <w:sz w:val="24"/>
          <w:szCs w:val="24"/>
          <w:lang w:val="sq-AL"/>
        </w:rPr>
        <w:t>acquis</w:t>
      </w:r>
      <w:r w:rsidRPr="0061449F">
        <w:rPr>
          <w:rFonts w:ascii="Times New Roman" w:eastAsia="Calibri" w:hAnsi="Times New Roman" w:cs="Times New Roman"/>
          <w:sz w:val="24"/>
          <w:szCs w:val="24"/>
          <w:lang w:val="sq-AL"/>
        </w:rPr>
        <w:t xml:space="preserve"> të BE-së është një hap konkret që adreson nevojën për një sistem drejtësie në përputhje me standardet ndërkombëtare. Këto ndryshime ndihmojnë në përmirësimin e cilësisë dhe efikasitetit të sistemit të drejtësisë, duke ofruar mbrojtje të plotë të të drejtave të individëve gjatë procesit gjyqësor. Një sistem që përmbush këto standarde është thelbësor për ndërtimin e besimit në drejtësi dhe për ruajtjen e integritetit të procesit gjyqësor.</w:t>
      </w:r>
    </w:p>
    <w:p w14:paraId="442A1322"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Kontrollet e rregullta të përshtatshmërisë ligjore janë të domosdoshme për të siguruar që ndryshimet ligjore dhe praktikat e zbatimit të qëndrojnë në përputhje me </w:t>
      </w:r>
      <w:r w:rsidRPr="0061449F">
        <w:rPr>
          <w:rFonts w:ascii="Times New Roman" w:eastAsia="Calibri" w:hAnsi="Times New Roman" w:cs="Times New Roman"/>
          <w:i/>
          <w:sz w:val="24"/>
          <w:szCs w:val="24"/>
          <w:lang w:val="sq-AL"/>
        </w:rPr>
        <w:t>acquis</w:t>
      </w:r>
      <w:r w:rsidRPr="0061449F">
        <w:rPr>
          <w:rFonts w:ascii="Times New Roman" w:eastAsia="Calibri" w:hAnsi="Times New Roman" w:cs="Times New Roman"/>
          <w:sz w:val="24"/>
          <w:szCs w:val="24"/>
          <w:lang w:val="sq-AL"/>
        </w:rPr>
        <w:t xml:space="preserve"> të BE-së dhe standardet evropiane. Ky proces përforcon parimet e reformës në drejtësi dhe siguron që legjislacioni të mbetet i përditësuar dhe efektiv në përmbushjen e kërkesave të standardeve ndërkombëtare.</w:t>
      </w:r>
    </w:p>
    <w:p w14:paraId="1D2CE675"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Avancimi i reformës përfshirë ndryshimet ligjore dhe forcimi i kontrollit të pasurive dhe figurës është një tjetër aspekt i rëndësishëm për të ruajtur besimin e publikut dhe për të forcuar integritetin e sistemit të drejtësisë. Këto masa ndihmojnë në sigurinë që individët që mbajnë pozita të rëndësishme të jenë të pastër nga korruptimi dhe të përgjegjshëm për veprimet e tyre, duke kontribuar në ndërtimin e një sistemi të drejtësisë të besueshëm dhe të drejtë.</w:t>
      </w:r>
      <w:r w:rsidRPr="0061449F">
        <w:rPr>
          <w:rFonts w:ascii="Calibri" w:eastAsia="Calibri" w:hAnsi="Calibri" w:cs="Times New Roman"/>
          <w:lang w:val="sq-AL"/>
        </w:rPr>
        <w:t xml:space="preserve"> </w:t>
      </w:r>
      <w:r w:rsidRPr="0061449F">
        <w:rPr>
          <w:rFonts w:ascii="Times New Roman" w:eastAsia="Calibri" w:hAnsi="Times New Roman" w:cs="Times New Roman"/>
          <w:sz w:val="24"/>
          <w:szCs w:val="24"/>
          <w:lang w:val="sq-AL"/>
        </w:rPr>
        <w:t>Po ashtu, parashikimi i masave mbi rritjen e mëtejshme të kapaciteteve të organeve të specializuara për korrupsionin dhe krimin e organizuar përmirëson efikasitetin dhe cilësinë e hetimit nga ana e këtyre organeve.</w:t>
      </w:r>
    </w:p>
    <w:p w14:paraId="5E91C795"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Marrja e masave për mospërfshirjen e ish-magjistratëve të shkarkuar dhe forcimi i kapaciteteve të Shkollës së Magjistraturës janë masa që ndihmojnë në ruajtjen e integritetit të institucioneve të drejtësisë dhe në përmirësimin e përgatitjes dhe trajnimit të magjistratëve të ardhshëm. Këto masa kontribuojnë në krijimin e një sistemi drejtësie që është në përputhje me standardet më të larta evropiane dhe që është i gatshëm për të trajtuar me efikasitet dhe integritet sfidat e tij.</w:t>
      </w:r>
    </w:p>
    <w:p w14:paraId="19A277FF"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Të gjitha këto masa janë të ndërlidhura dhe përbëjnë një strategji të integruar që siguron përmbushjen e objektivit specifik për përditësimin e legjislacionit të Reformës në Drejtësi dhe për krijimin e një sistemi drejtësie të qëndrueshëm dhe në përputhje me standardet evropiane. </w:t>
      </w:r>
    </w:p>
    <w:p w14:paraId="08E23573"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 xml:space="preserve">Rezultati i pritshëm: </w:t>
      </w:r>
    </w:p>
    <w:p w14:paraId="69293F03" w14:textId="77777777" w:rsidR="0061449F" w:rsidRPr="0061449F" w:rsidRDefault="0061449F" w:rsidP="0061449F">
      <w:pPr>
        <w:numPr>
          <w:ilvl w:val="0"/>
          <w:numId w:val="32"/>
        </w:numPr>
        <w:spacing w:line="276" w:lineRule="auto"/>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Deri në fund të vitit 2030 janë zbatuar 100% e rekomandimeve të raporteve analitike të institucioneve, mbi problematikat e zbatimit të ligjeve të reformës në drejtësi;</w:t>
      </w:r>
    </w:p>
    <w:p w14:paraId="6E6345CE" w14:textId="77777777" w:rsidR="0061449F" w:rsidRPr="0061449F" w:rsidRDefault="0061449F" w:rsidP="0061449F">
      <w:pPr>
        <w:numPr>
          <w:ilvl w:val="0"/>
          <w:numId w:val="32"/>
        </w:numPr>
        <w:spacing w:line="276" w:lineRule="auto"/>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Deri në fund të vitit 2030, ligji vendas është përafruar, të paktën "pjesërisht", me 40 akte ligjore të BE-së.</w:t>
      </w:r>
    </w:p>
    <w:p w14:paraId="7179E95E" w14:textId="77777777" w:rsidR="0061449F" w:rsidRPr="0061449F" w:rsidRDefault="0061449F" w:rsidP="0061449F">
      <w:pPr>
        <w:spacing w:before="100" w:beforeAutospacing="1" w:after="100" w:afterAutospacing="1" w:line="276" w:lineRule="auto"/>
        <w:jc w:val="both"/>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sq-AL"/>
        </w:rPr>
        <w:t>Lidhja e objektivit specifik me nënkapitullin përkatës të BE-së sipas MSA-së</w:t>
      </w:r>
    </w:p>
    <w:p w14:paraId="6CFAACF6" w14:textId="77777777" w:rsidR="0061449F" w:rsidRPr="0061449F" w:rsidRDefault="0061449F" w:rsidP="0061449F">
      <w:pPr>
        <w:spacing w:before="100" w:beforeAutospacing="1" w:after="100" w:afterAutospacing="1" w:line="276" w:lineRule="auto"/>
        <w:jc w:val="both"/>
        <w:rPr>
          <w:rFonts w:ascii="Times New Roman" w:eastAsia="Times New Roman" w:hAnsi="Times New Roman" w:cs="Times New Roman"/>
          <w:sz w:val="24"/>
          <w:szCs w:val="24"/>
          <w:bdr w:val="none" w:sz="0" w:space="0" w:color="auto" w:frame="1"/>
          <w:lang w:val="sq-AL"/>
        </w:rPr>
      </w:pPr>
      <w:bookmarkStart w:id="7" w:name="_Hlk175014329"/>
      <w:r w:rsidRPr="0061449F">
        <w:rPr>
          <w:rFonts w:ascii="Times New Roman" w:eastAsia="Times New Roman" w:hAnsi="Times New Roman" w:cs="Times New Roman"/>
          <w:sz w:val="24"/>
          <w:szCs w:val="24"/>
          <w:bdr w:val="none" w:sz="0" w:space="0" w:color="auto" w:frame="1"/>
          <w:lang w:val="sq-AL"/>
        </w:rPr>
        <w:t xml:space="preserve">Objektivi Specifik 1.1 lidhet me Kapitullin 23 “Gjyqësori dhe të Drejtat Themelore”, me nenin 2 të MSA-së “Respekti për parimet demokratike dhe të drejtat e njeriut”, me nenin 78 të MSA-së “Fuqizimin e institucioneve dhe shtetit të së drejtës” dhe me nenin 88 “Bashkëpunimi statistikor” të MSA-së, e </w:t>
      </w:r>
      <w:r w:rsidRPr="0061449F">
        <w:rPr>
          <w:rFonts w:ascii="Times New Roman" w:eastAsia="Times New Roman" w:hAnsi="Times New Roman" w:cs="Times New Roman"/>
          <w:sz w:val="24"/>
          <w:szCs w:val="24"/>
          <w:bdr w:val="none" w:sz="0" w:space="0" w:color="auto" w:frame="1"/>
          <w:lang w:val="sq-AL"/>
        </w:rPr>
        <w:lastRenderedPageBreak/>
        <w:t>nënshkruar midis Republikës së Shqipërisë dhe Komuniteteve Evropiane të shteteve të tyre anëtare. Gjithashtu, ky objektiv lidhet me Planin Kombëtar për Integrimin Evropian 2024 – 2026 si dhe reflekton disa nga rekomandimet Raportit të Komisionit Evropian për Shqipërinë për vitin 2023. Objektivi Specifik 1.1 lidhet me Udhërrëfyesin për Shtetin e së Drejtës.</w:t>
      </w:r>
    </w:p>
    <w:bookmarkEnd w:id="7"/>
    <w:p w14:paraId="67CA5645" w14:textId="77777777" w:rsidR="0061449F" w:rsidRPr="0061449F" w:rsidRDefault="0061449F" w:rsidP="0061449F">
      <w:pPr>
        <w:spacing w:before="100" w:beforeAutospacing="1" w:after="100" w:afterAutospacing="1" w:line="276" w:lineRule="auto"/>
        <w:jc w:val="both"/>
        <w:rPr>
          <w:rFonts w:ascii="Times New Roman" w:eastAsia="Times New Roman" w:hAnsi="Times New Roman" w:cs="Times New Roman"/>
          <w:b/>
          <w:sz w:val="24"/>
          <w:szCs w:val="24"/>
          <w:bdr w:val="none" w:sz="0" w:space="0" w:color="auto" w:frame="1"/>
          <w:lang w:val="sq-AL"/>
        </w:rPr>
      </w:pPr>
      <w:r w:rsidRPr="0061449F">
        <w:rPr>
          <w:rFonts w:ascii="Times New Roman" w:eastAsia="Times New Roman" w:hAnsi="Times New Roman" w:cs="Times New Roman"/>
          <w:b/>
          <w:sz w:val="24"/>
          <w:szCs w:val="24"/>
          <w:bdr w:val="none" w:sz="0" w:space="0" w:color="auto" w:frame="1"/>
          <w:lang w:val="sq-AL"/>
        </w:rPr>
        <w:t xml:space="preserve">Masat:  </w:t>
      </w:r>
    </w:p>
    <w:p w14:paraId="585C8D7A" w14:textId="77777777" w:rsidR="0061449F" w:rsidRPr="0061449F" w:rsidRDefault="0061449F" w:rsidP="0061449F">
      <w:pPr>
        <w:numPr>
          <w:ilvl w:val="2"/>
          <w:numId w:val="27"/>
        </w:numPr>
        <w:spacing w:before="100" w:beforeAutospacing="1" w:after="100" w:afterAutospacing="1" w:line="276" w:lineRule="auto"/>
        <w:ind w:left="1080"/>
        <w:contextualSpacing/>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Koordinimi i zhvillimit dhe zbatimit të politikave shtetërore në lidhje me rritjen e pavarësisë, përgjegjëshmërisë, cilësisë dhe efikasitetin e drejtësisë;</w:t>
      </w:r>
    </w:p>
    <w:p w14:paraId="71AC572F" w14:textId="77777777" w:rsidR="0061449F" w:rsidRPr="0061449F" w:rsidRDefault="0061449F" w:rsidP="0061449F">
      <w:pPr>
        <w:numPr>
          <w:ilvl w:val="2"/>
          <w:numId w:val="27"/>
        </w:numPr>
        <w:spacing w:before="100" w:beforeAutospacing="1" w:after="100" w:afterAutospacing="1" w:line="276" w:lineRule="auto"/>
        <w:ind w:left="1080"/>
        <w:contextualSpacing/>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 xml:space="preserve">Përditësimi i Kodit Penal në përputhje me </w:t>
      </w:r>
      <w:r w:rsidRPr="0061449F">
        <w:rPr>
          <w:rFonts w:ascii="Times New Roman" w:eastAsia="Times New Roman" w:hAnsi="Times New Roman" w:cs="Times New Roman"/>
          <w:i/>
          <w:iCs/>
          <w:sz w:val="24"/>
          <w:szCs w:val="24"/>
          <w:bdr w:val="none" w:sz="0" w:space="0" w:color="auto" w:frame="1"/>
          <w:lang w:val="sq-AL"/>
        </w:rPr>
        <w:t>acquis</w:t>
      </w:r>
      <w:r w:rsidRPr="0061449F">
        <w:rPr>
          <w:rFonts w:ascii="Times New Roman" w:eastAsia="Times New Roman" w:hAnsi="Times New Roman" w:cs="Times New Roman"/>
          <w:sz w:val="24"/>
          <w:szCs w:val="24"/>
          <w:bdr w:val="none" w:sz="0" w:space="0" w:color="auto" w:frame="1"/>
          <w:lang w:val="sq-AL"/>
        </w:rPr>
        <w:t xml:space="preserve"> të BE;</w:t>
      </w:r>
    </w:p>
    <w:p w14:paraId="7B99AC6B" w14:textId="77777777" w:rsidR="0061449F" w:rsidRPr="0061449F" w:rsidRDefault="0061449F" w:rsidP="0061449F">
      <w:pPr>
        <w:numPr>
          <w:ilvl w:val="2"/>
          <w:numId w:val="27"/>
        </w:numPr>
        <w:spacing w:before="100" w:beforeAutospacing="1" w:after="100" w:afterAutospacing="1" w:line="276" w:lineRule="auto"/>
        <w:ind w:left="1080"/>
        <w:contextualSpacing/>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 xml:space="preserve">Përditësimi i Kodit të Procedurës Penale në përputhje me </w:t>
      </w:r>
      <w:r w:rsidRPr="0061449F">
        <w:rPr>
          <w:rFonts w:ascii="Times New Roman" w:eastAsia="Times New Roman" w:hAnsi="Times New Roman" w:cs="Times New Roman"/>
          <w:i/>
          <w:iCs/>
          <w:sz w:val="24"/>
          <w:szCs w:val="24"/>
          <w:bdr w:val="none" w:sz="0" w:space="0" w:color="auto" w:frame="1"/>
          <w:lang w:val="sq-AL"/>
        </w:rPr>
        <w:t>acquis</w:t>
      </w:r>
      <w:r w:rsidRPr="0061449F">
        <w:rPr>
          <w:rFonts w:ascii="Times New Roman" w:eastAsia="Times New Roman" w:hAnsi="Times New Roman" w:cs="Times New Roman"/>
          <w:sz w:val="24"/>
          <w:szCs w:val="24"/>
          <w:bdr w:val="none" w:sz="0" w:space="0" w:color="auto" w:frame="1"/>
          <w:lang w:val="sq-AL"/>
        </w:rPr>
        <w:t xml:space="preserve"> të BE;</w:t>
      </w:r>
    </w:p>
    <w:p w14:paraId="517878EF" w14:textId="77777777" w:rsidR="0061449F" w:rsidRPr="0061449F" w:rsidRDefault="0061449F" w:rsidP="0061449F">
      <w:pPr>
        <w:numPr>
          <w:ilvl w:val="2"/>
          <w:numId w:val="27"/>
        </w:numPr>
        <w:spacing w:before="100" w:beforeAutospacing="1" w:after="100" w:afterAutospacing="1" w:line="276" w:lineRule="auto"/>
        <w:ind w:left="1080"/>
        <w:contextualSpacing/>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 xml:space="preserve">Përditësimi i Kodit Civil në përputhje me </w:t>
      </w:r>
      <w:r w:rsidRPr="0061449F">
        <w:rPr>
          <w:rFonts w:ascii="Times New Roman" w:eastAsia="Times New Roman" w:hAnsi="Times New Roman" w:cs="Times New Roman"/>
          <w:i/>
          <w:iCs/>
          <w:sz w:val="24"/>
          <w:szCs w:val="24"/>
          <w:bdr w:val="none" w:sz="0" w:space="0" w:color="auto" w:frame="1"/>
          <w:lang w:val="sq-AL"/>
        </w:rPr>
        <w:t>acquis</w:t>
      </w:r>
      <w:r w:rsidRPr="0061449F">
        <w:rPr>
          <w:rFonts w:ascii="Times New Roman" w:eastAsia="Times New Roman" w:hAnsi="Times New Roman" w:cs="Times New Roman"/>
          <w:sz w:val="24"/>
          <w:szCs w:val="24"/>
          <w:bdr w:val="none" w:sz="0" w:space="0" w:color="auto" w:frame="1"/>
          <w:lang w:val="sq-AL"/>
        </w:rPr>
        <w:t xml:space="preserve"> të BE;</w:t>
      </w:r>
    </w:p>
    <w:p w14:paraId="15C4509A" w14:textId="77777777" w:rsidR="0061449F" w:rsidRPr="0061449F" w:rsidRDefault="0061449F" w:rsidP="0061449F">
      <w:pPr>
        <w:numPr>
          <w:ilvl w:val="2"/>
          <w:numId w:val="27"/>
        </w:numPr>
        <w:spacing w:before="100" w:beforeAutospacing="1" w:after="100" w:afterAutospacing="1" w:line="276" w:lineRule="auto"/>
        <w:ind w:left="1080"/>
        <w:contextualSpacing/>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 xml:space="preserve">Përditësimi i Kodit të Procedurës Civile në përputhje me </w:t>
      </w:r>
      <w:r w:rsidRPr="0061449F">
        <w:rPr>
          <w:rFonts w:ascii="Times New Roman" w:eastAsia="Times New Roman" w:hAnsi="Times New Roman" w:cs="Times New Roman"/>
          <w:i/>
          <w:iCs/>
          <w:sz w:val="24"/>
          <w:szCs w:val="24"/>
          <w:bdr w:val="none" w:sz="0" w:space="0" w:color="auto" w:frame="1"/>
          <w:lang w:val="sq-AL"/>
        </w:rPr>
        <w:t>acquis</w:t>
      </w:r>
      <w:r w:rsidRPr="0061449F">
        <w:rPr>
          <w:rFonts w:ascii="Times New Roman" w:eastAsia="Times New Roman" w:hAnsi="Times New Roman" w:cs="Times New Roman"/>
          <w:sz w:val="24"/>
          <w:szCs w:val="24"/>
          <w:bdr w:val="none" w:sz="0" w:space="0" w:color="auto" w:frame="1"/>
          <w:lang w:val="sq-AL"/>
        </w:rPr>
        <w:t xml:space="preserve"> të BE;</w:t>
      </w:r>
    </w:p>
    <w:p w14:paraId="2754ED60" w14:textId="77777777" w:rsidR="0061449F" w:rsidRPr="0061449F" w:rsidRDefault="0061449F" w:rsidP="0061449F">
      <w:pPr>
        <w:numPr>
          <w:ilvl w:val="2"/>
          <w:numId w:val="27"/>
        </w:numPr>
        <w:spacing w:before="100" w:beforeAutospacing="1" w:after="100" w:afterAutospacing="1" w:line="276" w:lineRule="auto"/>
        <w:ind w:left="1080"/>
        <w:contextualSpacing/>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 xml:space="preserve">Përditësimi i Kodit Familjar në përputhje me </w:t>
      </w:r>
      <w:r w:rsidRPr="0061449F">
        <w:rPr>
          <w:rFonts w:ascii="Times New Roman" w:eastAsia="Times New Roman" w:hAnsi="Times New Roman" w:cs="Times New Roman"/>
          <w:i/>
          <w:iCs/>
          <w:sz w:val="24"/>
          <w:szCs w:val="24"/>
          <w:bdr w:val="none" w:sz="0" w:space="0" w:color="auto" w:frame="1"/>
          <w:lang w:val="sq-AL"/>
        </w:rPr>
        <w:t>acquis</w:t>
      </w:r>
      <w:r w:rsidRPr="0061449F">
        <w:rPr>
          <w:rFonts w:ascii="Times New Roman" w:eastAsia="Times New Roman" w:hAnsi="Times New Roman" w:cs="Times New Roman"/>
          <w:sz w:val="24"/>
          <w:szCs w:val="24"/>
          <w:bdr w:val="none" w:sz="0" w:space="0" w:color="auto" w:frame="1"/>
          <w:lang w:val="sq-AL"/>
        </w:rPr>
        <w:t xml:space="preserve"> të BE për sistemin e drejtësisë;</w:t>
      </w:r>
    </w:p>
    <w:p w14:paraId="00235605" w14:textId="59AA1AD2" w:rsidR="0061449F" w:rsidRPr="0061449F" w:rsidRDefault="00FA7DC0" w:rsidP="0061449F">
      <w:pPr>
        <w:numPr>
          <w:ilvl w:val="2"/>
          <w:numId w:val="27"/>
        </w:numPr>
        <w:spacing w:before="100" w:beforeAutospacing="1" w:after="100" w:afterAutospacing="1" w:line="276" w:lineRule="auto"/>
        <w:ind w:left="1080"/>
        <w:contextualSpacing/>
        <w:jc w:val="both"/>
        <w:rPr>
          <w:rFonts w:ascii="Times New Roman" w:eastAsia="Times New Roman" w:hAnsi="Times New Roman" w:cs="Times New Roman"/>
          <w:sz w:val="24"/>
          <w:szCs w:val="24"/>
          <w:bdr w:val="none" w:sz="0" w:space="0" w:color="auto" w:frame="1"/>
          <w:lang w:val="sq-AL"/>
        </w:rPr>
      </w:pPr>
      <w:r w:rsidRPr="00FA7DC0">
        <w:rPr>
          <w:rFonts w:ascii="Times New Roman" w:eastAsia="Times New Roman" w:hAnsi="Times New Roman" w:cs="Times New Roman"/>
          <w:sz w:val="24"/>
          <w:szCs w:val="24"/>
          <w:bdr w:val="none" w:sz="0" w:space="0" w:color="auto" w:frame="1"/>
          <w:lang w:val="sq-AL"/>
        </w:rPr>
        <w:t xml:space="preserve">Përditësimi i ligji nr.  49/2012,  “Për  organizimin  dhe  funksionimin  e  gjykatave  administrative  dhe  gjykimin e mosmarrëveshjeve administrative", të ndryshuar, në përputhje me </w:t>
      </w:r>
      <w:r w:rsidRPr="00FA7DC0">
        <w:rPr>
          <w:rFonts w:ascii="Times New Roman" w:eastAsia="Times New Roman" w:hAnsi="Times New Roman" w:cs="Times New Roman"/>
          <w:i/>
          <w:iCs/>
          <w:sz w:val="24"/>
          <w:szCs w:val="24"/>
          <w:bdr w:val="none" w:sz="0" w:space="0" w:color="auto" w:frame="1"/>
          <w:lang w:val="sq-AL"/>
        </w:rPr>
        <w:t>acquis</w:t>
      </w:r>
      <w:r w:rsidRPr="00FA7DC0">
        <w:rPr>
          <w:rFonts w:ascii="Times New Roman" w:eastAsia="Times New Roman" w:hAnsi="Times New Roman" w:cs="Times New Roman"/>
          <w:sz w:val="24"/>
          <w:szCs w:val="24"/>
          <w:bdr w:val="none" w:sz="0" w:space="0" w:color="auto" w:frame="1"/>
          <w:lang w:val="sq-AL"/>
        </w:rPr>
        <w:t xml:space="preserve"> të BE për sistemin e drejtësisë</w:t>
      </w:r>
      <w:r w:rsidR="0061449F" w:rsidRPr="0061449F">
        <w:rPr>
          <w:rFonts w:ascii="Times New Roman" w:eastAsia="Times New Roman" w:hAnsi="Times New Roman" w:cs="Times New Roman"/>
          <w:sz w:val="24"/>
          <w:szCs w:val="24"/>
          <w:bdr w:val="none" w:sz="0" w:space="0" w:color="auto" w:frame="1"/>
          <w:lang w:val="sq-AL"/>
        </w:rPr>
        <w:t>;</w:t>
      </w:r>
    </w:p>
    <w:p w14:paraId="66A79EA2" w14:textId="77777777" w:rsidR="0061449F" w:rsidRPr="0061449F" w:rsidRDefault="0061449F" w:rsidP="0061449F">
      <w:pPr>
        <w:numPr>
          <w:ilvl w:val="2"/>
          <w:numId w:val="27"/>
        </w:numPr>
        <w:spacing w:before="100" w:beforeAutospacing="1" w:after="100" w:afterAutospacing="1" w:line="276" w:lineRule="auto"/>
        <w:ind w:left="1080"/>
        <w:contextualSpacing/>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Kontrollet e rregullta të përshtatshmërisë ligjore dhe miratimi i ndryshimeve ligjore të nevojshme për konsolidimin, pavarësinë, integritetin, efikasitetin dhe rritjen e besimit të publikut, ndërmerren në përputhje me acquis të BE-së dhe standardet evropiane dhe forcojnë më tej parimet e reformës në drejtësi të vitit 2016;</w:t>
      </w:r>
    </w:p>
    <w:p w14:paraId="477D9C1F" w14:textId="77777777" w:rsidR="0061449F" w:rsidRPr="0061449F" w:rsidRDefault="0061449F" w:rsidP="0061449F">
      <w:pPr>
        <w:numPr>
          <w:ilvl w:val="2"/>
          <w:numId w:val="27"/>
        </w:numPr>
        <w:spacing w:before="100" w:beforeAutospacing="1" w:after="100" w:afterAutospacing="1" w:line="276" w:lineRule="auto"/>
        <w:ind w:left="1080"/>
        <w:contextualSpacing/>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Avancimi i reformës duke përfshirë ndryshimet ligjore dhe vijueshmërinë e rezultateve pozitive të procesit të verifikimit duke forcuar rregullat për kontrollin e pasurive dhe të figurës për aktorët kryesorë të sistemit të drejtësisë;</w:t>
      </w:r>
    </w:p>
    <w:p w14:paraId="38DB2F5F" w14:textId="77777777" w:rsidR="0061449F" w:rsidRPr="0061449F" w:rsidRDefault="0061449F" w:rsidP="0061449F">
      <w:pPr>
        <w:numPr>
          <w:ilvl w:val="2"/>
          <w:numId w:val="27"/>
        </w:numPr>
        <w:spacing w:before="100" w:beforeAutospacing="1" w:after="100" w:afterAutospacing="1" w:line="276" w:lineRule="auto"/>
        <w:ind w:left="1080"/>
        <w:contextualSpacing/>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Kryerja e ndryshimeve ligjore për masat që sigurojnë efikasitet lidhur me kapacitetet njerëzore;</w:t>
      </w:r>
    </w:p>
    <w:p w14:paraId="4BB52EBF" w14:textId="77777777" w:rsidR="0061449F" w:rsidRPr="0061449F" w:rsidRDefault="0061449F" w:rsidP="0061449F">
      <w:pPr>
        <w:numPr>
          <w:ilvl w:val="2"/>
          <w:numId w:val="27"/>
        </w:numPr>
        <w:spacing w:before="100" w:beforeAutospacing="1" w:after="100" w:afterAutospacing="1" w:line="276" w:lineRule="auto"/>
        <w:ind w:left="1080"/>
        <w:contextualSpacing/>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 xml:space="preserve">Marrja e masave për mospërfshirjen e ish-magjistratëve të shkarkuar/dorëhequr gjatë </w:t>
      </w:r>
      <w:r w:rsidRPr="0061449F">
        <w:rPr>
          <w:rFonts w:ascii="Times New Roman" w:eastAsia="Times New Roman" w:hAnsi="Times New Roman" w:cs="Times New Roman"/>
          <w:i/>
          <w:iCs/>
          <w:sz w:val="24"/>
          <w:szCs w:val="24"/>
          <w:bdr w:val="none" w:sz="0" w:space="0" w:color="auto" w:frame="1"/>
          <w:lang w:val="sq-AL"/>
        </w:rPr>
        <w:t>vetting</w:t>
      </w:r>
      <w:r w:rsidRPr="0061449F">
        <w:rPr>
          <w:rFonts w:ascii="Times New Roman" w:eastAsia="Times New Roman" w:hAnsi="Times New Roman" w:cs="Times New Roman"/>
          <w:sz w:val="24"/>
          <w:szCs w:val="24"/>
          <w:bdr w:val="none" w:sz="0" w:space="0" w:color="auto" w:frame="1"/>
          <w:lang w:val="sq-AL"/>
        </w:rPr>
        <w:t>-ut në veprimtaritë e institucioneve të sistemit të drejtësisë;</w:t>
      </w:r>
    </w:p>
    <w:p w14:paraId="00CF2A0F" w14:textId="77777777" w:rsidR="0061449F" w:rsidRPr="0061449F" w:rsidRDefault="0061449F" w:rsidP="0061449F">
      <w:pPr>
        <w:numPr>
          <w:ilvl w:val="2"/>
          <w:numId w:val="27"/>
        </w:numPr>
        <w:spacing w:before="100" w:beforeAutospacing="1" w:after="100" w:afterAutospacing="1" w:line="276" w:lineRule="auto"/>
        <w:ind w:left="1080"/>
        <w:contextualSpacing/>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Forcimi i kapaciteteve të Shkollës së Magjistraturës;</w:t>
      </w:r>
    </w:p>
    <w:p w14:paraId="268D3EAB" w14:textId="77777777" w:rsidR="0061449F" w:rsidRDefault="0061449F" w:rsidP="0061449F">
      <w:pPr>
        <w:numPr>
          <w:ilvl w:val="2"/>
          <w:numId w:val="27"/>
        </w:numPr>
        <w:spacing w:before="100" w:beforeAutospacing="1" w:after="100" w:afterAutospacing="1" w:line="276" w:lineRule="auto"/>
        <w:ind w:left="1080"/>
        <w:contextualSpacing/>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Rritja e mëtejshme e kapaciteteve të organeve të specializuara për korrupsionin dhe krimin e organizuar në mënyrë që ato të mund të kryejnë në mënyrë efikase hetimin dhe gjykimin.</w:t>
      </w:r>
    </w:p>
    <w:p w14:paraId="712BEB3E" w14:textId="77777777" w:rsidR="00FA7DC0" w:rsidRPr="0061449F" w:rsidRDefault="00FA7DC0" w:rsidP="00FA7DC0">
      <w:pPr>
        <w:spacing w:before="100" w:beforeAutospacing="1" w:after="100" w:afterAutospacing="1" w:line="276" w:lineRule="auto"/>
        <w:ind w:left="1080"/>
        <w:contextualSpacing/>
        <w:jc w:val="both"/>
        <w:rPr>
          <w:rFonts w:ascii="Times New Roman" w:eastAsia="Times New Roman" w:hAnsi="Times New Roman" w:cs="Times New Roman"/>
          <w:sz w:val="24"/>
          <w:szCs w:val="24"/>
          <w:bdr w:val="none" w:sz="0" w:space="0" w:color="auto" w:frame="1"/>
          <w:lang w:val="sq-AL"/>
        </w:rPr>
      </w:pPr>
    </w:p>
    <w:p w14:paraId="13A9E8F6" w14:textId="77777777" w:rsidR="0061449F" w:rsidRPr="0061449F" w:rsidRDefault="0061449F" w:rsidP="0061449F">
      <w:pPr>
        <w:spacing w:before="100" w:beforeAutospacing="1" w:after="100" w:afterAutospacing="1" w:line="276" w:lineRule="auto"/>
        <w:jc w:val="both"/>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 xml:space="preserve">Treguesit kryesorë: </w:t>
      </w:r>
    </w:p>
    <w:p w14:paraId="785AE53E" w14:textId="77777777" w:rsidR="0061449F" w:rsidRPr="0061449F" w:rsidRDefault="0061449F" w:rsidP="0061449F">
      <w:pPr>
        <w:numPr>
          <w:ilvl w:val="0"/>
          <w:numId w:val="28"/>
        </w:numPr>
        <w:ind w:left="720"/>
        <w:contextualSpacing/>
        <w:rPr>
          <w:rFonts w:ascii="Times New Roman" w:eastAsia="Times New Roman" w:hAnsi="Times New Roman" w:cs="Times New Roman"/>
          <w:sz w:val="24"/>
          <w:szCs w:val="24"/>
          <w:lang w:val="sq-AL" w:eastAsia="en-GB"/>
        </w:rPr>
      </w:pPr>
      <w:r w:rsidRPr="0061449F">
        <w:rPr>
          <w:rFonts w:ascii="Times New Roman" w:eastAsia="Times New Roman" w:hAnsi="Times New Roman" w:cs="Times New Roman"/>
          <w:sz w:val="24"/>
          <w:szCs w:val="24"/>
          <w:lang w:val="sq-AL" w:eastAsia="en-GB"/>
        </w:rPr>
        <w:t>Norma (%) e zbatimit të rekomandimeve të raporteve analitike të institucioneve mbi problematikat e zbatimit të ligjeve të reformës në drejtësi;</w:t>
      </w:r>
    </w:p>
    <w:p w14:paraId="521962BD" w14:textId="77777777" w:rsidR="0061449F" w:rsidRPr="0061449F" w:rsidRDefault="0061449F" w:rsidP="0061449F">
      <w:pPr>
        <w:numPr>
          <w:ilvl w:val="0"/>
          <w:numId w:val="28"/>
        </w:numPr>
        <w:ind w:left="720"/>
        <w:contextualSpacing/>
        <w:rPr>
          <w:rFonts w:ascii="Times New Roman" w:eastAsia="Times New Roman" w:hAnsi="Times New Roman" w:cs="Times New Roman"/>
          <w:sz w:val="24"/>
          <w:szCs w:val="24"/>
          <w:lang w:val="sq-AL" w:eastAsia="en-GB"/>
        </w:rPr>
      </w:pPr>
      <w:r w:rsidRPr="0061449F">
        <w:rPr>
          <w:rFonts w:ascii="Times New Roman" w:eastAsia="Times New Roman" w:hAnsi="Times New Roman" w:cs="Times New Roman"/>
          <w:sz w:val="24"/>
          <w:szCs w:val="24"/>
          <w:lang w:val="sq-AL" w:eastAsia="en-GB"/>
        </w:rPr>
        <w:t>Numri i akteve ligjore të BE-së me të cilat ligji vendas është përafruar të paktën 'pjesërisht';</w:t>
      </w:r>
    </w:p>
    <w:p w14:paraId="32EDBB69" w14:textId="77777777" w:rsidR="0061449F" w:rsidRPr="0061449F" w:rsidRDefault="0061449F" w:rsidP="0061449F">
      <w:pPr>
        <w:jc w:val="both"/>
        <w:rPr>
          <w:rFonts w:ascii="Times New Roman" w:eastAsia="Calibri" w:hAnsi="Times New Roman" w:cs="Times New Roman"/>
          <w:sz w:val="24"/>
          <w:szCs w:val="24"/>
          <w:lang w:val="sq-AL"/>
        </w:rPr>
      </w:pPr>
    </w:p>
    <w:p w14:paraId="653B814F" w14:textId="77777777" w:rsidR="0061449F" w:rsidRPr="0061449F" w:rsidRDefault="0061449F" w:rsidP="0061449F">
      <w:pPr>
        <w:jc w:val="both"/>
        <w:rPr>
          <w:rFonts w:ascii="Times New Roman" w:eastAsia="Calibri" w:hAnsi="Times New Roman" w:cs="Times New Roman"/>
          <w:b/>
          <w:bCs/>
          <w:sz w:val="24"/>
          <w:szCs w:val="24"/>
          <w:lang w:val="sq-AL"/>
        </w:rPr>
      </w:pPr>
      <w:r w:rsidRPr="0061449F">
        <w:rPr>
          <w:rFonts w:ascii="Times New Roman" w:eastAsia="Calibri" w:hAnsi="Times New Roman" w:cs="Times New Roman"/>
          <w:b/>
          <w:sz w:val="24"/>
          <w:szCs w:val="24"/>
          <w:lang w:val="sq-AL"/>
        </w:rPr>
        <w:t xml:space="preserve">Objektivi Specifik 1.2: </w:t>
      </w:r>
      <w:r w:rsidRPr="0061449F">
        <w:rPr>
          <w:rFonts w:ascii="Times New Roman" w:eastAsia="Calibri" w:hAnsi="Times New Roman" w:cs="Times New Roman"/>
          <w:b/>
          <w:bCs/>
          <w:sz w:val="24"/>
          <w:szCs w:val="24"/>
          <w:lang w:val="sq-AL"/>
        </w:rPr>
        <w:t>Përfundimi i procesit të rivlerësimit kalimtar (</w:t>
      </w:r>
      <w:r w:rsidRPr="0061449F">
        <w:rPr>
          <w:rFonts w:ascii="Times New Roman" w:eastAsia="Calibri" w:hAnsi="Times New Roman" w:cs="Times New Roman"/>
          <w:b/>
          <w:bCs/>
          <w:i/>
          <w:iCs/>
          <w:sz w:val="24"/>
          <w:szCs w:val="24"/>
          <w:lang w:val="sq-AL"/>
        </w:rPr>
        <w:t>vetting</w:t>
      </w:r>
      <w:r w:rsidRPr="0061449F">
        <w:rPr>
          <w:rFonts w:ascii="Times New Roman" w:eastAsia="Calibri" w:hAnsi="Times New Roman" w:cs="Times New Roman"/>
          <w:b/>
          <w:bCs/>
          <w:sz w:val="24"/>
          <w:szCs w:val="24"/>
          <w:lang w:val="sq-AL"/>
        </w:rPr>
        <w:t>-ut) brenda afateve kushtetuese dhe vendosja e mekanizmave për të siguruar qëndrueshmërinë e këtij procesi.</w:t>
      </w:r>
    </w:p>
    <w:p w14:paraId="36DCAF8E"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lastRenderedPageBreak/>
        <w:t>Përfundimi i procesit të rivlerësimit kalimtar kërkon që të gjitha çështjet pezull të verifikimit të përfundojnë në mënyrë efikase dhe të përmbushin afatet e parashikuara nga kushtetuta, ndaj Komisioni i Pavarur i Kualifikimit dhe Komisioneri Publik janë të angazhuar për të siguruar finalizimin e të gjitha çështjeve pezull të verifikimit dhe duke siguruar që asnjë rast të mos mbetet në pritje pa u shqyrtuar.</w:t>
      </w:r>
    </w:p>
    <w:p w14:paraId="4B47BE17"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Në të njëjtën kohë, është e nevojshme që Kolegji i Posaçëm i Apelimit të përshpejtojë ritmin e gjykimit të ankimimeve me qëllim që ankimimet të shqyrtohen dhe të zgjidhen brenda afateve kushtetuese, duke përmbushur parashikimet e saj dhe duke ndihmuar në përmbylljen e procesit të </w:t>
      </w:r>
      <w:r w:rsidRPr="0061449F">
        <w:rPr>
          <w:rFonts w:ascii="Times New Roman" w:eastAsia="Calibri" w:hAnsi="Times New Roman" w:cs="Times New Roman"/>
          <w:i/>
          <w:iCs/>
          <w:sz w:val="24"/>
          <w:szCs w:val="24"/>
          <w:lang w:val="sq-AL"/>
        </w:rPr>
        <w:t>vetting</w:t>
      </w:r>
      <w:r w:rsidRPr="0061449F">
        <w:rPr>
          <w:rFonts w:ascii="Times New Roman" w:eastAsia="Calibri" w:hAnsi="Times New Roman" w:cs="Times New Roman"/>
          <w:sz w:val="24"/>
          <w:szCs w:val="24"/>
          <w:lang w:val="sq-AL"/>
        </w:rPr>
        <w:t>-ut në kohën e duhur. Përshpejtimi i këtij procesi është thelbësor për të garantuar që të gjitha çështjet të trajtohen në mënyrë të drejtë dhe në përputhje me ligjin.</w:t>
      </w:r>
    </w:p>
    <w:p w14:paraId="1A545A97"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Pjesë e rëndësishme e përfundimit të procesit të </w:t>
      </w:r>
      <w:r w:rsidRPr="0061449F">
        <w:rPr>
          <w:rFonts w:ascii="Times New Roman" w:eastAsia="Calibri" w:hAnsi="Times New Roman" w:cs="Times New Roman"/>
          <w:i/>
          <w:iCs/>
          <w:sz w:val="24"/>
          <w:szCs w:val="24"/>
          <w:lang w:val="sq-AL"/>
        </w:rPr>
        <w:t>vetting</w:t>
      </w:r>
      <w:r w:rsidRPr="0061449F">
        <w:rPr>
          <w:rFonts w:ascii="Times New Roman" w:eastAsia="Calibri" w:hAnsi="Times New Roman" w:cs="Times New Roman"/>
          <w:sz w:val="24"/>
          <w:szCs w:val="24"/>
          <w:lang w:val="sq-AL"/>
        </w:rPr>
        <w:t>-ut është sigurimi që të gjitha çështjet që kanë dyshime për elementë të veprës penale të referohen në organet e prokurorisë.</w:t>
      </w:r>
    </w:p>
    <w:p w14:paraId="31240B5A"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Pas referimit, shërbimet e prokurorisë kanë një rol proaktiv në nisjen e procedimeve penale ndaj gjyqtarëve dhe prokurorëve që janë subjekt i </w:t>
      </w:r>
      <w:r w:rsidRPr="0061449F">
        <w:rPr>
          <w:rFonts w:ascii="Times New Roman" w:eastAsia="Calibri" w:hAnsi="Times New Roman" w:cs="Times New Roman"/>
          <w:i/>
          <w:iCs/>
          <w:sz w:val="24"/>
          <w:szCs w:val="24"/>
          <w:lang w:val="sq-AL"/>
        </w:rPr>
        <w:t>vetting</w:t>
      </w:r>
      <w:r w:rsidRPr="0061449F">
        <w:rPr>
          <w:rFonts w:ascii="Times New Roman" w:eastAsia="Calibri" w:hAnsi="Times New Roman" w:cs="Times New Roman"/>
          <w:sz w:val="24"/>
          <w:szCs w:val="24"/>
          <w:lang w:val="sq-AL"/>
        </w:rPr>
        <w:t>-ut dhe për të cilët janë zbuluar elementë penalë. Ky hap është thelbësor për të siguruar që çdo akt i paligjshëm të trajtohet në mënyrë të drejtë dhe të përgjegjshme, duke forcuar më tej besimin në sistemin e drejtësisë dhe duke kontribuar në ruajtjen e standardeve të larta të integritetit dhe transparencës.</w:t>
      </w:r>
    </w:p>
    <w:p w14:paraId="4ED453E3"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 xml:space="preserve">Rezultati i pritshëm: </w:t>
      </w:r>
    </w:p>
    <w:p w14:paraId="42A2FD49" w14:textId="77777777" w:rsidR="0061449F" w:rsidRPr="0061449F" w:rsidRDefault="0061449F" w:rsidP="0061449F">
      <w:pPr>
        <w:numPr>
          <w:ilvl w:val="0"/>
          <w:numId w:val="33"/>
        </w:numPr>
        <w:spacing w:before="100" w:beforeAutospacing="1" w:after="100" w:afterAutospacing="1" w:line="276" w:lineRule="auto"/>
        <w:ind w:left="720"/>
        <w:contextualSpacing/>
        <w:jc w:val="both"/>
        <w:rPr>
          <w:rFonts w:ascii="Times New Roman" w:eastAsia="Times New Roman" w:hAnsi="Times New Roman" w:cs="Times New Roman"/>
          <w:sz w:val="24"/>
          <w:szCs w:val="24"/>
          <w:lang w:val="sq-AL"/>
        </w:rPr>
      </w:pPr>
      <w:r w:rsidRPr="0061449F">
        <w:rPr>
          <w:rFonts w:ascii="Times New Roman" w:eastAsia="Calibri" w:hAnsi="Times New Roman" w:cs="Times New Roman"/>
          <w:sz w:val="24"/>
          <w:szCs w:val="24"/>
          <w:lang w:val="sq-AL"/>
        </w:rPr>
        <w:t>Pas përfundimit të mandatit të Insitucionit të Komisionerëve Publikë, SPAK mban të njëjtin standard, në lidhje me  përqindjen e ankimeve të paraqitura pranë KPA, për çështje të papërfunduara  (12-22% të vendimeve të KPK);</w:t>
      </w:r>
    </w:p>
    <w:p w14:paraId="01DBC0DA" w14:textId="77777777" w:rsidR="0061449F" w:rsidRPr="0061449F" w:rsidRDefault="0061449F" w:rsidP="0061449F">
      <w:pPr>
        <w:numPr>
          <w:ilvl w:val="0"/>
          <w:numId w:val="33"/>
        </w:numPr>
        <w:spacing w:before="100" w:beforeAutospacing="1" w:after="100" w:afterAutospacing="1" w:line="276" w:lineRule="auto"/>
        <w:ind w:left="720"/>
        <w:contextualSpacing/>
        <w:jc w:val="both"/>
        <w:rPr>
          <w:rFonts w:ascii="Times New Roman" w:eastAsia="Times New Roman" w:hAnsi="Times New Roman" w:cs="Times New Roman"/>
          <w:sz w:val="24"/>
          <w:szCs w:val="24"/>
          <w:lang w:val="sq-AL"/>
        </w:rPr>
      </w:pPr>
      <w:r w:rsidRPr="0061449F">
        <w:rPr>
          <w:rFonts w:ascii="Times New Roman" w:eastAsia="Calibri" w:hAnsi="Times New Roman" w:cs="Times New Roman"/>
          <w:sz w:val="24"/>
          <w:szCs w:val="24"/>
          <w:lang w:val="sq-AL"/>
        </w:rPr>
        <w:t xml:space="preserve">Garantohet një dënueshmëri e lartë e subjekteve të </w:t>
      </w:r>
      <w:r w:rsidRPr="0061449F">
        <w:rPr>
          <w:rFonts w:ascii="Times New Roman" w:eastAsia="Calibri" w:hAnsi="Times New Roman" w:cs="Times New Roman"/>
          <w:i/>
          <w:iCs/>
          <w:sz w:val="24"/>
          <w:szCs w:val="24"/>
          <w:lang w:val="sq-AL"/>
        </w:rPr>
        <w:t>vetting</w:t>
      </w:r>
      <w:r w:rsidRPr="0061449F">
        <w:rPr>
          <w:rFonts w:ascii="Times New Roman" w:eastAsia="Calibri" w:hAnsi="Times New Roman" w:cs="Times New Roman"/>
          <w:sz w:val="24"/>
          <w:szCs w:val="24"/>
          <w:lang w:val="sq-AL"/>
        </w:rPr>
        <w:t xml:space="preserve">-ut të akuzuar për korrupsion, nga gjykatat e posaçme (90%). </w:t>
      </w:r>
    </w:p>
    <w:p w14:paraId="66820AD0" w14:textId="77777777" w:rsidR="0061449F" w:rsidRPr="0061449F" w:rsidRDefault="0061449F" w:rsidP="0061449F">
      <w:pPr>
        <w:spacing w:before="100" w:beforeAutospacing="1" w:after="100" w:afterAutospacing="1" w:line="276" w:lineRule="auto"/>
        <w:jc w:val="both"/>
        <w:rPr>
          <w:rFonts w:ascii="Times New Roman" w:eastAsia="Times New Roman" w:hAnsi="Times New Roman" w:cs="Times New Roman"/>
          <w:b/>
          <w:sz w:val="24"/>
          <w:szCs w:val="24"/>
          <w:lang w:val="sq-AL"/>
        </w:rPr>
      </w:pPr>
    </w:p>
    <w:p w14:paraId="25E5C06F" w14:textId="77777777" w:rsidR="0061449F" w:rsidRPr="0061449F" w:rsidRDefault="0061449F" w:rsidP="0061449F">
      <w:pPr>
        <w:spacing w:before="100" w:beforeAutospacing="1" w:after="100" w:afterAutospacing="1" w:line="276" w:lineRule="auto"/>
        <w:jc w:val="both"/>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sq-AL"/>
        </w:rPr>
        <w:t>Lidhja e objektivit specifik me nënkapitullin përkatës të BE-së sipas MSA-së</w:t>
      </w:r>
    </w:p>
    <w:p w14:paraId="7A1417E5" w14:textId="77777777" w:rsidR="0061449F" w:rsidRPr="0061449F" w:rsidRDefault="0061449F" w:rsidP="0061449F">
      <w:pPr>
        <w:spacing w:before="100" w:beforeAutospacing="1" w:after="100" w:afterAutospacing="1" w:line="276" w:lineRule="auto"/>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Objektivi Specifik 1.2 lidhet me Kapitullin 23 “Gjyqësori dhe të Drejtat Themelore, me nenin 2 të MSA-së “Respekti për parimet demokratike dhe të drejtat e njeriut”, me nenin 78 të MSA-së “Fuqizimin e institucioneve dhe shtetit të së drejtës” dhe me nenin 88 “Bashkëpunimi statistikor” të MSA-së, e nënshkruar midis Republikës së Shqipërisë dhe Komuniteteve Evropiane të shteteve të tyre anëtare. Gjithashtu, ky objektiv lidhet me Planin Kombëtar për Integrimin Evropian 2024 – 2026 si dhe reflekton disa nga rekomandimet Raportit të Komisionit Evropian për Shqipërinë për vitin 2023. Objektivi Specifik 1.2 lidhet me Udhërrëfyesin për Shtetin e së Drejtës.</w:t>
      </w:r>
    </w:p>
    <w:p w14:paraId="6FE5A785" w14:textId="77777777" w:rsidR="0061449F" w:rsidRPr="0061449F" w:rsidRDefault="0061449F" w:rsidP="0061449F">
      <w:pPr>
        <w:jc w:val="both"/>
        <w:rPr>
          <w:rFonts w:ascii="Times New Roman" w:eastAsia="Calibri" w:hAnsi="Times New Roman" w:cs="Times New Roman"/>
          <w:b/>
          <w:bCs/>
          <w:sz w:val="24"/>
          <w:szCs w:val="24"/>
          <w:lang w:val="sq-AL"/>
        </w:rPr>
      </w:pPr>
      <w:r w:rsidRPr="0061449F">
        <w:rPr>
          <w:rFonts w:ascii="Times New Roman" w:eastAsia="Calibri" w:hAnsi="Times New Roman" w:cs="Times New Roman"/>
          <w:b/>
          <w:bCs/>
          <w:sz w:val="24"/>
          <w:szCs w:val="24"/>
          <w:lang w:val="sq-AL"/>
        </w:rPr>
        <w:t>Masat:</w:t>
      </w:r>
    </w:p>
    <w:p w14:paraId="585898EB" w14:textId="3DB80400" w:rsidR="0061449F" w:rsidRPr="0061449F" w:rsidRDefault="0061449F" w:rsidP="0061449F">
      <w:pPr>
        <w:ind w:left="720" w:hanging="720"/>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1.2.1 </w:t>
      </w:r>
      <w:r w:rsidRPr="0061449F">
        <w:rPr>
          <w:rFonts w:ascii="Times New Roman" w:eastAsia="Calibri" w:hAnsi="Times New Roman" w:cs="Times New Roman"/>
          <w:bCs/>
          <w:sz w:val="24"/>
          <w:szCs w:val="24"/>
          <w:lang w:val="sq-AL"/>
        </w:rPr>
        <w:tab/>
        <w:t>Komisioni i Pavarur i Kualifikimit dhe Komisioneri Publik sigurojnë finalizimin e të gjitha çështjeve pezull të verifikimit;</w:t>
      </w:r>
    </w:p>
    <w:p w14:paraId="59EF5619" w14:textId="77777777" w:rsidR="0061449F" w:rsidRPr="0061449F" w:rsidRDefault="0061449F" w:rsidP="0061449F">
      <w:pPr>
        <w:ind w:left="720" w:hanging="720"/>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lastRenderedPageBreak/>
        <w:t xml:space="preserve">1.2.2 </w:t>
      </w:r>
      <w:r w:rsidRPr="0061449F">
        <w:rPr>
          <w:rFonts w:ascii="Times New Roman" w:eastAsia="Calibri" w:hAnsi="Times New Roman" w:cs="Times New Roman"/>
          <w:bCs/>
          <w:sz w:val="24"/>
          <w:szCs w:val="24"/>
          <w:lang w:val="sq-AL"/>
        </w:rPr>
        <w:tab/>
        <w:t>Kolegji i Posaçëm i Apelimit përshpejton ritmin në gjykimin e ankimimeve dhe   ndërmerr të gjithë hapat përkatës për të siguruar finalizimin e çështjeve dhe përmbush sistematikisht parashikimet e saj brenda afatit kushtetues;</w:t>
      </w:r>
    </w:p>
    <w:p w14:paraId="4DC6D80B" w14:textId="77777777" w:rsidR="0061449F" w:rsidRPr="0061449F" w:rsidRDefault="0061449F" w:rsidP="0061449F">
      <w:pPr>
        <w:numPr>
          <w:ilvl w:val="2"/>
          <w:numId w:val="35"/>
        </w:numPr>
        <w:contextualSpacing/>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Institucionet e </w:t>
      </w:r>
      <w:r w:rsidRPr="004069E9">
        <w:rPr>
          <w:rFonts w:ascii="Times New Roman" w:eastAsia="Calibri" w:hAnsi="Times New Roman" w:cs="Times New Roman"/>
          <w:bCs/>
          <w:sz w:val="24"/>
          <w:szCs w:val="24"/>
          <w:lang w:val="sq-AL"/>
        </w:rPr>
        <w:t>vetting</w:t>
      </w:r>
      <w:r w:rsidRPr="0061449F">
        <w:rPr>
          <w:rFonts w:ascii="Times New Roman" w:eastAsia="Calibri" w:hAnsi="Times New Roman" w:cs="Times New Roman"/>
          <w:bCs/>
          <w:sz w:val="24"/>
          <w:szCs w:val="24"/>
          <w:lang w:val="sq-AL"/>
        </w:rPr>
        <w:t>-ut sigurojnë referimin sistematik të çështjeve në prokurori, ku ka dyshime për elementë penalë;</w:t>
      </w:r>
    </w:p>
    <w:p w14:paraId="605B0B77" w14:textId="77777777" w:rsidR="0061449F" w:rsidRPr="0061449F" w:rsidRDefault="0061449F" w:rsidP="0061449F">
      <w:pPr>
        <w:ind w:left="720"/>
        <w:contextualSpacing/>
        <w:jc w:val="both"/>
        <w:rPr>
          <w:rFonts w:ascii="Times New Roman" w:eastAsia="Calibri" w:hAnsi="Times New Roman" w:cs="Times New Roman"/>
          <w:bCs/>
          <w:sz w:val="24"/>
          <w:szCs w:val="24"/>
          <w:lang w:val="sq-AL"/>
        </w:rPr>
      </w:pPr>
    </w:p>
    <w:p w14:paraId="1FD3BC88" w14:textId="77777777" w:rsidR="0061449F" w:rsidRPr="0061449F" w:rsidRDefault="0061449F" w:rsidP="0061449F">
      <w:pPr>
        <w:numPr>
          <w:ilvl w:val="2"/>
          <w:numId w:val="35"/>
        </w:numPr>
        <w:contextualSpacing/>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Shërbimet e prokurorisë në mënyrë proaktive nisin procedimin penal ndaj gjyqtarëve dhe prokurorëve, procesi i vetting-ut të të cilëve ka zbuluar elementë penalë;</w:t>
      </w:r>
    </w:p>
    <w:p w14:paraId="18F48141" w14:textId="77777777" w:rsidR="0061449F" w:rsidRPr="0061449F" w:rsidRDefault="0061449F" w:rsidP="0061449F">
      <w:pPr>
        <w:spacing w:before="100" w:beforeAutospacing="1" w:after="100" w:afterAutospacing="1" w:line="276" w:lineRule="auto"/>
        <w:jc w:val="both"/>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 xml:space="preserve">Treguesit kryesorë: </w:t>
      </w:r>
    </w:p>
    <w:p w14:paraId="770F57E7" w14:textId="77777777" w:rsidR="0061449F" w:rsidRPr="0061449F" w:rsidRDefault="0061449F" w:rsidP="0061449F">
      <w:pPr>
        <w:numPr>
          <w:ilvl w:val="0"/>
          <w:numId w:val="29"/>
        </w:numPr>
        <w:spacing w:after="0" w:line="276" w:lineRule="auto"/>
        <w:ind w:left="720"/>
        <w:contextualSpacing/>
        <w:rPr>
          <w:rFonts w:ascii="Times New Roman" w:eastAsia="Times New Roman" w:hAnsi="Times New Roman" w:cs="Times New Roman"/>
          <w:sz w:val="24"/>
          <w:szCs w:val="24"/>
          <w:lang w:val="sq-AL" w:eastAsia="en-GB"/>
        </w:rPr>
      </w:pPr>
      <w:r w:rsidRPr="0061449F">
        <w:rPr>
          <w:rFonts w:ascii="Times New Roman" w:eastAsia="Times New Roman" w:hAnsi="Times New Roman" w:cs="Times New Roman"/>
          <w:sz w:val="24"/>
          <w:szCs w:val="24"/>
          <w:lang w:val="sq-AL" w:eastAsia="en-GB"/>
        </w:rPr>
        <w:t>Përqindja e ankimeve nga SPAK, për çështjet e papërfunduara të rivlerësimit të magjistratëve pranë Kolegjit të Posaçëm të Apelimit;</w:t>
      </w:r>
    </w:p>
    <w:p w14:paraId="22AC2916" w14:textId="77777777" w:rsidR="0061449F" w:rsidRPr="0061449F" w:rsidRDefault="0061449F" w:rsidP="0061449F">
      <w:pPr>
        <w:numPr>
          <w:ilvl w:val="0"/>
          <w:numId w:val="29"/>
        </w:numPr>
        <w:spacing w:after="0" w:line="276" w:lineRule="auto"/>
        <w:ind w:left="720"/>
        <w:contextualSpacing/>
        <w:rPr>
          <w:rFonts w:ascii="Times New Roman" w:eastAsia="Times New Roman" w:hAnsi="Times New Roman" w:cs="Times New Roman"/>
          <w:sz w:val="24"/>
          <w:szCs w:val="24"/>
          <w:lang w:val="sq-AL" w:eastAsia="en-GB"/>
        </w:rPr>
      </w:pPr>
      <w:r w:rsidRPr="0061449F">
        <w:rPr>
          <w:rFonts w:ascii="Times New Roman" w:eastAsia="Times New Roman" w:hAnsi="Times New Roman" w:cs="Times New Roman"/>
          <w:sz w:val="24"/>
          <w:szCs w:val="24"/>
          <w:lang w:val="sq-AL" w:eastAsia="en-GB"/>
        </w:rPr>
        <w:t xml:space="preserve">Përqindja e çështjeve ku të pandehurit, subjekte të </w:t>
      </w:r>
      <w:r w:rsidRPr="0061449F">
        <w:rPr>
          <w:rFonts w:ascii="Times New Roman" w:eastAsia="Times New Roman" w:hAnsi="Times New Roman" w:cs="Times New Roman"/>
          <w:i/>
          <w:iCs/>
          <w:sz w:val="24"/>
          <w:szCs w:val="24"/>
          <w:lang w:val="sq-AL" w:eastAsia="en-GB"/>
        </w:rPr>
        <w:t>vetting</w:t>
      </w:r>
      <w:r w:rsidRPr="0061449F">
        <w:rPr>
          <w:rFonts w:ascii="Times New Roman" w:eastAsia="Times New Roman" w:hAnsi="Times New Roman" w:cs="Times New Roman"/>
          <w:sz w:val="24"/>
          <w:szCs w:val="24"/>
          <w:lang w:val="sq-AL" w:eastAsia="en-GB"/>
        </w:rPr>
        <w:t>-ut të akuzuar për korrupsion, janë dënuar me vendim të formës së prerë, nga gjykatat e posaçme;</w:t>
      </w:r>
    </w:p>
    <w:p w14:paraId="41B107AF" w14:textId="77777777" w:rsidR="0061449F" w:rsidRPr="0061449F" w:rsidRDefault="0061449F" w:rsidP="0061449F">
      <w:pPr>
        <w:jc w:val="both"/>
        <w:rPr>
          <w:rFonts w:ascii="Times New Roman" w:eastAsia="Calibri" w:hAnsi="Times New Roman" w:cs="Times New Roman"/>
          <w:b/>
          <w:sz w:val="24"/>
          <w:szCs w:val="24"/>
          <w:lang w:val="sq-AL"/>
        </w:rPr>
      </w:pPr>
    </w:p>
    <w:p w14:paraId="3F80A47C" w14:textId="77777777" w:rsidR="0061449F" w:rsidRPr="0061449F" w:rsidRDefault="0061449F" w:rsidP="0061449F">
      <w:pPr>
        <w:jc w:val="both"/>
        <w:rPr>
          <w:rFonts w:ascii="Times New Roman" w:eastAsia="Calibri" w:hAnsi="Times New Roman" w:cs="Times New Roman"/>
          <w:b/>
          <w:bCs/>
          <w:sz w:val="24"/>
          <w:szCs w:val="24"/>
          <w:lang w:val="sq-AL"/>
        </w:rPr>
      </w:pPr>
      <w:r w:rsidRPr="0061449F">
        <w:rPr>
          <w:rFonts w:ascii="Times New Roman" w:eastAsia="Calibri" w:hAnsi="Times New Roman" w:cs="Times New Roman"/>
          <w:b/>
          <w:sz w:val="24"/>
          <w:szCs w:val="24"/>
          <w:lang w:val="sq-AL"/>
        </w:rPr>
        <w:t xml:space="preserve">Objektivi Specifik 1.3: </w:t>
      </w:r>
      <w:r w:rsidRPr="0061449F">
        <w:rPr>
          <w:rFonts w:ascii="Times New Roman" w:eastAsia="Calibri" w:hAnsi="Times New Roman" w:cs="Times New Roman"/>
          <w:b/>
          <w:bCs/>
          <w:sz w:val="24"/>
          <w:szCs w:val="24"/>
          <w:lang w:val="sq-AL"/>
        </w:rPr>
        <w:t xml:space="preserve">Ruajtja dhe zhvillimi i mëtejshëm i kapacitetit profesional, pavarësisë dhe efikasitetit të organeve të qeverisjes së drejtësisë. </w:t>
      </w:r>
    </w:p>
    <w:p w14:paraId="4532EFB4"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Për të ruajtur dhe zhvilluar kapacitetin profesional, pavarësinë dhe efikasitetin e organeve të qeverisjes së drejtësisë, është e nevojshme një qasje e integruar dhe e koordinuar që përfshin disa hapa thelbësorë.</w:t>
      </w:r>
    </w:p>
    <w:p w14:paraId="4E22B13E"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Referuar raporteve të progresit, zbatimi i vazhdueshëm i reformës në drejtësi ka nxitur integritetin dhe profesionalizmin në organet e qeverisjes së drejtësisë dhe ka reduktuar ndikimin politik, por paraqiten ende disa sfida, si: mangësi në emërimet e anëtarëve jo magjistratë të Lartë Këshilli Gjyqësor dhe Këshilli i Lartë i Prokurorisë, në lidhje me kontrollet e historikut dhe verifikimin e pasurisë, si dhe transparencën dhe meritokracinë e procesit të emërimeve. Këshilli i Lartë Gjyqësor (KLGJ) dhe Këshilli i Lartë i Prokurorisë (KLP) përbëhen, të dy, nga 11 anëtarë, gjashtë prej të cilëve janë magjistratë të zgjedhur nga kolegët e tyre dhe pesë janë juristë të zgjedhur nga Parlamenti në bazë të një liste të krijuar nga një nënkomision parlamentar. Janë raportuar gjithashtu sfida në lidhje me konkurrencën dhe transparencën në lidhje me zbatimin e procedurave aktuale të përzgjedhjes nga Parlamenti.</w:t>
      </w:r>
    </w:p>
    <w:p w14:paraId="23F68419"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Në këtë Objektiv Specifik, parashikohen masa për anëtarët jo magjistratë të institucioneve të drejtësisë, duke përfshirë edhe ata të emëruar në KLGJ dhe KLP, për të siguruar që edhe ata i nënshtrohen standarteve të ngjashme të kontrollit të historikut dhe deklaratave të pasurisë, të zbatueshme për magjistratët. Dispozitat ligjore që rregullojnë zgjedhjen e anëtarët jo magjistratë të Këshillave nga Parlamenti dhe zbatimi i tyre në praktikë, nuk arrijnë të ruajnë përzgjedhjen e kandidatëve që demonstrojnë nivelin më të lartë të pavarësisë apo kompetencave, e cila është problematike, gjë e cila do të adresohet nëpërmjet masave të këtij Objektivi.</w:t>
      </w:r>
    </w:p>
    <w:p w14:paraId="43366E20"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Gjithashtu për të garantuar cilësinë e vendimmarrjes, është e rëndësishme të organizohen trajnime të rregullta që mbulojnë pajtueshmërinë me legjislacionin e brendshëm, </w:t>
      </w:r>
      <w:r w:rsidRPr="0061449F">
        <w:rPr>
          <w:rFonts w:ascii="Times New Roman" w:eastAsia="Calibri" w:hAnsi="Times New Roman" w:cs="Times New Roman"/>
          <w:i/>
          <w:sz w:val="24"/>
          <w:szCs w:val="24"/>
          <w:lang w:val="sq-AL"/>
        </w:rPr>
        <w:t>acquis</w:t>
      </w:r>
      <w:r w:rsidRPr="0061449F">
        <w:rPr>
          <w:rFonts w:ascii="Times New Roman" w:eastAsia="Calibri" w:hAnsi="Times New Roman" w:cs="Times New Roman"/>
          <w:sz w:val="24"/>
          <w:szCs w:val="24"/>
          <w:lang w:val="sq-AL"/>
        </w:rPr>
        <w:t xml:space="preserve"> të BE-së dhe standardet evropiane. Këto trajnime ndihmojnë në përmirësimin e vendimmarrjes dhe në sigurimin e një sistemi drejtësie të efektshëm dhe të drejtë.</w:t>
      </w:r>
    </w:p>
    <w:p w14:paraId="1A2BA090"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lastRenderedPageBreak/>
        <w:t>Për të mbështetur transparencën dhe komunikimin, organet e qeverisjes së drejtësisë duhet të zbatojnë dhe të monitorojnë programe të detajuara transparence që mbulojnë të gjithë aspektet e vendimmarrjes së tyre. Këto programe përfshijnë vendimet për karrierën, menaxhimin e stafit dhe funksionimin e gjykatave dhe prokurorive, duke siguruar që publiku të jetë i informuar dhe i përfshirë në procesin e vendimmarrjes.</w:t>
      </w:r>
    </w:p>
    <w:p w14:paraId="16BB6D1C"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sz w:val="24"/>
          <w:szCs w:val="24"/>
          <w:lang w:val="sq-AL"/>
        </w:rPr>
        <w:t>Në përmbledhje, këto hapa të integruar me masa dhe aktivitete konkrete do të ndihmojnë në forcimin e kapacitetit profesional dhe efikasitetit të organeve të drejtësisë, duke siguruar një sistem të qëndrueshëm dhe të besueshëm që përmbush standardet më të larta të drejtësisë dhe integritetit.</w:t>
      </w:r>
    </w:p>
    <w:p w14:paraId="2F5598E0"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 xml:space="preserve">Rezultati i pritshëm: </w:t>
      </w:r>
    </w:p>
    <w:p w14:paraId="01D68AB7" w14:textId="77777777" w:rsidR="0061449F" w:rsidRPr="0061449F" w:rsidRDefault="0061449F" w:rsidP="0061449F">
      <w:pPr>
        <w:numPr>
          <w:ilvl w:val="0"/>
          <w:numId w:val="34"/>
        </w:numPr>
        <w:spacing w:before="100" w:beforeAutospacing="1" w:after="100" w:afterAutospacing="1" w:line="276" w:lineRule="auto"/>
        <w:ind w:left="720"/>
        <w:contextualSpacing/>
        <w:jc w:val="both"/>
        <w:rPr>
          <w:rFonts w:ascii="Times New Roman" w:eastAsia="Times New Roman" w:hAnsi="Times New Roman" w:cs="Times New Roman"/>
          <w:sz w:val="24"/>
          <w:szCs w:val="24"/>
          <w:lang w:val="sq-AL"/>
        </w:rPr>
      </w:pPr>
      <w:r w:rsidRPr="0061449F">
        <w:rPr>
          <w:rFonts w:ascii="Times New Roman" w:eastAsia="Calibri" w:hAnsi="Times New Roman" w:cs="Times New Roman"/>
          <w:sz w:val="24"/>
          <w:szCs w:val="24"/>
          <w:lang w:val="sq-AL"/>
        </w:rPr>
        <w:t>Deri në 2030, anëtarët dhe stafi administrativ i KLGJ dhe KLP janë trajnuar për ceshtje që lidhen me detyrat e tyre funksionale;</w:t>
      </w:r>
    </w:p>
    <w:p w14:paraId="1E9450F2" w14:textId="77777777" w:rsidR="0061449F" w:rsidRPr="0061449F" w:rsidRDefault="0061449F" w:rsidP="0061449F">
      <w:pPr>
        <w:spacing w:before="100" w:beforeAutospacing="1" w:after="100" w:afterAutospacing="1" w:line="276" w:lineRule="auto"/>
        <w:jc w:val="both"/>
        <w:rPr>
          <w:rFonts w:ascii="Times New Roman" w:eastAsia="Times New Roman" w:hAnsi="Times New Roman" w:cs="Times New Roman"/>
          <w:b/>
          <w:sz w:val="24"/>
          <w:szCs w:val="24"/>
          <w:lang w:val="sq-AL"/>
        </w:rPr>
      </w:pPr>
    </w:p>
    <w:p w14:paraId="3AF20BD0" w14:textId="77777777" w:rsidR="0061449F" w:rsidRPr="0061449F" w:rsidRDefault="0061449F" w:rsidP="0061449F">
      <w:pPr>
        <w:spacing w:before="100" w:beforeAutospacing="1" w:after="100" w:afterAutospacing="1" w:line="276" w:lineRule="auto"/>
        <w:jc w:val="both"/>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sq-AL"/>
        </w:rPr>
        <w:t>Lidhja e objektivit specifik me nënkapitullin përkatës të BE-së sipas MSA-së</w:t>
      </w:r>
    </w:p>
    <w:p w14:paraId="72BC085F" w14:textId="77777777" w:rsidR="0061449F" w:rsidRPr="0061449F" w:rsidRDefault="0061449F" w:rsidP="0061449F">
      <w:pPr>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Objektivi Specifik 1.3 lidhet me Kapitullin 23 “Gjyqësori dhe të Drejtat Themelore, me nenin 2 të MSA-së “Respekti për parimet demokratike dhe të drejtat e njeriut”, me nenin 78 të MSA-së “Fuqizimin e institucioneve dhe shtetit të së drejtës” dhe me nenin 88 “Bashkëpunimi statistikor” të MSA-së, e nënshkruar midis Republikës së Shqipërisë dhe Komuniteteve Evropiane të shteteve të tyre anëtare. Gjithashtu, ky objektiv lidhet me Planin Kombëtar për Integrimin Evropian 2024 – 2026 si dhe reflekton disa nga rekomandimet Raportit të Komisionit Evropian për Shqipërinë për vitin 2023. Objektivi Specifik 1.3 lidhet me Udhërrëfyesin për Shtetin e së Drejtës.</w:t>
      </w:r>
    </w:p>
    <w:p w14:paraId="329A0E3D" w14:textId="77777777" w:rsidR="0061449F" w:rsidRPr="0061449F" w:rsidRDefault="0061449F" w:rsidP="0061449F">
      <w:pPr>
        <w:jc w:val="both"/>
        <w:rPr>
          <w:rFonts w:ascii="Times New Roman" w:eastAsia="Calibri" w:hAnsi="Times New Roman" w:cs="Times New Roman"/>
          <w:b/>
          <w:sz w:val="24"/>
          <w:szCs w:val="24"/>
        </w:rPr>
      </w:pPr>
      <w:r w:rsidRPr="0061449F">
        <w:rPr>
          <w:rFonts w:ascii="Times New Roman" w:eastAsia="Calibri" w:hAnsi="Times New Roman" w:cs="Times New Roman"/>
          <w:b/>
          <w:sz w:val="24"/>
          <w:szCs w:val="24"/>
        </w:rPr>
        <w:t>Masat:</w:t>
      </w:r>
    </w:p>
    <w:p w14:paraId="5B20F906" w14:textId="77777777" w:rsidR="0061449F" w:rsidRPr="0061449F" w:rsidRDefault="0061449F" w:rsidP="0061449F">
      <w:pPr>
        <w:numPr>
          <w:ilvl w:val="2"/>
          <w:numId w:val="36"/>
        </w:numPr>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KLP-ja miraton legjislacionin e nevojshëm dytësor për të përfunduar procedurën e vlerësimit për prokurorët. (KLP-ja miraton rregullat e procedurave të vlerësimit në PP dhe rregullat e procedurës për drejtuesit e prokurorive);</w:t>
      </w:r>
    </w:p>
    <w:p w14:paraId="1AFE443B" w14:textId="77777777" w:rsidR="0061449F" w:rsidRPr="0061449F" w:rsidRDefault="0061449F" w:rsidP="0061449F">
      <w:pPr>
        <w:numPr>
          <w:ilvl w:val="2"/>
          <w:numId w:val="36"/>
        </w:numPr>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Këshilli i Emërimeve në Drejtësi duhet të përafrojë plotësisht procedurat e tij me rekomandimet e Komisionit të Venecias dhe të rrisë transparencën;</w:t>
      </w:r>
    </w:p>
    <w:p w14:paraId="278C583D" w14:textId="77777777" w:rsidR="0061449F" w:rsidRPr="0061449F" w:rsidRDefault="0061449F" w:rsidP="0061449F">
      <w:pPr>
        <w:numPr>
          <w:ilvl w:val="2"/>
          <w:numId w:val="36"/>
        </w:numPr>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Organet e qeverisjes së drejtësisë të përfshira në </w:t>
      </w:r>
      <w:r w:rsidRPr="0061449F">
        <w:rPr>
          <w:rFonts w:ascii="Times New Roman" w:eastAsia="Calibri" w:hAnsi="Times New Roman" w:cs="Times New Roman"/>
          <w:i/>
          <w:iCs/>
          <w:sz w:val="24"/>
          <w:szCs w:val="24"/>
        </w:rPr>
        <w:t>vetting</w:t>
      </w:r>
      <w:r w:rsidRPr="0061449F">
        <w:rPr>
          <w:rFonts w:ascii="Times New Roman" w:eastAsia="Calibri" w:hAnsi="Times New Roman" w:cs="Times New Roman"/>
          <w:sz w:val="24"/>
          <w:szCs w:val="24"/>
        </w:rPr>
        <w:t>-un e anëtarëve të Këshillave ose të Inspektorit të Lartë të Drejtësisë, veçanërisht anëtarëve jo magjistratë duhet të marrin masa të rregullta për rritjen e kapaciteteve për kontrollin e figurës dhe të pasurisë/integritetit;</w:t>
      </w:r>
    </w:p>
    <w:p w14:paraId="4E21D69B" w14:textId="77777777" w:rsidR="0061449F" w:rsidRPr="0061449F" w:rsidRDefault="0061449F" w:rsidP="0061449F">
      <w:pPr>
        <w:numPr>
          <w:ilvl w:val="2"/>
          <w:numId w:val="36"/>
        </w:numPr>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Organet e qeverisjes së drejtësisë dhe të tjerët të përfshirë në </w:t>
      </w:r>
      <w:r w:rsidRPr="0061449F">
        <w:rPr>
          <w:rFonts w:ascii="Times New Roman" w:eastAsia="Calibri" w:hAnsi="Times New Roman" w:cs="Times New Roman"/>
          <w:i/>
          <w:iCs/>
          <w:sz w:val="24"/>
          <w:szCs w:val="24"/>
        </w:rPr>
        <w:t>vetting</w:t>
      </w:r>
      <w:r w:rsidRPr="0061449F">
        <w:rPr>
          <w:rFonts w:ascii="Times New Roman" w:eastAsia="Calibri" w:hAnsi="Times New Roman" w:cs="Times New Roman"/>
          <w:sz w:val="24"/>
          <w:szCs w:val="24"/>
        </w:rPr>
        <w:t xml:space="preserve">-n e anëtarëve të Këshillave ose Inspektorit të Lartë të Drejtësisë, veçanërisht të anëtarëve jo magjistratë: të kryejnë kontrolle të figurës dhe të pasurisë/integritetit në përputhje me standardet e larta të </w:t>
      </w:r>
      <w:r w:rsidRPr="0061449F">
        <w:rPr>
          <w:rFonts w:ascii="Times New Roman" w:eastAsia="Calibri" w:hAnsi="Times New Roman" w:cs="Times New Roman"/>
          <w:i/>
          <w:iCs/>
          <w:sz w:val="24"/>
          <w:szCs w:val="24"/>
        </w:rPr>
        <w:t>vetting</w:t>
      </w:r>
      <w:r w:rsidRPr="0061449F">
        <w:rPr>
          <w:rFonts w:ascii="Times New Roman" w:eastAsia="Calibri" w:hAnsi="Times New Roman" w:cs="Times New Roman"/>
          <w:sz w:val="24"/>
          <w:szCs w:val="24"/>
        </w:rPr>
        <w:t>-ut;</w:t>
      </w:r>
    </w:p>
    <w:p w14:paraId="0332C5DD" w14:textId="77777777" w:rsidR="0061449F" w:rsidRPr="0061449F" w:rsidRDefault="0061449F" w:rsidP="0061449F">
      <w:pPr>
        <w:numPr>
          <w:ilvl w:val="2"/>
          <w:numId w:val="36"/>
        </w:numPr>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Cilësia e vendimeve të KLGJ-së dhe KLP-së, duke përfshirë pajtueshmërinë me legjislacionin e brendshëm, </w:t>
      </w:r>
      <w:r w:rsidRPr="0061449F">
        <w:rPr>
          <w:rFonts w:ascii="Times New Roman" w:eastAsia="Calibri" w:hAnsi="Times New Roman" w:cs="Times New Roman"/>
          <w:i/>
          <w:iCs/>
          <w:sz w:val="24"/>
          <w:szCs w:val="24"/>
        </w:rPr>
        <w:t>acquis</w:t>
      </w:r>
      <w:r w:rsidRPr="0061449F">
        <w:rPr>
          <w:rFonts w:ascii="Times New Roman" w:eastAsia="Calibri" w:hAnsi="Times New Roman" w:cs="Times New Roman"/>
          <w:sz w:val="24"/>
          <w:szCs w:val="24"/>
        </w:rPr>
        <w:t xml:space="preserve"> të BE-së dhe standardet evropiane, sigurohet nëpërmjet trajnimeve të organizuara;</w:t>
      </w:r>
    </w:p>
    <w:p w14:paraId="4DDD62AF" w14:textId="77777777" w:rsidR="0061449F" w:rsidRPr="0061449F" w:rsidRDefault="0061449F" w:rsidP="0061449F">
      <w:pPr>
        <w:numPr>
          <w:ilvl w:val="2"/>
          <w:numId w:val="36"/>
        </w:numPr>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KLGJ-ja zbaton më tej një program transparence dhe komunikimi për të gjithë elementët e vendimmarrjes së tyre, duke përfshirë vendimet për karrierën, menaxhimin, rekrutimin e stafit, funksionimin e gjykatave dhe monitoron dhe raporton në mënyrë të vazhdueshme publikisht për zbatimin e tij;</w:t>
      </w:r>
    </w:p>
    <w:p w14:paraId="411FC4A5" w14:textId="77777777" w:rsidR="0061449F" w:rsidRPr="0061449F" w:rsidRDefault="0061449F" w:rsidP="0061449F">
      <w:pPr>
        <w:numPr>
          <w:ilvl w:val="2"/>
          <w:numId w:val="36"/>
        </w:numPr>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lastRenderedPageBreak/>
        <w:t>Miratimi dhe zbatimi i një programi transparence dhe komunikimi nga KLP-ja për të gjithë elementët e vendimmarrjes së tyre, duke përfshirë vendimet për karrierën, menaxhimin, rekrutimin e stafit në funksion te prokurorive si dhe monitorimi dhe raportimi i vazhdueshëm publikisht;</w:t>
      </w:r>
    </w:p>
    <w:p w14:paraId="7AC7BC17" w14:textId="77777777" w:rsidR="0061449F" w:rsidRPr="0061449F" w:rsidRDefault="0061449F" w:rsidP="0061449F">
      <w:pPr>
        <w:spacing w:before="100" w:beforeAutospacing="1" w:after="100" w:afterAutospacing="1" w:line="276" w:lineRule="auto"/>
        <w:jc w:val="both"/>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 xml:space="preserve">Treguesit kryesorë: </w:t>
      </w:r>
    </w:p>
    <w:p w14:paraId="5B87A980" w14:textId="77777777" w:rsidR="0061449F" w:rsidRPr="0061449F" w:rsidRDefault="0061449F" w:rsidP="0061449F">
      <w:pPr>
        <w:numPr>
          <w:ilvl w:val="0"/>
          <w:numId w:val="30"/>
        </w:numPr>
        <w:spacing w:before="100" w:beforeAutospacing="1" w:after="100" w:afterAutospacing="1" w:line="276" w:lineRule="auto"/>
        <w:ind w:left="720"/>
        <w:contextualSpacing/>
        <w:jc w:val="both"/>
        <w:rPr>
          <w:rFonts w:ascii="Times New Roman" w:eastAsia="Calibri" w:hAnsi="Times New Roman" w:cs="Times New Roman"/>
          <w:sz w:val="24"/>
          <w:szCs w:val="24"/>
          <w:lang w:val="sq-AL"/>
        </w:rPr>
      </w:pPr>
      <w:r w:rsidRPr="0061449F">
        <w:rPr>
          <w:rFonts w:ascii="Times New Roman" w:eastAsia="Times New Roman" w:hAnsi="Times New Roman" w:cs="Times New Roman"/>
          <w:sz w:val="24"/>
          <w:szCs w:val="24"/>
          <w:lang w:val="sq-AL" w:eastAsia="en-GB"/>
        </w:rPr>
        <w:t>Përqindja e anëtarëve dhe stafit administrativ të KLGJ-së dhe KLP-së, të trajnuar për çështje që lidhen me detyrat e tyre funksionale;</w:t>
      </w:r>
    </w:p>
    <w:p w14:paraId="7E7E8A1C" w14:textId="77777777" w:rsidR="0061449F" w:rsidRPr="0061449F" w:rsidRDefault="0061449F" w:rsidP="0061449F">
      <w:pPr>
        <w:jc w:val="both"/>
        <w:rPr>
          <w:rFonts w:ascii="Times New Roman" w:eastAsia="Calibri" w:hAnsi="Times New Roman" w:cs="Times New Roman"/>
          <w:b/>
          <w:bCs/>
          <w:sz w:val="24"/>
          <w:szCs w:val="24"/>
        </w:rPr>
      </w:pPr>
      <w:r w:rsidRPr="0061449F">
        <w:rPr>
          <w:rFonts w:ascii="Times New Roman" w:eastAsia="Calibri" w:hAnsi="Times New Roman" w:cs="Times New Roman"/>
          <w:b/>
          <w:sz w:val="24"/>
          <w:szCs w:val="24"/>
          <w:lang w:val="sq-AL"/>
        </w:rPr>
        <w:t xml:space="preserve">Objektivi Specifik 1.4: </w:t>
      </w:r>
      <w:r w:rsidRPr="0061449F">
        <w:rPr>
          <w:rFonts w:ascii="Times New Roman" w:eastAsia="Calibri" w:hAnsi="Times New Roman" w:cs="Times New Roman"/>
          <w:b/>
          <w:bCs/>
          <w:sz w:val="24"/>
          <w:szCs w:val="24"/>
        </w:rPr>
        <w:t>Forcimi i bashkëpunimit ndërinstitucional dhe përmirësimi thelbësor i komunikimit publik.</w:t>
      </w:r>
    </w:p>
    <w:p w14:paraId="5785429D" w14:textId="77777777" w:rsidR="0061449F" w:rsidRPr="0061449F" w:rsidRDefault="0061449F" w:rsidP="0061449F">
      <w:pPr>
        <w:spacing w:line="276" w:lineRule="auto"/>
        <w:jc w:val="both"/>
        <w:outlineLvl w:val="0"/>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Megjithë arritjet e evidentuara në drejtim të bashkëpunimit ndërinstitucional të sektorit të drejtësisë, si rezultat i zbatimit dhe monitorimit të disa strategjive ndërsektoriale në fushën e drejtësisë, avancimi në rrugën e reformës kërkon rritje të kapacitetit të institucioneve të drejtësisë, për të siguruar bashkëpunimin e duhur, koordinimin ndërmjet institucioneve, monitorimin dhe raportimin e duhur dhe për të qenë transparent dhe të besueshëm në raport me publikun. </w:t>
      </w:r>
    </w:p>
    <w:p w14:paraId="2E597759" w14:textId="77777777" w:rsidR="0061449F" w:rsidRPr="0061449F" w:rsidRDefault="0061449F" w:rsidP="0061449F">
      <w:pPr>
        <w:spacing w:line="276" w:lineRule="auto"/>
        <w:jc w:val="both"/>
        <w:outlineLvl w:val="0"/>
        <w:rPr>
          <w:rFonts w:ascii="Times New Roman" w:eastAsia="Calibri" w:hAnsi="Times New Roman" w:cs="Times New Roman"/>
          <w:sz w:val="24"/>
          <w:szCs w:val="24"/>
        </w:rPr>
      </w:pPr>
      <w:r w:rsidRPr="0061449F">
        <w:rPr>
          <w:rFonts w:ascii="Times New Roman" w:eastAsia="Calibri" w:hAnsi="Times New Roman" w:cs="Times New Roman"/>
          <w:sz w:val="24"/>
          <w:szCs w:val="24"/>
        </w:rPr>
        <w:t>Referuar Progres raportit nëntor 2023, Shqipëria duhet të sigurojë një bashkëpunim efektiv ndërmjet institucioneve të drejtësisë, shpërndarje të burimeve të mjaftueshme dhe funksionim efikas dhe sistematik të sektorit të drejtësisë. Po ashtu, janë evidentuar ankesa të vazhdueshme nga media dhe shoqëria civile për transparencën dhe shtrirjen e informacionit, duke bërë të nevojshme të përmirësohet kuadri rregullator dhe të konsolidohet praktika për komunikimet mediatike dhe aksesin në informacion, bazuar në parimet e transparencës.</w:t>
      </w:r>
    </w:p>
    <w:p w14:paraId="394463E7" w14:textId="77777777" w:rsidR="0061449F" w:rsidRPr="0061449F" w:rsidRDefault="0061449F" w:rsidP="0061449F">
      <w:pPr>
        <w:spacing w:line="276" w:lineRule="auto"/>
        <w:jc w:val="both"/>
        <w:outlineLvl w:val="0"/>
        <w:rPr>
          <w:rFonts w:ascii="Times New Roman" w:eastAsia="Calibri" w:hAnsi="Times New Roman" w:cs="Times New Roman"/>
          <w:sz w:val="24"/>
          <w:szCs w:val="24"/>
        </w:rPr>
      </w:pPr>
      <w:r w:rsidRPr="0061449F">
        <w:rPr>
          <w:rFonts w:ascii="Times New Roman" w:eastAsia="Calibri" w:hAnsi="Times New Roman" w:cs="Times New Roman"/>
          <w:sz w:val="24"/>
          <w:szCs w:val="24"/>
        </w:rPr>
        <w:t>Arritja e objektivit adresohet në Planin e Veprimit me masa dhe aktivitete konkrete, ndaj për të përmirësuar bashkëpunimin ndërmjet Këshillave, do të intensifikohen mbledhjet e përbashkëta dhe do të sigurohet komunikimi i drejtpërdrejtë me publikun në lidhje me konkluzionet e mbledhjeve. Kjo do të ndihmojë në krijimin e një lidhjeje më të fortë dhe më të besueshme me qytetarët, duke ofruar informacion të qartë dhe krijuar institucione transparente.</w:t>
      </w:r>
    </w:p>
    <w:p w14:paraId="0FB97534" w14:textId="77777777" w:rsidR="0061449F" w:rsidRPr="0061449F" w:rsidRDefault="0061449F" w:rsidP="0061449F">
      <w:pPr>
        <w:spacing w:line="276" w:lineRule="auto"/>
        <w:jc w:val="both"/>
        <w:outlineLvl w:val="0"/>
        <w:rPr>
          <w:rFonts w:ascii="Times New Roman" w:eastAsia="Calibri" w:hAnsi="Times New Roman" w:cs="Times New Roman"/>
          <w:sz w:val="24"/>
          <w:szCs w:val="24"/>
        </w:rPr>
      </w:pPr>
      <w:r w:rsidRPr="0061449F">
        <w:rPr>
          <w:rFonts w:ascii="Times New Roman" w:eastAsia="Calibri" w:hAnsi="Times New Roman" w:cs="Times New Roman"/>
          <w:sz w:val="24"/>
          <w:szCs w:val="24"/>
        </w:rPr>
        <w:t>Gjithashtu, do të përgatiten planet e komunikimit dhe transparencës nga Këshilli i Lartë Gjyqësor, Këshilli i Lartë i Prokurorisë, SPAK, Gjykata e Posaçme kundër Korrupsionit dhe Krimit të Organizuar, si dhe Ministria e Drejtësisë. Këto plane do të synojnë të zhvillojnë më tej mirëkuptimin dhe të rrisin besimin e publikut në Reformën në Drejtësi. Me këto plane, do të krijohet një komunikim i hapur dhe i besueshëm me publikun, duke kontribuar në një proces reformash gjithëpërfshirëse dhe të mbështetura nga qytetarët.</w:t>
      </w:r>
    </w:p>
    <w:p w14:paraId="58D20F06"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 xml:space="preserve">Rezultati i pritshëm: </w:t>
      </w:r>
    </w:p>
    <w:p w14:paraId="0D974FCB" w14:textId="77777777" w:rsidR="0061449F" w:rsidRPr="0061449F" w:rsidRDefault="0061449F" w:rsidP="0061449F">
      <w:pPr>
        <w:numPr>
          <w:ilvl w:val="0"/>
          <w:numId w:val="30"/>
        </w:numPr>
        <w:spacing w:before="100" w:beforeAutospacing="1" w:after="100" w:afterAutospacing="1" w:line="276" w:lineRule="auto"/>
        <w:ind w:left="720"/>
        <w:contextualSpacing/>
        <w:jc w:val="both"/>
        <w:rPr>
          <w:rFonts w:ascii="Times New Roman" w:eastAsia="Times New Roman" w:hAnsi="Times New Roman" w:cs="Times New Roman"/>
          <w:sz w:val="24"/>
          <w:szCs w:val="24"/>
          <w:lang w:val="sq-AL"/>
        </w:rPr>
      </w:pPr>
      <w:r w:rsidRPr="0061449F">
        <w:rPr>
          <w:rFonts w:ascii="Times New Roman" w:eastAsia="Calibri" w:hAnsi="Times New Roman" w:cs="Times New Roman"/>
          <w:sz w:val="24"/>
          <w:szCs w:val="24"/>
          <w:lang w:val="sq-AL"/>
        </w:rPr>
        <w:t xml:space="preserve">Gjatë kohëzgjatjes së SND 2024-2030, garantohen të paktën 2 takime të përbashkëta të bashkëpunimit dhe koordinimit ndërinstitucional në vit. </w:t>
      </w:r>
    </w:p>
    <w:p w14:paraId="00DCE6D5" w14:textId="77777777" w:rsidR="0061449F" w:rsidRPr="0061449F" w:rsidRDefault="0061449F" w:rsidP="0061449F">
      <w:pPr>
        <w:spacing w:before="100" w:beforeAutospacing="1" w:after="100" w:afterAutospacing="1" w:line="276" w:lineRule="auto"/>
        <w:ind w:left="720"/>
        <w:contextualSpacing/>
        <w:jc w:val="both"/>
        <w:rPr>
          <w:rFonts w:ascii="Times New Roman" w:eastAsia="Times New Roman" w:hAnsi="Times New Roman" w:cs="Times New Roman"/>
          <w:sz w:val="24"/>
          <w:szCs w:val="24"/>
          <w:lang w:val="sq-AL"/>
        </w:rPr>
      </w:pPr>
    </w:p>
    <w:p w14:paraId="359022D1" w14:textId="77777777" w:rsidR="0061449F" w:rsidRPr="0061449F" w:rsidRDefault="0061449F" w:rsidP="0061449F">
      <w:pPr>
        <w:spacing w:before="100" w:beforeAutospacing="1" w:after="100" w:afterAutospacing="1" w:line="276" w:lineRule="auto"/>
        <w:jc w:val="both"/>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sq-AL"/>
        </w:rPr>
        <w:t>Lidhja e Objektivit Specifik me nënkapitullin përkatës të BE-së sipas MSA-së</w:t>
      </w:r>
    </w:p>
    <w:p w14:paraId="7594708F" w14:textId="77777777" w:rsidR="0061449F" w:rsidRPr="0061449F" w:rsidRDefault="0061449F" w:rsidP="0061449F">
      <w:pPr>
        <w:spacing w:before="100" w:beforeAutospacing="1" w:after="100" w:afterAutospacing="1" w:line="276" w:lineRule="auto"/>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lastRenderedPageBreak/>
        <w:t>Objektivi Specifik 1.4 lidhet me Kapitullin 23 “Gjyqësori dhe të Drejtat Themelore, me nenin 2 të MSA-së “Respekti për parimet demokratike dhe të drejtat e njeriut”, me nenin 78 të MSA-së “Fuqizimin e institucioneve dhe shtetit të së drejtës” dhe me nenin 88 “Bashkëpunimi statistikor” të MSA-së, nënshkruar midis Republikës së Shqipërisë dhe Komuniteteve Evropiane të shteteve anëtare. Gjithashtu, ky Objektiv lidhet me Planin Kombëtar për Integrimin Evropian 2024 – 2026 si dhe reflekton disa nga rekomandimet e Raportit të Komisionit Evropian për Shqipërinë për vitin 2023. Objektivi Specifik 1.4 lidhet gjithashtu me Udhërrëfyesin për Shtetin e së Drejtës.</w:t>
      </w:r>
    </w:p>
    <w:p w14:paraId="5AAF11F0" w14:textId="77777777" w:rsidR="0061449F" w:rsidRPr="0061449F" w:rsidRDefault="0061449F" w:rsidP="0061449F">
      <w:pPr>
        <w:rPr>
          <w:rFonts w:ascii="Times New Roman" w:eastAsia="Calibri" w:hAnsi="Times New Roman" w:cs="Times New Roman"/>
          <w:b/>
          <w:bCs/>
          <w:sz w:val="24"/>
          <w:szCs w:val="24"/>
        </w:rPr>
      </w:pPr>
      <w:r w:rsidRPr="0061449F">
        <w:rPr>
          <w:rFonts w:ascii="Times New Roman" w:eastAsia="Calibri" w:hAnsi="Times New Roman" w:cs="Times New Roman"/>
          <w:b/>
          <w:bCs/>
          <w:sz w:val="24"/>
          <w:szCs w:val="24"/>
        </w:rPr>
        <w:t>Masat:</w:t>
      </w:r>
    </w:p>
    <w:p w14:paraId="095004EC" w14:textId="77777777" w:rsidR="0061449F" w:rsidRPr="0061449F" w:rsidRDefault="0061449F" w:rsidP="0061449F">
      <w:pPr>
        <w:numPr>
          <w:ilvl w:val="2"/>
          <w:numId w:val="37"/>
        </w:numPr>
        <w:spacing w:line="276" w:lineRule="auto"/>
        <w:contextualSpacing/>
        <w:rPr>
          <w:rFonts w:ascii="Times New Roman" w:eastAsia="Calibri" w:hAnsi="Times New Roman" w:cs="Times New Roman"/>
          <w:bCs/>
          <w:sz w:val="24"/>
          <w:szCs w:val="24"/>
        </w:rPr>
      </w:pPr>
      <w:r w:rsidRPr="0061449F">
        <w:rPr>
          <w:rFonts w:ascii="Times New Roman" w:eastAsia="Calibri" w:hAnsi="Times New Roman" w:cs="Times New Roman"/>
          <w:bCs/>
          <w:sz w:val="24"/>
          <w:szCs w:val="24"/>
        </w:rPr>
        <w:t>Kapaciteti i duhur i institucioneve të drejtësisë për të siguruar bashkëpunimin e duhur, si dhe mbledhjen e të dhënave, monitorimin dhe raportimin për avancimin e Reformës në Drejtësi;</w:t>
      </w:r>
    </w:p>
    <w:p w14:paraId="5DD99851" w14:textId="77777777" w:rsidR="0061449F" w:rsidRPr="0061449F" w:rsidRDefault="0061449F" w:rsidP="0061449F">
      <w:pPr>
        <w:numPr>
          <w:ilvl w:val="2"/>
          <w:numId w:val="37"/>
        </w:numPr>
        <w:spacing w:line="276" w:lineRule="auto"/>
        <w:contextualSpacing/>
        <w:rPr>
          <w:rFonts w:ascii="Times New Roman" w:eastAsia="Calibri" w:hAnsi="Times New Roman" w:cs="Times New Roman"/>
          <w:bCs/>
          <w:sz w:val="24"/>
          <w:szCs w:val="24"/>
        </w:rPr>
      </w:pPr>
      <w:r w:rsidRPr="0061449F">
        <w:rPr>
          <w:rFonts w:ascii="Times New Roman" w:eastAsia="Calibri" w:hAnsi="Times New Roman" w:cs="Times New Roman"/>
          <w:bCs/>
          <w:sz w:val="24"/>
          <w:szCs w:val="24"/>
        </w:rPr>
        <w:t>Bashkëpunimi i Këshillave duke intensifikuar mbledhjet e përbashkëta dhe sigurimin e komunikimit të drejtpërdrejtë me publikun për ndjekjen e konkluzioneve të mbledhjeve;</w:t>
      </w:r>
    </w:p>
    <w:p w14:paraId="7FB5394F" w14:textId="77777777" w:rsidR="0061449F" w:rsidRPr="0061449F" w:rsidRDefault="0061449F" w:rsidP="0061449F">
      <w:pPr>
        <w:numPr>
          <w:ilvl w:val="2"/>
          <w:numId w:val="37"/>
        </w:numPr>
        <w:spacing w:line="276" w:lineRule="auto"/>
        <w:contextualSpacing/>
        <w:rPr>
          <w:rFonts w:ascii="Times New Roman" w:eastAsia="Calibri" w:hAnsi="Times New Roman" w:cs="Times New Roman"/>
          <w:bCs/>
          <w:sz w:val="24"/>
          <w:szCs w:val="24"/>
        </w:rPr>
      </w:pPr>
      <w:r w:rsidRPr="0061449F">
        <w:rPr>
          <w:rFonts w:ascii="Times New Roman" w:eastAsia="Calibri" w:hAnsi="Times New Roman" w:cs="Times New Roman"/>
          <w:bCs/>
          <w:sz w:val="24"/>
          <w:szCs w:val="24"/>
        </w:rPr>
        <w:t xml:space="preserve">Planet e komunikimit dhe transparencës të përgatitura nga KLGJ-ja, KLP-ja, SPAK, GJKKO dhe MD-ja, për të zhvilluar më tej mirëkuptimin dhe rritjen e besimit të publikut tek Reforma në Drejtësi; </w:t>
      </w:r>
    </w:p>
    <w:p w14:paraId="66647C64" w14:textId="77777777" w:rsidR="0061449F" w:rsidRPr="0061449F" w:rsidRDefault="0061449F" w:rsidP="0061449F">
      <w:pPr>
        <w:spacing w:before="100" w:beforeAutospacing="1" w:after="100" w:afterAutospacing="1" w:line="276" w:lineRule="auto"/>
        <w:jc w:val="both"/>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 xml:space="preserve">Treguesit kryesorë: </w:t>
      </w:r>
    </w:p>
    <w:p w14:paraId="3804E95C" w14:textId="77777777" w:rsidR="0061449F" w:rsidRPr="0061449F" w:rsidRDefault="0061449F" w:rsidP="0061449F">
      <w:pPr>
        <w:numPr>
          <w:ilvl w:val="0"/>
          <w:numId w:val="31"/>
        </w:numPr>
        <w:spacing w:before="100" w:beforeAutospacing="1" w:after="100" w:afterAutospacing="1" w:line="276" w:lineRule="auto"/>
        <w:ind w:left="720"/>
        <w:contextualSpacing/>
        <w:jc w:val="both"/>
        <w:rPr>
          <w:rFonts w:ascii="Times New Roman" w:eastAsia="Calibri" w:hAnsi="Times New Roman" w:cs="Times New Roman"/>
          <w:sz w:val="24"/>
          <w:szCs w:val="24"/>
          <w:lang w:val="sq-AL"/>
        </w:rPr>
      </w:pPr>
      <w:r w:rsidRPr="0061449F">
        <w:rPr>
          <w:rFonts w:ascii="Times New Roman" w:eastAsia="Times New Roman" w:hAnsi="Times New Roman" w:cs="Times New Roman"/>
          <w:sz w:val="24"/>
          <w:szCs w:val="24"/>
          <w:lang w:val="sq-AL" w:eastAsia="en-GB"/>
        </w:rPr>
        <w:t>Numri i takimeve të përbashkëta të bashkëpunimit dhe koordinimit ndërinstitucional;</w:t>
      </w:r>
    </w:p>
    <w:p w14:paraId="2F7950E1" w14:textId="77777777" w:rsidR="0061449F" w:rsidRPr="0061449F" w:rsidRDefault="0061449F" w:rsidP="0061449F">
      <w:pPr>
        <w:spacing w:line="276" w:lineRule="auto"/>
        <w:jc w:val="both"/>
        <w:rPr>
          <w:rFonts w:ascii="Times New Roman" w:eastAsia="Times New Roman" w:hAnsi="Times New Roman" w:cs="Times New Roman"/>
          <w:b/>
          <w:sz w:val="24"/>
          <w:szCs w:val="24"/>
          <w:lang w:val="sq-AL" w:eastAsia="en-CA" w:bidi="sq-AL"/>
        </w:rPr>
      </w:pPr>
    </w:p>
    <w:p w14:paraId="5C209523" w14:textId="77777777" w:rsidR="0061449F" w:rsidRPr="0061449F" w:rsidRDefault="0061449F" w:rsidP="0061449F">
      <w:pPr>
        <w:spacing w:line="276" w:lineRule="auto"/>
        <w:jc w:val="both"/>
        <w:rPr>
          <w:rFonts w:ascii="Times New Roman" w:eastAsia="Times New Roman" w:hAnsi="Times New Roman" w:cs="Times New Roman"/>
          <w:b/>
          <w:sz w:val="24"/>
          <w:szCs w:val="24"/>
          <w:lang w:val="sq-AL" w:eastAsia="en-CA" w:bidi="sq-AL"/>
        </w:rPr>
      </w:pPr>
    </w:p>
    <w:p w14:paraId="690651E7" w14:textId="77777777" w:rsidR="0061449F" w:rsidRPr="0061449F" w:rsidRDefault="0061449F" w:rsidP="0061449F">
      <w:pPr>
        <w:spacing w:line="276" w:lineRule="auto"/>
        <w:jc w:val="both"/>
        <w:rPr>
          <w:rFonts w:ascii="Times New Roman" w:eastAsia="Times New Roman" w:hAnsi="Times New Roman" w:cs="Times New Roman"/>
          <w:b/>
          <w:sz w:val="24"/>
          <w:szCs w:val="24"/>
          <w:lang w:val="sq-AL" w:eastAsia="en-CA" w:bidi="sq-AL"/>
        </w:rPr>
      </w:pPr>
    </w:p>
    <w:p w14:paraId="3281043A" w14:textId="77777777" w:rsidR="0061449F" w:rsidRPr="0061449F" w:rsidRDefault="0061449F" w:rsidP="0061449F">
      <w:pPr>
        <w:spacing w:line="276" w:lineRule="auto"/>
        <w:jc w:val="both"/>
        <w:rPr>
          <w:rFonts w:ascii="Times New Roman" w:eastAsia="Times New Roman" w:hAnsi="Times New Roman" w:cs="Times New Roman"/>
          <w:b/>
          <w:sz w:val="24"/>
          <w:szCs w:val="24"/>
          <w:lang w:val="sq-AL" w:eastAsia="en-CA" w:bidi="sq-AL"/>
        </w:rPr>
      </w:pPr>
      <w:r w:rsidRPr="0061449F">
        <w:rPr>
          <w:rFonts w:ascii="Times New Roman" w:eastAsia="Times New Roman" w:hAnsi="Times New Roman" w:cs="Times New Roman"/>
          <w:b/>
          <w:sz w:val="24"/>
          <w:szCs w:val="24"/>
          <w:lang w:val="sq-AL" w:eastAsia="en-CA" w:bidi="sq-AL"/>
        </w:rPr>
        <w:t>Qëllimi Politik 2 - Forcimi i pavarësisë, paanshmërisë dhe llogaridhënies në sistemin e drejtësisë</w:t>
      </w:r>
    </w:p>
    <w:p w14:paraId="1A8C01D6"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Ky qëllim thekson rëndësinë e ndarjes së pushteteve dhe eliminimin e ndikimeve të jashtme që mund të cenojnë vendimet e gjykatësve dhe prokurorëve. Në nivel kombëtar, përpjekjet janë të përqendruara në përmirësimin e kornizës ligjore dhe institucionale që siguron autonominë e organeve të drejtësisë dhe krijimin e mekanizmave të fortë të llogaridhënies për të garantuar që ata që shkelin parimet e pavarësisë dhe paanshmërisë të mbajnë përgjegjësi.</w:t>
      </w:r>
    </w:p>
    <w:p w14:paraId="082F1D47"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Gjithashtu, ky Qëllim përfshin përpjekjet për të forcuar transparencën në proceset gjyqësore dhe për të siguruar që drejtësia jo vetëm të administrohet, por edhe të perceptohet si e drejtë nga publiku. Kjo përfshin masa për të parandaluar korrupsionin brenda sistemit të drejtësisë dhe për të përmirësuar proceset e rekrutimit dhe të promovimit të gjyqtarëve dhe prokurorëve, duke i bazuar ato në meritokraci dhe kritere objektive.</w:t>
      </w:r>
    </w:p>
    <w:p w14:paraId="1282D88E"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Në dimensionin ndërkombëtar, ky Qëllim synon të harmonizojë sistemin e drejtësisë me standardet dhe praktikat më të mira ndërkombëtare, duke përfshirë përmirësimin e bashkëpunimit me organizatat ndërkombëtare dhe rritjen e shkëmbimeve profesionale dhe institucionale për të siguruar që sistemi ynë i drejtësisë të jetë i përputhshëm me angazhimet ndërkombëtare dhe të arrijë një nivel të lartë të integritetit dhe paanshmërisë.</w:t>
      </w:r>
    </w:p>
    <w:p w14:paraId="40BA760F" w14:textId="77777777" w:rsidR="0061449F" w:rsidRPr="0061449F" w:rsidRDefault="0061449F" w:rsidP="0061449F">
      <w:pPr>
        <w:spacing w:line="276" w:lineRule="auto"/>
        <w:jc w:val="both"/>
        <w:rPr>
          <w:rFonts w:ascii="Times New Roman" w:eastAsia="MS Mincho" w:hAnsi="Times New Roman" w:cs="Times New Roman"/>
          <w:bCs/>
          <w:sz w:val="24"/>
          <w:szCs w:val="24"/>
          <w:lang w:val="sq-AL"/>
        </w:rPr>
      </w:pPr>
      <w:r w:rsidRPr="0061449F">
        <w:rPr>
          <w:rFonts w:ascii="Times New Roman" w:eastAsia="MS Mincho" w:hAnsi="Times New Roman" w:cs="Times New Roman"/>
          <w:bCs/>
          <w:sz w:val="24"/>
          <w:szCs w:val="24"/>
          <w:lang w:val="sq-AL"/>
        </w:rPr>
        <w:lastRenderedPageBreak/>
        <w:t>Për arritjen e këtij Qëllimi Politik, institucionet përgjegjëse në bashkëpunim me institucionet  e tjera, partnerë vendas dhe ndërkombëtarë do të fokusohen në përmbushjen e pesë Objektivave Specifikë:</w:t>
      </w:r>
    </w:p>
    <w:p w14:paraId="4C4FF950" w14:textId="77777777" w:rsidR="0061449F" w:rsidRPr="0061449F" w:rsidRDefault="0061449F" w:rsidP="0061449F">
      <w:pPr>
        <w:shd w:val="clear" w:color="auto" w:fill="FFFFFF"/>
        <w:spacing w:after="0" w:line="276" w:lineRule="auto"/>
        <w:jc w:val="both"/>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 xml:space="preserve">Objektivi Specifik. 2.1 - </w:t>
      </w:r>
      <w:r w:rsidRPr="0061449F">
        <w:rPr>
          <w:rFonts w:ascii="Times New Roman" w:eastAsia="Calibri" w:hAnsi="Times New Roman" w:cs="Times New Roman"/>
          <w:bCs/>
          <w:sz w:val="24"/>
          <w:szCs w:val="24"/>
          <w:lang w:val="sq-AL"/>
        </w:rPr>
        <w:t>Garantimi i emërimeve dhe zhvillimit të karrierës së magjistratëve në sistemin e drejtësisë, bazuar në meritokraci.</w:t>
      </w:r>
      <w:r w:rsidRPr="0061449F">
        <w:rPr>
          <w:rFonts w:ascii="Times New Roman" w:eastAsia="Calibri" w:hAnsi="Times New Roman" w:cs="Times New Roman"/>
          <w:b/>
          <w:sz w:val="24"/>
          <w:szCs w:val="24"/>
          <w:lang w:val="sq-AL"/>
        </w:rPr>
        <w:t xml:space="preserve"> </w:t>
      </w:r>
    </w:p>
    <w:p w14:paraId="331C4010" w14:textId="77777777" w:rsidR="0061449F" w:rsidRPr="0061449F" w:rsidRDefault="0061449F" w:rsidP="0061449F">
      <w:pPr>
        <w:shd w:val="clear" w:color="auto" w:fill="FFFFFF"/>
        <w:spacing w:after="0" w:line="276" w:lineRule="auto"/>
        <w:jc w:val="both"/>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 xml:space="preserve">Objektivi Specifik 2.2 - </w:t>
      </w:r>
      <w:r w:rsidRPr="0061449F">
        <w:rPr>
          <w:rFonts w:ascii="Times New Roman" w:eastAsia="Calibri" w:hAnsi="Times New Roman" w:cs="Times New Roman"/>
          <w:bCs/>
          <w:sz w:val="24"/>
          <w:szCs w:val="24"/>
          <w:lang w:val="sq-AL"/>
        </w:rPr>
        <w:t>Forcimi i kapaciteteve institucionale, të magjistratëve edhe jo-magjistrateve për parandalimin dhe mbrojtjen nga ndërhyrjet e brendshme dhe të jashtme.</w:t>
      </w:r>
      <w:r w:rsidRPr="0061449F">
        <w:rPr>
          <w:rFonts w:ascii="Times New Roman" w:eastAsia="Calibri" w:hAnsi="Times New Roman" w:cs="Times New Roman"/>
          <w:b/>
          <w:sz w:val="24"/>
          <w:szCs w:val="24"/>
          <w:lang w:val="sq-AL"/>
        </w:rPr>
        <w:t xml:space="preserve"> </w:t>
      </w:r>
    </w:p>
    <w:p w14:paraId="5DD28306" w14:textId="77777777" w:rsidR="0061449F" w:rsidRPr="0061449F" w:rsidRDefault="0061449F" w:rsidP="0061449F">
      <w:pPr>
        <w:shd w:val="clear" w:color="auto" w:fill="FFFFFF"/>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
          <w:sz w:val="24"/>
          <w:szCs w:val="24"/>
          <w:lang w:val="sq-AL"/>
        </w:rPr>
        <w:t xml:space="preserve">Objektivi Specifik 2.3 - </w:t>
      </w:r>
      <w:r w:rsidRPr="0061449F">
        <w:rPr>
          <w:rFonts w:ascii="Times New Roman" w:eastAsia="Calibri" w:hAnsi="Times New Roman" w:cs="Times New Roman"/>
          <w:bCs/>
          <w:sz w:val="24"/>
          <w:szCs w:val="24"/>
          <w:lang w:val="sq-AL"/>
        </w:rPr>
        <w:t xml:space="preserve">Sigurimi i zbatimit të njëtrajtshëm të standardeve të ndarjes së rastësishme të çështjeve. </w:t>
      </w:r>
    </w:p>
    <w:p w14:paraId="6FF95584" w14:textId="77777777" w:rsidR="0061449F" w:rsidRPr="0061449F" w:rsidRDefault="0061449F" w:rsidP="0061449F">
      <w:pPr>
        <w:shd w:val="clear" w:color="auto" w:fill="FFFFFF"/>
        <w:spacing w:after="0" w:line="276" w:lineRule="auto"/>
        <w:jc w:val="both"/>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 xml:space="preserve">Objektivi Specifik 2.4 - </w:t>
      </w:r>
      <w:r w:rsidRPr="0061449F">
        <w:rPr>
          <w:rFonts w:ascii="Times New Roman" w:eastAsia="Calibri" w:hAnsi="Times New Roman" w:cs="Times New Roman"/>
          <w:bCs/>
          <w:sz w:val="24"/>
          <w:szCs w:val="24"/>
          <w:lang w:val="sq-AL"/>
        </w:rPr>
        <w:t xml:space="preserve">Sigurimi që kontrollet e figurës dhe pasurisë në sistemin e drejtësisë kryhen në përputhje me standardet e </w:t>
      </w:r>
      <w:r w:rsidRPr="0061449F">
        <w:rPr>
          <w:rFonts w:ascii="Times New Roman" w:eastAsia="Calibri" w:hAnsi="Times New Roman" w:cs="Times New Roman"/>
          <w:bCs/>
          <w:i/>
          <w:iCs/>
          <w:sz w:val="24"/>
          <w:szCs w:val="24"/>
          <w:lang w:val="sq-AL"/>
        </w:rPr>
        <w:t>vetting</w:t>
      </w:r>
      <w:r w:rsidRPr="0061449F">
        <w:rPr>
          <w:rFonts w:ascii="Times New Roman" w:eastAsia="Calibri" w:hAnsi="Times New Roman" w:cs="Times New Roman"/>
          <w:bCs/>
          <w:sz w:val="24"/>
          <w:szCs w:val="24"/>
          <w:lang w:val="sq-AL"/>
        </w:rPr>
        <w:t>-ut</w:t>
      </w:r>
      <w:r w:rsidRPr="0061449F">
        <w:rPr>
          <w:rFonts w:ascii="Times New Roman" w:eastAsia="Calibri" w:hAnsi="Times New Roman" w:cs="Times New Roman"/>
          <w:b/>
          <w:sz w:val="24"/>
          <w:szCs w:val="24"/>
          <w:lang w:val="sq-AL"/>
        </w:rPr>
        <w:t xml:space="preserve">. </w:t>
      </w:r>
    </w:p>
    <w:p w14:paraId="4B52AF13" w14:textId="77777777" w:rsidR="0061449F" w:rsidRPr="0061449F" w:rsidRDefault="0061449F" w:rsidP="0061449F">
      <w:pPr>
        <w:shd w:val="clear" w:color="auto" w:fill="FFFFFF"/>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
          <w:sz w:val="24"/>
          <w:szCs w:val="24"/>
          <w:lang w:val="sq-AL"/>
        </w:rPr>
        <w:t xml:space="preserve">Objektivi Specifik 2.5 </w:t>
      </w:r>
      <w:r w:rsidRPr="0061449F">
        <w:rPr>
          <w:rFonts w:ascii="Times New Roman" w:eastAsia="Calibri" w:hAnsi="Times New Roman" w:cs="Times New Roman"/>
          <w:bCs/>
          <w:sz w:val="24"/>
          <w:szCs w:val="24"/>
          <w:lang w:val="sq-AL"/>
        </w:rPr>
        <w:t xml:space="preserve">- </w:t>
      </w:r>
      <w:bookmarkStart w:id="8" w:name="_Hlk174517142"/>
      <w:r w:rsidRPr="0061449F">
        <w:rPr>
          <w:rFonts w:ascii="Times New Roman" w:eastAsia="Calibri" w:hAnsi="Times New Roman" w:cs="Times New Roman"/>
          <w:bCs/>
          <w:sz w:val="24"/>
          <w:szCs w:val="24"/>
          <w:lang w:val="sq-AL"/>
        </w:rPr>
        <w:t>Përforcimi i mekanizmave të llogaridhënies së magjistratëve.</w:t>
      </w:r>
      <w:bookmarkEnd w:id="8"/>
    </w:p>
    <w:p w14:paraId="3E134B23"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p>
    <w:p w14:paraId="05365263" w14:textId="77777777" w:rsidR="0061449F" w:rsidRPr="0061449F" w:rsidRDefault="0061449F" w:rsidP="0061449F">
      <w:pPr>
        <w:spacing w:line="276" w:lineRule="auto"/>
        <w:jc w:val="both"/>
        <w:rPr>
          <w:rFonts w:ascii="Times New Roman" w:eastAsia="Times New Roman" w:hAnsi="Times New Roman" w:cs="Times New Roman"/>
          <w:b/>
          <w:bCs/>
          <w:sz w:val="24"/>
          <w:szCs w:val="24"/>
          <w:bdr w:val="none" w:sz="0" w:space="0" w:color="auto" w:frame="1"/>
          <w:lang w:val="sq-AL"/>
        </w:rPr>
      </w:pPr>
      <w:r w:rsidRPr="0061449F">
        <w:rPr>
          <w:rFonts w:ascii="Times New Roman" w:eastAsia="Times New Roman" w:hAnsi="Times New Roman" w:cs="Times New Roman"/>
          <w:b/>
          <w:bCs/>
          <w:sz w:val="24"/>
          <w:szCs w:val="24"/>
          <w:bdr w:val="none" w:sz="0" w:space="0" w:color="auto" w:frame="1"/>
          <w:lang w:val="sq-AL"/>
        </w:rPr>
        <w:t>Lidhja midis Qëllimit Politik 2 dhe Objektivave të Zhvillimit të Qëndrueshëm (OZHQ)</w:t>
      </w:r>
    </w:p>
    <w:p w14:paraId="10035D2F"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Times New Roman" w:hAnsi="Times New Roman" w:cs="Times New Roman"/>
          <w:sz w:val="24"/>
          <w:szCs w:val="24"/>
          <w:bdr w:val="none" w:sz="0" w:space="0" w:color="auto" w:frame="1"/>
          <w:lang w:val="sq-AL"/>
        </w:rPr>
        <w:t>Qëllimi Politik 2 lidhet me Objektivin 16 të Zhvillimit të Qëndrueshëm (OZHQ, “Promovimi i shoqërive paqësore dhe përfshirëse për zhvillim të qëndrueshëm, ofrim i aksesit në drejtësi për të gjithë dhe ndërtimi i institucioneve efektive, llogaridhënëse dhe gjithëpërfshirëse në të gjitha nivelet”.  SND 2024-2030, lidhet me nënobjektivin 16.3: “Promovimi i shtetit të së drejtës në nivelin kombëtar dhe ndërkombëtar dhe sigurimi i aksesit të barabartë në drejtësi për të gjithë”. Gjithashtu, SND 2024-2030, lidhet me nënobjektivin 16.6: “Zhvillimi i institucioneve efektive, llogaridhënëse dhe transparente në të gjitha nivelet”, me nënobjektivin 16.7: “Sigurimi i vendimmarrjes reaguese, përfshirëse, pjesëmarrëse dhe përfaqësuese në të gjitha nivelet” si dhe me nënobjektivin 16.10: “Sigurimi i aksesit të publikut në informacion dhe mbrojtja e lirive themelore, në përputhje me legjislacionin kombëtar dhe marrëveshjet ndërkombëtare”.</w:t>
      </w:r>
    </w:p>
    <w:p w14:paraId="6C1A96E8" w14:textId="77777777" w:rsidR="0061449F" w:rsidRPr="0061449F" w:rsidRDefault="0061449F" w:rsidP="0061449F">
      <w:pPr>
        <w:shd w:val="clear" w:color="auto" w:fill="FFFFFF"/>
        <w:spacing w:after="0" w:line="276" w:lineRule="auto"/>
        <w:jc w:val="both"/>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 xml:space="preserve">Objektivi Specifik 2.1:  </w:t>
      </w:r>
      <w:r w:rsidRPr="0061449F">
        <w:rPr>
          <w:rFonts w:ascii="Times New Roman" w:eastAsia="Calibri" w:hAnsi="Times New Roman" w:cs="Times New Roman"/>
          <w:bCs/>
          <w:sz w:val="24"/>
          <w:szCs w:val="24"/>
          <w:lang w:val="sq-AL"/>
        </w:rPr>
        <w:t>Garantimi i emërimeve dhe zhvillimit të karrierës së magjistratëve në sistemin e drejtësisë, bazuar në meritokraci.</w:t>
      </w:r>
      <w:r w:rsidRPr="0061449F">
        <w:rPr>
          <w:rFonts w:ascii="Times New Roman" w:eastAsia="Calibri" w:hAnsi="Times New Roman" w:cs="Times New Roman"/>
          <w:b/>
          <w:sz w:val="24"/>
          <w:szCs w:val="24"/>
          <w:lang w:val="sq-AL"/>
        </w:rPr>
        <w:t xml:space="preserve"> </w:t>
      </w:r>
    </w:p>
    <w:p w14:paraId="531C4362" w14:textId="77777777" w:rsidR="0061449F" w:rsidRPr="0061449F" w:rsidRDefault="0061449F" w:rsidP="0061449F">
      <w:pPr>
        <w:spacing w:after="0" w:line="276" w:lineRule="auto"/>
        <w:rPr>
          <w:rFonts w:ascii="Times New Roman" w:eastAsia="Calibri" w:hAnsi="Times New Roman" w:cs="Times New Roman"/>
          <w:sz w:val="24"/>
          <w:szCs w:val="24"/>
          <w:lang w:val="sq-AL"/>
        </w:rPr>
      </w:pPr>
    </w:p>
    <w:p w14:paraId="7E51DF3D" w14:textId="77777777" w:rsidR="0061449F" w:rsidRPr="0061449F" w:rsidRDefault="0061449F" w:rsidP="0061449F">
      <w:pPr>
        <w:spacing w:line="276" w:lineRule="auto"/>
        <w:jc w:val="both"/>
        <w:outlineLvl w:val="0"/>
        <w:rPr>
          <w:rFonts w:ascii="Times New Roman" w:eastAsia="Calibri" w:hAnsi="Times New Roman" w:cs="Times New Roman"/>
          <w:sz w:val="24"/>
          <w:szCs w:val="24"/>
          <w:bdr w:val="none" w:sz="0" w:space="0" w:color="auto" w:frame="1"/>
          <w:lang w:val="sq-AL"/>
        </w:rPr>
      </w:pPr>
      <w:r w:rsidRPr="0061449F">
        <w:rPr>
          <w:rFonts w:ascii="Times New Roman" w:eastAsia="Calibri" w:hAnsi="Times New Roman" w:cs="Times New Roman"/>
          <w:sz w:val="24"/>
          <w:szCs w:val="24"/>
          <w:bdr w:val="none" w:sz="0" w:space="0" w:color="auto" w:frame="1"/>
          <w:lang w:val="sq-AL"/>
        </w:rPr>
        <w:t xml:space="preserve">Objektivi specifik "Garantimi i emërimeve dhe zhvillimit të karrierës së magjistratëve në sistemin e drejtësisë, bazuar në meritokraci" synon të sigurojë që proceset e emërimit dhe promovimit të gjyqtarëve dhe prokurorëve të bazohen në kritere objektive, të qarta dhe të drejta me targete të qarta të vendosura në Udhërrëfyesin e Shtetit të së Drejtës që rrjedhin nga </w:t>
      </w:r>
      <w:r w:rsidRPr="0061449F">
        <w:rPr>
          <w:rFonts w:ascii="Times New Roman" w:eastAsia="Calibri" w:hAnsi="Times New Roman" w:cs="Times New Roman"/>
          <w:i/>
          <w:iCs/>
          <w:sz w:val="24"/>
          <w:szCs w:val="24"/>
          <w:bdr w:val="none" w:sz="0" w:space="0" w:color="auto" w:frame="1"/>
          <w:lang w:val="sq-AL"/>
        </w:rPr>
        <w:t>Screening Report</w:t>
      </w:r>
      <w:r w:rsidRPr="0061449F">
        <w:rPr>
          <w:rFonts w:ascii="Times New Roman" w:eastAsia="Calibri" w:hAnsi="Times New Roman" w:cs="Times New Roman"/>
          <w:sz w:val="24"/>
          <w:szCs w:val="24"/>
          <w:bdr w:val="none" w:sz="0" w:space="0" w:color="auto" w:frame="1"/>
          <w:lang w:val="sq-AL"/>
        </w:rPr>
        <w:t>. Ky objektiv është jetësor për të garantuar një sistem drejtësie që është i drejtë, i pavarur dhe i besueshëm për publikun.</w:t>
      </w:r>
    </w:p>
    <w:p w14:paraId="25EE22CB" w14:textId="77777777" w:rsidR="0061449F" w:rsidRPr="0061449F" w:rsidRDefault="0061449F" w:rsidP="0061449F">
      <w:pPr>
        <w:spacing w:line="276" w:lineRule="auto"/>
        <w:jc w:val="both"/>
        <w:outlineLvl w:val="0"/>
        <w:rPr>
          <w:rFonts w:ascii="Times New Roman" w:eastAsia="Calibri" w:hAnsi="Times New Roman" w:cs="Times New Roman"/>
          <w:sz w:val="24"/>
          <w:szCs w:val="24"/>
          <w:bdr w:val="none" w:sz="0" w:space="0" w:color="auto" w:frame="1"/>
          <w:lang w:val="sq-AL"/>
        </w:rPr>
      </w:pPr>
      <w:r w:rsidRPr="0061449F">
        <w:rPr>
          <w:rFonts w:ascii="Times New Roman" w:eastAsia="Calibri" w:hAnsi="Times New Roman" w:cs="Times New Roman"/>
          <w:sz w:val="24"/>
          <w:szCs w:val="24"/>
          <w:bdr w:val="none" w:sz="0" w:space="0" w:color="auto" w:frame="1"/>
          <w:lang w:val="sq-AL"/>
        </w:rPr>
        <w:t>Në Shqipëri, proceset e emërimit dhe promovimit të magjistratëve janë kryer nga Këshilli i Lartë Gjyqësor (KLGJ) dhe Këshilli i Lartë i Prokurorisë (KLP). Megjithatë, për të përmirësuar këto procese dhe për t'u siguruar që ato janë plotësisht transparente dhe të bazuara në meritë, këto institucione kanë rishikuar rregullat e tyre të brendshme. Ky rishikim synon të sigurojë që çdo emërim dhe ngritje në detyrë të bëhet mbi bazën e performancës, kompetencave profesionale, dhe integritetit të kandidatëve, duke shmangur çdo lloj ndikimi të padrejtë ose favorizimi.</w:t>
      </w:r>
    </w:p>
    <w:p w14:paraId="3BB9947F" w14:textId="77777777" w:rsidR="0061449F" w:rsidRPr="0061449F" w:rsidRDefault="0061449F" w:rsidP="0061449F">
      <w:pPr>
        <w:spacing w:line="276" w:lineRule="auto"/>
        <w:jc w:val="both"/>
        <w:outlineLvl w:val="0"/>
        <w:rPr>
          <w:rFonts w:ascii="Times New Roman" w:eastAsia="Calibri" w:hAnsi="Times New Roman" w:cs="Times New Roman"/>
          <w:sz w:val="24"/>
          <w:szCs w:val="24"/>
          <w:bdr w:val="none" w:sz="0" w:space="0" w:color="auto" w:frame="1"/>
          <w:lang w:val="sq-AL"/>
        </w:rPr>
      </w:pPr>
      <w:r w:rsidRPr="0061449F">
        <w:rPr>
          <w:rFonts w:ascii="Times New Roman" w:eastAsia="Calibri" w:hAnsi="Times New Roman" w:cs="Times New Roman"/>
          <w:sz w:val="24"/>
          <w:szCs w:val="24"/>
          <w:bdr w:val="none" w:sz="0" w:space="0" w:color="auto" w:frame="1"/>
          <w:lang w:val="sq-AL"/>
        </w:rPr>
        <w:t xml:space="preserve">Për të arritur këtë, KLGJ-ja dhe KLP-ja kanë vendosur të promovojnë transparencën në procesin e ngritjes në detyrë të gjyqtarëve dhe prokurorëve. Një aspekt kyç i kësaj është publikimi i rregullt i </w:t>
      </w:r>
      <w:r w:rsidRPr="0061449F">
        <w:rPr>
          <w:rFonts w:ascii="Times New Roman" w:eastAsia="Calibri" w:hAnsi="Times New Roman" w:cs="Times New Roman"/>
          <w:sz w:val="24"/>
          <w:szCs w:val="24"/>
          <w:bdr w:val="none" w:sz="0" w:space="0" w:color="auto" w:frame="1"/>
          <w:lang w:val="sq-AL"/>
        </w:rPr>
        <w:lastRenderedPageBreak/>
        <w:t>procedurave të ngritjes në detyrë, duke u dhënë të gjithë kandidatëve mundësinë për të marrë pjesë në këto procese në mënyrë të barabartë dhe të drejtë. Ky proces i hapur dhe transparent synon të forcojë besimin e publikut në sistemin e drejtësisë dhe të inkurajojë një kulturë të meritokracisë dhe profesionalizmit brenda këtij sistemi.</w:t>
      </w:r>
    </w:p>
    <w:p w14:paraId="5982A24E" w14:textId="77777777" w:rsidR="0061449F" w:rsidRPr="0061449F" w:rsidRDefault="0061449F" w:rsidP="0061449F">
      <w:pPr>
        <w:spacing w:line="276" w:lineRule="auto"/>
        <w:jc w:val="both"/>
        <w:outlineLvl w:val="0"/>
        <w:rPr>
          <w:rFonts w:ascii="Times New Roman" w:eastAsia="Calibri" w:hAnsi="Times New Roman" w:cs="Times New Roman"/>
          <w:sz w:val="24"/>
          <w:szCs w:val="24"/>
          <w:bdr w:val="none" w:sz="0" w:space="0" w:color="auto" w:frame="1"/>
          <w:lang w:val="sq-AL"/>
        </w:rPr>
      </w:pPr>
      <w:r w:rsidRPr="0061449F">
        <w:rPr>
          <w:rFonts w:ascii="Times New Roman" w:eastAsia="Calibri" w:hAnsi="Times New Roman" w:cs="Times New Roman"/>
          <w:sz w:val="24"/>
          <w:szCs w:val="24"/>
          <w:bdr w:val="none" w:sz="0" w:space="0" w:color="auto" w:frame="1"/>
          <w:lang w:val="sq-AL"/>
        </w:rPr>
        <w:t>Me anë të këtyre masave, Objektivi synon të sigurohet që karriera e magjistratëve të zhvillohet në mënyrë të drejtë dhe të bazuar në meritë, duke promovuar një sistem drejtësie që është i drejtë dhe i barabartë për të gjithë.</w:t>
      </w:r>
    </w:p>
    <w:p w14:paraId="03995FD5"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 xml:space="preserve">Rezultati i pritshëm: </w:t>
      </w:r>
    </w:p>
    <w:p w14:paraId="2DFE2B86" w14:textId="77777777" w:rsidR="0061449F" w:rsidRPr="0061449F" w:rsidRDefault="0061449F" w:rsidP="0061449F">
      <w:pPr>
        <w:numPr>
          <w:ilvl w:val="0"/>
          <w:numId w:val="72"/>
        </w:numPr>
        <w:shd w:val="clear" w:color="auto" w:fill="FFFFFF"/>
        <w:spacing w:after="0" w:line="276" w:lineRule="auto"/>
        <w:contextualSpacing/>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Deri në fund të vitit 2030 KLGJ dhe KLP arrijnë të zbatojnë 100% të planeve vjetore perkatëse të vlerësimit të rregullt etik dhe profesional të gjyqtarëve dhe prokurorëve.</w:t>
      </w:r>
    </w:p>
    <w:p w14:paraId="0AD86F8D" w14:textId="77777777" w:rsidR="0061449F" w:rsidRPr="0061449F" w:rsidRDefault="0061449F" w:rsidP="0061449F">
      <w:pPr>
        <w:numPr>
          <w:ilvl w:val="0"/>
          <w:numId w:val="72"/>
        </w:numPr>
        <w:shd w:val="clear" w:color="auto" w:fill="FFFFFF"/>
        <w:spacing w:after="0" w:line="276" w:lineRule="auto"/>
        <w:contextualSpacing/>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Deri në fund të vitit 2030, 80% e magjistratëve (gjyqtarë dhe prokurorë) janë vlerësuar me të paktën një vlerësim të plotë etik dhe profesional</w:t>
      </w:r>
    </w:p>
    <w:p w14:paraId="2C3C2CB8" w14:textId="77777777" w:rsidR="0061449F" w:rsidRPr="0061449F" w:rsidRDefault="0061449F" w:rsidP="0061449F">
      <w:pPr>
        <w:shd w:val="clear" w:color="auto" w:fill="FFFFFF"/>
        <w:spacing w:after="0" w:line="276" w:lineRule="auto"/>
        <w:ind w:left="720"/>
        <w:contextualSpacing/>
        <w:jc w:val="both"/>
        <w:rPr>
          <w:rFonts w:ascii="Times New Roman" w:eastAsia="Times New Roman" w:hAnsi="Times New Roman" w:cs="Times New Roman"/>
          <w:sz w:val="24"/>
          <w:szCs w:val="24"/>
          <w:bdr w:val="none" w:sz="0" w:space="0" w:color="auto" w:frame="1"/>
          <w:lang w:val="sq-AL"/>
        </w:rPr>
      </w:pPr>
    </w:p>
    <w:p w14:paraId="1B8C6709"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r w:rsidRPr="0061449F">
        <w:rPr>
          <w:rFonts w:ascii="Times New Roman" w:eastAsia="Times New Roman" w:hAnsi="Times New Roman" w:cs="Times New Roman"/>
          <w:b/>
          <w:sz w:val="24"/>
          <w:szCs w:val="24"/>
          <w:bdr w:val="none" w:sz="0" w:space="0" w:color="auto" w:frame="1"/>
          <w:lang w:val="sq-AL"/>
        </w:rPr>
        <w:t>Lidhja e objektivit specifik me nënkapitullin përkatës të BE-së, sipas MSA-së</w:t>
      </w:r>
    </w:p>
    <w:p w14:paraId="74599617" w14:textId="77777777" w:rsidR="0061449F" w:rsidRPr="0061449F" w:rsidRDefault="0061449F" w:rsidP="0061449F">
      <w:pPr>
        <w:shd w:val="clear" w:color="auto" w:fill="FFFFFF"/>
        <w:spacing w:before="100" w:beforeAutospacing="1" w:after="100" w:afterAutospacing="1" w:line="276" w:lineRule="auto"/>
        <w:jc w:val="both"/>
        <w:rPr>
          <w:rFonts w:ascii="Times New Roman" w:eastAsia="Times New Roman" w:hAnsi="Times New Roman" w:cs="Times New Roman"/>
          <w:sz w:val="24"/>
          <w:szCs w:val="24"/>
          <w:lang w:val="sq-AL"/>
        </w:rPr>
      </w:pPr>
      <w:bookmarkStart w:id="9" w:name="_Hlk174962714"/>
      <w:r w:rsidRPr="0061449F">
        <w:rPr>
          <w:rFonts w:ascii="Times New Roman" w:eastAsia="Times New Roman" w:hAnsi="Times New Roman" w:cs="Times New Roman"/>
          <w:sz w:val="24"/>
          <w:szCs w:val="24"/>
          <w:lang w:val="sq-AL"/>
        </w:rPr>
        <w:t xml:space="preserve"> Objektivi Specifik 1 lidhet me Kapitullin 23 “Gjyqësori dhe të Drejtat Themelore, me nenin 2 të MSA-së “Respekti për parimet demokratike dhe të drejtat e njeriut”, me nenin 78 të MSA-së “Fuqizimin e institucioneve dhe shtetit të së drejtës” dhe me nenin 88 “Bashkëpunimi statistikor” të MSA-së, e nënshkruar midis Republikës së Shqipërisë dhe Komuniteteve Evropiane të shteteve të tyre anëtare. Gjithashtu, ky qëllim objektiv lidhet me Planin Kombëtar për Integrimin Evropian 2024 – 2026 si dhe reflekton disa nga rekomandimet Raportit të Komisionit Evropian për Shqipërinë për vitin 2023. Objektivi Specifik 1 lidhet me Udhërrëfyesin për Shtetin e së Drejtës.</w:t>
      </w:r>
    </w:p>
    <w:bookmarkEnd w:id="9"/>
    <w:p w14:paraId="2BDFD7AF" w14:textId="77777777" w:rsidR="0061449F" w:rsidRPr="0061449F" w:rsidRDefault="0061449F" w:rsidP="0061449F">
      <w:pPr>
        <w:shd w:val="clear" w:color="auto" w:fill="FFFFFF"/>
        <w:spacing w:before="100" w:beforeAutospacing="1" w:after="100" w:afterAutospacing="1" w:line="276" w:lineRule="auto"/>
        <w:jc w:val="both"/>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sq-AL"/>
        </w:rPr>
        <w:t>Masat:</w:t>
      </w:r>
    </w:p>
    <w:p w14:paraId="45621AA2"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2.1.1 - Këshillat rishikojnë rregullat e tyre të brendshme me qëllim emërimin dhe zhvillimin e karrierës së magjistratëve në sistemin e drejtësisë, bazuar në meritokraci. </w:t>
      </w:r>
    </w:p>
    <w:p w14:paraId="5FA48C52"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2.1.2 - KLGJ-ja dhe KLP-ja sigurojnë më tej promovimin transparent të gjyqtarëve dhe prokurorëve duke publikuar rregullisht procedurat e ngritjes në detyrë</w:t>
      </w:r>
    </w:p>
    <w:p w14:paraId="46A80CF7"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p>
    <w:p w14:paraId="38063E24"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Treguesit kryesorë:</w:t>
      </w:r>
    </w:p>
    <w:p w14:paraId="628ABFD2" w14:textId="77777777" w:rsidR="0061449F" w:rsidRPr="0061449F" w:rsidRDefault="0061449F" w:rsidP="0061449F">
      <w:pPr>
        <w:numPr>
          <w:ilvl w:val="0"/>
          <w:numId w:val="10"/>
        </w:numPr>
        <w:spacing w:line="276" w:lineRule="auto"/>
        <w:ind w:left="720"/>
        <w:contextualSpacing/>
        <w:jc w:val="both"/>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t xml:space="preserve">% e gjyqtarëve/prokurorëve për të cilët është përfunduar vlerësimi i rregullt etik dhe profesional nga KLGJ-ja/KLP-ja në përputhje me planin vjetor </w:t>
      </w:r>
    </w:p>
    <w:p w14:paraId="7FEDC5D5" w14:textId="77777777" w:rsidR="0061449F" w:rsidRPr="0061449F" w:rsidRDefault="0061449F" w:rsidP="0061449F">
      <w:pPr>
        <w:numPr>
          <w:ilvl w:val="0"/>
          <w:numId w:val="10"/>
        </w:numPr>
        <w:spacing w:line="276" w:lineRule="auto"/>
        <w:ind w:left="720"/>
        <w:contextualSpacing/>
        <w:jc w:val="both"/>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t>% e gjyqtarëve/ prokurorëve në sistemin e drejtësisë  të vlerësuar me të paktën një vlerësim të plotë etiko-profesional</w:t>
      </w:r>
    </w:p>
    <w:p w14:paraId="5FCB87D2" w14:textId="77777777" w:rsidR="0061449F" w:rsidRPr="0061449F" w:rsidRDefault="0061449F" w:rsidP="0061449F">
      <w:pPr>
        <w:spacing w:line="276" w:lineRule="auto"/>
        <w:jc w:val="both"/>
        <w:rPr>
          <w:rFonts w:ascii="Times New Roman" w:eastAsia="Times New Roman" w:hAnsi="Times New Roman" w:cs="Times New Roman"/>
          <w:sz w:val="24"/>
          <w:szCs w:val="24"/>
          <w:lang w:val="sq-AL"/>
        </w:rPr>
      </w:pPr>
    </w:p>
    <w:p w14:paraId="1E265E7B" w14:textId="77777777" w:rsidR="0061449F" w:rsidRPr="0061449F" w:rsidRDefault="0061449F" w:rsidP="0061449F">
      <w:pPr>
        <w:spacing w:line="276" w:lineRule="auto"/>
        <w:jc w:val="both"/>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sq-AL"/>
        </w:rPr>
        <w:t xml:space="preserve">Objektivi Specifik 2.2 Forcimi i kapaciteteve institucionale, të magjistratëve edhe jo-magjistratëve për parandalimin dhe mbrojtjen nga ndërhyrjet e brendshme dhe të jashtme. </w:t>
      </w:r>
    </w:p>
    <w:p w14:paraId="41034A55"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lastRenderedPageBreak/>
        <w:t>Ky Objektiv është i rëndësishëm për ndërtimin e një sistemi drejtësie të qëndrueshëm dhe të pavarur, duke forcuar kapacitetet e institucioneve dhe individëve të përfshirë në këtë sistem për të parandaluar dhe mbrojtur nga ndikimet dhe ndërhyrjet e brendshme dhe të jashtme. Për të arritur këtë, janë parashikuar disa masa kyçe që përfshijnë forcimin e integritetit, reagimin ndaj ndikimeve të padrejta dhe mbledhjen e të dhënave për të adresuar këto ndikime.</w:t>
      </w:r>
    </w:p>
    <w:p w14:paraId="36477AD1"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6F3F78E4"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Një pjesë e rëndësishme e këtij Objektivi është forcimi i integritetit nëpërmjet trajnimit të ofruar nga Shkolla e Magjistraturës. Shkolla e Magjistraturës, në bashkëpunim me institucionet përkatëse, ofron programe trajnimi të specializuara për magjistratët dhe jo-magjistratët. Këto trajnime duhet të përqëndrohen në ndihmën e magjistratëve për të menaxhuar dhe mbrojtur veten nga ndikimet e brendshme dhe të jashtme që mund të kërcënojnë pavarësinë e tyre dhe integritetin e sistemit të drejtësisë.</w:t>
      </w:r>
    </w:p>
    <w:p w14:paraId="710DC247"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37E31CF2"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Në të njëjtën kohë, është e nevojshme që Këshillat të reagojnë ndaj deklaratave publike që ushtrojnë ndikim të padrejtë mbi magjistratët. Këshillat duhet të jenë të angazhuar për të marrë masa parandaluese ndaj këtyre ndikimeve dhe për të siguruar një mjedis të drejtë dhe të paanshëm për magjistratët, duke i mbrojtur ata nga presionet dhe ndikimet e jashtme që mund të dëmtojnë funksionimin e drejtë të sistemit të drejtësisë.</w:t>
      </w:r>
    </w:p>
    <w:p w14:paraId="1EDA5332"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38B6727E"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Për më tepër, mbledhja e të dhënave, analiza dhe vlerësimi i çështjeve janë të rëndësishme për të përballuar ndikimet e padrejta dhe presionet ndaj magjistratëve. Këto procese ndihmojnë në identifikimin e problemeve dhe në formimin e strategjive për t’i përballuar ato. Këshillat duhet të angazhohen në mbledhjen dhe analizimin e të dhënave për të reaguar në mënyrë të shpejtë dhe efikase ndaj presioneve politike, intimidimit dhe akuzave që mund të ndikojnë negativisht në integritetin e sistemit të drejtësisë.</w:t>
      </w:r>
    </w:p>
    <w:p w14:paraId="4A5310A2"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6FB1EDEA"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Nëpërmjet këtyre masave synohet krijimi i një ambienti të mbrojtur dhe të pavarur për magjistratët dhe institucionet që operojnë në sistemin e drejtësisë, duke forcuar kapacitetet e tyre për të parandaluar dhe mbrojtur nga ndërhyrjet e brendshme dhe të jashtme që mund të kërcënojnë funksionimin e drejtë dhe të paanshëm të këtij sistemi.</w:t>
      </w:r>
    </w:p>
    <w:p w14:paraId="18012CC3"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001EE6F9"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 xml:space="preserve">Rezultati i pritshëm:  </w:t>
      </w:r>
    </w:p>
    <w:p w14:paraId="3C8F7F6D" w14:textId="77777777" w:rsidR="0061449F" w:rsidRPr="0061449F" w:rsidRDefault="0061449F" w:rsidP="0061449F">
      <w:pPr>
        <w:numPr>
          <w:ilvl w:val="0"/>
          <w:numId w:val="72"/>
        </w:numPr>
        <w:shd w:val="clear" w:color="auto" w:fill="FFFFFF"/>
        <w:spacing w:after="0" w:line="276" w:lineRule="auto"/>
        <w:contextualSpacing/>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lang w:val="sq-AL" w:eastAsia="en-CA" w:bidi="sq-AL"/>
        </w:rPr>
        <w:t>Deri n</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Times New Roman" w:hAnsi="Times New Roman" w:cs="Times New Roman"/>
          <w:sz w:val="24"/>
          <w:szCs w:val="24"/>
          <w:lang w:val="sq-AL" w:eastAsia="en-CA" w:bidi="sq-AL"/>
        </w:rPr>
        <w:t xml:space="preserve"> fund t</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Times New Roman" w:hAnsi="Times New Roman" w:cs="Times New Roman"/>
          <w:sz w:val="24"/>
          <w:szCs w:val="24"/>
          <w:lang w:val="sq-AL" w:eastAsia="en-CA" w:bidi="sq-AL"/>
        </w:rPr>
        <w:t xml:space="preserve"> vitit 2030 garantohet p</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Times New Roman" w:hAnsi="Times New Roman" w:cs="Times New Roman"/>
          <w:sz w:val="24"/>
          <w:szCs w:val="24"/>
          <w:lang w:val="sq-AL" w:eastAsia="en-CA" w:bidi="sq-AL"/>
        </w:rPr>
        <w:t>rdorimi i sistemit elektronik n</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Times New Roman" w:hAnsi="Times New Roman" w:cs="Times New Roman"/>
          <w:sz w:val="24"/>
          <w:szCs w:val="24"/>
          <w:lang w:val="sq-AL" w:eastAsia="en-CA" w:bidi="sq-AL"/>
        </w:rPr>
        <w:t xml:space="preserve"> hedhjen e shortit p</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Times New Roman" w:hAnsi="Times New Roman" w:cs="Times New Roman"/>
          <w:sz w:val="24"/>
          <w:szCs w:val="24"/>
          <w:lang w:val="sq-AL" w:eastAsia="en-CA" w:bidi="sq-AL"/>
        </w:rPr>
        <w:t>r plot</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Times New Roman" w:hAnsi="Times New Roman" w:cs="Times New Roman"/>
          <w:sz w:val="24"/>
          <w:szCs w:val="24"/>
          <w:lang w:val="sq-AL" w:eastAsia="en-CA" w:bidi="sq-AL"/>
        </w:rPr>
        <w:t>simin e trupit gjykues. Shorti manual p</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Times New Roman" w:hAnsi="Times New Roman" w:cs="Times New Roman"/>
          <w:sz w:val="24"/>
          <w:szCs w:val="24"/>
          <w:lang w:val="sq-AL" w:eastAsia="en-CA" w:bidi="sq-AL"/>
        </w:rPr>
        <w:t>rdoret vet</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Times New Roman" w:hAnsi="Times New Roman" w:cs="Times New Roman"/>
          <w:sz w:val="24"/>
          <w:szCs w:val="24"/>
          <w:lang w:val="sq-AL" w:eastAsia="en-CA" w:bidi="sq-AL"/>
        </w:rPr>
        <w:t>m n</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Times New Roman" w:hAnsi="Times New Roman" w:cs="Times New Roman"/>
          <w:sz w:val="24"/>
          <w:szCs w:val="24"/>
          <w:lang w:val="sq-AL" w:eastAsia="en-CA" w:bidi="sq-AL"/>
        </w:rPr>
        <w:t xml:space="preserve"> raste p</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Times New Roman" w:hAnsi="Times New Roman" w:cs="Times New Roman"/>
          <w:sz w:val="24"/>
          <w:szCs w:val="24"/>
          <w:lang w:val="sq-AL" w:eastAsia="en-CA" w:bidi="sq-AL"/>
        </w:rPr>
        <w:t>rjashtimore.</w:t>
      </w:r>
    </w:p>
    <w:p w14:paraId="68184F70" w14:textId="77777777" w:rsidR="0061449F" w:rsidRPr="0061449F" w:rsidRDefault="0061449F" w:rsidP="0061449F">
      <w:pPr>
        <w:shd w:val="clear" w:color="auto" w:fill="FFFFFF"/>
        <w:spacing w:after="0" w:line="276" w:lineRule="auto"/>
        <w:ind w:left="720"/>
        <w:contextualSpacing/>
        <w:jc w:val="both"/>
        <w:rPr>
          <w:rFonts w:ascii="Times New Roman" w:eastAsia="Times New Roman" w:hAnsi="Times New Roman" w:cs="Times New Roman"/>
          <w:sz w:val="24"/>
          <w:szCs w:val="24"/>
          <w:bdr w:val="none" w:sz="0" w:space="0" w:color="auto" w:frame="1"/>
          <w:lang w:val="sq-AL"/>
        </w:rPr>
      </w:pPr>
    </w:p>
    <w:p w14:paraId="07AC77EC"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r w:rsidRPr="0061449F">
        <w:rPr>
          <w:rFonts w:ascii="Times New Roman" w:eastAsia="Times New Roman" w:hAnsi="Times New Roman" w:cs="Times New Roman"/>
          <w:b/>
          <w:sz w:val="24"/>
          <w:szCs w:val="24"/>
          <w:bdr w:val="none" w:sz="0" w:space="0" w:color="auto" w:frame="1"/>
          <w:lang w:val="sq-AL"/>
        </w:rPr>
        <w:t>Lidhja e objektivit specifik me nënkapitullin përkatës të BE-së, sipas MSA-së</w:t>
      </w:r>
    </w:p>
    <w:p w14:paraId="7E81525A" w14:textId="77777777" w:rsidR="0061449F" w:rsidRPr="0061449F" w:rsidRDefault="0061449F" w:rsidP="0061449F">
      <w:pPr>
        <w:spacing w:before="100" w:beforeAutospacing="1" w:after="100" w:afterAutospacing="1" w:line="276" w:lineRule="auto"/>
        <w:jc w:val="both"/>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t xml:space="preserve">Objektivi Specifik 2 lidhet me Kapitullin 23 “Gjyqësori dhe të Drejtat Themelore, me nenin 2 të MSA-së “Respekti për parimet demokratike dhe të drejtat e njeriut”, me nenin 78 të MSA-së “Fuqizimin e institucioneve dhe shtetit të së drejtës” dhe me nenin 88 “Bashkëpunimi statistikor” të MSA-së, e nënshkruar midis Republikës së Shqipërisë dhe Komuniteteve Evropiane të shteteve të tyre anëtare. Gjithashtu, ky qëllim politik lidhet me Planin Kombëtar për Integrimin Evropian 2024 – 2026 si dhe </w:t>
      </w:r>
      <w:r w:rsidRPr="0061449F">
        <w:rPr>
          <w:rFonts w:ascii="Times New Roman" w:eastAsia="Times New Roman" w:hAnsi="Times New Roman" w:cs="Times New Roman"/>
          <w:sz w:val="24"/>
          <w:szCs w:val="24"/>
          <w:lang w:val="sq-AL"/>
        </w:rPr>
        <w:lastRenderedPageBreak/>
        <w:t>reflekton disa nga rekomandimet Raportit të Komisionit Evropian për Shqipërinë për vitin 2023.Objektivi Specifik 2 lidhet me Udhërrëfyesin për Shtetin e së Drejtës.</w:t>
      </w:r>
    </w:p>
    <w:p w14:paraId="42413AAF" w14:textId="77777777" w:rsidR="0061449F" w:rsidRPr="0061449F" w:rsidRDefault="0061449F" w:rsidP="0061449F">
      <w:pPr>
        <w:spacing w:before="100" w:beforeAutospacing="1" w:after="100" w:afterAutospacing="1" w:line="276" w:lineRule="auto"/>
        <w:jc w:val="both"/>
        <w:rPr>
          <w:rFonts w:ascii="Times New Roman" w:eastAsia="Calibri" w:hAnsi="Times New Roman" w:cs="Times New Roman"/>
          <w:b/>
          <w:sz w:val="24"/>
          <w:szCs w:val="24"/>
          <w:bdr w:val="none" w:sz="0" w:space="0" w:color="auto" w:frame="1"/>
          <w:lang w:val="sq-AL"/>
        </w:rPr>
      </w:pPr>
      <w:r w:rsidRPr="0061449F">
        <w:rPr>
          <w:rFonts w:ascii="Times New Roman" w:eastAsia="Calibri" w:hAnsi="Times New Roman" w:cs="Times New Roman"/>
          <w:b/>
          <w:sz w:val="24"/>
          <w:szCs w:val="24"/>
          <w:bdr w:val="none" w:sz="0" w:space="0" w:color="auto" w:frame="1"/>
          <w:lang w:val="sq-AL"/>
        </w:rPr>
        <w:t>Masat:</w:t>
      </w:r>
    </w:p>
    <w:p w14:paraId="5B752C4E" w14:textId="77777777" w:rsidR="0061449F" w:rsidRPr="0061449F" w:rsidRDefault="0061449F" w:rsidP="0061449F">
      <w:pPr>
        <w:spacing w:after="0"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2.2.1 Forcimi i integritetit dhe trajnimi i ofruar nga Shkolla e Magjistraturës dhe institucionet e qeverisjes.</w:t>
      </w:r>
    </w:p>
    <w:p w14:paraId="39319948" w14:textId="77777777" w:rsidR="0061449F" w:rsidRPr="0061449F" w:rsidRDefault="0061449F" w:rsidP="0061449F">
      <w:pPr>
        <w:spacing w:after="0"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2.2.2 Këshillat reagojnë ndaj deklaratave publike ku ushtrohet ndikim i padrejtë mbi magjistratët dhe marrin masa parandaluese.</w:t>
      </w:r>
    </w:p>
    <w:p w14:paraId="3ED23D0B" w14:textId="77777777" w:rsidR="0061449F" w:rsidRPr="0061449F" w:rsidRDefault="0061449F" w:rsidP="0061449F">
      <w:pPr>
        <w:spacing w:after="0"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2.2.3 Mbledhja e të dhënave, analiza dhe vlerësimi i çështjeve ku Këshillat do te reagojnë përmes deklaratave publike ndaj presionit politik, intimidimit dhe akuzave ndaj magjistratëve</w:t>
      </w:r>
    </w:p>
    <w:p w14:paraId="227C9954" w14:textId="77777777" w:rsidR="0061449F" w:rsidRPr="0061449F" w:rsidRDefault="0061449F" w:rsidP="0061449F">
      <w:pPr>
        <w:spacing w:after="0" w:line="276" w:lineRule="auto"/>
        <w:jc w:val="both"/>
        <w:rPr>
          <w:rFonts w:ascii="Times New Roman" w:eastAsia="Calibri" w:hAnsi="Times New Roman" w:cs="Times New Roman"/>
          <w:sz w:val="24"/>
          <w:szCs w:val="24"/>
        </w:rPr>
      </w:pPr>
    </w:p>
    <w:p w14:paraId="2112E630"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Treguesit kryesorë:</w:t>
      </w:r>
    </w:p>
    <w:p w14:paraId="6D157B87" w14:textId="77777777" w:rsidR="0061449F" w:rsidRPr="0061449F" w:rsidRDefault="0061449F" w:rsidP="0061449F">
      <w:pPr>
        <w:numPr>
          <w:ilvl w:val="0"/>
          <w:numId w:val="10"/>
        </w:numPr>
        <w:spacing w:line="276" w:lineRule="auto"/>
        <w:ind w:left="720"/>
        <w:contextualSpacing/>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Numri i trajnimeve dhe i pjesëmarrësve (magjistratë dhe anëtarë të institucioneve) mbi tematika lidhur me rastet e ndërhyrjeve të brendshme dhe të jashtme</w:t>
      </w:r>
    </w:p>
    <w:p w14:paraId="6C30DDCE" w14:textId="77777777" w:rsidR="0061449F" w:rsidRPr="0061449F" w:rsidRDefault="0061449F" w:rsidP="0061449F">
      <w:pPr>
        <w:spacing w:line="276" w:lineRule="auto"/>
        <w:rPr>
          <w:rFonts w:ascii="Times New Roman" w:eastAsia="Calibri" w:hAnsi="Times New Roman" w:cs="Times New Roman"/>
          <w:b/>
          <w:bCs/>
          <w:lang w:val="sq-AL"/>
        </w:rPr>
      </w:pPr>
      <w:r w:rsidRPr="0061449F">
        <w:rPr>
          <w:rFonts w:ascii="Times New Roman" w:eastAsia="Calibri" w:hAnsi="Times New Roman" w:cs="Times New Roman"/>
          <w:b/>
          <w:bCs/>
          <w:lang w:val="sq-AL"/>
        </w:rPr>
        <w:t>Objektivi Specifik 2.3 -Sigurimi i zbatimit të njëtrajtshëm të standardeve të ndarjes së rastësishme të çështjeve.</w:t>
      </w:r>
      <w:r w:rsidRPr="0061449F">
        <w:rPr>
          <w:rFonts w:ascii="Times New Roman" w:eastAsia="Calibri" w:hAnsi="Times New Roman" w:cs="Times New Roman"/>
          <w:lang w:val="sq-AL"/>
        </w:rPr>
        <w:t xml:space="preserve"> </w:t>
      </w:r>
    </w:p>
    <w:p w14:paraId="29BA1A1A"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Ky Objektiv përqendrohet në forcimin e transparencës dhe paanshmërisë në sistemin e drejtësisë, duke siguruar që ndarja e çështjeve gjyqësore të bëhet në mënyrë të rastësishme dhe të paanshme. Kjo është thelbësore për të garantuar që çdo çështje të trajtohet në përputhje me ligjin dhe për të parandaluar çdo formë të mundshme të ndërhyrjes ose ndikimit të padrejtë në procesin gjyqësor.</w:t>
      </w:r>
    </w:p>
    <w:p w14:paraId="6388316F"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7ADD4EEE"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Për të arritur këtë qëllim, Këshillat e Gjyqësorit do të angazhohen në monitorimin e vazhdueshëm të çështjeve gjyqësore penale që lidhen me korrupsionin aktiv dhe pasiv në sistemin e drejtësisë. Ky monitorim ka për qëllim të identifikojë dhe adresojë çdo shkelje të mundshme në ndarjen e rastësishme të çështjeve, duke siguruar që çdo rast të trajtohet me drejtësi dhe pa ndikime të jashtme.</w:t>
      </w:r>
    </w:p>
    <w:p w14:paraId="1729F7F9"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401ADA82"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Një masë kyçe në këtë proces është vendosja e një sistemi të paralajmërimit të hershëm për monitorimin e ndarjes së çështjeve nga gjykatat. KLGJ-ja do të kryejë një analizë të thellë për të vendosur një sistem që do të garantojë një zbatim konsistent të ndarjes së rastësishme të çështjeve. Ky sistem do të ndihmojë në identifikimin e shpejtë të çdo problemi ose shkeljeje në proces dhe në zbatimin e masave korrigjuese kur është e nevojshme.</w:t>
      </w:r>
    </w:p>
    <w:p w14:paraId="613D78E7"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0E54214B"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Për më tepër, KLGJ-ja do të sigurojë që rregullat për ndarjen e rastësishme të çështjeve të zbatohen në mënyrë efikase dhe të qëndrueshme në të gjitha gjykatat dhe prokuroritë. Ky proces do të bazohet në kritere transparente dhe të drejta, duke garantuar se çdo çështje të trajtohet në mënyrë të barabartë dhe pa preferenca të padrejta.</w:t>
      </w:r>
    </w:p>
    <w:p w14:paraId="4C8DF8E3"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7D91F09B"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Në këtë mënyrë, ky objektiv synon të forcojë besimin në sistemin e drejtësisë duke garantuar një proces të drejtë dhe të paanshëm në ndarjen dhe trajtimin e çështjeve gjyqësore.</w:t>
      </w:r>
    </w:p>
    <w:p w14:paraId="62C869D6"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3D911693"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lastRenderedPageBreak/>
        <w:t xml:space="preserve">Rezultati i pritshëm:  </w:t>
      </w:r>
    </w:p>
    <w:p w14:paraId="021BEB75" w14:textId="77777777" w:rsidR="0061449F" w:rsidRPr="0061449F" w:rsidRDefault="0061449F" w:rsidP="0061449F">
      <w:pPr>
        <w:numPr>
          <w:ilvl w:val="0"/>
          <w:numId w:val="72"/>
        </w:numPr>
        <w:shd w:val="clear" w:color="auto" w:fill="FFFFFF"/>
        <w:spacing w:after="0" w:line="276" w:lineRule="auto"/>
        <w:contextualSpacing/>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Deri në fund të vitit 2030 magjistratët dhe anëtarët e institucioneve janë trajnuar rregullisht mbi tematika lidhur  me rastet e ndërhyrjeve të brendshme dhe të jashtme</w:t>
      </w:r>
    </w:p>
    <w:p w14:paraId="0424AA1E" w14:textId="77777777" w:rsidR="0061449F" w:rsidRPr="0061449F" w:rsidRDefault="0061449F" w:rsidP="0061449F">
      <w:pPr>
        <w:shd w:val="clear" w:color="auto" w:fill="FFFFFF"/>
        <w:spacing w:after="0" w:line="276" w:lineRule="auto"/>
        <w:ind w:left="720"/>
        <w:contextualSpacing/>
        <w:jc w:val="both"/>
        <w:rPr>
          <w:rFonts w:ascii="Times New Roman" w:eastAsia="Times New Roman" w:hAnsi="Times New Roman" w:cs="Times New Roman"/>
          <w:sz w:val="24"/>
          <w:szCs w:val="24"/>
          <w:bdr w:val="none" w:sz="0" w:space="0" w:color="auto" w:frame="1"/>
          <w:lang w:val="sq-AL"/>
        </w:rPr>
      </w:pPr>
    </w:p>
    <w:p w14:paraId="0D9F06BD"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r w:rsidRPr="0061449F">
        <w:rPr>
          <w:rFonts w:ascii="Times New Roman" w:eastAsia="Times New Roman" w:hAnsi="Times New Roman" w:cs="Times New Roman"/>
          <w:b/>
          <w:sz w:val="24"/>
          <w:szCs w:val="24"/>
          <w:bdr w:val="none" w:sz="0" w:space="0" w:color="auto" w:frame="1"/>
          <w:lang w:val="sq-AL"/>
        </w:rPr>
        <w:t>Lidhja e objektivit specifik me nënkapitullin përkatës të BE-së, sipas MSA-së</w:t>
      </w:r>
    </w:p>
    <w:p w14:paraId="28D22FDB"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p>
    <w:p w14:paraId="2282BFC9" w14:textId="77777777" w:rsidR="0061449F" w:rsidRPr="0061449F" w:rsidRDefault="0061449F" w:rsidP="0061449F">
      <w:pPr>
        <w:spacing w:before="100" w:beforeAutospacing="1" w:after="100" w:afterAutospacing="1" w:line="276" w:lineRule="auto"/>
        <w:jc w:val="both"/>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t>Objektivi Specifik 3 lidhet me Kapitullin 23 “Gjyqësori dhe të Drejtat Themelore, me nenin 2 të MSA-së “Respekti për parimet demokratike dhe të drejtat e njeriut”, me nenin 78 të MSA-së “Fuqizimin e institucioneve dhe shtetit të së drejtës” dhe me nenin 88 “Bashkëpunimi statistikor” të MSA-së, e nënshkruar midis Republikës së Shqipërisë dhe Komuniteteve Evropiane të shteteve të tyre anëtare. Gjithashtu, ky objektiv lidhet me Planin Kombëtar për Integrimin Evropian 2024 – 2026 si dhe reflekton disa nga rekomandimet Raportit të Komisionit Evropian për Shqipërinë për vitin 2023. Objektivi Specifik 3 lidhet me Udhërrëfyesin për Shtetin e së Drejtës.</w:t>
      </w:r>
    </w:p>
    <w:p w14:paraId="0D044E56" w14:textId="77777777" w:rsidR="0061449F" w:rsidRPr="0061449F" w:rsidRDefault="0061449F" w:rsidP="0061449F">
      <w:pPr>
        <w:spacing w:before="100" w:beforeAutospacing="1" w:after="100" w:afterAutospacing="1" w:line="276" w:lineRule="auto"/>
        <w:jc w:val="both"/>
        <w:rPr>
          <w:rFonts w:ascii="Times New Roman" w:eastAsia="Calibri" w:hAnsi="Times New Roman" w:cs="Times New Roman"/>
          <w:b/>
          <w:sz w:val="24"/>
          <w:szCs w:val="24"/>
          <w:bdr w:val="none" w:sz="0" w:space="0" w:color="auto" w:frame="1"/>
          <w:lang w:val="sq-AL"/>
        </w:rPr>
      </w:pPr>
      <w:r w:rsidRPr="0061449F">
        <w:rPr>
          <w:rFonts w:ascii="Times New Roman" w:eastAsia="Calibri" w:hAnsi="Times New Roman" w:cs="Times New Roman"/>
          <w:b/>
          <w:sz w:val="24"/>
          <w:szCs w:val="24"/>
          <w:bdr w:val="none" w:sz="0" w:space="0" w:color="auto" w:frame="1"/>
          <w:lang w:val="sq-AL"/>
        </w:rPr>
        <w:t>Masat:</w:t>
      </w:r>
    </w:p>
    <w:p w14:paraId="793DFFEF"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2.3.1 Monitorimi i vazhdueshëm kryhet nga Këshillat lidhur me çështjet gjyqësore penale të korrupsionit aktiv dhe pasiv në gjyqësor. </w:t>
      </w:r>
    </w:p>
    <w:p w14:paraId="5A906F58"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2.3.2 KLGJ-ja kryen një analizë për vendosjen e sistemit të paralajmërimit të hershëm të monitorimit të ndarjes së çështjeve nga gjykatat për të garantuar zbatimin konsistent të ndarjes së rastësishme të çështjeve dhe masat e duhura korrigjuese kur është e nevojshme. </w:t>
      </w:r>
    </w:p>
    <w:p w14:paraId="720C5A68"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2.3.3 KLGJ-ja siguron se rregullat për ndarjen e rastësishme të çështjeve zbatohen në mënyrë efikase dhe të qëndrueshme në gjykata dhe prokurori bazuar në kritere transparente dhe të drejta.</w:t>
      </w:r>
    </w:p>
    <w:p w14:paraId="5EF54702"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p>
    <w:p w14:paraId="02B2020E"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Treguesit kryesorë:</w:t>
      </w:r>
    </w:p>
    <w:p w14:paraId="02057CE6" w14:textId="77777777" w:rsidR="0061449F" w:rsidRPr="0061449F" w:rsidRDefault="0061449F" w:rsidP="0061449F">
      <w:pPr>
        <w:numPr>
          <w:ilvl w:val="0"/>
          <w:numId w:val="72"/>
        </w:numPr>
        <w:spacing w:line="276" w:lineRule="auto"/>
        <w:contextualSpacing/>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Numri i trajnimeve dhe pjesëmarrësve (magjistratë dhe anëtare të institucioneve) mbi tematika lidhur me rastet e ndërhyrjeve të brendshme dhe të jashtme</w:t>
      </w:r>
    </w:p>
    <w:p w14:paraId="279544AC" w14:textId="77777777" w:rsidR="0061449F" w:rsidRPr="0061449F" w:rsidRDefault="0061449F" w:rsidP="0061449F">
      <w:pPr>
        <w:spacing w:line="276" w:lineRule="auto"/>
        <w:rPr>
          <w:rFonts w:ascii="Times New Roman" w:eastAsia="Calibri" w:hAnsi="Times New Roman" w:cs="Times New Roman"/>
          <w:sz w:val="24"/>
          <w:szCs w:val="24"/>
          <w:lang w:val="sq-AL"/>
        </w:rPr>
      </w:pPr>
    </w:p>
    <w:p w14:paraId="24783F0B" w14:textId="77777777" w:rsidR="0061449F" w:rsidRPr="0061449F" w:rsidRDefault="0061449F" w:rsidP="0061449F">
      <w:pPr>
        <w:shd w:val="clear" w:color="auto" w:fill="FFFFFF"/>
        <w:spacing w:after="0" w:line="276" w:lineRule="auto"/>
        <w:jc w:val="both"/>
        <w:rPr>
          <w:rFonts w:ascii="Times New Roman" w:eastAsia="Calibri" w:hAnsi="Times New Roman" w:cs="Times New Roman"/>
          <w:b/>
          <w:bCs/>
          <w:lang w:val="sq-AL"/>
        </w:rPr>
      </w:pPr>
      <w:r w:rsidRPr="0061449F">
        <w:rPr>
          <w:rFonts w:ascii="Times New Roman" w:eastAsia="Calibri" w:hAnsi="Times New Roman" w:cs="Times New Roman"/>
          <w:b/>
          <w:bCs/>
          <w:lang w:val="sq-AL"/>
        </w:rPr>
        <w:t xml:space="preserve">Objektivi Specifik 2.4 - Sigurimi që kontrollet e figurës dhe pasurisë në sistemin e drejtësisë kryhen në përputhje me standardet e </w:t>
      </w:r>
      <w:r w:rsidRPr="0061449F">
        <w:rPr>
          <w:rFonts w:ascii="Times New Roman" w:eastAsia="Calibri" w:hAnsi="Times New Roman" w:cs="Times New Roman"/>
          <w:b/>
          <w:bCs/>
          <w:i/>
          <w:iCs/>
          <w:lang w:val="sq-AL"/>
        </w:rPr>
        <w:t>vetting</w:t>
      </w:r>
      <w:r w:rsidRPr="0061449F">
        <w:rPr>
          <w:rFonts w:ascii="Times New Roman" w:eastAsia="Calibri" w:hAnsi="Times New Roman" w:cs="Times New Roman"/>
          <w:b/>
          <w:bCs/>
          <w:lang w:val="sq-AL"/>
        </w:rPr>
        <w:t xml:space="preserve">-ut. </w:t>
      </w:r>
    </w:p>
    <w:p w14:paraId="34173C8C" w14:textId="77777777" w:rsidR="0061449F" w:rsidRPr="0061449F" w:rsidRDefault="0061449F" w:rsidP="0061449F">
      <w:pPr>
        <w:shd w:val="clear" w:color="auto" w:fill="FFFFFF"/>
        <w:spacing w:after="0" w:line="276" w:lineRule="auto"/>
        <w:jc w:val="both"/>
        <w:rPr>
          <w:rFonts w:ascii="Times New Roman" w:eastAsia="Calibri" w:hAnsi="Times New Roman" w:cs="Times New Roman"/>
          <w:b/>
          <w:bCs/>
          <w:lang w:val="sq-AL"/>
        </w:rPr>
      </w:pPr>
    </w:p>
    <w:p w14:paraId="7A7A9F7F"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Në përpjekje për të forcuar integritetin dhe transparencën në sistemin e drejtësisë, Objektivi Specifik 2.4 synon të sigurojë që kontrollet e figurës dhe pasurisë të anëtarëve të këtij sistemi të jenë në përputhje të plotë me standardet rigoroze të </w:t>
      </w:r>
      <w:r w:rsidRPr="0061449F">
        <w:rPr>
          <w:rFonts w:ascii="Times New Roman" w:eastAsia="Calibri" w:hAnsi="Times New Roman" w:cs="Times New Roman"/>
          <w:i/>
          <w:iCs/>
          <w:sz w:val="24"/>
          <w:szCs w:val="24"/>
          <w:lang w:val="sq-AL"/>
        </w:rPr>
        <w:t>vetting</w:t>
      </w:r>
      <w:r w:rsidRPr="0061449F">
        <w:rPr>
          <w:rFonts w:ascii="Times New Roman" w:eastAsia="Calibri" w:hAnsi="Times New Roman" w:cs="Times New Roman"/>
          <w:sz w:val="24"/>
          <w:szCs w:val="24"/>
          <w:lang w:val="sq-AL"/>
        </w:rPr>
        <w:t>-ut. Ky objektiv është thelbësor për të garantuar që zyrtarët gjyqësorë dhe prokurorët të jenë të paanshëm, të pavarur dhe të përmbushin standardet më të larta të integritetit.</w:t>
      </w:r>
    </w:p>
    <w:p w14:paraId="4D45C6C5"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08E74252"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Një masë kyçe e këtij objektivi është përfshirja e ILDKPKI-së, e cila ka për detyrë të sigurojë përditësimin e vazhdueshëm dhe të qëndrueshëm të deklaratave të pasurisë nga anëtarët e sistemit gjyqësor dhe të prokurorisë. Përmes këtij procesi, ILDKPKI-ja jo vetëm që grumbullon dhe analizon të </w:t>
      </w:r>
      <w:r w:rsidRPr="0061449F">
        <w:rPr>
          <w:rFonts w:ascii="Times New Roman" w:eastAsia="Calibri" w:hAnsi="Times New Roman" w:cs="Times New Roman"/>
          <w:sz w:val="24"/>
          <w:szCs w:val="24"/>
          <w:lang w:val="sq-AL"/>
        </w:rPr>
        <w:lastRenderedPageBreak/>
        <w:t xml:space="preserve">dhënat e deklaruara, por gjithashtu kryen hetime të thelluara për të identifikuar çdo parregullsi të mundshme. Në rastet kur zbulohen shkelje, çështjet i referohen prokurorisë për veprime të mëtejshme, duke u bazuar në standardet e larta të </w:t>
      </w:r>
      <w:r w:rsidRPr="0061449F">
        <w:rPr>
          <w:rFonts w:ascii="Times New Roman" w:eastAsia="Calibri" w:hAnsi="Times New Roman" w:cs="Times New Roman"/>
          <w:i/>
          <w:iCs/>
          <w:sz w:val="24"/>
          <w:szCs w:val="24"/>
          <w:lang w:val="sq-AL"/>
        </w:rPr>
        <w:t>vetting</w:t>
      </w:r>
      <w:r w:rsidRPr="0061449F">
        <w:rPr>
          <w:rFonts w:ascii="Times New Roman" w:eastAsia="Calibri" w:hAnsi="Times New Roman" w:cs="Times New Roman"/>
          <w:sz w:val="24"/>
          <w:szCs w:val="24"/>
          <w:lang w:val="sq-AL"/>
        </w:rPr>
        <w:t>-ut që janë vendosur tashmë.</w:t>
      </w:r>
    </w:p>
    <w:p w14:paraId="2AE7F398"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1F78E3B7"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Paralelisht, Këshilli i Lartë Gjyqësor (KLGJ) dhe Këshilli i Lartë i Prokurorisë (KLP) luajnë një rol të rëndësishëm në monitorimin sistematik të raporteve të deklarimit të pasurisë të siguruara nga ILDKPKI-ja. Këto këshilla ndjekin nga afër këto raporte dhe, nëse është e nevojshme, ndërmarrin hetime të mëtejshme për të siguruar që pasuria dhe figura e anëtarëve të sistemit gjyqësor të jenë të pajtueshme me standardet e kërkuara. Ky proces gjithashtu përfshin hetime efikase dhe, kur është e nevojshme, referime në prokurori për trajtimin e mëtejshëm të çështjeve.</w:t>
      </w:r>
    </w:p>
    <w:p w14:paraId="7BC4A09E"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4152D5FE"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Një tjetër masë e rëndësishme është përcaktimi i kriterit të eksperiencës në procesin e </w:t>
      </w:r>
      <w:r w:rsidRPr="004069E9">
        <w:rPr>
          <w:rFonts w:ascii="Times New Roman" w:eastAsia="Calibri" w:hAnsi="Times New Roman" w:cs="Times New Roman"/>
          <w:sz w:val="24"/>
          <w:szCs w:val="24"/>
          <w:lang w:val="sq-AL"/>
        </w:rPr>
        <w:t>vetting</w:t>
      </w:r>
      <w:r w:rsidRPr="0061449F">
        <w:rPr>
          <w:rFonts w:ascii="Times New Roman" w:eastAsia="Calibri" w:hAnsi="Times New Roman" w:cs="Times New Roman"/>
          <w:sz w:val="24"/>
          <w:szCs w:val="24"/>
          <w:lang w:val="sq-AL"/>
        </w:rPr>
        <w:t>-ut si kriter preferencial në shpalljet e reja nga KLGJ-ja dhe KLP-ja për vendet vakante. Kjo masë synon të përfshijë më tej ekspertizën dhe përvojën e atyre që kanë qenë pjesë e Komisionit të Pavarur të Kualifikimit (KPK) dhe Kolegjit të Posaçëm të Apelimit (KPA) në vendimmarrjet e reja. Duke bërë këtë, synohet që eksperienca e tyre në trajtimin e çështjeve të vetting-ut të kontribuojë në përmirësimin e cilësisë dhe efikasitetit të procesit të përzgjedhjes së kandidatëve për pozicione në sistemin e drejtësisë.</w:t>
      </w:r>
    </w:p>
    <w:p w14:paraId="21E85036"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6859E069"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Për më tepër, është parashikuar që deklaratat e pasurisë së anëtarëve të institucioneve të pavarura të drejtësisë të përditësohen dhe të verifikohen periodikisht. Ky hap është i domosdoshëm për të mbajtur një nivel të lartë të transparencës dhe për të garantuar që deklaratat e pasurisë të përputhen me realitetin dhe nuk fshehin pasuri të pashpjegueshme.</w:t>
      </w:r>
    </w:p>
    <w:p w14:paraId="5B031035"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1F91A8F5"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Në këtë mënyrë, ky objektiv synon të konsolidojë besimin e publikut në sistemin e drejtësisë duke siguruar që çdo zyrtar brenda tij të jetë i kontrolluar dhe i pajtueshëm me standardet e larta të </w:t>
      </w:r>
      <w:r w:rsidRPr="0061449F">
        <w:rPr>
          <w:rFonts w:ascii="Times New Roman" w:eastAsia="Calibri" w:hAnsi="Times New Roman" w:cs="Times New Roman"/>
          <w:i/>
          <w:iCs/>
          <w:sz w:val="24"/>
          <w:szCs w:val="24"/>
          <w:lang w:val="sq-AL"/>
        </w:rPr>
        <w:t>vetting</w:t>
      </w:r>
      <w:r w:rsidRPr="0061449F">
        <w:rPr>
          <w:rFonts w:ascii="Times New Roman" w:eastAsia="Calibri" w:hAnsi="Times New Roman" w:cs="Times New Roman"/>
          <w:sz w:val="24"/>
          <w:szCs w:val="24"/>
          <w:lang w:val="sq-AL"/>
        </w:rPr>
        <w:t xml:space="preserve">-ut, duke mbrojtur kështu integritetin e gjithë sistemit dhe duke siguruar që përvojat më të mira të procesit të </w:t>
      </w:r>
      <w:r w:rsidRPr="0061449F">
        <w:rPr>
          <w:rFonts w:ascii="Times New Roman" w:eastAsia="Calibri" w:hAnsi="Times New Roman" w:cs="Times New Roman"/>
          <w:i/>
          <w:iCs/>
          <w:sz w:val="24"/>
          <w:szCs w:val="24"/>
          <w:lang w:val="sq-AL"/>
        </w:rPr>
        <w:t>vetting</w:t>
      </w:r>
      <w:r w:rsidRPr="0061449F">
        <w:rPr>
          <w:rFonts w:ascii="Times New Roman" w:eastAsia="Calibri" w:hAnsi="Times New Roman" w:cs="Times New Roman"/>
          <w:sz w:val="24"/>
          <w:szCs w:val="24"/>
          <w:lang w:val="sq-AL"/>
        </w:rPr>
        <w:t>-ut të integrohen në të ardhmen e këtij sistemi.</w:t>
      </w:r>
    </w:p>
    <w:p w14:paraId="320B8177"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7E72907D"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 xml:space="preserve">Rezultati i pritshëm:  </w:t>
      </w:r>
    </w:p>
    <w:p w14:paraId="0C1DF896" w14:textId="77777777" w:rsidR="0061449F" w:rsidRPr="0061449F" w:rsidRDefault="0061449F" w:rsidP="0061449F">
      <w:pPr>
        <w:numPr>
          <w:ilvl w:val="0"/>
          <w:numId w:val="72"/>
        </w:numPr>
        <w:shd w:val="clear" w:color="auto" w:fill="FFFFFF"/>
        <w:spacing w:after="0" w:line="276" w:lineRule="auto"/>
        <w:contextualSpacing/>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ILDKPI garanton  efikasitetin e mekanizmave të kontrollit dhe të masave kundra shkeljeve  në lidhje me deklarimin e pasuris</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p</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r subjektet q</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i n</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nshtrohen k</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tij detyrimi dhe kontribuon n</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nd</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rgjegjesimin e subjekteve, i reflektuar  n</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nj</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trend konstant ose n</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ulje t</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numrit t</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masave administrative ndaj subjekteve t</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kontrollit.</w:t>
      </w:r>
    </w:p>
    <w:p w14:paraId="74D638A1"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p>
    <w:p w14:paraId="594763C9"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r w:rsidRPr="0061449F">
        <w:rPr>
          <w:rFonts w:ascii="Times New Roman" w:eastAsia="Times New Roman" w:hAnsi="Times New Roman" w:cs="Times New Roman"/>
          <w:b/>
          <w:sz w:val="24"/>
          <w:szCs w:val="24"/>
          <w:bdr w:val="none" w:sz="0" w:space="0" w:color="auto" w:frame="1"/>
          <w:lang w:val="sq-AL"/>
        </w:rPr>
        <w:t>Lidhja e Objektivit Specifik me nënkapitullin përkatës të BE-së, sipas MSA-së</w:t>
      </w:r>
    </w:p>
    <w:p w14:paraId="22CBF40F" w14:textId="77777777" w:rsidR="0061449F" w:rsidRPr="0061449F" w:rsidRDefault="0061449F" w:rsidP="0061449F">
      <w:pPr>
        <w:spacing w:before="100" w:beforeAutospacing="1" w:after="100" w:afterAutospacing="1" w:line="276" w:lineRule="auto"/>
        <w:jc w:val="both"/>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t xml:space="preserve">Objektivi Specifik 4 lidhet me Kapitullin 23 “Gjyqësori dhe të Drejtat Themelore, me nenin 2 të MSA-së “Respekti për parimet demokratike dhe të drejtat e njeriut”, me nenin 78 të MSA-së “Fuqizimin e institucioneve dhe shtetit të së drejtës” dhe me nenin 88 “Bashkëpunimi statistikor” të MSA-së, e nënshkruar midis Republikës së Shqipërisë dhe Komuniteteve Evropiane të shteteve të tyre anëtare. Gjithashtu, ky qëllim objektiv lidhet me Planin Kombëtar për Integrimin Evropian 2024 – 2026 si dhe </w:t>
      </w:r>
      <w:r w:rsidRPr="0061449F">
        <w:rPr>
          <w:rFonts w:ascii="Times New Roman" w:eastAsia="Times New Roman" w:hAnsi="Times New Roman" w:cs="Times New Roman"/>
          <w:sz w:val="24"/>
          <w:szCs w:val="24"/>
          <w:lang w:val="sq-AL"/>
        </w:rPr>
        <w:lastRenderedPageBreak/>
        <w:t>reflekton disa nga rekomandimet Raportit të Komisionit Evropian për Shqipërinë për vitin 2023.Objektivi Specifik 4 lidhet me Udhërrëfyesin për Shtetin e së Drejtës.</w:t>
      </w:r>
    </w:p>
    <w:p w14:paraId="055E955B" w14:textId="77777777" w:rsidR="0061449F" w:rsidRPr="0061449F" w:rsidRDefault="0061449F" w:rsidP="0061449F">
      <w:pPr>
        <w:spacing w:before="100" w:beforeAutospacing="1" w:after="100" w:afterAutospacing="1" w:line="276" w:lineRule="auto"/>
        <w:jc w:val="both"/>
        <w:rPr>
          <w:rFonts w:ascii="Times New Roman" w:eastAsia="Times New Roman" w:hAnsi="Times New Roman" w:cs="Times New Roman"/>
          <w:sz w:val="24"/>
          <w:szCs w:val="24"/>
          <w:lang w:val="sq-AL"/>
        </w:rPr>
      </w:pPr>
    </w:p>
    <w:p w14:paraId="1894767D" w14:textId="77777777" w:rsidR="0061449F" w:rsidRPr="0061449F" w:rsidRDefault="0061449F" w:rsidP="0061449F">
      <w:pPr>
        <w:spacing w:before="100" w:beforeAutospacing="1" w:after="100" w:afterAutospacing="1" w:line="276" w:lineRule="auto"/>
        <w:jc w:val="both"/>
        <w:rPr>
          <w:rFonts w:ascii="Times New Roman" w:eastAsia="Times New Roman" w:hAnsi="Times New Roman" w:cs="Times New Roman"/>
          <w:sz w:val="24"/>
          <w:szCs w:val="24"/>
          <w:lang w:val="sq-AL"/>
        </w:rPr>
      </w:pPr>
    </w:p>
    <w:p w14:paraId="12925641" w14:textId="77777777" w:rsidR="0061449F" w:rsidRPr="0061449F" w:rsidRDefault="0061449F" w:rsidP="0061449F">
      <w:pPr>
        <w:spacing w:before="100" w:beforeAutospacing="1" w:after="100" w:afterAutospacing="1" w:line="276" w:lineRule="auto"/>
        <w:jc w:val="both"/>
        <w:rPr>
          <w:rFonts w:ascii="Times New Roman" w:eastAsia="Calibri" w:hAnsi="Times New Roman" w:cs="Times New Roman"/>
          <w:b/>
          <w:sz w:val="24"/>
          <w:szCs w:val="24"/>
          <w:bdr w:val="none" w:sz="0" w:space="0" w:color="auto" w:frame="1"/>
          <w:lang w:val="sq-AL"/>
        </w:rPr>
      </w:pPr>
      <w:r w:rsidRPr="0061449F">
        <w:rPr>
          <w:rFonts w:ascii="Times New Roman" w:eastAsia="Calibri" w:hAnsi="Times New Roman" w:cs="Times New Roman"/>
          <w:b/>
          <w:sz w:val="24"/>
          <w:szCs w:val="24"/>
          <w:bdr w:val="none" w:sz="0" w:space="0" w:color="auto" w:frame="1"/>
          <w:lang w:val="sq-AL"/>
        </w:rPr>
        <w:t>Masat:</w:t>
      </w:r>
    </w:p>
    <w:p w14:paraId="1303C1F9"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2.4.1 ILDKPKI-ja siguron përditësime të vazhdueshme dhe të qëndrueshme të deklaratave të pasurisë së anëtarëve të sistemit gjyqësor dhe të prokurorisë dhe heton dhe raporton çështjet, sipas rastit, në prokurori, bazuar në praktikën e vendosur nga standardet e larta të procesit të vetting-ut.</w:t>
      </w:r>
    </w:p>
    <w:p w14:paraId="12353671"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p>
    <w:p w14:paraId="1E763D62"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2.4.2 KLGJ-ja dhe KLP-ja sigurojnë ndjekjen sistematike të raporteve të deklarimit të pasurisë nga ILDKPKI-ja dhe hetime të mëtejshme në kontekstin e shqyrtimit të pasurisë dhe të figurës së tyre, duke përfshirë sigurimin e hetimeve efikase në vijim dhe referimin në prokurori.</w:t>
      </w:r>
    </w:p>
    <w:p w14:paraId="391D9226"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p>
    <w:p w14:paraId="3E7C8276"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2.4.3 Deklaratat e pasurisë së anëtarëve të institucioneve të pavarura të drejtësisë përditësohen dhe verifikohen në mënyrë periodike.</w:t>
      </w:r>
    </w:p>
    <w:p w14:paraId="49A5CDB8"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p>
    <w:p w14:paraId="78D1F869"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Treguesit kryesorë:</w:t>
      </w:r>
    </w:p>
    <w:p w14:paraId="2A33DBEB" w14:textId="77777777" w:rsidR="0061449F" w:rsidRPr="0061449F" w:rsidRDefault="0061449F" w:rsidP="0061449F">
      <w:pPr>
        <w:numPr>
          <w:ilvl w:val="0"/>
          <w:numId w:val="10"/>
        </w:numPr>
        <w:spacing w:line="276" w:lineRule="auto"/>
        <w:ind w:left="720"/>
        <w:contextualSpacing/>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Numri i masave administrative ndaj subjekteve të organeve të gjyqësore, në lidhje me kontrollet e plota të kryera ndaj tyre</w:t>
      </w:r>
    </w:p>
    <w:p w14:paraId="22887EF2" w14:textId="77777777" w:rsidR="0061449F" w:rsidRPr="0061449F" w:rsidRDefault="0061449F" w:rsidP="0061449F">
      <w:pPr>
        <w:spacing w:line="276" w:lineRule="auto"/>
        <w:rPr>
          <w:rFonts w:ascii="Times New Roman" w:eastAsia="Calibri" w:hAnsi="Times New Roman" w:cs="Times New Roman"/>
          <w:sz w:val="24"/>
          <w:szCs w:val="24"/>
          <w:lang w:val="sq-AL"/>
        </w:rPr>
      </w:pPr>
    </w:p>
    <w:p w14:paraId="697AC2B5" w14:textId="77777777" w:rsidR="0061449F" w:rsidRPr="0061449F" w:rsidRDefault="0061449F" w:rsidP="0061449F">
      <w:pPr>
        <w:shd w:val="clear" w:color="auto" w:fill="FFFFFF"/>
        <w:spacing w:after="0" w:line="276" w:lineRule="auto"/>
        <w:jc w:val="both"/>
        <w:rPr>
          <w:rFonts w:ascii="Times New Roman" w:eastAsia="Calibri" w:hAnsi="Times New Roman" w:cs="Times New Roman"/>
          <w:b/>
          <w:bCs/>
          <w:lang w:val="sq-AL"/>
        </w:rPr>
      </w:pPr>
      <w:r w:rsidRPr="0061449F">
        <w:rPr>
          <w:rFonts w:ascii="Times New Roman" w:eastAsia="Calibri" w:hAnsi="Times New Roman" w:cs="Times New Roman"/>
          <w:b/>
          <w:bCs/>
          <w:lang w:val="sq-AL"/>
        </w:rPr>
        <w:t>Objektivi Specifik 2.5 - Përforcimi i mekanizmave të llogaridhënies së magjistratëve.</w:t>
      </w:r>
    </w:p>
    <w:p w14:paraId="258C8DD2" w14:textId="77777777" w:rsidR="0061449F" w:rsidRPr="0061449F" w:rsidRDefault="0061449F" w:rsidP="0061449F">
      <w:pPr>
        <w:shd w:val="clear" w:color="auto" w:fill="FFFFFF"/>
        <w:spacing w:after="0" w:line="276" w:lineRule="auto"/>
        <w:jc w:val="both"/>
        <w:rPr>
          <w:rFonts w:ascii="Times New Roman" w:eastAsia="Calibri" w:hAnsi="Times New Roman" w:cs="Times New Roman"/>
          <w:b/>
          <w:bCs/>
          <w:lang w:val="sq-AL"/>
        </w:rPr>
      </w:pPr>
    </w:p>
    <w:p w14:paraId="1C2972A1"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Nëpërmjet këtij Objektivi synohet të forcohen mekanizmat e llogaridhënies për magjistratët, duke krijuar një kornizë të fortë që garanton paanshmëri, pavarësi dhe integritet në sistemin gjyqësor shqiptar. Për të arritur këtë, është e nevojshme që Inspektoriati i Lartë i Drejtësisë (ILD) të ketë kapacitetet e duhura për të kryer detyrat e tij me efikasitet dhe pavarësi.</w:t>
      </w:r>
    </w:p>
    <w:p w14:paraId="7D1F4CF2"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34D7E48A"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Një nga masat kryesore për të përmbushur këtë Objektiv është hartimi i rregullave për përbërjen dhe vjetërsinë e ILD-së, duke vendosur garanci të mjaftueshme për të siguruar që ky organ të jetë i mbrojtur nga çdo ndikim i drejtpërdrejtë ose i tërthortë nga legjislativi dhe ekzekutivi. Këto rregulla janë të nevojshme për të ruajtur paanshmërinë dhe profesionalizmin e ILD-së, duke garantuar kështu integritetin e proceseve të saj.</w:t>
      </w:r>
    </w:p>
    <w:p w14:paraId="59674917"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6A6BD1B7"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Një tjetër masë e rëndësishme është plotësimi gradual i vakancave në radhët e inspektorëve të ILD-së. Për këtë qëllim, është e rëndësishme që pozicioni i inspektorit të jetë tërheqës dhe të përfshijë masa për përforcimin e stafit mbështetës të ILD-së, në mënyrë që ky institucion të mund të përmbushë nevojat e tij objektive dhe të funksionojë në mënyrë efikase.</w:t>
      </w:r>
    </w:p>
    <w:p w14:paraId="45595BEE"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10289C5F"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Gjithashtu, burimet konsistente dhe të përshtatshme të akorduara nga Këshilli i Lartë Gjyqësor (KLGJ) dhe Këshilli i Lartë i Prokurorisë (KLP) janë një tjetër komponent thelbësor për përforcimin e llogaridhënies së magjistratëve. Këto burime duhet të sigurojnë që hetimet disiplinore të iniciuara nga ILD-ja të kryhen në kohë dhe në mënyrë sistematike, duke rritur kështu efektivitetin e këtyre hetimeve dhe duke garantuar zbatimin e standardeve të larta të llogaridhënies.</w:t>
      </w:r>
    </w:p>
    <w:p w14:paraId="01039300"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Për më tepër, rregullat për monitorimin periodik të telekomunikacionit të personelit të Gjykatave Posaçme kundër Korrupsionit dhe Krimit të Organizuar janë përcaktuar për të siguruar që sistemi të funksionojë në përputhje me parimet e proporcionalitetit, qartësisë dhe parashikueshmërisë. Zbatimi i këtij sistemi është një tjetër masë kyçe për të siguruar që monitorimi të jetë i drejtë dhe në përputhje me standardet evropiane, duke ruajtur kështu integritetin e procesit.</w:t>
      </w:r>
    </w:p>
    <w:p w14:paraId="012B1A1B"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6D952CA3"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Së fundmi, zbatimi dhe ndjekja e mëtejshme e dokumenteve strategjike të KLGJ-së për hetimin administrativ të sinjalizuesve dhe shqyrtimin e rasteve të korrupsionit brenda KLGJ-së është thelbësore për të garantuar që çdo rast korrupsioni të trajtohet me seriozitetin dhe efikasitetin e duhur. Këto masa synojnë të përforcojnë transparencën dhe llogaridhënien në sistemin gjyqësor, duke rritur kështu besimin e publikut në këtë institucion dhe duke kontribuar në forcimin e sundimit të ligjit në Shqipëri.</w:t>
      </w:r>
    </w:p>
    <w:p w14:paraId="0EDE62B6"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p>
    <w:p w14:paraId="047DA43B"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 xml:space="preserve">Rezultati i pritshëm:  </w:t>
      </w:r>
    </w:p>
    <w:p w14:paraId="6312232E" w14:textId="77777777" w:rsidR="0061449F" w:rsidRPr="0061449F" w:rsidRDefault="0061449F" w:rsidP="0061449F">
      <w:pPr>
        <w:numPr>
          <w:ilvl w:val="0"/>
          <w:numId w:val="72"/>
        </w:numPr>
        <w:spacing w:line="276" w:lineRule="auto"/>
        <w:contextualSpacing/>
        <w:jc w:val="both"/>
        <w:outlineLvl w:val="0"/>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Deri n</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fund t</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vitit 2030 ILD zbaton 100% t</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planeve vjetore t</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inspektimeve pranë gjykatave dhe prokurorive</w:t>
      </w:r>
    </w:p>
    <w:p w14:paraId="49DC7AF2" w14:textId="77777777" w:rsidR="0061449F" w:rsidRPr="0061449F" w:rsidRDefault="0061449F" w:rsidP="0061449F">
      <w:pPr>
        <w:numPr>
          <w:ilvl w:val="0"/>
          <w:numId w:val="72"/>
        </w:numPr>
        <w:spacing w:line="276" w:lineRule="auto"/>
        <w:contextualSpacing/>
        <w:jc w:val="both"/>
        <w:outlineLvl w:val="0"/>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Deri n</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fund t</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vitit 2030 garantohet konfirmimi nga Keshillat (KLGJ, KLP) i nj</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p</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rqindjeje t</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lart</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t</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k</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rkesave t</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ILD p</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r aplikimin e nj</w:t>
      </w:r>
      <w:r w:rsidRPr="0061449F">
        <w:rPr>
          <w:rFonts w:ascii="Times New Roman" w:eastAsia="Times New Roman" w:hAnsi="Times New Roman" w:cs="Times New Roman"/>
          <w:sz w:val="24"/>
          <w:szCs w:val="24"/>
          <w:bdr w:val="none" w:sz="0" w:space="0" w:color="auto" w:frame="1"/>
          <w:lang w:val="sq-AL"/>
        </w:rPr>
        <w:t>ë</w:t>
      </w:r>
      <w:r w:rsidRPr="0061449F">
        <w:rPr>
          <w:rFonts w:ascii="Times New Roman" w:eastAsia="Calibri" w:hAnsi="Times New Roman" w:cs="Times New Roman"/>
          <w:bCs/>
          <w:sz w:val="24"/>
          <w:szCs w:val="24"/>
          <w:lang w:val="sq-AL"/>
        </w:rPr>
        <w:t xml:space="preserve"> mase disiplinore.</w:t>
      </w:r>
    </w:p>
    <w:p w14:paraId="2A656A96" w14:textId="77777777" w:rsidR="0061449F" w:rsidRPr="0061449F" w:rsidRDefault="0061449F" w:rsidP="0061449F">
      <w:pPr>
        <w:shd w:val="clear" w:color="auto" w:fill="FFFFFF"/>
        <w:spacing w:after="0" w:line="276" w:lineRule="auto"/>
        <w:ind w:left="720"/>
        <w:contextualSpacing/>
        <w:jc w:val="both"/>
        <w:rPr>
          <w:rFonts w:ascii="Times New Roman" w:eastAsia="Times New Roman" w:hAnsi="Times New Roman" w:cs="Times New Roman"/>
          <w:sz w:val="24"/>
          <w:szCs w:val="24"/>
          <w:bdr w:val="none" w:sz="0" w:space="0" w:color="auto" w:frame="1"/>
          <w:lang w:val="sq-AL"/>
        </w:rPr>
      </w:pPr>
    </w:p>
    <w:p w14:paraId="0FB6B9B6"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r w:rsidRPr="0061449F">
        <w:rPr>
          <w:rFonts w:ascii="Times New Roman" w:eastAsia="Times New Roman" w:hAnsi="Times New Roman" w:cs="Times New Roman"/>
          <w:b/>
          <w:sz w:val="24"/>
          <w:szCs w:val="24"/>
          <w:bdr w:val="none" w:sz="0" w:space="0" w:color="auto" w:frame="1"/>
          <w:lang w:val="sq-AL"/>
        </w:rPr>
        <w:t>Lidhja e Objektivit Specifik me nënkapitullin përkatës të BE-së, sipas MSA-së</w:t>
      </w:r>
    </w:p>
    <w:p w14:paraId="6FFF3DF3" w14:textId="77777777" w:rsidR="0061449F" w:rsidRPr="0061449F" w:rsidRDefault="0061449F" w:rsidP="0061449F">
      <w:pPr>
        <w:spacing w:before="100" w:beforeAutospacing="1" w:after="100" w:afterAutospacing="1" w:line="276" w:lineRule="auto"/>
        <w:jc w:val="both"/>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t>Objektivi Specifik 5 lidhet me Kapitullin 23 “Gjyqësori dhe të Drejtat Themelore, me nenin 2 të MSA-së “Respekti për parimet demokratike dhe të drejtat e njeriut”, me nenin 78 të MSA-së “Fuqizimin e institucioneve dhe shtetit të së drejtës” dhe me nenin 88 “Bashkëpunimi statistikor” të MSA-së, e nënshkruar midis Republikës së Shqipërisë dhe Komuniteteve Evropiane të shteteve të tyre anëtare. Gjithashtu, ky objektiv lidhet me Planin Kombëtar për Integrimin Evropian 2024 – 2026 si dhe reflekton disa nga rekomandimet Raportit të Komisionit Evropian për Shqipërinë për vitin 2023. Objektivi Specifik 5 lidhet me Udhërrëfyesin për Shtetin e së Drejtës.</w:t>
      </w:r>
    </w:p>
    <w:p w14:paraId="2DF89461" w14:textId="77777777" w:rsidR="0061449F" w:rsidRPr="0061449F" w:rsidRDefault="0061449F" w:rsidP="0061449F">
      <w:pPr>
        <w:spacing w:before="100" w:beforeAutospacing="1" w:after="100" w:afterAutospacing="1" w:line="276" w:lineRule="auto"/>
        <w:jc w:val="both"/>
        <w:rPr>
          <w:rFonts w:ascii="Times New Roman" w:eastAsia="Calibri" w:hAnsi="Times New Roman" w:cs="Times New Roman"/>
          <w:b/>
          <w:sz w:val="24"/>
          <w:szCs w:val="24"/>
          <w:bdr w:val="none" w:sz="0" w:space="0" w:color="auto" w:frame="1"/>
          <w:lang w:val="sq-AL"/>
        </w:rPr>
      </w:pPr>
      <w:r w:rsidRPr="0061449F">
        <w:rPr>
          <w:rFonts w:ascii="Times New Roman" w:eastAsia="Calibri" w:hAnsi="Times New Roman" w:cs="Times New Roman"/>
          <w:b/>
          <w:sz w:val="24"/>
          <w:szCs w:val="24"/>
          <w:bdr w:val="none" w:sz="0" w:space="0" w:color="auto" w:frame="1"/>
          <w:lang w:val="sq-AL"/>
        </w:rPr>
        <w:t>Masat:</w:t>
      </w:r>
    </w:p>
    <w:p w14:paraId="346125E1"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2.5.2 Hartimi i rregullave për përbërjen dhe vjetërsinë e ILD-së, të cilat vendosin garanci të kënaqshme të paanshmërisë, pavarësisë dhe profesionalizmit për mbrojtjen e organit nga ndikimi i drejtpërdrejtë ose i tërthortë i legjislativit dhe ekzekutivit </w:t>
      </w:r>
    </w:p>
    <w:p w14:paraId="0DF6FE03"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p>
    <w:p w14:paraId="577B6153"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lastRenderedPageBreak/>
        <w:t xml:space="preserve">2.5.2 Plotësimi gradual i vakancave në rradhët e inspektorëve në ILD, me masa që synojnë që ky pozicion të jetë tërheqës dhe stafi mbështetës i ILD-së është përforcuar dhe i përgjigjet nevojave objektive të institucionit.  </w:t>
      </w:r>
    </w:p>
    <w:p w14:paraId="33519BBF"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p>
    <w:p w14:paraId="5CD0CC1F"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2.5.3 Burimet konsistente dhe të përshtatshme të akorduara nga KLP-ja dhe KLGJ-ja për kryerjen e hetimit disiplinor të iniciuar nga ILD-ja në kohë dhe në mënyrë sistematike.</w:t>
      </w:r>
    </w:p>
    <w:p w14:paraId="5133A404"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p>
    <w:p w14:paraId="452816BA"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2.5.4 Rregullat e zbatuara për monitorimin periodik të telekomunikimeve të personelit të Gjykatave Posaçme kundër Korrupsionit dhe Krimit të Organizuar duhet të përcaktohen për ta bërë sistemin funksional në përputhje me parimet e proporcionalitetit, qartësisë dhe parashikueshmërisë. Sistemi është zbatuar në përputhje me standardet evropiane.  </w:t>
      </w:r>
    </w:p>
    <w:p w14:paraId="2DFCBF47"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p>
    <w:p w14:paraId="5442DB3C"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2.5.5 Zbatimi dhe ndjekja e mëtejshme e dokumenteve strategjike të KLGJ-së për hetimin administrativ të sinjalizuesve dhe shqyrtimin e rasteve të korrupsionit brenda KLGJ-së.</w:t>
      </w:r>
    </w:p>
    <w:p w14:paraId="23E181D6" w14:textId="77777777" w:rsidR="0061449F" w:rsidRPr="0061449F" w:rsidRDefault="0061449F" w:rsidP="0061449F">
      <w:pPr>
        <w:spacing w:after="0" w:line="276" w:lineRule="auto"/>
        <w:jc w:val="both"/>
        <w:rPr>
          <w:rFonts w:ascii="Times New Roman" w:eastAsia="Calibri" w:hAnsi="Times New Roman" w:cs="Times New Roman"/>
          <w:sz w:val="24"/>
          <w:szCs w:val="24"/>
          <w:lang w:val="sq-AL"/>
        </w:rPr>
      </w:pPr>
    </w:p>
    <w:p w14:paraId="1D3EBDF2"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Treguesit kryesorë:</w:t>
      </w:r>
    </w:p>
    <w:p w14:paraId="0B09A02B" w14:textId="77777777" w:rsidR="0061449F" w:rsidRPr="0061449F" w:rsidRDefault="0061449F" w:rsidP="0061449F">
      <w:pPr>
        <w:numPr>
          <w:ilvl w:val="0"/>
          <w:numId w:val="10"/>
        </w:numPr>
        <w:spacing w:line="276" w:lineRule="auto"/>
        <w:ind w:left="720"/>
        <w:contextualSpacing/>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Numri i inspektimeve të përfunduara sipas planit vjetor të inspektimeve pranë gjykatave dhe prokurorive </w:t>
      </w:r>
    </w:p>
    <w:p w14:paraId="0B524E64" w14:textId="77777777" w:rsidR="0061449F" w:rsidRPr="0061449F" w:rsidRDefault="0061449F" w:rsidP="0061449F">
      <w:pPr>
        <w:numPr>
          <w:ilvl w:val="0"/>
          <w:numId w:val="10"/>
        </w:numPr>
        <w:spacing w:line="276" w:lineRule="auto"/>
        <w:ind w:left="720"/>
        <w:contextualSpacing/>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e vendimeve të KLGJ-së/KLP-së, që konfirmojnë kërkesën e ILD-së per shkelje disiplinore</w:t>
      </w:r>
    </w:p>
    <w:p w14:paraId="6F9611B7" w14:textId="77777777" w:rsidR="0061449F" w:rsidRPr="0061449F" w:rsidRDefault="0061449F" w:rsidP="0061449F">
      <w:pPr>
        <w:spacing w:line="276" w:lineRule="auto"/>
        <w:jc w:val="both"/>
        <w:rPr>
          <w:rFonts w:ascii="Times New Roman" w:eastAsia="Calibri" w:hAnsi="Times New Roman" w:cs="Times New Roman"/>
          <w:b/>
          <w:sz w:val="24"/>
          <w:szCs w:val="24"/>
          <w:lang w:val="sq-AL"/>
        </w:rPr>
      </w:pPr>
    </w:p>
    <w:p w14:paraId="6B328CF1" w14:textId="77777777" w:rsidR="0061449F" w:rsidRPr="0061449F" w:rsidRDefault="0061449F" w:rsidP="0061449F">
      <w:pPr>
        <w:spacing w:line="276" w:lineRule="auto"/>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Qellimi Politik 3</w:t>
      </w:r>
    </w:p>
    <w:p w14:paraId="0D55F64F" w14:textId="77777777" w:rsidR="0061449F" w:rsidRPr="0061449F" w:rsidRDefault="0061449F" w:rsidP="0061449F">
      <w:pPr>
        <w:spacing w:line="276" w:lineRule="auto"/>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Rritja e efikasitetit të institucioneve në sistemin e drejtësisë</w:t>
      </w:r>
    </w:p>
    <w:p w14:paraId="35D6F8CF" w14:textId="77777777" w:rsidR="0061449F" w:rsidRPr="0061449F" w:rsidRDefault="0061449F" w:rsidP="0061449F">
      <w:pPr>
        <w:spacing w:after="0" w:line="276" w:lineRule="auto"/>
        <w:jc w:val="both"/>
        <w:rPr>
          <w:rFonts w:ascii="Times New Roman" w:eastAsia="Times New Roman" w:hAnsi="Times New Roman" w:cs="Times New Roman"/>
          <w:sz w:val="24"/>
          <w:szCs w:val="24"/>
          <w:shd w:val="clear" w:color="auto" w:fill="FFFFFF"/>
          <w:lang w:val="sq-AL"/>
        </w:rPr>
      </w:pPr>
      <w:r w:rsidRPr="0061449F">
        <w:rPr>
          <w:rFonts w:ascii="Times New Roman" w:eastAsia="Times New Roman" w:hAnsi="Times New Roman" w:cs="Times New Roman"/>
          <w:sz w:val="24"/>
          <w:szCs w:val="24"/>
          <w:shd w:val="clear" w:color="auto" w:fill="FFFFFF"/>
          <w:lang w:val="sq-AL"/>
        </w:rPr>
        <w:t xml:space="preserve">Me qëllim hartimin e masave të reja që trajtojnë rekomandimet specifike të Raportit të Shqyrtimit dhe përputhen me angazhimet e ndërmarra nga Shqipëria në Udhërrëfyesin për Shtetin e së Drejtës për sa i përket efikasitetit dhe cilësisë së sistemit të drejtësisë është parashikuar ky Qëllim Politik, i cili është zbërthyer për realizimin e tij në disa Objektiva specifikë. </w:t>
      </w:r>
    </w:p>
    <w:p w14:paraId="1313FB50" w14:textId="77777777" w:rsidR="0061449F" w:rsidRPr="0061449F" w:rsidRDefault="0061449F" w:rsidP="0061449F">
      <w:pPr>
        <w:spacing w:after="0" w:line="276" w:lineRule="auto"/>
        <w:jc w:val="both"/>
        <w:rPr>
          <w:rFonts w:ascii="Times New Roman" w:eastAsia="Times New Roman" w:hAnsi="Times New Roman" w:cs="Times New Roman"/>
          <w:sz w:val="24"/>
          <w:szCs w:val="24"/>
          <w:shd w:val="clear" w:color="auto" w:fill="FFFFFF"/>
          <w:lang w:val="sq-AL"/>
        </w:rPr>
      </w:pPr>
    </w:p>
    <w:p w14:paraId="009CE4F0" w14:textId="77777777" w:rsidR="0061449F" w:rsidRPr="0061449F" w:rsidRDefault="0061449F" w:rsidP="0061449F">
      <w:pPr>
        <w:spacing w:after="0" w:line="276" w:lineRule="auto"/>
        <w:jc w:val="both"/>
        <w:rPr>
          <w:rFonts w:ascii="Times New Roman" w:eastAsia="Times New Roman" w:hAnsi="Times New Roman" w:cs="Times New Roman"/>
          <w:sz w:val="24"/>
          <w:szCs w:val="24"/>
          <w:shd w:val="clear" w:color="auto" w:fill="FFFFFF"/>
          <w:lang w:val="sq-AL"/>
        </w:rPr>
      </w:pPr>
      <w:r w:rsidRPr="0061449F">
        <w:rPr>
          <w:rFonts w:ascii="Times New Roman" w:eastAsia="Times New Roman" w:hAnsi="Times New Roman" w:cs="Times New Roman"/>
          <w:sz w:val="24"/>
          <w:szCs w:val="24"/>
          <w:shd w:val="clear" w:color="auto" w:fill="FFFFFF"/>
          <w:lang w:val="sq-AL"/>
        </w:rPr>
        <w:t>Në këto dokumente konstatohet se p</w:t>
      </w:r>
      <w:r w:rsidRPr="0061449F">
        <w:rPr>
          <w:rFonts w:ascii="Times New Roman" w:eastAsia="Calibri" w:hAnsi="Times New Roman" w:cs="Times New Roman"/>
          <w:sz w:val="24"/>
          <w:szCs w:val="24"/>
          <w:shd w:val="clear" w:color="auto" w:fill="FFFFFF"/>
          <w:lang w:val="sq-AL"/>
        </w:rPr>
        <w:t>ër të përmirësuar efikasitetin e sistemit gjyqësor dhe të prokurorisë, është e nevojshme të miratohet një plan veprimi që përfshin rishikimin e ligjeve dhe rregullave procedurale lidhur me masat që synojnë rritjen e efikasitetit, përfshirë edhe mjetet alternative të zgjidhjes së mosmarrëveshjeve. Ky plan duhet të adresojë problemet e kohëzgjatjes së procedurave, rendimentin e ulët dhe numrin e madh të çështjeve të pazgjidhura. Ndërkohë, është e rëndësishme të avancohen emërimet në sistemin e drejtësisë, duke përfshirë plotësimin e vakancave në Gjykatën e Lartë dhe SPAK, si dhe trajtimin e çështjeve të prapambetura në Gjykatën e Apelit dhe gjykatat e shkallës së parë.</w:t>
      </w:r>
    </w:p>
    <w:p w14:paraId="1E07797F" w14:textId="77777777" w:rsidR="0061449F" w:rsidRPr="0061449F" w:rsidRDefault="0061449F" w:rsidP="0061449F">
      <w:pPr>
        <w:spacing w:after="0" w:line="276" w:lineRule="auto"/>
        <w:jc w:val="both"/>
        <w:rPr>
          <w:rFonts w:ascii="Times New Roman" w:eastAsia="Times New Roman" w:hAnsi="Times New Roman" w:cs="Times New Roman"/>
          <w:sz w:val="24"/>
          <w:szCs w:val="24"/>
          <w:shd w:val="clear" w:color="auto" w:fill="FFFFFF"/>
          <w:lang w:val="sq-AL"/>
        </w:rPr>
      </w:pPr>
    </w:p>
    <w:p w14:paraId="1FCCBA5B" w14:textId="77777777" w:rsidR="0061449F" w:rsidRPr="0061449F" w:rsidRDefault="0061449F" w:rsidP="0061449F">
      <w:pPr>
        <w:spacing w:line="276" w:lineRule="auto"/>
        <w:jc w:val="both"/>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shd w:val="clear" w:color="auto" w:fill="FFFFFF"/>
          <w:lang w:val="sq-AL"/>
        </w:rPr>
        <w:t xml:space="preserve">Në këtë kontekst Qëllimi Politik 3 synon përmirësimin e kapacitetit të Këshillit të Lartë Gjyqësor (KLGJ) dhe gjykatave, duke përfshirë Gjykatën e Lartë, për të zbatuar masa që do të rrisin efikasitetin e tyre operativ. Po ashtu, janë parashikuar masa konkrete për përmirësimin e kapaciteteve të Prokurorisë së Përgjithshme dhe Këshillit të Lartë të Prokurorisë (KLP), si dhe i zyrave të prokurorisë, për të implementuar strategji që do të optimizojnë efikasitetin e punës së tyre. </w:t>
      </w:r>
    </w:p>
    <w:p w14:paraId="0C160366"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lastRenderedPageBreak/>
        <w:t>Një tjetër aspekt kyç është përmirësimi i kapacitetit të Prokurorisë Speciale Antikorrupsion dhe Byrosë Kombëtare të Hetimit. Këto institucione duhet të sigurojnë hetime dhe procedime penale që janë në përputhje me standardet më të larta ndërkombëtare. Në të njëjtën kohë, është e nevojshme të promovohen dhe përkrahen mekanizmat e zgjidhjes alternative të mosmarrëveshjeve, që ofrojnë një mënyrë më efikase dhe të shpejtë për të trajtuar konfliktet.</w:t>
      </w:r>
    </w:p>
    <w:p w14:paraId="438D2314"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lang w:val="sq-AL"/>
        </w:rPr>
      </w:pPr>
    </w:p>
    <w:p w14:paraId="18878F3F"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shd w:val="clear" w:color="auto" w:fill="FFFFFF"/>
          <w:lang w:val="sq-AL"/>
        </w:rPr>
      </w:pPr>
      <w:r w:rsidRPr="0061449F">
        <w:rPr>
          <w:rFonts w:ascii="Times New Roman" w:eastAsia="Times New Roman" w:hAnsi="Times New Roman" w:cs="Times New Roman"/>
          <w:sz w:val="24"/>
          <w:szCs w:val="24"/>
          <w:shd w:val="clear" w:color="auto" w:fill="FFFFFF"/>
          <w:lang w:val="sq-AL"/>
        </w:rPr>
        <w:t>Përdorimi i teknologjisë së informacionit dhe komunikimit është gjithashtu një faktor kyç në rritjen e efikasitetit të gjykatave dhe prokurorive. Implementimi i mjeteve moderne teknologjike do të ndihmojë në përshpejtimin e proçeseve dhe përmirësimin e menaxhimit të informacionit. Gjithashtu, ky qëllim politike synon përmirësimin e kapaciteteve të Ministrisë së Drejtësisë dhe institucioneve të varësisë për të forcuar aksesin në drejtësi për të gjithë qytetarët, duke siguruar që sistemi i drejtësisë të jetë më i aksesueshëm dhe më i efektshëm në ofrimin e shërbimeve të tij.</w:t>
      </w:r>
    </w:p>
    <w:p w14:paraId="238F1EEF"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lang w:val="sq-AL"/>
        </w:rPr>
      </w:pPr>
    </w:p>
    <w:p w14:paraId="44A26F65" w14:textId="77777777" w:rsidR="0061449F" w:rsidRPr="0061449F" w:rsidRDefault="0061449F" w:rsidP="0061449F">
      <w:pPr>
        <w:spacing w:line="276" w:lineRule="auto"/>
        <w:jc w:val="both"/>
        <w:rPr>
          <w:rFonts w:ascii="Times New Roman" w:eastAsia="Times New Roman" w:hAnsi="Times New Roman" w:cs="Times New Roman"/>
          <w:sz w:val="24"/>
          <w:szCs w:val="24"/>
          <w:shd w:val="clear" w:color="auto" w:fill="FFFFFF"/>
          <w:lang w:val="sq-AL"/>
        </w:rPr>
      </w:pPr>
      <w:r w:rsidRPr="0061449F">
        <w:rPr>
          <w:rFonts w:ascii="Times New Roman" w:eastAsia="Times New Roman" w:hAnsi="Times New Roman" w:cs="Times New Roman"/>
          <w:sz w:val="24"/>
          <w:szCs w:val="24"/>
          <w:shd w:val="clear" w:color="auto" w:fill="FFFFFF"/>
          <w:lang w:val="sq-AL"/>
        </w:rPr>
        <w:t>Përmbushja e këtyre objektivave është thelbësore për të ndërtuar një sistem të drejtësisë më të fortë dhe më të drejtë, i cili do të kontribuojë në forcimin e sundimit të ligjit dhe në rritjen e besimit të qytetarëve në institucionet e drejtësisë. Investimi në kapacitetet dhe teknologjitë e reja do të ndihmojë në përmirësimin e efikasitetit dhe transparencës, duke e bërë sistemin e drejtësisë më të përshtatshëm dhe të efektshëm për nevojat e shoqërisë.</w:t>
      </w:r>
    </w:p>
    <w:p w14:paraId="269854DA" w14:textId="77777777" w:rsidR="0061449F" w:rsidRPr="0061449F" w:rsidRDefault="0061449F" w:rsidP="0061449F">
      <w:pPr>
        <w:shd w:val="clear" w:color="auto" w:fill="FFFFFF"/>
        <w:spacing w:after="0" w:line="276" w:lineRule="auto"/>
        <w:jc w:val="both"/>
        <w:textAlignment w:val="baseline"/>
        <w:rPr>
          <w:rFonts w:ascii="Times New Roman" w:eastAsia="MS Mincho" w:hAnsi="Times New Roman" w:cs="Times New Roman"/>
          <w:bCs/>
          <w:sz w:val="24"/>
          <w:szCs w:val="24"/>
          <w:lang w:val="sq-AL"/>
        </w:rPr>
      </w:pPr>
      <w:r w:rsidRPr="0061449F">
        <w:rPr>
          <w:rFonts w:ascii="Times New Roman" w:eastAsia="MS Mincho" w:hAnsi="Times New Roman" w:cs="Times New Roman"/>
          <w:bCs/>
          <w:sz w:val="24"/>
          <w:szCs w:val="24"/>
          <w:lang w:val="sq-AL"/>
        </w:rPr>
        <w:t>Për arritjen e këtij Qëllimi Politik, institucionet përgjegjëse, në bashkëpunim me institucionet e tjera, partnerë vendas dhe ndërkombëtarë, do të fokusohen në përmbushjen e gjashtë objektivave specifikë:</w:t>
      </w:r>
    </w:p>
    <w:p w14:paraId="3CFBFCE5" w14:textId="77777777" w:rsidR="0061449F" w:rsidRPr="0061449F" w:rsidRDefault="0061449F" w:rsidP="0061449F">
      <w:pPr>
        <w:shd w:val="clear" w:color="auto" w:fill="FFFFFF"/>
        <w:spacing w:after="0" w:line="276" w:lineRule="auto"/>
        <w:textAlignment w:val="baseline"/>
        <w:rPr>
          <w:rFonts w:ascii="Segoe UI" w:eastAsia="Times New Roman" w:hAnsi="Segoe UI" w:cs="Segoe UI"/>
          <w:sz w:val="23"/>
          <w:szCs w:val="23"/>
          <w:lang w:val="sq-AL"/>
        </w:rPr>
      </w:pPr>
    </w:p>
    <w:p w14:paraId="2A21C4E5"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Objektivi Specifik 3.1</w:t>
      </w:r>
      <w:r w:rsidRPr="0061449F">
        <w:rPr>
          <w:rFonts w:ascii="Times New Roman" w:eastAsia="Calibri" w:hAnsi="Times New Roman" w:cs="Times New Roman"/>
          <w:sz w:val="24"/>
          <w:szCs w:val="24"/>
          <w:lang w:val="sq-AL"/>
        </w:rPr>
        <w:t xml:space="preserve"> - Përmirësimi i kapacitetit të KLGJ dhe gjykatave, përfshirë GJL, për zbatimin e masave që rrisin efikasitetin.</w:t>
      </w:r>
    </w:p>
    <w:p w14:paraId="6C8B47A7"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Objektivi Specifik 3.2</w:t>
      </w:r>
      <w:r w:rsidRPr="0061449F">
        <w:rPr>
          <w:rFonts w:ascii="Times New Roman" w:eastAsia="Calibri" w:hAnsi="Times New Roman" w:cs="Times New Roman"/>
          <w:sz w:val="24"/>
          <w:szCs w:val="24"/>
          <w:lang w:val="sq-AL"/>
        </w:rPr>
        <w:t xml:space="preserve"> - Përmirësimi i kapacitetit të PP, KLP dhe zyrave të prokurorisë, për zbatimin e masave që rrisin efikasitetin.</w:t>
      </w:r>
    </w:p>
    <w:p w14:paraId="3648AFEE"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Objektivi Specifik 3.3</w:t>
      </w:r>
      <w:r w:rsidRPr="0061449F">
        <w:rPr>
          <w:rFonts w:ascii="Times New Roman" w:eastAsia="Calibri" w:hAnsi="Times New Roman" w:cs="Times New Roman"/>
          <w:sz w:val="24"/>
          <w:szCs w:val="24"/>
          <w:lang w:val="sq-AL"/>
        </w:rPr>
        <w:t xml:space="preserve"> - Përmirësimi i kapacitetit të Prokurorisë Speciale Antikorrupsion dhe Byrosë Kombëtare të Hetimit me qëllim sigurimin e hetimeve dhe procedimeve penale efikase në përputhje me standardet më të mira ndërkombëtare.</w:t>
      </w:r>
    </w:p>
    <w:p w14:paraId="1D92046C"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Objektivi Specifik 3.4</w:t>
      </w:r>
      <w:r w:rsidRPr="0061449F">
        <w:rPr>
          <w:rFonts w:ascii="Times New Roman" w:eastAsia="Calibri" w:hAnsi="Times New Roman" w:cs="Times New Roman"/>
          <w:sz w:val="24"/>
          <w:szCs w:val="24"/>
          <w:lang w:val="sq-AL"/>
        </w:rPr>
        <w:t xml:space="preserve"> - Përkrahja/promovimi dhe rritja e përdorimit të mekanizmave të zgjidhjes alternative me marrëveshje.</w:t>
      </w:r>
    </w:p>
    <w:p w14:paraId="05C0573D"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Objektivi Specifik 3.5</w:t>
      </w:r>
      <w:r w:rsidRPr="0061449F">
        <w:rPr>
          <w:rFonts w:ascii="Times New Roman" w:eastAsia="Calibri" w:hAnsi="Times New Roman" w:cs="Times New Roman"/>
          <w:sz w:val="24"/>
          <w:szCs w:val="24"/>
          <w:lang w:val="sq-AL"/>
        </w:rPr>
        <w:t xml:space="preserve"> - Rritja e efikasitetit në gjykata dhe prokurori me anë të mjeteve të Teknologjisë së Informacionit dhe komunikimit.</w:t>
      </w:r>
    </w:p>
    <w:p w14:paraId="3EDF74E2"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Objektivi Specifik 3.6</w:t>
      </w:r>
      <w:r w:rsidRPr="0061449F">
        <w:rPr>
          <w:rFonts w:ascii="Times New Roman" w:eastAsia="Calibri" w:hAnsi="Times New Roman" w:cs="Times New Roman"/>
          <w:sz w:val="24"/>
          <w:szCs w:val="24"/>
          <w:lang w:val="sq-AL"/>
        </w:rPr>
        <w:t xml:space="preserve"> - Përmirësimi i kapaciteteve të MD dhe institucioneve të varësisë për të përforcuar aksesin në drejtësi.</w:t>
      </w:r>
    </w:p>
    <w:p w14:paraId="1D93E502" w14:textId="77777777" w:rsidR="0061449F" w:rsidRPr="0061449F" w:rsidRDefault="0061449F" w:rsidP="0061449F">
      <w:pPr>
        <w:shd w:val="clear" w:color="auto" w:fill="FFFFFF"/>
        <w:spacing w:after="0" w:line="276" w:lineRule="auto"/>
        <w:jc w:val="both"/>
        <w:rPr>
          <w:rFonts w:ascii="Times New Roman" w:eastAsia="Calibri" w:hAnsi="Times New Roman" w:cs="Times New Roman"/>
          <w:b/>
          <w:sz w:val="24"/>
          <w:szCs w:val="24"/>
          <w:bdr w:val="none" w:sz="0" w:space="0" w:color="auto" w:frame="1"/>
          <w:lang w:val="sq-AL"/>
        </w:rPr>
      </w:pPr>
      <w:r w:rsidRPr="0061449F">
        <w:rPr>
          <w:rFonts w:ascii="Times New Roman" w:eastAsia="Times New Roman" w:hAnsi="Times New Roman" w:cs="Times New Roman"/>
          <w:b/>
          <w:sz w:val="24"/>
          <w:szCs w:val="24"/>
          <w:bdr w:val="none" w:sz="0" w:space="0" w:color="auto" w:frame="1"/>
          <w:lang w:val="sq-AL"/>
        </w:rPr>
        <w:t xml:space="preserve">Lidhja midis Qëllimit Politik 3 dhe Objektivave të Zhvillimit të Qëndrueshëm </w:t>
      </w:r>
      <w:r w:rsidRPr="0061449F">
        <w:rPr>
          <w:rFonts w:ascii="Times New Roman" w:eastAsia="Calibri" w:hAnsi="Times New Roman" w:cs="Times New Roman"/>
          <w:b/>
          <w:sz w:val="24"/>
          <w:szCs w:val="24"/>
          <w:bdr w:val="none" w:sz="0" w:space="0" w:color="auto" w:frame="1"/>
          <w:lang w:val="sq-AL"/>
        </w:rPr>
        <w:t>(OZHQ)</w:t>
      </w:r>
    </w:p>
    <w:p w14:paraId="4DC54E93"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bdr w:val="none" w:sz="0" w:space="0" w:color="auto" w:frame="1"/>
          <w:lang w:val="sq-AL"/>
        </w:rPr>
      </w:pPr>
      <w:bookmarkStart w:id="10" w:name="_Hlk174962549"/>
      <w:r w:rsidRPr="0061449F">
        <w:rPr>
          <w:rFonts w:ascii="Times New Roman" w:eastAsia="Calibri" w:hAnsi="Times New Roman" w:cs="Times New Roman"/>
          <w:sz w:val="24"/>
          <w:szCs w:val="24"/>
          <w:bdr w:val="none" w:sz="0" w:space="0" w:color="auto" w:frame="1"/>
          <w:lang w:val="sq-AL"/>
        </w:rPr>
        <w:t>Qëllimi Politik 3 lidhet me Objektivin 16 të Zhvillimit të Qëndrueshëm (OZHQ, “Promovimi i shoqërive paqësore dhe përfshirëse për zhvillim të qëndrueshëm, ofrim i aksesit në drejtësi për të gjithë dhe ndërtimi i institucioneve efektive, llogaridhënëse dhe gjithëpërfshirëse në të gjitha nivelet”. SND 2024-</w:t>
      </w:r>
      <w:r w:rsidRPr="0061449F">
        <w:rPr>
          <w:rFonts w:ascii="Times New Roman" w:eastAsia="Calibri" w:hAnsi="Times New Roman" w:cs="Times New Roman"/>
          <w:sz w:val="24"/>
          <w:szCs w:val="24"/>
          <w:bdr w:val="none" w:sz="0" w:space="0" w:color="auto" w:frame="1"/>
          <w:lang w:val="sq-AL"/>
        </w:rPr>
        <w:lastRenderedPageBreak/>
        <w:t>2030, lidhet me nënobjektivin 16.3: “Promovimi i shtetit të së drejtës në nivelin kombëtar dhe ndërkombëtar dhe sigurimi i aksesit të barabartë në drejtësi për të gjithë”. Gjithashtu, SND 2024-2030, lidhet me nënobjektivin 16.6: “Zhvillimi i institucioneve efektive, llogaridhënëse dhe transparente në të gjitha nivelet”, me nënobjektivin 16.7: “Sigurimi i vendimmarrjes reaguese, përfshirëse, pjesëmarrëse dhe përfaqësuese në të gjitha nivelet” si dhe me nënobjektivin 16.10: “Sigurimi i aksesit të publikut në informacion dhe mbrojtja e lirive themelore, në përputhje me legjislacionin kombëtar dhe marrëveshjet ndërkombëtare”.</w:t>
      </w:r>
    </w:p>
    <w:bookmarkEnd w:id="10"/>
    <w:p w14:paraId="256436DE"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sz w:val="24"/>
          <w:szCs w:val="24"/>
          <w:lang w:val="sq-AL" w:eastAsia="sq-AL"/>
        </w:rPr>
      </w:pPr>
    </w:p>
    <w:p w14:paraId="1099B7D8" w14:textId="77777777" w:rsidR="0061449F" w:rsidRPr="0061449F" w:rsidRDefault="0061449F" w:rsidP="0061449F">
      <w:pPr>
        <w:spacing w:line="276" w:lineRule="auto"/>
        <w:jc w:val="both"/>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Objektivi Specifik 3.1</w:t>
      </w:r>
    </w:p>
    <w:p w14:paraId="742EA119"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Përmirësimi i kapacitetit të KLGJ dhe gjykatave, përfshirë GJL, për zbatimin e masave që rrisin efikasitetin.</w:t>
      </w:r>
    </w:p>
    <w:p w14:paraId="3BE72ECC" w14:textId="77777777" w:rsidR="0061449F" w:rsidRPr="0061449F" w:rsidRDefault="0061449F" w:rsidP="0061449F">
      <w:pPr>
        <w:spacing w:after="0" w:line="276" w:lineRule="auto"/>
        <w:jc w:val="both"/>
        <w:textAlignment w:val="baseline"/>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t xml:space="preserve">Plotësimi i vakancave për magistratët në gjykatat e shkallës së parë dhe të dytë të juridiksionit të përgjithshëm vazhdon të mbetet një problematikë e rëndësishme, kryesisht për shkak të procesit të </w:t>
      </w:r>
      <w:r w:rsidRPr="0061449F">
        <w:rPr>
          <w:rFonts w:ascii="Times New Roman" w:eastAsia="Times New Roman" w:hAnsi="Times New Roman" w:cs="Times New Roman"/>
          <w:i/>
          <w:iCs/>
          <w:sz w:val="24"/>
          <w:szCs w:val="24"/>
          <w:lang w:val="sq-AL"/>
        </w:rPr>
        <w:t>vetting</w:t>
      </w:r>
      <w:r w:rsidRPr="0061449F">
        <w:rPr>
          <w:rFonts w:ascii="Times New Roman" w:eastAsia="Times New Roman" w:hAnsi="Times New Roman" w:cs="Times New Roman"/>
          <w:sz w:val="24"/>
          <w:szCs w:val="24"/>
          <w:lang w:val="sq-AL"/>
        </w:rPr>
        <w:t xml:space="preserve">-ut. Udhërrëfyesi për Shtetin e së Drejtës nënvizon nevojën për qëndrueshmëri në plotësimin e vakancave nga Këshilli i Lartë i Gjyqësorit (KLGJ), duke përfshirë masa që mundësojnë emërimet, lëvizjen paralele dhe ngritjen në detyrë të magjistratëve, duke u bazuar në vlerësime etike dhe profesionale të rregullta dhe në kohë. Problematikat më të mëdha janë vakancat në Gjykatën e Apelit për gjyqtarë dhe staf administrativ, të cilat janë përkeqësuar për shkak të kushteve të papërshtatshme të ambienteve për këtë numër të lartë gjyqtarësh dhe anëtarësh stafi. </w:t>
      </w:r>
    </w:p>
    <w:p w14:paraId="2EFB258C" w14:textId="77777777" w:rsidR="0061449F" w:rsidRPr="0061449F" w:rsidRDefault="0061449F" w:rsidP="0061449F">
      <w:pPr>
        <w:spacing w:after="0" w:line="276" w:lineRule="auto"/>
        <w:jc w:val="both"/>
        <w:textAlignment w:val="baseline"/>
        <w:rPr>
          <w:rFonts w:ascii="Times New Roman" w:eastAsia="Times New Roman" w:hAnsi="Times New Roman" w:cs="Times New Roman"/>
          <w:sz w:val="24"/>
          <w:szCs w:val="24"/>
          <w:lang w:val="sq-AL"/>
        </w:rPr>
      </w:pPr>
    </w:p>
    <w:p w14:paraId="73DC32BD" w14:textId="77777777" w:rsidR="0061449F" w:rsidRPr="0061449F" w:rsidRDefault="0061449F" w:rsidP="0061449F">
      <w:pPr>
        <w:spacing w:after="0" w:line="276" w:lineRule="auto"/>
        <w:jc w:val="both"/>
        <w:textAlignment w:val="baseline"/>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t>Në këtë kuadër, ky objektiv synon përmirësimin e kapacitetit të Këshillit të Lartë Gjyqësor dhe gjykatave, duke përfshirë Gjykatën e Lartë, për të rritur efikasitetin e sistemit gjyqësor. Për këtë qëllim, synohet përmirësimi i strategjive për të rritur efikasitetin dhe për të reduktuar çështjet e prapambetura, sigurimi i burimeve të nevojshme për zbatimin e këtyre strategjive, përmirësimi i procesit të emërimeve dhe avancimit të gjyqtarëve, si dhe sigurimi i zbatimit efikas dhe në kohë të vendimeve gjyqësore dhe të GJEDNJ-së. Po ashtu, synohet rritja e mbledhjes dhe raportimit të të dhënave për krimet e gjuhës së urrejtjes, duke pasur parasysh rekomandimet e ODIHR.</w:t>
      </w:r>
    </w:p>
    <w:p w14:paraId="6193766B"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Rezultati i pritshëm:</w:t>
      </w:r>
    </w:p>
    <w:p w14:paraId="7132C727" w14:textId="77777777" w:rsidR="0061449F" w:rsidRPr="0061449F" w:rsidRDefault="0061449F" w:rsidP="0061449F">
      <w:pPr>
        <w:numPr>
          <w:ilvl w:val="0"/>
          <w:numId w:val="38"/>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Deri në fund të vitit 2030 shërbimi përmbarimor do të ekzekutojë 30% dosje më shumë se dosjet e ekzekutuara në vitin 2024.</w:t>
      </w:r>
    </w:p>
    <w:p w14:paraId="440F0CAB" w14:textId="77777777" w:rsidR="0061449F" w:rsidRPr="0061449F" w:rsidRDefault="0061449F" w:rsidP="0061449F">
      <w:pPr>
        <w:numPr>
          <w:ilvl w:val="0"/>
          <w:numId w:val="38"/>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Gjatë periudhës së SND 2024-2030 regjistrohet një përmiresim progresiv i DT (Disposition Time) për gjykatat sipas shkallëve dhe llojit të çështjeve (civile, penale, administrative).</w:t>
      </w:r>
    </w:p>
    <w:p w14:paraId="1065CC5F" w14:textId="77777777" w:rsidR="0061449F" w:rsidRPr="0061449F" w:rsidRDefault="0061449F" w:rsidP="0061449F">
      <w:pPr>
        <w:numPr>
          <w:ilvl w:val="0"/>
          <w:numId w:val="38"/>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Deri në fund të vitit 2027 garantohet plotesimi progresiv i vakancave (70% të organikës së gjykatave të shkallës së parë të juridiksionit të përgjithshëm; 80% të gjykatave të apelit të juridiskionit të përgjithshëm; 90% e stafit jo-magjistrat në të gjitha shkallët e gjykatave) dhe në vitet në vijim sigurohet mbajta ose rritja e standardit.</w:t>
      </w:r>
    </w:p>
    <w:p w14:paraId="2C5E2098"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sz w:val="24"/>
          <w:szCs w:val="24"/>
          <w:lang w:val="sq-AL" w:eastAsia="en-CA" w:bidi="sq-AL"/>
        </w:rPr>
      </w:pPr>
    </w:p>
    <w:p w14:paraId="32153705"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r w:rsidRPr="0061449F">
        <w:rPr>
          <w:rFonts w:ascii="Times New Roman" w:eastAsia="Times New Roman" w:hAnsi="Times New Roman" w:cs="Times New Roman"/>
          <w:b/>
          <w:sz w:val="24"/>
          <w:szCs w:val="24"/>
          <w:bdr w:val="none" w:sz="0" w:space="0" w:color="auto" w:frame="1"/>
          <w:lang w:val="sq-AL"/>
        </w:rPr>
        <w:t>Lidhja e objektivit specifik me nënkapitullin përkatës të BE-së, sipas MSA-së</w:t>
      </w:r>
    </w:p>
    <w:p w14:paraId="72EC7F73"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bookmarkStart w:id="11" w:name="_Hlk174962892"/>
      <w:r w:rsidRPr="0061449F">
        <w:rPr>
          <w:rFonts w:ascii="Times New Roman" w:eastAsia="Calibri" w:hAnsi="Times New Roman" w:cs="Times New Roman"/>
          <w:bCs/>
          <w:sz w:val="24"/>
          <w:szCs w:val="24"/>
          <w:lang w:val="sq-AL"/>
        </w:rPr>
        <w:t xml:space="preserve">Objektivi Specifik 3.1 lidhet me Kapitullin 23 “Gjyqësori dhe të Drejtat Themelore, me nenin 2 të MSA-së “Respekti për parimet demokratike dhe të drejtat e njeriut”, me nenin 78 të MSA-së “Fuqizimin e </w:t>
      </w:r>
      <w:r w:rsidRPr="0061449F">
        <w:rPr>
          <w:rFonts w:ascii="Times New Roman" w:eastAsia="Calibri" w:hAnsi="Times New Roman" w:cs="Times New Roman"/>
          <w:bCs/>
          <w:sz w:val="24"/>
          <w:szCs w:val="24"/>
          <w:lang w:val="sq-AL"/>
        </w:rPr>
        <w:lastRenderedPageBreak/>
        <w:t>institucioneve dhe shtetit të së drejtës” dhe me nenin 88 “Bashkëpunimi statistikor” të MSA-së, e nënshkruar midis Republikës së Shqipërisë dhe Komuniteteve Evropiane të shteteve të tyre anëtare. Gjithashtu, ky objektiv lidhet me Planin Kombëtar për Integrimin Evropian 2024 – 2026 si dhe reflekton disa nga rekomandimet Raportit të Komisionit Evropian për Shqipërinë për vitin 2023. Objektivi Specifik 3.1 lidhet me Udhërrëfyesin për Shtetin e së Drejtës.</w:t>
      </w:r>
    </w:p>
    <w:bookmarkEnd w:id="11"/>
    <w:p w14:paraId="75E2474D"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p>
    <w:p w14:paraId="04D63DCD" w14:textId="77777777" w:rsidR="0061449F" w:rsidRPr="0061449F" w:rsidRDefault="0061449F" w:rsidP="0061449F">
      <w:pPr>
        <w:shd w:val="clear" w:color="auto" w:fill="FFFFFF"/>
        <w:spacing w:before="100" w:beforeAutospacing="1" w:after="100" w:afterAutospacing="1" w:line="276" w:lineRule="auto"/>
        <w:jc w:val="both"/>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sq-AL"/>
        </w:rPr>
        <w:t>Masat:</w:t>
      </w:r>
    </w:p>
    <w:p w14:paraId="2A0D9972"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3.1.1 KLGJ-ja/këshillat e gjykatave harton/jnë dhe miraton/jnë një strategji efikasiteti/reduktimi të çështjeve të prapambetura/shpërndarje të barabartë të ngarkesës për gjykatat në të gjitha nivelet.</w:t>
      </w:r>
    </w:p>
    <w:p w14:paraId="66C47830"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3.1.2 Burimet njerëzore dhe buxheti i duhur për të siguruar zbatimin praktik të strategjisë së efikasitetit/reduktimit të çështjeve të prapambetura/shpërndarjes së ngarkesës së punës.</w:t>
      </w:r>
    </w:p>
    <w:p w14:paraId="1A43B81C"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3.1.3 KLGJ-ja përparon me emërimet e gjyqtarëve në të gjitha nivelet.</w:t>
      </w:r>
    </w:p>
    <w:p w14:paraId="32FAC883"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3.1.4 KLGJ zgjeron më tej procedurat e vlerësimit dhe avancimit ne karriere   të gjyqtarëve bazuar në kriteret cilësore dhe sasiore dhe rritjen e transparencës së procesit.</w:t>
      </w:r>
    </w:p>
    <w:p w14:paraId="59EB2839"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3.1.5 Sigurohet zbatimi në kohë dhe efikas i vendimeve gjyqësore të formës së prerë.</w:t>
      </w:r>
    </w:p>
    <w:p w14:paraId="2D72FC5B"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3.1.6 Zbatimi i qëndrueshëm dhe në kohe i vendimeve të GJEDNJ-së, përfshirë vendimet në fushën e pronësisë.</w:t>
      </w:r>
    </w:p>
    <w:p w14:paraId="2F480D3F"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3.1.7 KLGJ-ja siguron mbledhjen dhe raportimin e të dhënave përkatëse për krimet e urrejtjes duke reflektuar rekomandimet e ODIHR.</w:t>
      </w:r>
    </w:p>
    <w:p w14:paraId="7A30E9B9" w14:textId="77777777" w:rsidR="0061449F" w:rsidRPr="0061449F" w:rsidRDefault="0061449F" w:rsidP="0061449F">
      <w:pPr>
        <w:spacing w:line="276" w:lineRule="auto"/>
        <w:rPr>
          <w:rFonts w:ascii="Times New Roman" w:eastAsia="Calibri" w:hAnsi="Times New Roman" w:cs="Times New Roman"/>
          <w:sz w:val="24"/>
          <w:szCs w:val="24"/>
          <w:lang w:val="sq-AL"/>
        </w:rPr>
      </w:pPr>
    </w:p>
    <w:p w14:paraId="4183551E"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Treguesit kryesorë:</w:t>
      </w:r>
    </w:p>
    <w:p w14:paraId="666543ED" w14:textId="77777777" w:rsidR="0061449F" w:rsidRPr="0061449F" w:rsidRDefault="0061449F" w:rsidP="0061449F">
      <w:pPr>
        <w:numPr>
          <w:ilvl w:val="0"/>
          <w:numId w:val="39"/>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Raporti i dosjeve të ekzekutuara me dosjet e regjistruara në (%).</w:t>
      </w:r>
    </w:p>
    <w:p w14:paraId="55EBC7BE" w14:textId="77777777" w:rsidR="0061449F" w:rsidRPr="0061449F" w:rsidRDefault="0061449F" w:rsidP="0061449F">
      <w:pPr>
        <w:numPr>
          <w:ilvl w:val="0"/>
          <w:numId w:val="39"/>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Përqindja e zvogëlimit të DT (Disposition Time) për gjykatat sipas shkallëve dhe llojit të çështjeve (civile, penale, administrative).</w:t>
      </w:r>
    </w:p>
    <w:p w14:paraId="515AAC66" w14:textId="77777777" w:rsidR="0061449F" w:rsidRPr="0061449F" w:rsidRDefault="0061449F" w:rsidP="0061449F">
      <w:pPr>
        <w:numPr>
          <w:ilvl w:val="0"/>
          <w:numId w:val="39"/>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Plotësimi i vakancave në gjykata.</w:t>
      </w:r>
    </w:p>
    <w:p w14:paraId="1E949FDF" w14:textId="77777777" w:rsidR="0061449F" w:rsidRPr="0061449F" w:rsidRDefault="0061449F" w:rsidP="0061449F">
      <w:pPr>
        <w:spacing w:line="276" w:lineRule="auto"/>
        <w:rPr>
          <w:rFonts w:ascii="Calibri" w:eastAsia="Calibri" w:hAnsi="Calibri" w:cs="Times New Roman"/>
        </w:rPr>
      </w:pPr>
    </w:p>
    <w:p w14:paraId="46C5E72F"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lang w:val="sq-AL" w:eastAsia="sq-AL"/>
        </w:rPr>
      </w:pPr>
      <w:r w:rsidRPr="0061449F">
        <w:rPr>
          <w:rFonts w:ascii="Times New Roman" w:eastAsia="Times New Roman" w:hAnsi="Times New Roman" w:cs="Times New Roman"/>
          <w:b/>
          <w:sz w:val="24"/>
          <w:szCs w:val="24"/>
          <w:lang w:val="sq-AL" w:eastAsia="sq-AL"/>
        </w:rPr>
        <w:t>Objektivi Specifik 3.2</w:t>
      </w:r>
    </w:p>
    <w:p w14:paraId="3142C041"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sz w:val="24"/>
          <w:szCs w:val="24"/>
          <w:lang w:val="sq-AL" w:eastAsia="sq-AL"/>
        </w:rPr>
      </w:pPr>
      <w:r w:rsidRPr="0061449F">
        <w:rPr>
          <w:rFonts w:ascii="Times New Roman" w:eastAsia="Times New Roman" w:hAnsi="Times New Roman" w:cs="Times New Roman"/>
          <w:sz w:val="24"/>
          <w:szCs w:val="24"/>
          <w:lang w:val="sq-AL" w:eastAsia="sq-AL"/>
        </w:rPr>
        <w:t>Përmirësimi i kapacitetit të PP, KLP dhe zyrave të prokurorisë, për zbatimin e masave që rrisin efikasitetin.</w:t>
      </w:r>
    </w:p>
    <w:p w14:paraId="68D650B5" w14:textId="77777777" w:rsidR="0061449F" w:rsidRPr="0061449F" w:rsidRDefault="0061449F" w:rsidP="0061449F">
      <w:pPr>
        <w:spacing w:after="0" w:line="276" w:lineRule="auto"/>
        <w:jc w:val="both"/>
        <w:rPr>
          <w:rFonts w:ascii="Times New Roman" w:eastAsia="Times New Roman" w:hAnsi="Times New Roman" w:cs="Times New Roman"/>
          <w:sz w:val="24"/>
          <w:szCs w:val="24"/>
          <w:shd w:val="clear" w:color="auto" w:fill="FFFFFF"/>
        </w:rPr>
      </w:pPr>
      <w:bookmarkStart w:id="12" w:name="_Hlk174358022"/>
    </w:p>
    <w:p w14:paraId="00E31A75" w14:textId="77777777" w:rsidR="0061449F" w:rsidRPr="0061449F" w:rsidRDefault="0061449F" w:rsidP="0061449F">
      <w:pPr>
        <w:spacing w:after="0" w:line="276" w:lineRule="auto"/>
        <w:jc w:val="both"/>
        <w:rPr>
          <w:rFonts w:ascii="Times New Roman" w:eastAsia="Times New Roman" w:hAnsi="Times New Roman" w:cs="Times New Roman"/>
          <w:sz w:val="24"/>
          <w:szCs w:val="24"/>
        </w:rPr>
      </w:pPr>
      <w:r w:rsidRPr="0061449F">
        <w:rPr>
          <w:rFonts w:ascii="Times New Roman" w:eastAsia="Times New Roman" w:hAnsi="Times New Roman" w:cs="Times New Roman"/>
          <w:sz w:val="24"/>
          <w:szCs w:val="24"/>
          <w:shd w:val="clear" w:color="auto" w:fill="FFFFFF"/>
        </w:rPr>
        <w:t xml:space="preserve">Ky objektiv specifik synon përmirësimin e kapacitetit dhe efikasitetit të sistemit të drejtësisë duke forcuar rolin dhe funksionalitetin e Prokurorisë së Përgjithshme (PP), Këshillit të Lartë të Prokurorisë (KLP), dhe zyrave të prokurorisë. Në këtë kuadër, do të hartohet dhe miratohet një strategji që synon rritjen e efikasitetit dhe shpërndarjen e barabartë të ngarkesës për prokuroritë në të gjitha nivelet. Për të </w:t>
      </w:r>
      <w:r w:rsidRPr="0061449F">
        <w:rPr>
          <w:rFonts w:ascii="Times New Roman" w:eastAsia="Times New Roman" w:hAnsi="Times New Roman" w:cs="Times New Roman"/>
          <w:sz w:val="24"/>
          <w:szCs w:val="24"/>
          <w:shd w:val="clear" w:color="auto" w:fill="FFFFFF"/>
        </w:rPr>
        <w:lastRenderedPageBreak/>
        <w:t>mbështetur këtë strategji, do të sigurohen burime njerëzore dhe buxhet i mjaftueshëm për të mundësuar zbatimin e saj praktik.</w:t>
      </w:r>
    </w:p>
    <w:p w14:paraId="237AA0CB"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rPr>
      </w:pPr>
    </w:p>
    <w:p w14:paraId="32775E9E"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rPr>
      </w:pPr>
      <w:r w:rsidRPr="0061449F">
        <w:rPr>
          <w:rFonts w:ascii="Times New Roman" w:eastAsia="Times New Roman" w:hAnsi="Times New Roman" w:cs="Times New Roman"/>
          <w:sz w:val="24"/>
          <w:szCs w:val="24"/>
        </w:rPr>
        <w:t xml:space="preserve">Gjithashtu, do të përparojë procesi i emërimeve të prokurorëve dhe do të zgjerohet procedura e vlerësimit dhe avancimit në karrierë për prokurorët, duke u bazuar në kritere cilësore dhe sasiore dhe duke rritur transparencën. </w:t>
      </w:r>
    </w:p>
    <w:p w14:paraId="2875B4B2"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rPr>
      </w:pPr>
    </w:p>
    <w:p w14:paraId="46A1D1F7"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Times New Roman" w:hAnsi="Times New Roman" w:cs="Times New Roman"/>
          <w:sz w:val="24"/>
          <w:szCs w:val="24"/>
          <w:shd w:val="clear" w:color="auto" w:fill="FFFFFF"/>
        </w:rPr>
        <w:t>Në fushën e sigurisë dhe drejtësisë, Drejtoria e Përgjithshme e Policisë dhe PP do të mbledhin dhe raportojnë të dhëna të sakta për krimet e lidhura me gjakmarrjen dhe krimet e urrejtjes, duke ndjekur udhëzimet përkatëse dhe rekomandimet ndërkombëtare. Përveç kësaj, Policia e Shtetit dhe Prokuroria e Përgjithshme do të angazhohen për informimin dhe ndërgjegjësimin e publikut mbi sulmet ndaj gazetarëve, duke kontribuar në mbrojtjen e lirisë së shtypit dhe sigurinë e gazetarëve. Këto masa do të kontribuojnë në forcimin e sistemit të drejtësisë dhe rritjen e besimit të publikut në të.</w:t>
      </w:r>
    </w:p>
    <w:p w14:paraId="4900C2E4" w14:textId="77777777" w:rsidR="0061449F" w:rsidRPr="0061449F" w:rsidRDefault="0061449F" w:rsidP="0061449F">
      <w:pPr>
        <w:spacing w:line="276" w:lineRule="auto"/>
        <w:jc w:val="both"/>
        <w:rPr>
          <w:rFonts w:ascii="Times New Roman" w:eastAsia="Calibri" w:hAnsi="Times New Roman" w:cs="Times New Roman"/>
          <w:sz w:val="24"/>
          <w:szCs w:val="24"/>
        </w:rPr>
      </w:pPr>
    </w:p>
    <w:p w14:paraId="3D417201"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Rezultati i pritshëm:</w:t>
      </w:r>
    </w:p>
    <w:p w14:paraId="12BF6DA7" w14:textId="77777777" w:rsidR="0061449F" w:rsidRPr="0061449F" w:rsidRDefault="0061449F" w:rsidP="0061449F">
      <w:pPr>
        <w:numPr>
          <w:ilvl w:val="0"/>
          <w:numId w:val="41"/>
        </w:numPr>
        <w:spacing w:line="276" w:lineRule="auto"/>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Deri në fund të vitit 2026 garantohet reduktimi progresiv i çështjeve të mbartura (30% për çështjet civile dhe tregtare të gjykatës së shkallës së parë juridiksioni i përgjithshëm; 20% për çështjet penale; 25% për çështjet e gjykatës së apelit; 35% për çështjet e gjykatës administrative) dhe në vitet në vijim sigurohet mbajta ose rritja e standardit.</w:t>
      </w:r>
    </w:p>
    <w:p w14:paraId="54DE589D" w14:textId="77777777" w:rsidR="0061449F" w:rsidRPr="0061449F" w:rsidRDefault="0061449F" w:rsidP="0061449F">
      <w:pPr>
        <w:numPr>
          <w:ilvl w:val="0"/>
          <w:numId w:val="40"/>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Deri në fund të vitit 2030 garantohet ulja progresive e ngarkesës për prokurorë e cila pritet të ndikojë pozitivisht në eficencën e punës së prokurorisë, si dhe në cilësinë e hetimeve penale.</w:t>
      </w:r>
    </w:p>
    <w:p w14:paraId="70FA5AAB"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sz w:val="24"/>
          <w:szCs w:val="24"/>
          <w:lang w:val="sq-AL" w:eastAsia="en-CA" w:bidi="sq-AL"/>
        </w:rPr>
      </w:pPr>
    </w:p>
    <w:p w14:paraId="4F7557F1"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r w:rsidRPr="0061449F">
        <w:rPr>
          <w:rFonts w:ascii="Times New Roman" w:eastAsia="Times New Roman" w:hAnsi="Times New Roman" w:cs="Times New Roman"/>
          <w:b/>
          <w:sz w:val="24"/>
          <w:szCs w:val="24"/>
          <w:bdr w:val="none" w:sz="0" w:space="0" w:color="auto" w:frame="1"/>
          <w:lang w:val="sq-AL"/>
        </w:rPr>
        <w:t>Lidhja e objektivit specifik me nënkapitullin përkatës të BE-së, sipas MSA-së</w:t>
      </w:r>
    </w:p>
    <w:p w14:paraId="63BBA246"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Objektivi Specifik 3.2 lidhet me Kapitullin 23 “Gjyqësori dhe të Drejtat Themelore, me nenin 2 të MSA-së “Respekti për parimet demokratike dhe të drejtat e njeriut”, me nenin 78 të MSA-së “Fuqizimin e institucioneve dhe shtetit të së drejtës” dhe me nenin 88 “Bashkëpunimi statistikor” të MSA-së, e nënshkruar midis Republikës së Shqipërisë dhe Komuniteteve Evropiane të shteteve të tyre anëtare. Gjithashtu, ky objekti lidhet me Planin Kombëtar për Integrimin Evropian 2024 – 2026 si dhe reflekton disa nga rekomandimet Raportit të Komisionit Evropian për Shqipërinë për vitin 2023. Objektivi Specifik 3.2 lidhet me Udhërrëfyesin për Shtetin e së Drejtës.</w:t>
      </w:r>
    </w:p>
    <w:p w14:paraId="304D3C96" w14:textId="77777777" w:rsidR="0061449F" w:rsidRPr="0061449F" w:rsidRDefault="0061449F" w:rsidP="0061449F">
      <w:pPr>
        <w:shd w:val="clear" w:color="auto" w:fill="FFFFFF"/>
        <w:spacing w:before="100" w:beforeAutospacing="1" w:after="100" w:afterAutospacing="1" w:line="276" w:lineRule="auto"/>
        <w:jc w:val="both"/>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sq-AL"/>
        </w:rPr>
        <w:t>Masat:</w:t>
      </w:r>
    </w:p>
    <w:p w14:paraId="1E1A0236"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3.2.1 KLP dhe PP hartojnë dhe miratojnë një strategji efikasiteti, shpërndarje të barabartë të ngarkesës për prokuroritë në të gjitha nivelet.</w:t>
      </w:r>
    </w:p>
    <w:p w14:paraId="66D3A28A"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3.2.2 Burimet njerëzore dhe buxheti i duhur për të siguruar zbatimin praktik të strategjisë së efikasitetit/shpërndarjes së ngarkesës së punës.</w:t>
      </w:r>
    </w:p>
    <w:p w14:paraId="600F6890"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3.2.3 KLP-ja përparon me emërimet e prokurorëve në të gjitha nivelet.</w:t>
      </w:r>
    </w:p>
    <w:p w14:paraId="4A2B53BF"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lastRenderedPageBreak/>
        <w:t>3.2.4 KLP zgjeron më tej procedurat e vlerësimit dhe avancimit ne karriere të prokuroreve bazuar në kriteret cilësore dhe sasiore dhe rritjen e transparencës së procesit.</w:t>
      </w:r>
    </w:p>
    <w:p w14:paraId="7B38B4C1"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3.2.5 Sigurohet zbatimi në kohë dhe efikas i vendimeve gjyqësore të formës së prerë.</w:t>
      </w:r>
    </w:p>
    <w:p w14:paraId="497B3F4E"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3.2.6 Drejtoria e Përgjithshme e Policisë dhe PP sigurojnë mbledhjen dhe raportimin e të dhënave përkatëse për krimet e lidhura me gjakmarrjen dhe krimet e urrejtjes bazuar në Udhëzimet e PP-së të vitit 2019 duke reflektuar rekomandimet e ODIHR.</w:t>
      </w:r>
    </w:p>
    <w:p w14:paraId="18388275"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3.2.7 Policia e Shtetit dhe prokuroria e pergjithshme sigurojne informimin dhe ndërgjegjësimin e publikut mbi rastet e sulmeve ndaj gazetareve.</w:t>
      </w:r>
    </w:p>
    <w:p w14:paraId="4AF1844A" w14:textId="77777777" w:rsidR="0061449F" w:rsidRPr="0061449F" w:rsidRDefault="0061449F" w:rsidP="0061449F">
      <w:pPr>
        <w:spacing w:line="276" w:lineRule="auto"/>
        <w:rPr>
          <w:rFonts w:ascii="Calibri" w:eastAsia="Calibri" w:hAnsi="Calibri" w:cs="Times New Roman"/>
          <w:lang w:val="sq-AL"/>
        </w:rPr>
      </w:pPr>
    </w:p>
    <w:p w14:paraId="2E6CF728"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Treguesit kryesorë:</w:t>
      </w:r>
      <w:bookmarkEnd w:id="12"/>
    </w:p>
    <w:p w14:paraId="25527F11" w14:textId="77777777" w:rsidR="0061449F" w:rsidRPr="0061449F" w:rsidRDefault="0061449F" w:rsidP="0061449F">
      <w:pPr>
        <w:numPr>
          <w:ilvl w:val="0"/>
          <w:numId w:val="40"/>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Përqindja e reduktimit të çështjeve të mbartura (sipas shkallëve të gjykatave).</w:t>
      </w:r>
    </w:p>
    <w:p w14:paraId="68E1783B" w14:textId="77777777" w:rsidR="0061449F" w:rsidRPr="0061449F" w:rsidRDefault="0061449F" w:rsidP="0061449F">
      <w:pPr>
        <w:numPr>
          <w:ilvl w:val="0"/>
          <w:numId w:val="40"/>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Numri mesatar i çëshjteve për prokuror.</w:t>
      </w:r>
    </w:p>
    <w:p w14:paraId="2CCE4D18"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p>
    <w:p w14:paraId="01706D83" w14:textId="77777777" w:rsidR="0061449F" w:rsidRPr="0061449F" w:rsidRDefault="0061449F" w:rsidP="0061449F">
      <w:pPr>
        <w:spacing w:line="276" w:lineRule="auto"/>
        <w:jc w:val="both"/>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Objektivi Specifik 3.3</w:t>
      </w:r>
    </w:p>
    <w:p w14:paraId="5125DB42"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Përmirësimi i kapacitetit të Prokurorisë Speciale Antikorrupsion dhe Byrosë Kombëtare të Hetimit me qëllim sigurimin e hetimeve dhe procedimeve penale efikase në përputhje me standardet më të mira ndërkombëtare.</w:t>
      </w:r>
    </w:p>
    <w:p w14:paraId="34595450"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shd w:val="clear" w:color="auto" w:fill="FFFFFF"/>
          <w:lang w:val="sq-AL"/>
        </w:rPr>
        <w:t>SPAK ka identifikuar nevojën për plotësimin e vakancave në pozicionet e oficerëve të policisë gjyqësore dhe punonjësve të administratës brenda Byrosë Kombëtare të Hetimit. Institucioni ka shprehur synimin për të krijuar struktura më efikase dhe të mirëpajisura, të cilat do të përfshijnë njësi të analizës së riskut, bashkëpunimit ndërkombëtar dhe operacioneve. Për të arritur këto objektiva, theksi vihet në rekrutimin e personelit me kapacitete të larta profesionale dhe eksperiencë të duhur, duke siguruar kështu një staf cilësor dhe të plotësuar. Këto përmirësime synojnë të rrisin efektivitetin e operacioneve dhe të forcojnë kapacitetet hetimore të SPAK-ut.</w:t>
      </w:r>
    </w:p>
    <w:p w14:paraId="62043E21" w14:textId="77777777" w:rsidR="0061449F" w:rsidRPr="0061449F" w:rsidRDefault="0061449F" w:rsidP="0061449F">
      <w:pPr>
        <w:spacing w:line="276" w:lineRule="auto"/>
        <w:jc w:val="both"/>
        <w:outlineLvl w:val="0"/>
        <w:rPr>
          <w:rFonts w:ascii="Times New Roman" w:eastAsia="Times New Roman" w:hAnsi="Times New Roman" w:cs="Times New Roman"/>
          <w:sz w:val="24"/>
          <w:szCs w:val="24"/>
          <w:bdr w:val="none" w:sz="0" w:space="0" w:color="auto" w:frame="1"/>
          <w:lang w:val="sq-AL"/>
        </w:rPr>
      </w:pPr>
      <w:r w:rsidRPr="0061449F">
        <w:rPr>
          <w:rFonts w:ascii="Times New Roman" w:eastAsia="Calibri" w:hAnsi="Times New Roman" w:cs="Times New Roman"/>
          <w:sz w:val="24"/>
          <w:szCs w:val="24"/>
          <w:lang w:val="sq-AL"/>
        </w:rPr>
        <w:t xml:space="preserve">Në këtë kontekst, ky objektiv specifik lidhet me përmirësimi i kapacitetit të Prokurorisë Speciale Antikorrupsion dhe Byrosë Kombëtare të Hetimit për të siguruar hetime dhe procedime penale efikase, në përputhje me standardet ndërkombëtare. Ky objektiv do të realizohet nëpërmjet zhvillimit të një strategjie për shpërndarjen e barabartë të ngarkesës për prokurorët dhe organet e policisë gjyqësore, duke siguruar burimet njerëzore dhe buxhetore të nevojshme për zbatimin e saj. </w:t>
      </w:r>
      <w:r w:rsidRPr="0061449F">
        <w:rPr>
          <w:rFonts w:ascii="Times New Roman" w:eastAsia="Times New Roman" w:hAnsi="Times New Roman" w:cs="Times New Roman"/>
          <w:sz w:val="24"/>
          <w:szCs w:val="24"/>
          <w:bdr w:val="none" w:sz="0" w:space="0" w:color="auto" w:frame="1"/>
          <w:lang w:val="sq-AL"/>
        </w:rPr>
        <w:t>SPAK do të rritet specializimi për hetime proaktive, përfshirë ato financiare, dhe do të sigurohet zbatimi efikas i vendimeve gjyqësore të formës së prerë.</w:t>
      </w:r>
    </w:p>
    <w:p w14:paraId="57D05340" w14:textId="77777777" w:rsidR="0061449F" w:rsidRPr="0061449F" w:rsidRDefault="0061449F" w:rsidP="0061449F">
      <w:pPr>
        <w:spacing w:line="276" w:lineRule="auto"/>
        <w:jc w:val="both"/>
        <w:outlineLvl w:val="0"/>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Këto masa janë të destinuara të rrisin kapacitetin dhe efikasitetin e institucioneve në luftën kundër korrupsionit.</w:t>
      </w:r>
    </w:p>
    <w:p w14:paraId="6E16A13A" w14:textId="77777777" w:rsidR="0061449F" w:rsidRPr="0061449F" w:rsidRDefault="0061449F" w:rsidP="0061449F">
      <w:pPr>
        <w:spacing w:line="276" w:lineRule="auto"/>
        <w:jc w:val="both"/>
        <w:outlineLvl w:val="0"/>
        <w:rPr>
          <w:rFonts w:ascii="Times New Roman" w:eastAsia="Times New Roman" w:hAnsi="Times New Roman" w:cs="Times New Roman"/>
          <w:sz w:val="24"/>
          <w:szCs w:val="24"/>
          <w:lang w:val="sq-AL" w:eastAsia="en-CA" w:bidi="sq-AL"/>
        </w:rPr>
      </w:pPr>
      <w:r w:rsidRPr="0061449F">
        <w:rPr>
          <w:rFonts w:ascii="Times New Roman" w:eastAsia="Calibri" w:hAnsi="Times New Roman" w:cs="Times New Roman"/>
          <w:b/>
          <w:sz w:val="24"/>
          <w:szCs w:val="24"/>
          <w:lang w:val="sq-AL"/>
        </w:rPr>
        <w:t>Rezultati i pritshëm:</w:t>
      </w:r>
    </w:p>
    <w:p w14:paraId="75342C3F" w14:textId="77777777" w:rsidR="0061449F" w:rsidRPr="0061449F" w:rsidRDefault="0061449F" w:rsidP="0061449F">
      <w:pPr>
        <w:numPr>
          <w:ilvl w:val="0"/>
          <w:numId w:val="42"/>
        </w:numPr>
        <w:spacing w:line="276" w:lineRule="auto"/>
        <w:ind w:left="720"/>
        <w:contextualSpacing/>
        <w:jc w:val="both"/>
        <w:outlineLvl w:val="0"/>
        <w:rPr>
          <w:rFonts w:ascii="Times New Roman" w:eastAsia="Calibri" w:hAnsi="Times New Roman" w:cs="Times New Roman"/>
          <w:b/>
          <w:sz w:val="24"/>
          <w:szCs w:val="24"/>
          <w:lang w:val="sq-AL"/>
        </w:rPr>
      </w:pPr>
      <w:r w:rsidRPr="0061449F">
        <w:rPr>
          <w:rFonts w:ascii="Times New Roman" w:eastAsia="Times New Roman" w:hAnsi="Times New Roman" w:cs="Times New Roman"/>
          <w:sz w:val="24"/>
          <w:szCs w:val="24"/>
          <w:lang w:val="sq-AL" w:eastAsia="en-CA" w:bidi="sq-AL"/>
        </w:rPr>
        <w:lastRenderedPageBreak/>
        <w:t>Deri në fund të vitit 2030 sistemi gjyqësor do të forcojë efektivitetin e trajtimit të sekuestrimeve dhe konfiskimeve në proceset penale lidhur me luftën kundër krimit te organizuar dhe korrupsionit, duke rritur progresivisht numrin e tyre.</w:t>
      </w:r>
    </w:p>
    <w:p w14:paraId="6D926897"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sz w:val="24"/>
          <w:szCs w:val="24"/>
          <w:lang w:val="sq-AL" w:eastAsia="en-CA" w:bidi="sq-AL"/>
        </w:rPr>
      </w:pPr>
    </w:p>
    <w:p w14:paraId="24C364DD"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r w:rsidRPr="0061449F">
        <w:rPr>
          <w:rFonts w:ascii="Times New Roman" w:eastAsia="Times New Roman" w:hAnsi="Times New Roman" w:cs="Times New Roman"/>
          <w:b/>
          <w:sz w:val="24"/>
          <w:szCs w:val="24"/>
          <w:bdr w:val="none" w:sz="0" w:space="0" w:color="auto" w:frame="1"/>
          <w:lang w:val="sq-AL"/>
        </w:rPr>
        <w:t>Lidhja e objektivit specifik me nënkapitullin përkatës të BE-së, sipas MSA-së</w:t>
      </w:r>
    </w:p>
    <w:p w14:paraId="77013D6F"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Objektivi Specifik 3.3 lidhet me Kapitullin 23 “Gjyqësori dhe të Drejtat Themelore, me nenin 2 të MSA-së “Respekti për parimet demokratike dhe të drejtat e njeriut”, me nenin 78 të MSA-së “Fuqizimin e institucioneve dhe shtetit të së drejtës” dhe me nenin 88 “Bashkëpunimi statistikor” të MSA-së, e nënshkruar midis Republikës së Shqipërisë dhe Komuniteteve Evropiane të shteteve të tyre anëtare. Gjithashtu, ky objektiv lidhet me Planin Kombëtar për Integrimin Evropian 2024 – 2026 si dhe reflekton disa nga rekomandimet Raportit të Komisionit Evropian për Shqipërinë për vitin 2023. Objektivi Specifik 3.3 lidhet me Udhërrëfyesin për Shtetin e së Drejtës.</w:t>
      </w:r>
    </w:p>
    <w:p w14:paraId="059ED2A6"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p>
    <w:p w14:paraId="3903DF94" w14:textId="77777777" w:rsidR="0061449F" w:rsidRPr="0061449F" w:rsidRDefault="0061449F" w:rsidP="0061449F">
      <w:pPr>
        <w:shd w:val="clear" w:color="auto" w:fill="FFFFFF"/>
        <w:spacing w:before="100" w:beforeAutospacing="1" w:after="100" w:afterAutospacing="1" w:line="276" w:lineRule="auto"/>
        <w:jc w:val="both"/>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sq-AL"/>
        </w:rPr>
        <w:t>Masat:</w:t>
      </w:r>
    </w:p>
    <w:p w14:paraId="64A51039" w14:textId="77777777" w:rsidR="0061449F" w:rsidRPr="0061449F" w:rsidRDefault="0061449F" w:rsidP="0061449F">
      <w:pPr>
        <w:shd w:val="clear" w:color="auto" w:fill="FFFFFF"/>
        <w:spacing w:before="100" w:beforeAutospacing="1" w:after="100" w:afterAutospacing="1" w:line="276" w:lineRule="auto"/>
        <w:jc w:val="both"/>
        <w:rPr>
          <w:rFonts w:ascii="Times New Roman" w:eastAsia="Times New Roman" w:hAnsi="Times New Roman" w:cs="Times New Roman"/>
          <w:b/>
          <w:sz w:val="24"/>
          <w:szCs w:val="24"/>
          <w:lang w:val="sq-AL"/>
        </w:rPr>
      </w:pPr>
      <w:r w:rsidRPr="0061449F">
        <w:rPr>
          <w:rFonts w:ascii="Times New Roman" w:eastAsia="Calibri" w:hAnsi="Times New Roman" w:cs="Times New Roman"/>
          <w:sz w:val="24"/>
          <w:szCs w:val="24"/>
          <w:lang w:val="sq-AL"/>
        </w:rPr>
        <w:t>3.3.1 SPAK harton dhe miraton një strategji efikasiteti për shpërndarje të barabartë të ngarkesës për prokurorët dhe OPGJ.</w:t>
      </w:r>
    </w:p>
    <w:p w14:paraId="2B6C4448" w14:textId="77777777" w:rsidR="0061449F" w:rsidRPr="0061449F" w:rsidRDefault="0061449F" w:rsidP="0061449F">
      <w:pPr>
        <w:spacing w:line="276" w:lineRule="auto"/>
        <w:rPr>
          <w:rFonts w:ascii="Times New Roman" w:eastAsia="Calibri" w:hAnsi="Times New Roman" w:cs="Times New Roman"/>
          <w:sz w:val="24"/>
          <w:szCs w:val="24"/>
          <w:lang w:val="sq-AL"/>
        </w:rPr>
      </w:pPr>
      <w:bookmarkStart w:id="13" w:name="_Hlk174964581"/>
      <w:r w:rsidRPr="0061449F">
        <w:rPr>
          <w:rFonts w:ascii="Times New Roman" w:eastAsia="Calibri" w:hAnsi="Times New Roman" w:cs="Times New Roman"/>
          <w:sz w:val="24"/>
          <w:szCs w:val="24"/>
          <w:lang w:val="sq-AL"/>
        </w:rPr>
        <w:t>3.3.2</w:t>
      </w:r>
      <w:bookmarkEnd w:id="13"/>
      <w:r w:rsidRPr="0061449F">
        <w:rPr>
          <w:rFonts w:ascii="Times New Roman" w:eastAsia="Calibri" w:hAnsi="Times New Roman" w:cs="Times New Roman"/>
          <w:sz w:val="24"/>
          <w:szCs w:val="24"/>
          <w:lang w:val="sq-AL"/>
        </w:rPr>
        <w:t>. Burimet njerëzore dhe buxheti i duhur për të siguruar zbatimin praktik të strategjisë së efikasitetit për shpërndarjen e ngarkesës së punës.</w:t>
      </w:r>
    </w:p>
    <w:p w14:paraId="7384555F" w14:textId="77777777" w:rsidR="0061449F" w:rsidRPr="0061449F" w:rsidRDefault="0061449F" w:rsidP="0061449F">
      <w:pPr>
        <w:spacing w:line="276" w:lineRule="auto"/>
        <w:rPr>
          <w:rFonts w:ascii="Times New Roman" w:eastAsia="Calibri" w:hAnsi="Times New Roman" w:cs="Times New Roman"/>
          <w:sz w:val="24"/>
          <w:szCs w:val="24"/>
        </w:rPr>
      </w:pPr>
      <w:r w:rsidRPr="0061449F">
        <w:rPr>
          <w:rFonts w:ascii="Times New Roman" w:eastAsia="Calibri" w:hAnsi="Times New Roman" w:cs="Times New Roman"/>
          <w:sz w:val="24"/>
          <w:szCs w:val="24"/>
        </w:rPr>
        <w:t>3.3.3 Përmirësimi i funksionimit te SPAK dhe specializimi i brendshëm institucional për të kryer hetime proaktive (perfshire hetime financiare) gjate ndjekjes penale te korrupsionit.</w:t>
      </w:r>
    </w:p>
    <w:p w14:paraId="36CC07D6" w14:textId="77777777" w:rsidR="0061449F" w:rsidRPr="0061449F" w:rsidRDefault="0061449F" w:rsidP="0061449F">
      <w:pPr>
        <w:spacing w:line="276" w:lineRule="auto"/>
        <w:rPr>
          <w:rFonts w:ascii="Times New Roman" w:eastAsia="Calibri" w:hAnsi="Times New Roman" w:cs="Times New Roman"/>
          <w:sz w:val="24"/>
          <w:szCs w:val="24"/>
        </w:rPr>
      </w:pPr>
      <w:r w:rsidRPr="0061449F">
        <w:rPr>
          <w:rFonts w:ascii="Times New Roman" w:eastAsia="Calibri" w:hAnsi="Times New Roman" w:cs="Times New Roman"/>
          <w:sz w:val="24"/>
          <w:szCs w:val="24"/>
        </w:rPr>
        <w:t>3.3.4 Sigurohet zbatimi në kohë dhe efikas i vendimeve gjyqësore të formës së prerë.</w:t>
      </w:r>
    </w:p>
    <w:p w14:paraId="4C556CFD" w14:textId="77777777" w:rsidR="0061449F" w:rsidRPr="0061449F" w:rsidRDefault="0061449F" w:rsidP="0061449F">
      <w:pPr>
        <w:spacing w:line="276" w:lineRule="auto"/>
        <w:rPr>
          <w:rFonts w:ascii="Calibri" w:eastAsia="Calibri" w:hAnsi="Calibri" w:cs="Times New Roman"/>
        </w:rPr>
      </w:pPr>
    </w:p>
    <w:p w14:paraId="0443145C"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Treguesit kryesorë:</w:t>
      </w:r>
    </w:p>
    <w:p w14:paraId="1C70B6DC" w14:textId="77777777" w:rsidR="0061449F" w:rsidRPr="0061449F" w:rsidRDefault="0061449F" w:rsidP="0061449F">
      <w:pPr>
        <w:numPr>
          <w:ilvl w:val="0"/>
          <w:numId w:val="42"/>
        </w:numPr>
        <w:spacing w:line="276" w:lineRule="auto"/>
        <w:ind w:left="720"/>
        <w:contextualSpacing/>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sz w:val="24"/>
          <w:szCs w:val="24"/>
          <w:lang w:val="sq-AL"/>
        </w:rPr>
        <w:t>Përqindja e konfiskimeve në raport me kërkesat për sekuestrim në procesin penal.</w:t>
      </w:r>
    </w:p>
    <w:p w14:paraId="2B23DA8F" w14:textId="77777777" w:rsidR="0061449F" w:rsidRPr="0061449F" w:rsidRDefault="0061449F" w:rsidP="0061449F">
      <w:pPr>
        <w:spacing w:line="276" w:lineRule="auto"/>
        <w:rPr>
          <w:rFonts w:ascii="Times New Roman" w:eastAsia="Calibri" w:hAnsi="Times New Roman" w:cs="Times New Roman"/>
          <w:b/>
          <w:sz w:val="24"/>
          <w:szCs w:val="24"/>
          <w:lang w:val="sq-AL"/>
        </w:rPr>
      </w:pPr>
    </w:p>
    <w:p w14:paraId="1984621D" w14:textId="77777777" w:rsidR="0061449F" w:rsidRPr="0061449F" w:rsidRDefault="0061449F" w:rsidP="0061449F">
      <w:pPr>
        <w:spacing w:line="276" w:lineRule="auto"/>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Objektivi Specifik 3.4</w:t>
      </w:r>
    </w:p>
    <w:p w14:paraId="06B4B4ED"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Përkrahja/promovimi dhe rijta e përdorimit të mekanizmave të zgjidhjes alternative me mosmarrveshje.</w:t>
      </w:r>
    </w:p>
    <w:p w14:paraId="5D8D9906" w14:textId="77777777" w:rsidR="0061449F" w:rsidRPr="0061449F" w:rsidRDefault="0061449F" w:rsidP="0061449F">
      <w:pPr>
        <w:spacing w:after="0" w:line="276" w:lineRule="auto"/>
        <w:jc w:val="both"/>
        <w:textAlignment w:val="baseline"/>
        <w:rPr>
          <w:rFonts w:ascii="Times New Roman" w:eastAsia="Times New Roman" w:hAnsi="Times New Roman" w:cs="Times New Roman"/>
          <w:sz w:val="24"/>
          <w:szCs w:val="24"/>
          <w:lang w:val="sq-AL"/>
        </w:rPr>
      </w:pPr>
      <w:bookmarkStart w:id="14" w:name="_Hlk174359647"/>
      <w:r w:rsidRPr="0061449F">
        <w:rPr>
          <w:rFonts w:ascii="Times New Roman" w:eastAsia="Times New Roman" w:hAnsi="Times New Roman" w:cs="Times New Roman"/>
          <w:sz w:val="24"/>
          <w:szCs w:val="24"/>
          <w:lang w:val="sq-AL"/>
        </w:rPr>
        <w:t>Zbatimi i sistemeve alternative të zgjidhjes së mosmarrëveshjeve përballet me disa sfida, duke përfshirë nevojën për rritjen e kapaciteteve të DHKN, shtimin e numrit të rasteve të zgjidhura në mënyrë alternative, gjetjen e mekanizmave për të bërë ndërmjetësimin më të aksesueshëm dhe aplikimin e praktikave më të mira evropiane.</w:t>
      </w:r>
    </w:p>
    <w:p w14:paraId="1C346C79" w14:textId="77777777" w:rsidR="0061449F" w:rsidRPr="0061449F" w:rsidRDefault="0061449F" w:rsidP="0061449F">
      <w:pPr>
        <w:spacing w:after="0" w:line="276" w:lineRule="auto"/>
        <w:jc w:val="both"/>
        <w:textAlignment w:val="baseline"/>
        <w:rPr>
          <w:rFonts w:ascii="Times New Roman" w:eastAsia="Times New Roman" w:hAnsi="Times New Roman" w:cs="Times New Roman"/>
          <w:sz w:val="24"/>
          <w:szCs w:val="24"/>
          <w:lang w:val="sq-AL"/>
        </w:rPr>
      </w:pPr>
    </w:p>
    <w:p w14:paraId="22322A03"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r w:rsidRPr="0061449F">
        <w:rPr>
          <w:rFonts w:ascii="Times New Roman" w:eastAsia="Times New Roman" w:hAnsi="Times New Roman" w:cs="Times New Roman"/>
          <w:sz w:val="24"/>
          <w:szCs w:val="24"/>
          <w:bdr w:val="none" w:sz="0" w:space="0" w:color="auto" w:frame="1"/>
          <w:lang w:val="sq-AL"/>
        </w:rPr>
        <w:t xml:space="preserve">Në këtë kontekst ky Objektiv Specifik synon të përmirësojë përdorimin e mekanizmave të zgjidhjes alternative të mosmarrëveshjeve duke forcuar dhe promovuar ndërmjetësimin si një alternativë efektive për zgjidhjen e konflikteve. </w:t>
      </w:r>
    </w:p>
    <w:p w14:paraId="79827693" w14:textId="77777777" w:rsidR="0061449F" w:rsidRPr="0061449F" w:rsidRDefault="0061449F" w:rsidP="0061449F">
      <w:pPr>
        <w:spacing w:line="276" w:lineRule="auto"/>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lastRenderedPageBreak/>
        <w:t xml:space="preserve">Për të arritur këtë, do të përforcohet sistemi i ndërmjetësimit përmes ofrimit të trajnimeve për kandidatët dhe ndërmjetësit e akredituar, si dhe kryerjes së fushatave ndërgjegjësuese që synojnë rritjen e numrit të ndërmjetësve. Do të rritet transparenca në procedurat e licencimit për të nxitur rritjen e numrit të ndërmjetësuesve, si dhe do të duhet të informojnë palët për zgjidhjen e çështjes me ndërmjetësim sipas parashikimeve ligjore. </w:t>
      </w:r>
    </w:p>
    <w:p w14:paraId="1D0BDC2B" w14:textId="77777777" w:rsidR="0061449F" w:rsidRPr="0061449F" w:rsidRDefault="0061449F" w:rsidP="0061449F">
      <w:pPr>
        <w:spacing w:line="276" w:lineRule="auto"/>
        <w:jc w:val="both"/>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bdr w:val="none" w:sz="0" w:space="0" w:color="auto" w:frame="1"/>
          <w:lang w:val="sq-AL"/>
        </w:rPr>
        <w:t xml:space="preserve">Ky proces do të monitorohet dhe vlerësohet nga institucione përkatëse si KLGJ-ja dhe ILD-ja, për të siguruar që standardet dhe praktikat e duhura të respektohen, duke shërbyer dhe në </w:t>
      </w:r>
      <w:r w:rsidRPr="0061449F">
        <w:rPr>
          <w:rFonts w:ascii="Times New Roman" w:eastAsia="Times New Roman" w:hAnsi="Times New Roman" w:cs="Times New Roman"/>
          <w:sz w:val="24"/>
          <w:szCs w:val="24"/>
          <w:lang w:val="sq-AL"/>
        </w:rPr>
        <w:t>lehtësimin e ngarkesës së gjykatave dhe reduktimin e kostove.</w:t>
      </w:r>
    </w:p>
    <w:p w14:paraId="6B0A0D59"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Rezultati i pritshëm:</w:t>
      </w:r>
    </w:p>
    <w:p w14:paraId="7BAF0438" w14:textId="77777777" w:rsidR="0061449F" w:rsidRPr="0061449F" w:rsidRDefault="0061449F" w:rsidP="0061449F">
      <w:pPr>
        <w:numPr>
          <w:ilvl w:val="0"/>
          <w:numId w:val="42"/>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Deri në fund të vitit 2030, krahasuar me vitin 2024, 30% më shumë e çështjeve të referuara nga gjykatat, do të zgjidhen me ndërmjetësim, duke forcuar kështu efikasitetin dhe efektivitetin e sistemit të ndërmjetësimit në trajtimin e çështjeve gjyqësore.</w:t>
      </w:r>
    </w:p>
    <w:p w14:paraId="0441BFF9" w14:textId="77777777" w:rsidR="0061449F" w:rsidRPr="0061449F" w:rsidRDefault="0061449F" w:rsidP="0061449F">
      <w:pPr>
        <w:numPr>
          <w:ilvl w:val="0"/>
          <w:numId w:val="42"/>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Deri në fund të vitit 2030, krahasuar me vitin 2024, do të zgjidhen me ndërmjetësim 30% më shumë e çështjeve të filluara sipas procedurës së ndërmjetësimt.</w:t>
      </w:r>
    </w:p>
    <w:p w14:paraId="696E6F06"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p>
    <w:p w14:paraId="4CA62287"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r w:rsidRPr="0061449F">
        <w:rPr>
          <w:rFonts w:ascii="Times New Roman" w:eastAsia="Times New Roman" w:hAnsi="Times New Roman" w:cs="Times New Roman"/>
          <w:b/>
          <w:sz w:val="24"/>
          <w:szCs w:val="24"/>
          <w:bdr w:val="none" w:sz="0" w:space="0" w:color="auto" w:frame="1"/>
          <w:lang w:val="sq-AL"/>
        </w:rPr>
        <w:t>Lidhja e Objektivit Specifik me nënkapitullin përkatës të BE-së, sipas MSA-së</w:t>
      </w:r>
    </w:p>
    <w:p w14:paraId="1C877DB8"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Objektivi Specifik 3.4 lidhet me Kapitullin 23 “Gjyqësori dhe të Drejtat Themelore, me nenin 2 të MSA-së “Respekti për parimet demokratike dhe të drejtat e njeriut”, me nenin 78 të MSA-së “Fuqizimin e institucioneve dhe shtetit të së drejtës” dhe me nenin 88 “Bashkëpunimi statistikor” të MSA-së, e nënshkruar midis Republikës së Shqipërisë dhe Komuniteteve Evropiane të shteteve të tyre anëtare. Gjithashtu, ky objektiv lidhet me Planin Kombëtar për Integrimin Evropian 2024 – 2026 si dhe reflekton disa nga rekomandimet Raportit të Komisionit Evropian për Shqipërinë për vitin 2023. Objektivi Specifik 3.4 lidhet me Udhërrëfyesin për Shtetin e së Drejtës.</w:t>
      </w:r>
    </w:p>
    <w:p w14:paraId="14EECC2B"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p>
    <w:p w14:paraId="281B5CAC" w14:textId="77777777" w:rsidR="0061449F" w:rsidRPr="0061449F" w:rsidRDefault="0061449F" w:rsidP="0061449F">
      <w:pPr>
        <w:shd w:val="clear" w:color="auto" w:fill="FFFFFF"/>
        <w:spacing w:before="100" w:beforeAutospacing="1" w:after="100" w:afterAutospacing="1" w:line="276" w:lineRule="auto"/>
        <w:jc w:val="both"/>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sq-AL"/>
        </w:rPr>
        <w:t>Masat:</w:t>
      </w:r>
    </w:p>
    <w:p w14:paraId="3CBEFE2A" w14:textId="77777777" w:rsidR="0061449F" w:rsidRPr="0061449F" w:rsidRDefault="0061449F" w:rsidP="0061449F">
      <w:pPr>
        <w:shd w:val="clear" w:color="auto" w:fill="FFFFFF"/>
        <w:spacing w:before="100" w:beforeAutospacing="1" w:after="100" w:afterAutospacing="1" w:line="276" w:lineRule="auto"/>
        <w:jc w:val="both"/>
        <w:rPr>
          <w:rFonts w:ascii="Times New Roman" w:eastAsia="Times New Roman" w:hAnsi="Times New Roman" w:cs="Times New Roman"/>
          <w:b/>
          <w:sz w:val="24"/>
          <w:szCs w:val="24"/>
          <w:lang w:val="sq-AL"/>
        </w:rPr>
      </w:pPr>
      <w:r w:rsidRPr="0061449F">
        <w:rPr>
          <w:rFonts w:ascii="Times New Roman" w:eastAsia="Calibri" w:hAnsi="Times New Roman" w:cs="Times New Roman"/>
          <w:sz w:val="24"/>
          <w:szCs w:val="24"/>
          <w:lang w:val="sq-AL"/>
        </w:rPr>
        <w:t>3.4.1 Dhoma e Ndërmjetësve vazhdon të forcojë sistemin e ndërmjetësimit duke:  ofruar trajnime fillestare dhe të vazhduara për kandidatët ndërmjetës dhe ndërmjetësit e akredituar; duke kryer fushata ndërgjegjësuese për ndërmjetësimin dhe rritur numrin e ndërmjetësve.</w:t>
      </w:r>
    </w:p>
    <w:p w14:paraId="06295645"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3.4.2 Forcimi i transparencës së procedurave të licencimit me synim rritjen e numrit të ndërmjetësuesve.</w:t>
      </w:r>
    </w:p>
    <w:p w14:paraId="7ADF53B4"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3.4.3 Detyrimi ligjor i gjykatave për të informuar siç duhet palët për mundësinë e përdorimit të ndërmjetësimit vlerësohet nga KLGJ-ja në vlerësimin e performancës.</w:t>
      </w:r>
    </w:p>
    <w:p w14:paraId="649B1AE5"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3.4.4 Detyrimi ligjor i gjykatave për të informuar siç duhet palët për mundësinë e përdorimit të ndërmjetësimit vlerësohet nga ILD-ja në kuadër të inspektimeve tematike.</w:t>
      </w:r>
    </w:p>
    <w:p w14:paraId="2D63C2CC"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p>
    <w:p w14:paraId="6734CC65"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Treguesit kryesorë:</w:t>
      </w:r>
      <w:bookmarkEnd w:id="14"/>
    </w:p>
    <w:p w14:paraId="6F92390C" w14:textId="77777777" w:rsidR="0061449F" w:rsidRPr="0061449F" w:rsidRDefault="0061449F" w:rsidP="0061449F">
      <w:pPr>
        <w:numPr>
          <w:ilvl w:val="0"/>
          <w:numId w:val="44"/>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lastRenderedPageBreak/>
        <w:t>Raporti midis çështjeve të zgjidhura me ndërmjetësim të referuara nga gjykatat dhe numrit total të çështjeve të referuara për ndërmjetësim nga gjykatat (%).</w:t>
      </w:r>
    </w:p>
    <w:p w14:paraId="57A372F3" w14:textId="77777777" w:rsidR="0061449F" w:rsidRPr="0061449F" w:rsidRDefault="0061449F" w:rsidP="0061449F">
      <w:pPr>
        <w:numPr>
          <w:ilvl w:val="0"/>
          <w:numId w:val="43"/>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Raporti midis çështjeve të zgjidhura me ndërmjetësim dhe numrit total të çështjeve të filluara me ndërmjetësim (%).</w:t>
      </w:r>
    </w:p>
    <w:p w14:paraId="347DBC34"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p>
    <w:p w14:paraId="56A9EE42" w14:textId="77777777" w:rsidR="0061449F" w:rsidRPr="0061449F" w:rsidRDefault="0061449F" w:rsidP="0061449F">
      <w:pPr>
        <w:spacing w:line="276" w:lineRule="auto"/>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Objektivi Specifik 3.5</w:t>
      </w:r>
    </w:p>
    <w:p w14:paraId="50262BDF"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Ritja e efikasitetit në gjykata dhe prokurori me anë të mjeteve të teknologjisë të Informacionit dhe komunikimit.</w:t>
      </w:r>
    </w:p>
    <w:p w14:paraId="636DF84E" w14:textId="77777777" w:rsidR="0061449F" w:rsidRPr="0061449F" w:rsidRDefault="0061449F" w:rsidP="0061449F">
      <w:pPr>
        <w:spacing w:after="0" w:line="276" w:lineRule="auto"/>
        <w:jc w:val="both"/>
        <w:textAlignment w:val="baseline"/>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t>Për të përmirësuar efikasitetin e sistemit të drejtësisë, është rekomanduar që të rritet përdorimi i sistemeve të sigurta dhe të unifikuara të teknologjisë së informacionit dhe komunikimit në të gjitha nivelet e gjykatave dhe prokurorive. Po ashtu, është kërkuar përmirësimi në mbledhjen, publikimin dhe raportimin e të dhënave statistikore gjyqësore. Synimi është që të gjitha institucionet e drejtësisë të demonstrojnë zotësi, udhëheqje dhe koordinim të ngushtë në këtë proces, për të krijuar një sistem efikas dhe të integruar që përmirëson menaxhimin e çështjeve dhe ndihmon në optimizimin e komunikimit dhe bashkëpunimit në sistemin e drejtësisë.</w:t>
      </w:r>
    </w:p>
    <w:p w14:paraId="0CDBB091" w14:textId="77777777" w:rsidR="0061449F" w:rsidRPr="0061449F" w:rsidRDefault="0061449F" w:rsidP="0061449F">
      <w:pPr>
        <w:spacing w:line="276" w:lineRule="auto"/>
        <w:jc w:val="both"/>
        <w:rPr>
          <w:rFonts w:ascii="Times New Roman" w:eastAsia="Times New Roman" w:hAnsi="Times New Roman" w:cs="Times New Roman"/>
          <w:sz w:val="24"/>
          <w:szCs w:val="24"/>
          <w:bdr w:val="none" w:sz="0" w:space="0" w:color="auto" w:frame="1"/>
          <w:lang w:val="sq-AL"/>
        </w:rPr>
      </w:pPr>
    </w:p>
    <w:p w14:paraId="63115130" w14:textId="77777777" w:rsidR="0061449F" w:rsidRPr="0061449F" w:rsidRDefault="0061449F" w:rsidP="0061449F">
      <w:pPr>
        <w:spacing w:line="276" w:lineRule="auto"/>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Ndaj për këtë qëllim Objektivi 3.5 synon rritjen e efikasitetit në sistemin e drejtësisë duke integruar teknologjinë e informacionit dhe komunikimit në funksionimin e gjykatave dhe prokurorive ku do të ndërmerren disa masa kryesore. Do të forcohen kapacitetet e Prokurorisë Speciale përmes përdorimit të avancuar të teknologjisë së informacionit dhe do të D</w:t>
      </w:r>
      <w:r w:rsidRPr="0061449F">
        <w:rPr>
          <w:rFonts w:ascii="Times New Roman" w:eastAsia="Calibri" w:hAnsi="Times New Roman" w:cs="Times New Roman"/>
          <w:sz w:val="24"/>
          <w:szCs w:val="24"/>
          <w:lang w:val="sq-AL"/>
        </w:rPr>
        <w:t xml:space="preserve">izenjohet Sistemi për Menaxhimin e Integruar të Çështjeve (ICMS), </w:t>
      </w:r>
      <w:r w:rsidRPr="0061449F">
        <w:rPr>
          <w:rFonts w:ascii="Times New Roman" w:eastAsia="Times New Roman" w:hAnsi="Times New Roman" w:cs="Times New Roman"/>
          <w:sz w:val="24"/>
          <w:szCs w:val="24"/>
          <w:bdr w:val="none" w:sz="0" w:space="0" w:color="auto" w:frame="1"/>
          <w:lang w:val="sq-AL"/>
        </w:rPr>
        <w:t>që përfshin një hartë të detajuar të proceseve dhe funksionaliteteve. Infrastrukturat teknologjike në gjykata dhe prokurori do të përmirësohen për të mbështetur implementimin dhe funksionimin e sistemeve të reja. Do të ngrihet dhe mirëmbahet një sistem për menaxhimin e çështjeve në përputhje me standardet teknologjike dhe legjislative. Plani strategjik për zbatimin e teknologjisë do të përfshijë ndërveprimin e sistemeve dhe do të miratohet nga Bordi i Qendrës së Teknologjisë së Informacionit. Do të sigurohen burimet e nevojshme njerëzore dhe mbështetje buxhetore për krijimin dhe mbështetje të sistemit të menaxhimit të çështjeve dhe do të ofrohen trajnime për përdorimin e tij.</w:t>
      </w:r>
    </w:p>
    <w:p w14:paraId="2A648637"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Times New Roman" w:hAnsi="Times New Roman" w:cs="Times New Roman"/>
          <w:sz w:val="24"/>
          <w:szCs w:val="24"/>
          <w:bdr w:val="none" w:sz="0" w:space="0" w:color="auto" w:frame="1"/>
          <w:lang w:val="sq-AL"/>
        </w:rPr>
        <w:t xml:space="preserve">Për të përmirësuar statistikat e sistemit të drejtësisë, do të implementohen udhëzimet e Ministrit të Drejtësisë bazuar në metodologjinë e CEPEJ. Këto masa do të kontribuojnë në ndërtimin e një sistemi të drejtësisë më efikas, të integruar dhe transparent, </w:t>
      </w:r>
      <w:r w:rsidRPr="0061449F">
        <w:rPr>
          <w:rFonts w:ascii="Times New Roman" w:eastAsia="Calibri" w:hAnsi="Times New Roman" w:cs="Times New Roman"/>
          <w:sz w:val="24"/>
          <w:szCs w:val="24"/>
          <w:lang w:val="sq-AL"/>
        </w:rPr>
        <w:t>për të përmirësuar qasjen në drejtësi dhe për të modernizuar infrastrukturën e drejtësisë.</w:t>
      </w:r>
    </w:p>
    <w:p w14:paraId="6D7DB568" w14:textId="77777777" w:rsidR="0061449F" w:rsidRPr="0061449F" w:rsidRDefault="0061449F" w:rsidP="0061449F">
      <w:pPr>
        <w:spacing w:line="276" w:lineRule="auto"/>
        <w:jc w:val="both"/>
        <w:rPr>
          <w:rFonts w:ascii="Times New Roman" w:eastAsia="Calibri" w:hAnsi="Times New Roman" w:cs="Times New Roman"/>
          <w:bCs/>
          <w:noProof/>
          <w:sz w:val="24"/>
          <w:szCs w:val="24"/>
          <w:lang w:val="sq-AL" w:eastAsia="nl-NL"/>
        </w:rPr>
      </w:pPr>
    </w:p>
    <w:p w14:paraId="0AA55749" w14:textId="77777777" w:rsidR="0061449F" w:rsidRPr="0061449F" w:rsidRDefault="0061449F" w:rsidP="0061449F">
      <w:pPr>
        <w:spacing w:line="276" w:lineRule="auto"/>
        <w:jc w:val="both"/>
        <w:outlineLvl w:val="0"/>
        <w:rPr>
          <w:rFonts w:ascii="Calibri" w:eastAsia="Calibri" w:hAnsi="Calibri" w:cs="Times New Roman"/>
        </w:rPr>
      </w:pPr>
      <w:r w:rsidRPr="0061449F">
        <w:rPr>
          <w:rFonts w:ascii="Times New Roman" w:eastAsia="Calibri" w:hAnsi="Times New Roman" w:cs="Times New Roman"/>
          <w:b/>
          <w:sz w:val="24"/>
          <w:szCs w:val="24"/>
          <w:lang w:val="sq-AL"/>
        </w:rPr>
        <w:t>Rezultati i pritshëm:</w:t>
      </w:r>
    </w:p>
    <w:p w14:paraId="041252C8" w14:textId="77777777" w:rsidR="0061449F" w:rsidRPr="0061449F" w:rsidRDefault="0061449F" w:rsidP="0061449F">
      <w:pPr>
        <w:numPr>
          <w:ilvl w:val="0"/>
          <w:numId w:val="43"/>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Deri në fund të vitit 2027 ka përfunduar zhvillimi i software-it për sitemin e ri të integruar të menaxhimit të çështjeve gjyqësore (ICMS), dhe deri në fund të vitit 2029 garantohet implementimi i plotë me të gjitha funksionalitetet e ICMS.</w:t>
      </w:r>
    </w:p>
    <w:p w14:paraId="4DFE6C2A"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sz w:val="24"/>
          <w:szCs w:val="24"/>
          <w:bdr w:val="none" w:sz="0" w:space="0" w:color="auto" w:frame="1"/>
          <w:lang w:val="sq-AL"/>
        </w:rPr>
      </w:pPr>
    </w:p>
    <w:p w14:paraId="3488793A"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r w:rsidRPr="0061449F">
        <w:rPr>
          <w:rFonts w:ascii="Times New Roman" w:eastAsia="Times New Roman" w:hAnsi="Times New Roman" w:cs="Times New Roman"/>
          <w:b/>
          <w:sz w:val="24"/>
          <w:szCs w:val="24"/>
          <w:bdr w:val="none" w:sz="0" w:space="0" w:color="auto" w:frame="1"/>
          <w:lang w:val="sq-AL"/>
        </w:rPr>
        <w:t>Lidhja e Objektivit Specifik me nënkapitullin përkatës të BE-së, sipas MSA-së</w:t>
      </w:r>
    </w:p>
    <w:p w14:paraId="729F641C"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lastRenderedPageBreak/>
        <w:t>Objektivi Specifik 3.5 lidhet me Kapitullin 23 “Gjyqësori dhe të Drejtat Themelore, me nenin 2 të MSA-së “Respekti për parimet demokratike dhe të drejtat e njeriut”, me nenin 78 të MSA-së “Fuqizimin e institucioneve dhe shtetit të së drejtës” dhe me nenin 88 “Bashkëpunimi statistikor” të MSA-së, e nënshkruar midis Republikës së Shqipërisë dhe Komuniteteve Evropiane të shteteve të tyre anëtare. Gjithashtu, ky objektiv lidhet me Planin Kombëtar për Integrimin Evropian 2024 – 2026 si dhe reflekton disa nga rekomandimet Raportit të Komisionit Evropian për Shqipërinë për vitin 2023. Objektivi Specifik 3.5 lidhet me Udhërrëfyesin për Shtetin e së Drejtës.</w:t>
      </w:r>
    </w:p>
    <w:p w14:paraId="67D06F4B"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p>
    <w:p w14:paraId="424A8A74" w14:textId="77777777" w:rsidR="0061449F" w:rsidRPr="0061449F" w:rsidRDefault="0061449F" w:rsidP="0061449F">
      <w:pPr>
        <w:shd w:val="clear" w:color="auto" w:fill="FFFFFF"/>
        <w:spacing w:before="100" w:beforeAutospacing="1" w:after="100" w:afterAutospacing="1" w:line="276" w:lineRule="auto"/>
        <w:jc w:val="both"/>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sq-AL"/>
        </w:rPr>
        <w:t>Masat:</w:t>
      </w:r>
    </w:p>
    <w:p w14:paraId="40AE67CC" w14:textId="77777777" w:rsidR="0061449F" w:rsidRPr="0061449F" w:rsidRDefault="0061449F" w:rsidP="0061449F">
      <w:pPr>
        <w:spacing w:line="276" w:lineRule="auto"/>
        <w:jc w:val="both"/>
        <w:rPr>
          <w:rFonts w:ascii="Times New Roman" w:eastAsia="Calibri" w:hAnsi="Times New Roman" w:cs="Times New Roman"/>
          <w:sz w:val="24"/>
          <w:szCs w:val="24"/>
          <w:lang w:val="fr-FR"/>
        </w:rPr>
      </w:pPr>
      <w:bookmarkStart w:id="15" w:name="_Hlk174964747"/>
      <w:r w:rsidRPr="0061449F">
        <w:rPr>
          <w:rFonts w:ascii="Times New Roman" w:eastAsia="Calibri" w:hAnsi="Times New Roman" w:cs="Times New Roman"/>
          <w:sz w:val="24"/>
          <w:szCs w:val="24"/>
          <w:lang w:val="fr-FR"/>
        </w:rPr>
        <w:t>3.5.1</w:t>
      </w:r>
      <w:bookmarkEnd w:id="15"/>
      <w:r w:rsidRPr="0061449F">
        <w:rPr>
          <w:rFonts w:ascii="Calibri" w:eastAsia="Calibri" w:hAnsi="Calibri" w:cs="Times New Roman"/>
          <w:lang w:val="fr-FR"/>
        </w:rPr>
        <w:t xml:space="preserve"> </w:t>
      </w:r>
      <w:r w:rsidRPr="0061449F">
        <w:rPr>
          <w:rFonts w:ascii="Times New Roman" w:eastAsia="Calibri" w:hAnsi="Times New Roman" w:cs="Times New Roman"/>
          <w:sz w:val="24"/>
          <w:szCs w:val="24"/>
          <w:lang w:val="fr-FR"/>
        </w:rPr>
        <w:t>Forcimi i efikasitetit te SPAK nepermjet perdorimit te mjeteve te Teknologjise se Informacionit.</w:t>
      </w:r>
    </w:p>
    <w:p w14:paraId="7DD0C6E9" w14:textId="77777777" w:rsidR="0061449F" w:rsidRPr="0061449F" w:rsidRDefault="0061449F" w:rsidP="0061449F">
      <w:pPr>
        <w:spacing w:line="276" w:lineRule="auto"/>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3.5.2 Dizenjimi i Sistemit për Menaxhimin e Integruar të Çështjeve (ICMS), duke përfshirë hartëzimin e të gjitha proceseve, detajet e funksionaliteteve nga Bordi i Qendrës së QTI-së.</w:t>
      </w:r>
    </w:p>
    <w:p w14:paraId="4D6BD5A0" w14:textId="77777777" w:rsidR="0061449F" w:rsidRPr="0061449F" w:rsidRDefault="0061449F" w:rsidP="0061449F">
      <w:pPr>
        <w:spacing w:line="276" w:lineRule="auto"/>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3.5.3 Përmirësimi i infrastrukturës së teknologjisë së informacionit në gjykata dhe prokurori.</w:t>
      </w:r>
    </w:p>
    <w:p w14:paraId="3CEF3411" w14:textId="77777777" w:rsidR="0061449F" w:rsidRPr="0061449F" w:rsidRDefault="0061449F" w:rsidP="0061449F">
      <w:pPr>
        <w:spacing w:line="276" w:lineRule="auto"/>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3.5.4 Ngritja e sistemit të menaxhimit të çështjeve të prokurorisë me standardet aktuale teknologjike e legjislative dhe mirëmbajtja e software-t të sistemit.</w:t>
      </w:r>
    </w:p>
    <w:p w14:paraId="3FAD3AF4" w14:textId="77777777" w:rsidR="0061449F" w:rsidRPr="0061449F" w:rsidRDefault="0061449F" w:rsidP="0061449F">
      <w:pPr>
        <w:spacing w:line="276" w:lineRule="auto"/>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3.5.6 Mirëmbajtja e sistemeve te menaxhimit të çështjeve.</w:t>
      </w:r>
    </w:p>
    <w:p w14:paraId="73BB871E" w14:textId="77777777" w:rsidR="0061449F" w:rsidRPr="0061449F" w:rsidRDefault="0061449F" w:rsidP="0061449F">
      <w:pPr>
        <w:spacing w:line="276" w:lineRule="auto"/>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3.5.7 Plani strategjik për zbatimin e sistemit të teknologjisë së informacionit duke përfshirë ndërveprueshmërinë në sistemin e drejtësisë, duke përfshirë prokurorinë, gjykatat dhe institucionet e tjera të drejtësisë, miratohet nga Bordi i Qendrës së TI-së.</w:t>
      </w:r>
    </w:p>
    <w:p w14:paraId="7C3B79FD" w14:textId="77777777" w:rsidR="0061449F" w:rsidRPr="0061449F" w:rsidRDefault="0061449F" w:rsidP="0061449F">
      <w:pPr>
        <w:spacing w:line="276" w:lineRule="auto"/>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3.5.8 Burimet e duhura njerëzore dhe mbështetja buxhetore i dedikohet krijimit të një ICMS-i që garanton ndërlidhje të sigurt me bazat e të dhënave dhe sistemet përkatëse dhe ndërvepron bazuar në parashikimet vjetore.</w:t>
      </w:r>
    </w:p>
    <w:p w14:paraId="10C3D4ED" w14:textId="77777777" w:rsidR="0061449F" w:rsidRPr="0061449F" w:rsidRDefault="0061449F" w:rsidP="0061449F">
      <w:pPr>
        <w:spacing w:line="276" w:lineRule="auto"/>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3.5.9 Qendra e TI-së siguron koordinimin e duhur në zbatimin e sistemeve të menaxhimit të çështjeve duke siguruar ndërveprueshmëri.</w:t>
      </w:r>
    </w:p>
    <w:p w14:paraId="43CC3EDF" w14:textId="77777777" w:rsidR="0061449F" w:rsidRPr="0061449F" w:rsidRDefault="0061449F" w:rsidP="0061449F">
      <w:pPr>
        <w:spacing w:line="276" w:lineRule="auto"/>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3.5.10 Qendra e TI-së është e pajisur me burimet e nevojshme njerëzore dhe gëzon kompetenca ekzekutive për të funksionuar në mënyrë efikase.</w:t>
      </w:r>
    </w:p>
    <w:p w14:paraId="0D94C263" w14:textId="77777777" w:rsidR="0061449F" w:rsidRPr="0061449F" w:rsidRDefault="0061449F" w:rsidP="0061449F">
      <w:pPr>
        <w:spacing w:line="276" w:lineRule="auto"/>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3.5.12 Ofrimi i trajnimeve për funksionet dhe përdorimin e sistemit të integruar të menaxhimit të çështjeve.</w:t>
      </w:r>
    </w:p>
    <w:p w14:paraId="1EF20D7C"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3.5.13 Zhvillimi i kapaciteteve Teknologjise se Informacionit te GJK dhe mundesimi i aksesit ne praktiken gjyqesore.</w:t>
      </w:r>
    </w:p>
    <w:p w14:paraId="46FC0665"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3.5.14 Permiresimi i statistikave kombetare te drejtesise nepermjet miratimit dhe zbatimit te Udhezimit te Ministrit per statistikat kombetare te drejtesise, bazuar ne metodologjine e CEPEJ ne konsultim me institucionet e qeverisjes se sistemit te drejtesise.</w:t>
      </w:r>
    </w:p>
    <w:p w14:paraId="4D8E1AF2" w14:textId="77777777" w:rsidR="0061449F" w:rsidRPr="0061449F" w:rsidRDefault="0061449F" w:rsidP="0061449F">
      <w:pPr>
        <w:spacing w:line="276" w:lineRule="auto"/>
        <w:jc w:val="both"/>
        <w:rPr>
          <w:rFonts w:ascii="Times New Roman" w:eastAsia="Calibri" w:hAnsi="Times New Roman" w:cs="Times New Roman"/>
          <w:sz w:val="24"/>
          <w:szCs w:val="24"/>
        </w:rPr>
      </w:pPr>
    </w:p>
    <w:p w14:paraId="5FAC8FFA"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lastRenderedPageBreak/>
        <w:t>Treguesit kryesorë:</w:t>
      </w:r>
    </w:p>
    <w:p w14:paraId="7A1C5065" w14:textId="77777777" w:rsidR="0061449F" w:rsidRPr="0061449F" w:rsidRDefault="0061449F" w:rsidP="0061449F">
      <w:pPr>
        <w:numPr>
          <w:ilvl w:val="0"/>
          <w:numId w:val="43"/>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Shkalla e implementimit të sistemit të menaxhimit të integruar të çështjeve (ICMS).</w:t>
      </w:r>
    </w:p>
    <w:p w14:paraId="2B452615"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p>
    <w:p w14:paraId="16D2C2FB" w14:textId="77777777" w:rsidR="0061449F" w:rsidRPr="0061449F" w:rsidRDefault="0061449F" w:rsidP="0061449F">
      <w:pPr>
        <w:spacing w:line="276" w:lineRule="auto"/>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Objektivi Specifik 3.6</w:t>
      </w:r>
    </w:p>
    <w:p w14:paraId="2E8ED85F"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Përmirësimi i kapaciteteve të MD dhe institucioneve të varësisë për të përforcuar aksesin në drejtësi.</w:t>
      </w:r>
    </w:p>
    <w:p w14:paraId="390F8F67"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Institucionet që janë nën varësinë e Ministrisë së Drejtësisë, pavarësisht përparimeve të bëra në drejtim të përmirësimit të infrastrukturës, vazhdojnë të përballen me disa sfida. Drejtoria e Përgjithshme e Burgjeve, Drejtoria e Përgjithshme e Shërbimit të Provës, Drejtoria e Ndihmës Juridike Falas dhe Drejtoria e Përgjithshme e Përmbarimit Shtetëror paraqesin nevoja për zgjerimin e hapësirave dhe përmirësimin e standardeve të godinave të degëve lokale. Përmbushja e këtyre nevojave do të kontribuonte në përmirësimin e shërbimeve të ofruara nga këto institucione.</w:t>
      </w:r>
    </w:p>
    <w:p w14:paraId="24FD228F"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Një sfidë e vazhdueshme mbetet bashkëpunimi ndërinstitucional në fushën e drejtësisë penale, veçanërisht ndërmjet prokurorive dhe institucionit të Shërbimit të Provës, për të siguruar respektimin e afateve ligjore për ekzekutimin e vendimeve me shërbim prove. Vonesat në ekzekutimin e vendimeve me shërbim prove ndikojnë negativisht në zbatimin e dënimit alternativ, reduktojnë efektin individual të tij dhe dëmtojnë besimin në sistemin e drejtësisë.</w:t>
      </w:r>
    </w:p>
    <w:p w14:paraId="1E238E02" w14:textId="77777777" w:rsidR="0061449F" w:rsidRPr="0061449F" w:rsidRDefault="0061449F" w:rsidP="0061449F">
      <w:pPr>
        <w:spacing w:line="276" w:lineRule="auto"/>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 xml:space="preserve">Rjedhimisht, Objektivi Specifik 3.6 synon përmirësimin e kapaciteteteve të Ministrisë së Drejtësisë dhe institucioneve të varësisë për të forcuar aksesin në drejtësi. Ky objektiv përfshin disa masa kyçe të cilat janë konsolidimi i Masterplanit të Burgjeve për rinovimin e infrastrukturës dhe rritjen e kapaciteteve akomoduese; miratimi i Planit të Integritetit për të adresuar risqet e integritetit në sistemin penitenciar; dhe miratimi i rregullave të brendshme për institucionet e ekzekutimit të vendimeve penale, për të përmbushur rekomandimet e Avokatit të Popullit dhe CPT-së. </w:t>
      </w:r>
    </w:p>
    <w:p w14:paraId="550BB632" w14:textId="77777777" w:rsidR="0061449F" w:rsidRPr="0061449F" w:rsidRDefault="0061449F" w:rsidP="0061449F">
      <w:pPr>
        <w:spacing w:line="276" w:lineRule="auto"/>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Gjithashtu, synohet ngritja e kapaciteteve për të zbatuar rekomandimet e CPT-së dhe optimizimi i ndërhyrjeve përmes instrumenteve psiko-edukative dhe mbështetje psiko-sociale.</w:t>
      </w:r>
    </w:p>
    <w:p w14:paraId="3D598357" w14:textId="77777777" w:rsidR="0061449F" w:rsidRPr="0061449F" w:rsidRDefault="0061449F" w:rsidP="0061449F">
      <w:pPr>
        <w:spacing w:line="276" w:lineRule="auto"/>
        <w:jc w:val="both"/>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bdr w:val="none" w:sz="0" w:space="0" w:color="auto" w:frame="1"/>
          <w:lang w:val="sq-AL"/>
        </w:rPr>
        <w:t>Në këtë kuadër, do të sigurohen burimet e nevojshme për ndërtimin/rikonstruksionin e institucioneve për ekzekutimin e vendimeve penale. Do të rritet efikasiteti i IEVP-ve dhe Shërbimit të Proves, si dhe kapacitetet e DNJF-së. Rishikimi i akteve nënligjore (paketës rregullatore) dhe rritja e aksesit në ndihmën juridike falas, si dhe përmirësimi i efektivitetit të Shërbimit të Noterisë dhe Shërbimit të Përmbarimit përmes kapaciteteve dhe digjitalizimit janë gjithashtu pjesë e këtij objektivi specik, zbërthyer me tej me masa konkrete.</w:t>
      </w:r>
    </w:p>
    <w:p w14:paraId="2E107F04" w14:textId="77777777" w:rsidR="0061449F" w:rsidRPr="0061449F" w:rsidRDefault="0061449F" w:rsidP="0061449F">
      <w:pPr>
        <w:spacing w:line="276" w:lineRule="auto"/>
        <w:jc w:val="both"/>
        <w:rPr>
          <w:rFonts w:ascii="Times New Roman" w:eastAsia="Calibri" w:hAnsi="Times New Roman" w:cs="Times New Roman"/>
          <w:bCs/>
          <w:noProof/>
          <w:sz w:val="24"/>
          <w:szCs w:val="24"/>
          <w:lang w:val="sq-AL" w:eastAsia="nl-NL"/>
        </w:rPr>
      </w:pPr>
      <w:r w:rsidRPr="0061449F">
        <w:rPr>
          <w:rFonts w:ascii="Times New Roman" w:eastAsia="Calibri" w:hAnsi="Times New Roman" w:cs="Times New Roman"/>
          <w:bCs/>
          <w:noProof/>
          <w:sz w:val="24"/>
          <w:szCs w:val="24"/>
          <w:lang w:val="sq-AL" w:eastAsia="nl-NL"/>
        </w:rPr>
        <w:t>Gjithashtu, nëpërmjet këtij objektivi specifik synohet rritja e bashkëpunimit ndërinstitucional në fushën e drejtësisë penale, veçanërisht bashkëpunimi midis prokurorive dhe shërbimit të provës, për të mundësuar respektimin e afateve ligjore për ekzekutimin e vendimeve me shërbim prove. Vonesa në ekzekutimin e shërbimit të provës ndikon në zbatimin e duhur të shërbimit të provës si dënim alternativ, efektin individual të këtij ndëshkimi si dhe cënon besimin në sistemin e drejtesisë.</w:t>
      </w:r>
    </w:p>
    <w:p w14:paraId="49E59132"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p>
    <w:p w14:paraId="070015B7"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p>
    <w:p w14:paraId="294DCC32"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Rezultati i pritshëm:</w:t>
      </w:r>
    </w:p>
    <w:p w14:paraId="289F7547" w14:textId="77777777" w:rsidR="0061449F" w:rsidRPr="0061449F" w:rsidRDefault="0061449F" w:rsidP="0061449F">
      <w:pPr>
        <w:numPr>
          <w:ilvl w:val="0"/>
          <w:numId w:val="43"/>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Deri në fund të vitit 2030 pritet të ketë rritje progresive të numrit të të burgosurve të përfshirë në aktivitetet rehabilituese kundrejt numrit total të personave që vuajnë dënimin, duke forcuar keshtu rehabilitimin e tyre dhe integrimin e mëvonshëm në shoqëri.</w:t>
      </w:r>
    </w:p>
    <w:p w14:paraId="0862F9D7" w14:textId="77777777" w:rsidR="0061449F" w:rsidRPr="0061449F" w:rsidRDefault="0061449F" w:rsidP="0061449F">
      <w:pPr>
        <w:numPr>
          <w:ilvl w:val="0"/>
          <w:numId w:val="43"/>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Deri në fund të vitit 2030 do të ketë përmirësim progresiv të situatës së mbipopullimit në burgje si rrjedhojë e adresimit të sfidave në sistemin e drejtësise dhe politikave efektive të paraburgimit.</w:t>
      </w:r>
    </w:p>
    <w:p w14:paraId="581766CD" w14:textId="77777777" w:rsidR="0061449F" w:rsidRPr="0061449F" w:rsidRDefault="0061449F" w:rsidP="0061449F">
      <w:pPr>
        <w:numPr>
          <w:ilvl w:val="0"/>
          <w:numId w:val="43"/>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Deri në fund të vitit 2030 do të reduktohet progresivisht kohëzgjatja mesatare e dhënjes së ndihmës juridike parësore falas duke garantuar në ketë mënyrë moszvarritjen e procedurave, dhe akses efektiv në drejtësi për qytetarët.</w:t>
      </w:r>
    </w:p>
    <w:p w14:paraId="14CF9B12"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p>
    <w:p w14:paraId="7B7CB7C9"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r w:rsidRPr="0061449F">
        <w:rPr>
          <w:rFonts w:ascii="Times New Roman" w:eastAsia="Times New Roman" w:hAnsi="Times New Roman" w:cs="Times New Roman"/>
          <w:b/>
          <w:sz w:val="24"/>
          <w:szCs w:val="24"/>
          <w:bdr w:val="none" w:sz="0" w:space="0" w:color="auto" w:frame="1"/>
          <w:lang w:val="sq-AL"/>
        </w:rPr>
        <w:t>Lidhja e Objektivit Specifik me nënkapitullin përkatës të BE-së, sipas MSA-së</w:t>
      </w:r>
    </w:p>
    <w:p w14:paraId="7AA38756"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Objektivi Specifik 3.6 lidhet me Kapitullin 23 “Gjyqësori dhe të Drejtat Themelore, me nenin 2 të MSA-së “Respekti për parimet demokratike dhe të drejtat e njeriut”, me nenin 78 të MSA-së “Fuqizimin e institucioneve dhe shtetit të së drejtës” dhe me nenin 88 “Bashkëpunimi statistikor” të MSA-së, e nënshkruar midis Republikës së Shqipërisë dhe Komuniteteve Evropiane të shteteve të tyre anëtare. Gjithashtu, ky objektiv lidhet me Planin Kombëtar për Integrimin Evropian 2024 – 2026 si dhe reflekton disa nga rekomandimet Raportit të Komisionit Evropian për Shqipërinë për vitin 2023. Objektivi Specifik 3.6 lidhet me Udhërrëfyesin për Shtetin e së Drejtës.</w:t>
      </w:r>
    </w:p>
    <w:p w14:paraId="6E8BEF0B"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p>
    <w:p w14:paraId="095E5C21"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r w:rsidRPr="0061449F">
        <w:rPr>
          <w:rFonts w:ascii="Times New Roman" w:eastAsia="Times New Roman" w:hAnsi="Times New Roman" w:cs="Times New Roman"/>
          <w:b/>
          <w:sz w:val="24"/>
          <w:szCs w:val="24"/>
          <w:lang w:val="sq-AL"/>
        </w:rPr>
        <w:t>Masat:</w:t>
      </w:r>
    </w:p>
    <w:p w14:paraId="04011D75"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bookmarkStart w:id="16" w:name="_Hlk174964913"/>
      <w:r w:rsidRPr="0061449F">
        <w:rPr>
          <w:rFonts w:ascii="Times New Roman" w:eastAsia="Calibri" w:hAnsi="Times New Roman" w:cs="Times New Roman"/>
          <w:sz w:val="24"/>
          <w:szCs w:val="24"/>
          <w:lang w:val="sq-AL"/>
        </w:rPr>
        <w:t>3.6.1</w:t>
      </w:r>
      <w:bookmarkEnd w:id="16"/>
      <w:r w:rsidRPr="0061449F">
        <w:rPr>
          <w:rFonts w:ascii="Times New Roman" w:eastAsia="Calibri" w:hAnsi="Times New Roman" w:cs="Times New Roman"/>
          <w:sz w:val="24"/>
          <w:szCs w:val="24"/>
          <w:lang w:val="sq-AL"/>
        </w:rPr>
        <w:t xml:space="preserve"> Konsolidimi i Masterplanit te Burgjeve duke përfshirë ndër të tjera masa për rinovimin e infrastrukturës së burgjeve dhe rritjen e kapaciteteve akomoduese për të dënuarit me burgim.</w:t>
      </w:r>
    </w:p>
    <w:p w14:paraId="39D3BF36"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3.6.2 Miratimi i Planit te Integritetit që adreson risqet e integritetit në sistemin penitenciar.</w:t>
      </w:r>
    </w:p>
    <w:p w14:paraId="0B5B4CD1"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3.6.3 Drejtoria e Përgjithshme e Burgjeve miraton rregullat e brendshme për çdo institucion të ekzekutimit të vendimeve penale, duke synuar adresimin e rekomandimeve të Avokatit të Popullit dhe CPT.</w:t>
      </w:r>
    </w:p>
    <w:p w14:paraId="489EAB5E"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3.6.4 Drejtoria e Përgjithshme e Burgjeve dhe Ministria e Drejtësisë vazhdojnë të ndërmarrin masa për ngritjen e kapaciteteve për të rritur aftësinë raportuese dhe zbatuese të rekomandimeve të CPT-së.</w:t>
      </w:r>
    </w:p>
    <w:p w14:paraId="0A210CE5"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3.6.5 Optimizimi i ndërhyrjes dhe pasurimi i portofolit të stafit me instrumente psiko-edukative dhe terapeutike, këshillim klinik, qasje terapeutike, maksimizimi i mbështetjes psiko-sociale.</w:t>
      </w:r>
    </w:p>
    <w:p w14:paraId="30F85534"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3.6.6 Qeveria siguron burime të përshtatshme dhe siguron ndërtimin ose rinovimin e IEVP-ve.</w:t>
      </w:r>
    </w:p>
    <w:p w14:paraId="41E98594"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3.6.7 Ngritja dhe funksionimi institucionit per trajtimin e pacienteve te psikiatrise ligjore ne bashkepunim me Ministrine e Shendetesise dhe Mbrojtjes Sociale.</w:t>
      </w:r>
    </w:p>
    <w:p w14:paraId="36B668DD" w14:textId="77777777" w:rsidR="0061449F" w:rsidRPr="0061449F" w:rsidRDefault="0061449F" w:rsidP="0061449F">
      <w:pPr>
        <w:spacing w:line="276" w:lineRule="auto"/>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3.6.8 Rritja e efektivitetit te IEVP-ve nepermjet rekomandimeve te inspektimeve te brendshme.</w:t>
      </w:r>
    </w:p>
    <w:p w14:paraId="0EE1C7EC" w14:textId="77777777" w:rsidR="0061449F" w:rsidRPr="0061449F" w:rsidRDefault="0061449F" w:rsidP="0061449F">
      <w:pPr>
        <w:spacing w:line="276" w:lineRule="auto"/>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lastRenderedPageBreak/>
        <w:t>3.6.9 Rritje e efikasitetit te Sherbimit te Proves nepermjet permiresimit te organizimit te punes dhe forcimit te kapaciteteve.</w:t>
      </w:r>
    </w:p>
    <w:p w14:paraId="06BF4FDA" w14:textId="77777777" w:rsidR="0061449F" w:rsidRPr="0061449F" w:rsidRDefault="0061449F" w:rsidP="0061449F">
      <w:pPr>
        <w:spacing w:line="276" w:lineRule="auto"/>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3.6.10 Rritja e kapaciteteve njerezore dhe infrastrukturore per mirefunksionimin e DNJF.</w:t>
      </w:r>
    </w:p>
    <w:p w14:paraId="74670AA0" w14:textId="77777777" w:rsidR="0061449F" w:rsidRPr="0061449F" w:rsidRDefault="0061449F" w:rsidP="0061449F">
      <w:pPr>
        <w:spacing w:line="276" w:lineRule="auto"/>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3.6.11 Rishikimi i paketes rregullatore ne lidhje me konsolidimin e praktikes per ofrimin e ndihmes ligjore.</w:t>
      </w:r>
    </w:p>
    <w:p w14:paraId="300F9150" w14:textId="77777777" w:rsidR="0061449F" w:rsidRPr="0061449F" w:rsidRDefault="0061449F" w:rsidP="0061449F">
      <w:pPr>
        <w:spacing w:line="276" w:lineRule="auto"/>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3.6.12 Informimi, ndergjegjesimi dhe rritja e aksesit te subjekteve te ligjit per Ndihmen Juridike Falas mbi te drejtat e tyre dhe zgjidhjen e mosmarrveshjeve.</w:t>
      </w:r>
    </w:p>
    <w:p w14:paraId="60468732" w14:textId="77777777" w:rsidR="0061449F" w:rsidRPr="0061449F" w:rsidRDefault="0061449F" w:rsidP="0061449F">
      <w:pPr>
        <w:spacing w:line="276" w:lineRule="auto"/>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3.6.13 Rritja e efektivitetit te Sherbimit te Noterise nepermjet rritjes se kapaciteteve, llogaridhenies dhe digjitalizimit.</w:t>
      </w:r>
    </w:p>
    <w:p w14:paraId="0CBD80E7" w14:textId="77777777" w:rsidR="0061449F" w:rsidRPr="0061449F" w:rsidRDefault="0061449F" w:rsidP="0061449F">
      <w:pPr>
        <w:spacing w:line="276" w:lineRule="auto"/>
        <w:jc w:val="both"/>
        <w:rPr>
          <w:rFonts w:ascii="Times New Roman" w:eastAsia="Calibri" w:hAnsi="Times New Roman" w:cs="Times New Roman"/>
          <w:sz w:val="24"/>
          <w:szCs w:val="24"/>
          <w:lang w:val="fr-FR"/>
        </w:rPr>
      </w:pPr>
      <w:r w:rsidRPr="0061449F">
        <w:rPr>
          <w:rFonts w:ascii="Times New Roman" w:eastAsia="Calibri" w:hAnsi="Times New Roman" w:cs="Times New Roman"/>
          <w:sz w:val="24"/>
          <w:szCs w:val="24"/>
          <w:lang w:val="fr-FR"/>
        </w:rPr>
        <w:t>3.6.13 Rritja e efektivitetit te Sherbimit te Permbarimit nepermjet rritjes se kapaciteteve, llogaridhenies dhe digjitalizimit</w:t>
      </w:r>
    </w:p>
    <w:p w14:paraId="5D06DB6F" w14:textId="77777777" w:rsidR="0061449F" w:rsidRPr="0061449F" w:rsidRDefault="0061449F" w:rsidP="0061449F">
      <w:pPr>
        <w:spacing w:line="276" w:lineRule="auto"/>
        <w:jc w:val="both"/>
        <w:rPr>
          <w:rFonts w:ascii="Times New Roman" w:eastAsia="Calibri" w:hAnsi="Times New Roman" w:cs="Times New Roman"/>
          <w:sz w:val="24"/>
          <w:szCs w:val="24"/>
          <w:lang w:val="fr-FR"/>
        </w:rPr>
      </w:pPr>
    </w:p>
    <w:p w14:paraId="6B1D1008"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Treguesit kryesorë:</w:t>
      </w:r>
    </w:p>
    <w:p w14:paraId="54FCF386" w14:textId="77777777" w:rsidR="0061449F" w:rsidRPr="0061449F" w:rsidRDefault="0061449F" w:rsidP="0061449F">
      <w:pPr>
        <w:numPr>
          <w:ilvl w:val="0"/>
          <w:numId w:val="46"/>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Përqindja e personave të burgosur të punësuar, që ndjekin kurse profesionale ose që ndjekin arsimin e detyruar, përkundrejt numrit total të personave që vuajnë dënimin</w:t>
      </w:r>
    </w:p>
    <w:p w14:paraId="071735D2" w14:textId="77777777" w:rsidR="0061449F" w:rsidRPr="0061449F" w:rsidRDefault="0061449F" w:rsidP="0061449F">
      <w:pPr>
        <w:numPr>
          <w:ilvl w:val="0"/>
          <w:numId w:val="74"/>
        </w:numPr>
        <w:spacing w:line="276" w:lineRule="auto"/>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Raporti i numrit të shtretërve me numrin e të burgosurve në (%).</w:t>
      </w:r>
    </w:p>
    <w:p w14:paraId="20788079" w14:textId="77777777" w:rsidR="0061449F" w:rsidRPr="0061449F" w:rsidRDefault="0061449F" w:rsidP="0061449F">
      <w:pPr>
        <w:numPr>
          <w:ilvl w:val="0"/>
          <w:numId w:val="45"/>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Kohëzgjatja mesatare midis kërkesës për ndihmë juridike parësore falas dhe dhënies së ndihmës juridike parësore falas.</w:t>
      </w:r>
    </w:p>
    <w:p w14:paraId="49E56ADD" w14:textId="77777777" w:rsidR="0061449F" w:rsidRPr="0061449F" w:rsidRDefault="0061449F" w:rsidP="0061449F">
      <w:pPr>
        <w:spacing w:line="276" w:lineRule="auto"/>
        <w:jc w:val="both"/>
        <w:outlineLvl w:val="0"/>
        <w:rPr>
          <w:rFonts w:ascii="Times New Roman" w:eastAsia="Calibri" w:hAnsi="Times New Roman" w:cs="Times New Roman"/>
          <w:sz w:val="24"/>
          <w:szCs w:val="24"/>
          <w:lang w:val="sq-AL"/>
        </w:rPr>
      </w:pPr>
    </w:p>
    <w:p w14:paraId="01417003" w14:textId="77777777" w:rsidR="0061449F" w:rsidRPr="0061449F" w:rsidRDefault="0061449F" w:rsidP="0061449F">
      <w:pPr>
        <w:spacing w:line="276" w:lineRule="auto"/>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Qellimi Politik 4</w:t>
      </w:r>
    </w:p>
    <w:p w14:paraId="4672E0C1" w14:textId="77777777" w:rsidR="0061449F" w:rsidRPr="0061449F" w:rsidRDefault="0061449F" w:rsidP="0061449F">
      <w:pPr>
        <w:spacing w:line="276" w:lineRule="auto"/>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Forcimi i cilësisë së drejtësisë</w:t>
      </w:r>
    </w:p>
    <w:p w14:paraId="402538C3" w14:textId="77777777" w:rsidR="0061449F" w:rsidRPr="0061449F" w:rsidRDefault="0061449F" w:rsidP="0061449F">
      <w:pPr>
        <w:spacing w:after="0" w:line="276" w:lineRule="auto"/>
        <w:jc w:val="both"/>
        <w:rPr>
          <w:rFonts w:ascii="Times New Roman" w:eastAsia="Times New Roman" w:hAnsi="Times New Roman" w:cs="Times New Roman"/>
          <w:sz w:val="24"/>
          <w:szCs w:val="24"/>
          <w:shd w:val="clear" w:color="auto" w:fill="FFFFFF"/>
          <w:lang w:val="sq-AL"/>
        </w:rPr>
      </w:pPr>
      <w:r w:rsidRPr="0061449F">
        <w:rPr>
          <w:rFonts w:ascii="Times New Roman" w:eastAsia="Times New Roman" w:hAnsi="Times New Roman" w:cs="Times New Roman"/>
          <w:sz w:val="24"/>
          <w:szCs w:val="24"/>
          <w:shd w:val="clear" w:color="auto" w:fill="FFFFFF"/>
          <w:lang w:val="sq-AL"/>
        </w:rPr>
        <w:t xml:space="preserve">Në referim të Udhërrëfyesit për Shtetin e së Drejtës, Këshillat duhet të avancojnë në miratimin e akteve nënligjore për vlerësimin e performancës së gjyqtarëve dhe prokurorëve, duke synuar një balancë më të mirë midis kritereve cilësore dhe sasiore, si dhe rritjen e transparencës së procesit përmes këtyre metodologjive. </w:t>
      </w:r>
    </w:p>
    <w:p w14:paraId="6EFF5E50" w14:textId="77777777" w:rsidR="0061449F" w:rsidRPr="0061449F" w:rsidRDefault="0061449F" w:rsidP="0061449F">
      <w:pPr>
        <w:spacing w:after="0" w:line="276" w:lineRule="auto"/>
        <w:jc w:val="both"/>
        <w:rPr>
          <w:rFonts w:ascii="Times New Roman" w:eastAsia="Times New Roman" w:hAnsi="Times New Roman" w:cs="Times New Roman"/>
          <w:sz w:val="24"/>
          <w:szCs w:val="24"/>
          <w:lang w:val="sq-AL"/>
        </w:rPr>
      </w:pPr>
    </w:p>
    <w:p w14:paraId="55D21C38"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t>Shkolla e Magjistraturës duhet të ndryshojë Rregulloren e saj të Brendshme për të siguruar që provimi i pranimit të reflektojë standardet më të mira të BE-së dhe që pranimet të bëhen bazuar në njohuri dhe kapacitete. Gjithashtu, Shkolla e Magjistraturës duhet të pasurojë programet e trajnimit vazhdues, duke u fokusuar në nevojat e identifikuara për specializimin e gjyqtarëve dhe prokurorëve në detyrë. KLGJ duhet të sigurojë publikimin dhe të përmirësojë kërkimin e vendimeve gjyqësore, veçanërisht të GJL-së.  GJL duhet të vazhdojë unifikimin e vendimeve të gjykatave dhe për rrjedhojë, të përmirësojë më tej praktikën gjyqësore. Vlerësimi i gjyqtarëve dhe prokurorëve nga KLGJ dhe KLP duhet të përfshijë, ndër të tjera, standardet e arsyetimit të vendimeve gjyqësore. Duhet të merren masa për të siguruar që vendimet gjyqësore të jenë të aksesueshme dhe lehtësisht të arritshme për publikun.</w:t>
      </w:r>
    </w:p>
    <w:p w14:paraId="7891859A" w14:textId="77777777" w:rsidR="0061449F" w:rsidRPr="0061449F" w:rsidRDefault="0061449F" w:rsidP="0061449F">
      <w:pPr>
        <w:spacing w:line="276" w:lineRule="auto"/>
        <w:jc w:val="both"/>
        <w:rPr>
          <w:rFonts w:ascii="Times New Roman" w:eastAsia="Times New Roman" w:hAnsi="Times New Roman" w:cs="Times New Roman"/>
          <w:sz w:val="24"/>
          <w:szCs w:val="24"/>
          <w:bdr w:val="none" w:sz="0" w:space="0" w:color="auto" w:frame="1"/>
          <w:lang w:val="sq-AL"/>
        </w:rPr>
      </w:pPr>
    </w:p>
    <w:p w14:paraId="01BF6F6B" w14:textId="77777777" w:rsidR="0061449F" w:rsidRPr="0061449F" w:rsidRDefault="0061449F" w:rsidP="0061449F">
      <w:pPr>
        <w:spacing w:line="276" w:lineRule="auto"/>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lastRenderedPageBreak/>
        <w:t xml:space="preserve">Sa më sipër Qëllimi Politik 4 fokusohet në forcimin e cilësisë së drejtësisë duke siguruar burimet financiare, njerëzore dhe infrastrukturore të nevojshme për funksionimin efektiv të sistemit të drejtësisë. </w:t>
      </w:r>
    </w:p>
    <w:p w14:paraId="282202C3" w14:textId="77777777" w:rsidR="0061449F" w:rsidRPr="0061449F" w:rsidRDefault="0061449F" w:rsidP="0061449F">
      <w:pPr>
        <w:spacing w:line="276" w:lineRule="auto"/>
        <w:jc w:val="both"/>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bdr w:val="none" w:sz="0" w:space="0" w:color="auto" w:frame="1"/>
          <w:lang w:val="sq-AL"/>
        </w:rPr>
        <w:t>Kjo përfshin përmirësimin e performancës së magjistratëve në gjykata dhe prokurori, forcimin e kapaciteteve të Shkollës së Magjistraturës për të përmirësuar trajnimin dhe kurrikulat e trajnimit gjyqësor, dhe sigurimin e aksesit të publikut në vendimet e gjykatave. Qëllimi është gjithashtu që të garantohet qëndrueshmëria e praktikave gjyqësore dhe të përmirësohet cilësia e arsyetimit të vendimeve, duke kontribuar kështu në rritjen e besueshmërisë dhe transparencës në sistemin e drejtësisë.</w:t>
      </w:r>
      <w:r w:rsidRPr="0061449F">
        <w:rPr>
          <w:rFonts w:ascii="Times New Roman" w:eastAsia="Times New Roman" w:hAnsi="Times New Roman" w:cs="Times New Roman"/>
          <w:sz w:val="24"/>
          <w:szCs w:val="24"/>
          <w:lang w:val="sq-AL"/>
        </w:rPr>
        <w:t xml:space="preserve"> </w:t>
      </w:r>
    </w:p>
    <w:p w14:paraId="3BD0B0BC" w14:textId="77777777" w:rsidR="0061449F" w:rsidRPr="0061449F" w:rsidRDefault="0061449F" w:rsidP="0061449F">
      <w:pPr>
        <w:spacing w:line="276" w:lineRule="auto"/>
        <w:jc w:val="both"/>
        <w:rPr>
          <w:rFonts w:ascii="Calibri" w:eastAsia="Calibri" w:hAnsi="Calibri" w:cs="Times New Roman"/>
          <w:lang w:val="sq-AL"/>
        </w:rPr>
      </w:pPr>
      <w:r w:rsidRPr="0061449F">
        <w:rPr>
          <w:rFonts w:ascii="Times New Roman" w:eastAsia="MS Mincho" w:hAnsi="Times New Roman" w:cs="Times New Roman"/>
          <w:bCs/>
          <w:sz w:val="24"/>
          <w:szCs w:val="24"/>
          <w:lang w:val="sq-AL"/>
        </w:rPr>
        <w:t>Për arritjen e këtij qëllimi politik, institucionet përgjegjëse në bashkëpunim me institucionet e tjera, partnerë vendas dhe ndërkombëtarë do të fokusohen në përmbushjen e katër objektivave specifikë:</w:t>
      </w:r>
    </w:p>
    <w:p w14:paraId="5018E820"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Objektivi Specifik 4.1</w:t>
      </w:r>
      <w:r w:rsidRPr="0061449F">
        <w:rPr>
          <w:rFonts w:ascii="Times New Roman" w:eastAsia="Calibri" w:hAnsi="Times New Roman" w:cs="Times New Roman"/>
          <w:sz w:val="24"/>
          <w:szCs w:val="24"/>
          <w:lang w:val="sq-AL"/>
        </w:rPr>
        <w:t xml:space="preserve"> - Sigurimi i burimeve financiare, njerëzore dhe infrastrukturore për mirëfunksionimin e sistemit të drejtësisë.</w:t>
      </w:r>
    </w:p>
    <w:p w14:paraId="668DE692"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Objektivi Specifik</w:t>
      </w:r>
      <w:r w:rsidRPr="0061449F">
        <w:rPr>
          <w:rFonts w:ascii="Times New Roman" w:eastAsia="Calibri" w:hAnsi="Times New Roman" w:cs="Times New Roman"/>
          <w:sz w:val="24"/>
          <w:szCs w:val="24"/>
          <w:lang w:val="sq-AL"/>
        </w:rPr>
        <w:t xml:space="preserve"> </w:t>
      </w:r>
      <w:r w:rsidRPr="0061449F">
        <w:rPr>
          <w:rFonts w:ascii="Times New Roman" w:eastAsia="Calibri" w:hAnsi="Times New Roman" w:cs="Times New Roman"/>
          <w:b/>
          <w:sz w:val="24"/>
          <w:szCs w:val="24"/>
          <w:lang w:val="sq-AL"/>
        </w:rPr>
        <w:t>4.2</w:t>
      </w:r>
      <w:r w:rsidRPr="0061449F">
        <w:rPr>
          <w:rFonts w:ascii="Times New Roman" w:eastAsia="Calibri" w:hAnsi="Times New Roman" w:cs="Times New Roman"/>
          <w:sz w:val="24"/>
          <w:szCs w:val="24"/>
          <w:lang w:val="sq-AL"/>
        </w:rPr>
        <w:t xml:space="preserve"> - Përforcimi i performancës së magjistratve në gjykata dhe prokurori</w:t>
      </w:r>
    </w:p>
    <w:p w14:paraId="6CD34BCC"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Objektivi Specifik</w:t>
      </w:r>
      <w:r w:rsidRPr="0061449F">
        <w:rPr>
          <w:rFonts w:ascii="Times New Roman" w:eastAsia="Calibri" w:hAnsi="Times New Roman" w:cs="Times New Roman"/>
          <w:sz w:val="24"/>
          <w:szCs w:val="24"/>
          <w:lang w:val="sq-AL"/>
        </w:rPr>
        <w:t xml:space="preserve"> </w:t>
      </w:r>
      <w:r w:rsidRPr="0061449F">
        <w:rPr>
          <w:rFonts w:ascii="Times New Roman" w:eastAsia="Calibri" w:hAnsi="Times New Roman" w:cs="Times New Roman"/>
          <w:b/>
          <w:sz w:val="24"/>
          <w:szCs w:val="24"/>
          <w:lang w:val="sq-AL"/>
        </w:rPr>
        <w:t>4.3</w:t>
      </w:r>
      <w:r w:rsidRPr="0061449F">
        <w:rPr>
          <w:rFonts w:ascii="Times New Roman" w:eastAsia="Calibri" w:hAnsi="Times New Roman" w:cs="Times New Roman"/>
          <w:sz w:val="24"/>
          <w:szCs w:val="24"/>
          <w:lang w:val="sq-AL"/>
        </w:rPr>
        <w:t xml:space="preserve"> - Forcimi i kapaciteteve të Shkollës së Magjistraturës me qëllim përmirësimin e trajnimit gjyqësor dhe kurrikulave të trajnimit.</w:t>
      </w:r>
    </w:p>
    <w:p w14:paraId="010FCC5F"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Objektivi Specifik</w:t>
      </w:r>
      <w:r w:rsidRPr="0061449F">
        <w:rPr>
          <w:rFonts w:ascii="Times New Roman" w:eastAsia="Calibri" w:hAnsi="Times New Roman" w:cs="Times New Roman"/>
          <w:sz w:val="24"/>
          <w:szCs w:val="24"/>
          <w:lang w:val="sq-AL"/>
        </w:rPr>
        <w:t xml:space="preserve"> </w:t>
      </w:r>
      <w:r w:rsidRPr="0061449F">
        <w:rPr>
          <w:rFonts w:ascii="Times New Roman" w:eastAsia="Calibri" w:hAnsi="Times New Roman" w:cs="Times New Roman"/>
          <w:b/>
          <w:sz w:val="24"/>
          <w:szCs w:val="24"/>
          <w:lang w:val="sq-AL"/>
        </w:rPr>
        <w:t>4.4</w:t>
      </w:r>
      <w:r w:rsidRPr="0061449F">
        <w:rPr>
          <w:rFonts w:ascii="Times New Roman" w:eastAsia="Calibri" w:hAnsi="Times New Roman" w:cs="Times New Roman"/>
          <w:sz w:val="24"/>
          <w:szCs w:val="24"/>
          <w:lang w:val="sq-AL"/>
        </w:rPr>
        <w:t xml:space="preserve"> - Sigurimi i aksesit në vendimet e gjykatave dhe qëndrueshmërisë së praktikave gjyqësore me qëllim përmirësimin e cilësisë së arsyetimit të vendimeve.</w:t>
      </w:r>
    </w:p>
    <w:p w14:paraId="56200458"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p>
    <w:p w14:paraId="255387C7" w14:textId="77777777" w:rsidR="0061449F" w:rsidRPr="0061449F" w:rsidRDefault="0061449F" w:rsidP="0061449F">
      <w:pPr>
        <w:shd w:val="clear" w:color="auto" w:fill="FFFFFF"/>
        <w:spacing w:after="0" w:line="276" w:lineRule="auto"/>
        <w:jc w:val="both"/>
        <w:rPr>
          <w:rFonts w:ascii="Times New Roman" w:eastAsia="Calibri" w:hAnsi="Times New Roman" w:cs="Times New Roman"/>
          <w:b/>
          <w:sz w:val="24"/>
          <w:szCs w:val="24"/>
          <w:bdr w:val="none" w:sz="0" w:space="0" w:color="auto" w:frame="1"/>
          <w:lang w:val="sq-AL"/>
        </w:rPr>
      </w:pPr>
      <w:r w:rsidRPr="0061449F">
        <w:rPr>
          <w:rFonts w:ascii="Times New Roman" w:eastAsia="Times New Roman" w:hAnsi="Times New Roman" w:cs="Times New Roman"/>
          <w:b/>
          <w:sz w:val="24"/>
          <w:szCs w:val="24"/>
          <w:bdr w:val="none" w:sz="0" w:space="0" w:color="auto" w:frame="1"/>
          <w:lang w:val="sq-AL"/>
        </w:rPr>
        <w:t xml:space="preserve">Lidhja midis Qëllimit Politik 4 dhe Objektivave të Zhvillimit të Qëndrueshëm </w:t>
      </w:r>
      <w:r w:rsidRPr="0061449F">
        <w:rPr>
          <w:rFonts w:ascii="Times New Roman" w:eastAsia="Calibri" w:hAnsi="Times New Roman" w:cs="Times New Roman"/>
          <w:b/>
          <w:sz w:val="24"/>
          <w:szCs w:val="24"/>
          <w:bdr w:val="none" w:sz="0" w:space="0" w:color="auto" w:frame="1"/>
          <w:lang w:val="sq-AL"/>
        </w:rPr>
        <w:t>(OZHQ)</w:t>
      </w:r>
    </w:p>
    <w:p w14:paraId="108C9A23"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bdr w:val="none" w:sz="0" w:space="0" w:color="auto" w:frame="1"/>
          <w:lang w:val="sq-AL"/>
        </w:rPr>
      </w:pPr>
      <w:r w:rsidRPr="0061449F">
        <w:rPr>
          <w:rFonts w:ascii="Times New Roman" w:eastAsia="Calibri" w:hAnsi="Times New Roman" w:cs="Times New Roman"/>
          <w:sz w:val="24"/>
          <w:szCs w:val="24"/>
          <w:bdr w:val="none" w:sz="0" w:space="0" w:color="auto" w:frame="1"/>
          <w:lang w:val="sq-AL"/>
        </w:rPr>
        <w:t>Qëllimi Politik 3 lidhet me Objektivin 16 të Zhvillimit të Qëndrueshëm (OZHQ, “Promovimi i shoqërive paqësore dhe përfshirëse për zhvillim të qëndrueshëm, ofrim i aksesit në drejtësi për të gjithë dhe ndërtimi i institucioneve efektive, llogaridhënëse dhe gjithëpërfshirëse në të gjitha nivelet”. SND 2024-2030, lidhet me nënobjektivin 16.3: “Promovimi i shtetit të së drejtës në nivelin kombëtar dhe ndërkombëtar dhe sigurimi i aksesit të barabartë në drejtësi për të gjithë”. Gjithashtu, SND 2024-2030, lidhet me nënobjektivin 16.6: “Zhvillimi i institucioneve efektive, llogaridhënëse dhe transparente në të gjitha nivelet”, me nënobjektivin 16.7: “Sigurimi i vendimmarrjes reaguese, përfshirëse, pjesëmarrëse dhe përfaqësuese në të gjitha nivelet” si dhe me nënobjektivin 16.10: “Sigurimi i aksesit të publikut në informacion dhe mbrojtja e lirive themelore, në përputhje me legjislacionin kombëtar dhe marrëveshjet ndërkombëtare”.</w:t>
      </w:r>
    </w:p>
    <w:p w14:paraId="7D01F712"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sz w:val="24"/>
          <w:szCs w:val="24"/>
          <w:lang w:val="sq-AL" w:eastAsia="sq-AL"/>
        </w:rPr>
      </w:pPr>
    </w:p>
    <w:p w14:paraId="4F705CE2" w14:textId="77777777" w:rsidR="0061449F" w:rsidRPr="0061449F" w:rsidRDefault="0061449F" w:rsidP="0061449F">
      <w:pPr>
        <w:spacing w:line="276" w:lineRule="auto"/>
        <w:jc w:val="both"/>
        <w:rPr>
          <w:rFonts w:ascii="Times New Roman" w:eastAsia="Calibri" w:hAnsi="Times New Roman" w:cs="Times New Roman"/>
          <w:b/>
          <w:sz w:val="24"/>
          <w:szCs w:val="24"/>
          <w:lang w:val="sq-AL"/>
        </w:rPr>
      </w:pPr>
      <w:bookmarkStart w:id="17" w:name="_Hlk174359788"/>
      <w:r w:rsidRPr="0061449F">
        <w:rPr>
          <w:rFonts w:ascii="Times New Roman" w:eastAsia="Calibri" w:hAnsi="Times New Roman" w:cs="Times New Roman"/>
          <w:b/>
          <w:sz w:val="24"/>
          <w:szCs w:val="24"/>
          <w:lang w:val="sq-AL"/>
        </w:rPr>
        <w:t>Objektivi Specifik 4.1</w:t>
      </w:r>
      <w:bookmarkEnd w:id="17"/>
    </w:p>
    <w:p w14:paraId="24A820F2"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Sigurimi i burimeve financiare, njerëzore dhe infrastrukturore për mirfunksionimin e sistemit të drejtësisë.</w:t>
      </w:r>
    </w:p>
    <w:p w14:paraId="6104AB65" w14:textId="77777777" w:rsidR="0061449F" w:rsidRPr="0061449F" w:rsidRDefault="0061449F" w:rsidP="0061449F">
      <w:pPr>
        <w:spacing w:after="0" w:line="276" w:lineRule="auto"/>
        <w:jc w:val="both"/>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shd w:val="clear" w:color="auto" w:fill="FFFFFF"/>
          <w:lang w:val="sq-AL"/>
        </w:rPr>
        <w:t xml:space="preserve">Pavarësisht arritjeve të rëndësishme, avancimi i Reformës në Drejtësi kërkon vëmendje të shtuar ndaj përgjegjësive që burojnë për institucionet e përfshira. Këto institucione duhet të përmirësojnë vazhdimisht shërbimet e tyre sipas standardeve evropiane, si dhe të përmirësojnë infrastrukturën e sektorit, duke krijuar një bazë të dhënash elektronike për gjyqësorin. Ka pasur përparime në plotësimin </w:t>
      </w:r>
      <w:r w:rsidRPr="0061449F">
        <w:rPr>
          <w:rFonts w:ascii="Times New Roman" w:eastAsia="Times New Roman" w:hAnsi="Times New Roman" w:cs="Times New Roman"/>
          <w:sz w:val="24"/>
          <w:szCs w:val="24"/>
          <w:shd w:val="clear" w:color="auto" w:fill="FFFFFF"/>
          <w:lang w:val="sq-AL"/>
        </w:rPr>
        <w:lastRenderedPageBreak/>
        <w:t>e vakancave dhe forcimin e kapaciteteve infrastrukturore në Gjykatën Kushtetuese, çka konsiderohet një parakusht për funksionimin e plotë të kësaj Gjykate.</w:t>
      </w:r>
    </w:p>
    <w:p w14:paraId="0B302679"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lang w:val="sq-AL"/>
        </w:rPr>
      </w:pPr>
    </w:p>
    <w:p w14:paraId="5140AF32" w14:textId="77777777" w:rsidR="0061449F" w:rsidRPr="0061449F" w:rsidRDefault="0061449F" w:rsidP="0061449F">
      <w:pPr>
        <w:spacing w:after="240" w:line="276" w:lineRule="auto"/>
        <w:jc w:val="both"/>
        <w:rPr>
          <w:rFonts w:ascii="Times New Roman" w:eastAsia="Calibri" w:hAnsi="Times New Roman" w:cs="Times New Roman"/>
          <w:iCs/>
          <w:sz w:val="24"/>
          <w:szCs w:val="24"/>
          <w:lang w:val="sq-AL"/>
        </w:rPr>
      </w:pPr>
      <w:r w:rsidRPr="0061449F">
        <w:rPr>
          <w:rFonts w:ascii="Times New Roman" w:eastAsia="Times New Roman" w:hAnsi="Times New Roman" w:cs="Times New Roman"/>
          <w:sz w:val="24"/>
          <w:szCs w:val="24"/>
          <w:shd w:val="clear" w:color="auto" w:fill="FFFFFF"/>
          <w:lang w:val="sq-AL"/>
        </w:rPr>
        <w:t>Gjithashtu, po vijon me sukses implementimi i hartës së re gjyqësore, duke përfshirë ngritjen e 13 gjykatave të shkallës së parë dhe të apelit me juridiksion të përgjithshëm. Megjithatë, infrastruktura e nevojshme për zbatimin e kësaj harte nuk është ende e siguruar, pasi ka probleme me miratimin e shesheve të ndërtimit nga ana e bashkive për godinat e reja të gjykatave. Mungesa e një studimi të mirëfilltë të fizibilitetit mbetet një shqetësim potencial në sigurimin e infrastrukturës ndërtimore.</w:t>
      </w:r>
    </w:p>
    <w:p w14:paraId="398DF6B1" w14:textId="77777777" w:rsidR="0061449F" w:rsidRPr="0061449F" w:rsidRDefault="0061449F" w:rsidP="0061449F">
      <w:pPr>
        <w:spacing w:line="276" w:lineRule="auto"/>
        <w:jc w:val="both"/>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 xml:space="preserve">Ndaj ky objektivi specifik synon sigurimin e burimeve financiare, njerëzore dhe infrastrukturore të nevojshme për funksionimin e efektshëm të sistemit të drejtësisë. Është e nevojshme që të sigurohet vazhdimësia e alokimit të duhur të burimeve financiare për institucionet e drejtësisë nga Qeveria dhe Kuvendi. </w:t>
      </w:r>
    </w:p>
    <w:p w14:paraId="163DC2DD" w14:textId="77777777" w:rsidR="0061449F" w:rsidRPr="0061449F" w:rsidRDefault="0061449F" w:rsidP="0061449F">
      <w:pPr>
        <w:spacing w:line="276" w:lineRule="auto"/>
        <w:jc w:val="both"/>
        <w:rPr>
          <w:rFonts w:ascii="Times New Roman" w:eastAsia="Times New Roman" w:hAnsi="Times New Roman" w:cs="Times New Roman"/>
          <w:sz w:val="24"/>
          <w:szCs w:val="24"/>
          <w:bdr w:val="none" w:sz="0" w:space="0" w:color="auto" w:frame="1"/>
          <w:lang w:val="sq-AL"/>
        </w:rPr>
      </w:pPr>
      <w:r w:rsidRPr="0061449F">
        <w:rPr>
          <w:rFonts w:ascii="Times New Roman" w:eastAsia="Calibri" w:hAnsi="Times New Roman" w:cs="Times New Roman"/>
          <w:bCs/>
          <w:noProof/>
          <w:sz w:val="24"/>
          <w:szCs w:val="24"/>
          <w:lang w:val="sq-AL" w:eastAsia="nl-NL"/>
        </w:rPr>
        <w:t>Në këtë kontekst</w:t>
      </w:r>
      <w:r w:rsidRPr="0061449F">
        <w:rPr>
          <w:rFonts w:ascii="Times New Roman" w:eastAsia="Times New Roman" w:hAnsi="Times New Roman" w:cs="Times New Roman"/>
          <w:sz w:val="24"/>
          <w:szCs w:val="24"/>
          <w:bdr w:val="none" w:sz="0" w:space="0" w:color="auto" w:frame="1"/>
          <w:lang w:val="sq-AL"/>
        </w:rPr>
        <w:t xml:space="preserve"> janë parashikuar masa konkrete për përmirësimin e infrastruktura gjyqësore, duke përfshirë krijimin e ambienteve të përshtatshme për gjykatën e apelit dhe plotësimi i vendeve vakante për magjistratë përmes emërimeve nga Këshillat dhe Gjykata Kushtetuese, </w:t>
      </w:r>
      <w:r w:rsidRPr="0061449F">
        <w:rPr>
          <w:rFonts w:ascii="Times New Roman" w:eastAsia="Calibri" w:hAnsi="Times New Roman" w:cs="Times New Roman"/>
          <w:sz w:val="24"/>
          <w:szCs w:val="24"/>
          <w:lang w:val="sq-AL"/>
        </w:rPr>
        <w:t>për të siguruar që institucionet e drejtësisë të jenë të pajisura me burimet dhe infrastrukturën e nevojshëm për të funksionuar në mënyrë efikase.</w:t>
      </w:r>
    </w:p>
    <w:p w14:paraId="5A69549A" w14:textId="77777777" w:rsidR="0061449F" w:rsidRPr="0061449F" w:rsidRDefault="0061449F" w:rsidP="0061449F">
      <w:pPr>
        <w:spacing w:line="276" w:lineRule="auto"/>
        <w:rPr>
          <w:rFonts w:ascii="Calibri" w:eastAsia="Calibri" w:hAnsi="Calibri" w:cs="Times New Roman"/>
          <w:lang w:val="sq-AL"/>
        </w:rPr>
      </w:pPr>
    </w:p>
    <w:p w14:paraId="15DF7A41"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Rezultati i pritshëm:</w:t>
      </w:r>
    </w:p>
    <w:p w14:paraId="3961CF14" w14:textId="77777777" w:rsidR="0061449F" w:rsidRPr="0061449F" w:rsidRDefault="0061449F" w:rsidP="0061449F">
      <w:pPr>
        <w:numPr>
          <w:ilvl w:val="0"/>
          <w:numId w:val="45"/>
        </w:numPr>
        <w:spacing w:line="276" w:lineRule="auto"/>
        <w:ind w:left="720"/>
        <w:contextualSpacing/>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sz w:val="24"/>
          <w:szCs w:val="24"/>
          <w:lang w:val="sq-AL"/>
        </w:rPr>
        <w:t>Deri në fund të vitit 2030 garantohet përputhshmëri sa më e plotë midis buxhetit të kërkuar nga institucionet dhe atij të miratuar nga Kuvendi, me qëllim sigurimin e burimeve financiare, njerëzore dhe infrastrukturore të mjaftueshme për mirë-funksionimin e sistemit të drejtësisë.</w:t>
      </w:r>
    </w:p>
    <w:p w14:paraId="78520655"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p>
    <w:p w14:paraId="7DC9E36F"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r w:rsidRPr="0061449F">
        <w:rPr>
          <w:rFonts w:ascii="Times New Roman" w:eastAsia="Times New Roman" w:hAnsi="Times New Roman" w:cs="Times New Roman"/>
          <w:b/>
          <w:sz w:val="24"/>
          <w:szCs w:val="24"/>
          <w:bdr w:val="none" w:sz="0" w:space="0" w:color="auto" w:frame="1"/>
          <w:lang w:val="sq-AL"/>
        </w:rPr>
        <w:t>Lidhja e objektivit specifik me nënkapitullin përkatës të BE-së, sipas MSA-së</w:t>
      </w:r>
    </w:p>
    <w:p w14:paraId="45272391"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Objektivi Specifik 4.1 lidhet me Kapitullin 23 “Gjyqësori dhe të Drejtat Themelore, me nenin 2 të MSA-së “Respekti për parimet demokratike dhe të drejtat e njeriut”, me nenin 78 të MSA-së “Fuqizimin e institucioneve dhe shtetit të së drejtës” dhe me nenin 88 “Bashkëpunimi statistikor” të MSA-së, e nënshkruar midis Republikës së Shqipërisë dhe Komuniteteve Evropiane të shteteve të tyre anëtare. Gjithashtu, ky objektiv lidhet me Planin Kombëtar për Integrimin Evropian 2024 – 2026 si dhe reflekton disa nga rekomandimet Raportit të Komisionit Evropian për Shqipërinë për vitin 2023. Objektivi Specifik 4.1 lidhet me Udhërrëfyesin për Shtetin e së Drejtës.</w:t>
      </w:r>
    </w:p>
    <w:p w14:paraId="098C5077"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p>
    <w:p w14:paraId="66F79016" w14:textId="77777777" w:rsidR="0061449F" w:rsidRPr="0061449F" w:rsidRDefault="0061449F" w:rsidP="0061449F">
      <w:pPr>
        <w:shd w:val="clear" w:color="auto" w:fill="FFFFFF"/>
        <w:spacing w:before="100" w:beforeAutospacing="1" w:after="100" w:afterAutospacing="1" w:line="276" w:lineRule="auto"/>
        <w:jc w:val="both"/>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sq-AL"/>
        </w:rPr>
        <w:t>Masat:</w:t>
      </w:r>
    </w:p>
    <w:p w14:paraId="425F984C"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4.1.1 Qeveria/Kuvendi siguron vazhdimësi të nivelit të duhur të alokimit të burimeve për institucionet e sistemit të drejtësisë.</w:t>
      </w:r>
    </w:p>
    <w:p w14:paraId="6862828F"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lastRenderedPageBreak/>
        <w:t>4.1.2 Përmirësimi gradual i infrastrukturës gjyqësore, duke përfshirë ambiente të përshtatshme për gjykatën e apelit.</w:t>
      </w:r>
    </w:p>
    <w:p w14:paraId="263797D2"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4.1.3 Plotesimi i vendeve vakante për magjistratë nga Këshillat dhe Gjykata Kushtetuese.</w:t>
      </w:r>
    </w:p>
    <w:p w14:paraId="3DC80E09" w14:textId="77777777" w:rsidR="0061449F" w:rsidRPr="0061449F" w:rsidRDefault="0061449F" w:rsidP="0061449F">
      <w:pPr>
        <w:spacing w:line="276" w:lineRule="auto"/>
        <w:rPr>
          <w:rFonts w:ascii="Calibri" w:eastAsia="Calibri" w:hAnsi="Calibri" w:cs="Times New Roman"/>
          <w:lang w:val="sq-AL"/>
        </w:rPr>
      </w:pPr>
    </w:p>
    <w:p w14:paraId="3ECF3255"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Treguesit kryesorë:</w:t>
      </w:r>
    </w:p>
    <w:p w14:paraId="2DCAB029" w14:textId="77777777" w:rsidR="0061449F" w:rsidRPr="0061449F" w:rsidRDefault="0061449F" w:rsidP="0061449F">
      <w:pPr>
        <w:numPr>
          <w:ilvl w:val="0"/>
          <w:numId w:val="45"/>
        </w:numPr>
        <w:spacing w:line="276" w:lineRule="auto"/>
        <w:ind w:left="720"/>
        <w:contextualSpacing/>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sz w:val="24"/>
          <w:szCs w:val="24"/>
          <w:lang w:val="sq-AL"/>
        </w:rPr>
        <w:t>Raporti në (%) midis buxhetit të miratuar dhe buxhetit të kërkuar nga institucioni (për shpenzime kapitale dhe korrente).</w:t>
      </w:r>
    </w:p>
    <w:p w14:paraId="53D4E119"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p>
    <w:p w14:paraId="28CC4B82"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p>
    <w:p w14:paraId="40798262" w14:textId="77777777" w:rsidR="0061449F" w:rsidRPr="0061449F" w:rsidRDefault="0061449F" w:rsidP="0061449F">
      <w:pPr>
        <w:spacing w:line="276" w:lineRule="auto"/>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Objektivi Specifik 4.2</w:t>
      </w:r>
    </w:p>
    <w:p w14:paraId="108BC05F"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Përforcimi i performancës së magjistratve në gjykata dhe prokurori.</w:t>
      </w:r>
    </w:p>
    <w:p w14:paraId="5C5FBD06"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bdr w:val="none" w:sz="0" w:space="0" w:color="auto" w:frame="1"/>
          <w:lang w:val="sq-AL"/>
        </w:rPr>
      </w:pPr>
      <w:bookmarkStart w:id="18" w:name="_Hlk174359949"/>
      <w:r w:rsidRPr="0061449F">
        <w:rPr>
          <w:rFonts w:ascii="Times New Roman" w:eastAsia="Times New Roman" w:hAnsi="Times New Roman" w:cs="Times New Roman"/>
          <w:sz w:val="24"/>
          <w:szCs w:val="24"/>
          <w:bdr w:val="none" w:sz="0" w:space="0" w:color="auto" w:frame="1"/>
          <w:lang w:val="sq-AL"/>
        </w:rPr>
        <w:t>Objektivi Specifik 4.2 ka për qëllim përmirësimin e performancës së magjistratëve në gjykata dhe prokurori duke siguruar miratimin e akteve nënligjore për vlerësimin e performancës dhe duke rishikuar metodologjinë e vlerësimit për të arritur një balancë më të mirë ndërmjet kritereve cilësore dhe sasiore. Ky objektiv gjithashtu përfshin miratimin e Rregullave të Brendshme për cilësinë e drejtësisë dhe zbatimin e rekomandimeve nga inspektimet tematike të Inspektorit të Lartë të Drejtësisë.</w:t>
      </w:r>
    </w:p>
    <w:p w14:paraId="5FE37814"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bdr w:val="none" w:sz="0" w:space="0" w:color="auto" w:frame="1"/>
          <w:lang w:val="sq-AL"/>
        </w:rPr>
      </w:pPr>
    </w:p>
    <w:p w14:paraId="34827C7F" w14:textId="77777777" w:rsidR="0061449F" w:rsidRPr="0061449F" w:rsidRDefault="0061449F" w:rsidP="0061449F">
      <w:pPr>
        <w:shd w:val="clear" w:color="auto" w:fill="FFFFFF"/>
        <w:spacing w:after="0" w:line="276" w:lineRule="auto"/>
        <w:jc w:val="both"/>
        <w:textAlignment w:val="baseline"/>
        <w:rPr>
          <w:rFonts w:ascii="Times New Roman" w:eastAsia="Calibri" w:hAnsi="Times New Roman" w:cs="Times New Roman"/>
          <w:sz w:val="24"/>
          <w:szCs w:val="24"/>
          <w:shd w:val="clear" w:color="auto" w:fill="FFFFFF"/>
          <w:lang w:val="sq-AL"/>
        </w:rPr>
      </w:pPr>
      <w:r w:rsidRPr="0061449F">
        <w:rPr>
          <w:rFonts w:ascii="Times New Roman" w:eastAsia="Calibri" w:hAnsi="Times New Roman" w:cs="Times New Roman"/>
          <w:sz w:val="24"/>
          <w:szCs w:val="24"/>
          <w:shd w:val="clear" w:color="auto" w:fill="FFFFFF"/>
          <w:lang w:val="sq-AL"/>
        </w:rPr>
        <w:t>Për të përmirësuar performancën e magjistratëve në gjykata dhe prokurori, synohet miratimi i akteve të reja për vlerësimin e performancës dhe rishikimi i metodologjisë për të arritur një balancë më të mirë ndërmjet kritereve cilësore dhe sasiore, si dhe rritja e transparencës së procesit.</w:t>
      </w:r>
    </w:p>
    <w:p w14:paraId="0CEED6D4" w14:textId="77777777" w:rsidR="0061449F" w:rsidRPr="0061449F" w:rsidRDefault="0061449F" w:rsidP="0061449F">
      <w:pPr>
        <w:shd w:val="clear" w:color="auto" w:fill="FFFFFF"/>
        <w:spacing w:after="0" w:line="276" w:lineRule="auto"/>
        <w:jc w:val="both"/>
        <w:textAlignment w:val="baseline"/>
        <w:rPr>
          <w:rFonts w:ascii="Times New Roman" w:eastAsia="Calibri" w:hAnsi="Times New Roman" w:cs="Times New Roman"/>
          <w:sz w:val="24"/>
          <w:szCs w:val="24"/>
          <w:shd w:val="clear" w:color="auto" w:fill="FFFFFF"/>
          <w:lang w:val="sq-AL"/>
        </w:rPr>
      </w:pPr>
    </w:p>
    <w:p w14:paraId="41B42974" w14:textId="77777777" w:rsidR="0061449F" w:rsidRPr="0061449F" w:rsidRDefault="0061449F" w:rsidP="0061449F">
      <w:pPr>
        <w:shd w:val="clear" w:color="auto" w:fill="FFFFFF"/>
        <w:spacing w:after="0" w:line="276" w:lineRule="auto"/>
        <w:jc w:val="both"/>
        <w:textAlignment w:val="baseline"/>
        <w:rPr>
          <w:rFonts w:ascii="Times New Roman" w:eastAsia="Calibri" w:hAnsi="Times New Roman" w:cs="Times New Roman"/>
          <w:sz w:val="24"/>
          <w:szCs w:val="24"/>
          <w:shd w:val="clear" w:color="auto" w:fill="FFFFFF"/>
          <w:lang w:val="sq-AL"/>
        </w:rPr>
      </w:pPr>
      <w:r w:rsidRPr="0061449F">
        <w:rPr>
          <w:rFonts w:ascii="Times New Roman" w:eastAsia="Times New Roman" w:hAnsi="Times New Roman" w:cs="Times New Roman"/>
          <w:sz w:val="24"/>
          <w:szCs w:val="24"/>
          <w:lang w:val="sq-AL"/>
        </w:rPr>
        <w:t>Objektivi është i zbërthyer në masa të cilat parashikojnë përmirësimin e performances përmes miratimit të rregullave të brendshme për cilësinë e drejtësisë, zbatimit të rekomandimeve nga inspektimet e rregullta dhe anketave që synojnë përmirësimin e kënaqësisë së përdoruesve të gjykatave.</w:t>
      </w:r>
    </w:p>
    <w:p w14:paraId="37A727F3" w14:textId="77777777" w:rsidR="0061449F" w:rsidRPr="0061449F" w:rsidRDefault="0061449F" w:rsidP="0061449F">
      <w:pPr>
        <w:spacing w:line="276" w:lineRule="auto"/>
        <w:jc w:val="both"/>
        <w:rPr>
          <w:rFonts w:ascii="Calibri" w:eastAsia="Calibri" w:hAnsi="Calibri" w:cs="Times New Roman"/>
          <w:lang w:val="sq-AL"/>
        </w:rPr>
      </w:pPr>
    </w:p>
    <w:p w14:paraId="22B462D5"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Rezultati i pritshëm:</w:t>
      </w:r>
    </w:p>
    <w:p w14:paraId="7D4038C7" w14:textId="77777777" w:rsidR="0061449F" w:rsidRPr="0061449F" w:rsidRDefault="0061449F" w:rsidP="0061449F">
      <w:pPr>
        <w:numPr>
          <w:ilvl w:val="0"/>
          <w:numId w:val="45"/>
        </w:numPr>
        <w:spacing w:line="276" w:lineRule="auto"/>
        <w:ind w:left="720"/>
        <w:contextualSpacing/>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sz w:val="24"/>
          <w:szCs w:val="24"/>
          <w:lang w:val="sq-AL"/>
        </w:rPr>
        <w:t>Deri në fund të vitit 2030 ka rritje progresive të përmbushjes së pritshmërive të përdoruesve të gjykatave në lidhje me funksionimin e gjykatave dhe prokurorive, aksesin në drejtesi dhe besimin në institucione, i evidentuar nga anketime periodike.</w:t>
      </w:r>
    </w:p>
    <w:p w14:paraId="23CF1B5D"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p>
    <w:p w14:paraId="5B597602"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r w:rsidRPr="0061449F">
        <w:rPr>
          <w:rFonts w:ascii="Times New Roman" w:eastAsia="Times New Roman" w:hAnsi="Times New Roman" w:cs="Times New Roman"/>
          <w:b/>
          <w:sz w:val="24"/>
          <w:szCs w:val="24"/>
          <w:bdr w:val="none" w:sz="0" w:space="0" w:color="auto" w:frame="1"/>
          <w:lang w:val="sq-AL"/>
        </w:rPr>
        <w:t>Lidhja e Objektivit Specifik me nënkapitullin përkatës të BE-së, sipas MSA-së</w:t>
      </w:r>
    </w:p>
    <w:p w14:paraId="1210FF8C"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bookmarkStart w:id="19" w:name="_Hlk174963095"/>
      <w:r w:rsidRPr="0061449F">
        <w:rPr>
          <w:rFonts w:ascii="Times New Roman" w:eastAsia="Calibri" w:hAnsi="Times New Roman" w:cs="Times New Roman"/>
          <w:bCs/>
          <w:sz w:val="24"/>
          <w:szCs w:val="24"/>
          <w:lang w:val="sq-AL"/>
        </w:rPr>
        <w:t xml:space="preserve">Objektivi Specifik 4.2 lidhet me Kapitullin 23 “Gjyqësori dhe të Drejtat Themelore, me nenin 2 të MSA-së “Respekti për parimet demokratike dhe të drejtat e njeriut”, me nenin 78 të MSA-së “Fuqizimin e institucioneve dhe shtetit të së drejtës” dhe me nenin 88 “Bashkëpunimi statistikor” të MSA-së, e nënshkruar midis Republikës së Shqipërisë dhe Komuniteteve Evropiane të shteteve të tyre anëtare. Gjithashtu, ky objektiv lidhet me Planin Kombëtar për Integrimin Evropian 2024 – 2026 si dhe reflekton </w:t>
      </w:r>
      <w:r w:rsidRPr="0061449F">
        <w:rPr>
          <w:rFonts w:ascii="Times New Roman" w:eastAsia="Calibri" w:hAnsi="Times New Roman" w:cs="Times New Roman"/>
          <w:bCs/>
          <w:sz w:val="24"/>
          <w:szCs w:val="24"/>
          <w:lang w:val="sq-AL"/>
        </w:rPr>
        <w:lastRenderedPageBreak/>
        <w:t>disa nga rekomandimet Raportit të Komisionit Evropian për Shqipërinë për vitin 2023. Objektivi Specifik 4.2 lidhet me Udhërrëfyesin për Shtetin e së Drejtës.</w:t>
      </w:r>
    </w:p>
    <w:bookmarkEnd w:id="19"/>
    <w:p w14:paraId="31286904"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p>
    <w:p w14:paraId="7651790B" w14:textId="77777777" w:rsidR="0061449F" w:rsidRPr="0061449F" w:rsidRDefault="0061449F" w:rsidP="0061449F">
      <w:pPr>
        <w:shd w:val="clear" w:color="auto" w:fill="FFFFFF"/>
        <w:spacing w:before="100" w:beforeAutospacing="1" w:after="100" w:afterAutospacing="1" w:line="276" w:lineRule="auto"/>
        <w:jc w:val="both"/>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sq-AL"/>
        </w:rPr>
        <w:t>Masat:</w:t>
      </w:r>
    </w:p>
    <w:p w14:paraId="2E9D9CD9"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4.2.1 Këshillat përparojnë me miratimin e akteve nënligjore të mbetura për vlerësimin e performancës.</w:t>
      </w:r>
    </w:p>
    <w:p w14:paraId="6F97026D"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4.2.2 Këshillat rishikojnë metodologjinë e tyre për vlerësimin e performancës për të arritur një balancë më të madhe ndërmjet kritereve cilësore dhe sasiore, si dhe rritje të transparencës së procesit dhe zbatim të metodologjisë.</w:t>
      </w:r>
    </w:p>
    <w:p w14:paraId="0F450863"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4.2.3 Performanca e gjykatave dhe prokurorive rritet nëpërmjet miratimit të Rregullave të Brendshme për cilësinë e drejtësisë.</w:t>
      </w:r>
    </w:p>
    <w:p w14:paraId="665F69F2"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4.2.4 Performanca e gjykatave dhe prokurorive rritet nëpërmjet zbatimit të rekomandimeve të inspektimeve të rregullta tematike të synuara nga Inspektori i Lartë i Drejtësisë.  </w:t>
      </w:r>
    </w:p>
    <w:p w14:paraId="75705AA7"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4.2.5 Performanca e gjykatave përmirësohet nëpërmjet anketave të përmbushjes së pritshmërive të përdoruesve të gjykatave të kryera nga KLGJ-ja/gjykatat.</w:t>
      </w:r>
    </w:p>
    <w:p w14:paraId="7252AE87" w14:textId="77777777" w:rsidR="0061449F" w:rsidRPr="0061449F" w:rsidRDefault="0061449F" w:rsidP="0061449F">
      <w:pPr>
        <w:spacing w:line="276" w:lineRule="auto"/>
        <w:jc w:val="both"/>
        <w:outlineLvl w:val="0"/>
        <w:rPr>
          <w:rFonts w:ascii="Calibri" w:eastAsia="Calibri" w:hAnsi="Calibri" w:cs="Times New Roman"/>
          <w:lang w:val="sq-AL"/>
        </w:rPr>
      </w:pPr>
    </w:p>
    <w:p w14:paraId="68FE669A"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Treguesit kryesorë:</w:t>
      </w:r>
      <w:bookmarkEnd w:id="18"/>
    </w:p>
    <w:p w14:paraId="02B32200" w14:textId="77777777" w:rsidR="0061449F" w:rsidRPr="0061449F" w:rsidRDefault="0061449F" w:rsidP="0061449F">
      <w:pPr>
        <w:numPr>
          <w:ilvl w:val="0"/>
          <w:numId w:val="45"/>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Niveli i përmbushjes së pritshmërive të përdoruesve të gjykatave në lidhje me funksionimin e gjykatave/prokurorive, aksesin në drejtesi dhe besimin në institucione.</w:t>
      </w:r>
    </w:p>
    <w:p w14:paraId="2D2C1DBD"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p>
    <w:p w14:paraId="107D96EF" w14:textId="77777777" w:rsidR="0061449F" w:rsidRPr="0061449F" w:rsidRDefault="0061449F" w:rsidP="0061449F">
      <w:pPr>
        <w:spacing w:line="276" w:lineRule="auto"/>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Objektivi Specifik 4.3</w:t>
      </w:r>
    </w:p>
    <w:p w14:paraId="3D140CF1" w14:textId="77777777" w:rsidR="0061449F" w:rsidRPr="0061449F" w:rsidRDefault="0061449F" w:rsidP="0061449F">
      <w:pPr>
        <w:spacing w:line="276" w:lineRule="auto"/>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Forcimi i kapaciteteve të Shkollës së Magjistraturës me qëllim përmirësimin e trajnimit gjyqësor dhe kurrikulave të trajnimit.</w:t>
      </w:r>
    </w:p>
    <w:p w14:paraId="45414348" w14:textId="77777777" w:rsidR="0061449F" w:rsidRPr="0061449F" w:rsidRDefault="0061449F" w:rsidP="0061449F">
      <w:pPr>
        <w:spacing w:after="0" w:line="276" w:lineRule="auto"/>
        <w:jc w:val="both"/>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shd w:val="clear" w:color="auto" w:fill="FFFFFF"/>
          <w:lang w:val="sq-AL"/>
        </w:rPr>
        <w:t>Ky objektiv specifik synon forcimin dhe përmirësimin e kapaciteteve të Shkollës së Magjistraturës (SHM) për të avancuar trajnimin dhe zhvillimin e profesionistëve të sistemit të drejtësisë. Për të arritur këtë, SHM-ja do të angazhohet në një proces të thelluar rishikimi dhe përditësimi të rregulloreve dhe kurrikulave të saj, me qëllim që të përmbushë standardet më të larta ndërkombëtare dhe të Bashkimi Evropian.</w:t>
      </w:r>
    </w:p>
    <w:p w14:paraId="73BEF0CD"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lang w:val="sq-AL"/>
        </w:rPr>
      </w:pPr>
    </w:p>
    <w:p w14:paraId="7F28EBE5"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t>Një nga masat kyçe do të jetë rishikimi i Rregullores së Brendshme për të siguruar që provimi i pranimit të pasqyrojë aftësi dhe kompetenca të nevojshme, dhe jo thjesht njohuri teorike mbi ligjin. Ky proces do të përfshijë gjithashtu sigurimin e stafit dhe burimeve të përshtatshme, në përputhje me analizat dhe parashikimet për nevojat akademike dhe njerëzore, për të garantuar mbështetje të mjaftueshme për trajnimin e magjistratëve.</w:t>
      </w:r>
    </w:p>
    <w:p w14:paraId="5FEEA11B"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lang w:val="sq-AL"/>
        </w:rPr>
      </w:pPr>
    </w:p>
    <w:p w14:paraId="60A77ED2"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lastRenderedPageBreak/>
        <w:t>Në këtë drejtim, SHM-ja do të forcojë programin e saj dhe do të përmirësojë mentorët, duke rishikuar dhe miratuar kurrikulën e formimit fillestar dhe të vazhduar, e cila do të jetë në përputhje me nevojat e identifikuara dhe do të ndihmojë në specializimin e gjyqtarëve dhe prokurorëve. Përveç kësaj, do të kryhet një analizë për të siguruar që metodologjia për vlerësimin e trajnerëve të përputhet me standardet evropiane, duke përgatitur një metodologji të re në përputhje me rezultatet e kësaj analize.</w:t>
      </w:r>
    </w:p>
    <w:p w14:paraId="14B91B5A"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lang w:val="sq-AL"/>
        </w:rPr>
      </w:pPr>
    </w:p>
    <w:p w14:paraId="1C5B161A" w14:textId="77777777" w:rsidR="0061449F" w:rsidRPr="0061449F" w:rsidRDefault="0061449F" w:rsidP="0061449F">
      <w:pPr>
        <w:spacing w:line="276" w:lineRule="auto"/>
        <w:jc w:val="both"/>
        <w:rPr>
          <w:rFonts w:ascii="Times New Roman" w:eastAsia="Times New Roman" w:hAnsi="Times New Roman" w:cs="Times New Roman"/>
          <w:sz w:val="24"/>
          <w:szCs w:val="24"/>
          <w:shd w:val="clear" w:color="auto" w:fill="FFFFFF"/>
          <w:lang w:val="sq-AL"/>
        </w:rPr>
      </w:pPr>
      <w:r w:rsidRPr="0061449F">
        <w:rPr>
          <w:rFonts w:ascii="Times New Roman" w:eastAsia="Times New Roman" w:hAnsi="Times New Roman" w:cs="Times New Roman"/>
          <w:sz w:val="24"/>
          <w:szCs w:val="24"/>
          <w:shd w:val="clear" w:color="auto" w:fill="FFFFFF"/>
          <w:lang w:val="sq-AL"/>
        </w:rPr>
        <w:t>SHM-ja do të angazhohet gjithashtu në aktivitete studimi dhe kërkimi në fusha prioritare të së drejtës, duke prodhuar materiale shkencore dhe informuese që ndihmojnë aktorët e sistemit të drejtësisë. Këto masa synojnë të rrisin cilësinë e trajnimit dhe të kontribuojnë në zhvillimin e një sistemi të drejtësisë më të fortë dhe më efikas.</w:t>
      </w:r>
    </w:p>
    <w:p w14:paraId="6D6BA514" w14:textId="77777777" w:rsidR="0061449F" w:rsidRPr="0061449F" w:rsidRDefault="0061449F" w:rsidP="0061449F">
      <w:pPr>
        <w:spacing w:line="276" w:lineRule="auto"/>
        <w:rPr>
          <w:rFonts w:ascii="Calibri" w:eastAsia="Calibri" w:hAnsi="Calibri" w:cs="Times New Roman"/>
          <w:lang w:val="sq-AL"/>
        </w:rPr>
      </w:pPr>
    </w:p>
    <w:p w14:paraId="55A8F4F6"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Rezultati i pritshëm:</w:t>
      </w:r>
    </w:p>
    <w:p w14:paraId="4DCA7595" w14:textId="77777777" w:rsidR="0061449F" w:rsidRPr="0061449F" w:rsidRDefault="0061449F" w:rsidP="0061449F">
      <w:pPr>
        <w:numPr>
          <w:ilvl w:val="0"/>
          <w:numId w:val="45"/>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Deri në fund të vitit 2030 ka rritje progresive të pjësemarrjes së magjistratëve në programet e trajnimit të vazhdueshëm pranë Shkollës së Magjistraturës, që evidenton përmirësimin e trajnimit gjyqësor dhe kurrikulave të trajnimit si edhe rritjen e profesionalizmit të magjistratëve.</w:t>
      </w:r>
    </w:p>
    <w:p w14:paraId="6B0DA467" w14:textId="77777777" w:rsidR="0061449F" w:rsidRPr="0061449F" w:rsidRDefault="0061449F" w:rsidP="0061449F">
      <w:pPr>
        <w:numPr>
          <w:ilvl w:val="0"/>
          <w:numId w:val="45"/>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Deri në fund të vitit 2030 ka rritje të interesit dhe përgatitjes së kandidatëve për të hyrë në Shkollën e Magjistraturës, evidentuar me rritjen progresive të raportit midis numrit të konkurrentëve që kanë marrë pjesë në provim në krahasim me kuotën e përcaktuar nga shkolla.</w:t>
      </w:r>
    </w:p>
    <w:p w14:paraId="0568E401" w14:textId="77777777" w:rsidR="0061449F" w:rsidRPr="0061449F" w:rsidRDefault="0061449F" w:rsidP="0061449F">
      <w:pPr>
        <w:numPr>
          <w:ilvl w:val="0"/>
          <w:numId w:val="45"/>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Deri në fund të vitit 2030 është përforcuar angazhimi i rregullt i magjistratëve në trajnimet e organizuara nga Shkolla e Magjistraturës dhe efektiviteti i programeve të trajnimit, të evidentuar me rritjen e numrit të përgjigjeve ndaj ftesave që u drejtohen atyre që kanë shprehur interes për trajnim.</w:t>
      </w:r>
    </w:p>
    <w:p w14:paraId="23FFB316"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sz w:val="24"/>
          <w:szCs w:val="24"/>
          <w:lang w:val="sq-AL" w:eastAsia="en-CA" w:bidi="sq-AL"/>
        </w:rPr>
      </w:pPr>
    </w:p>
    <w:p w14:paraId="238619BA"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b/>
          <w:sz w:val="24"/>
          <w:szCs w:val="24"/>
          <w:bdr w:val="none" w:sz="0" w:space="0" w:color="auto" w:frame="1"/>
          <w:lang w:val="sq-AL"/>
        </w:rPr>
      </w:pPr>
      <w:r w:rsidRPr="0061449F">
        <w:rPr>
          <w:rFonts w:ascii="Times New Roman" w:eastAsia="Times New Roman" w:hAnsi="Times New Roman" w:cs="Times New Roman"/>
          <w:b/>
          <w:sz w:val="24"/>
          <w:szCs w:val="24"/>
          <w:bdr w:val="none" w:sz="0" w:space="0" w:color="auto" w:frame="1"/>
          <w:lang w:val="sq-AL"/>
        </w:rPr>
        <w:t>Lidhja e objektivit specifik me nënkapitullin përkatës të BE-së, sipas MSA-së</w:t>
      </w:r>
    </w:p>
    <w:p w14:paraId="6A95BA07"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Objektivi Specifik 4.3 lidhet me Kapitullin 23 “Gjyqësori dhe të Drejtat Themelore, me nenin 2 të MSA-së “Respekti për parimet demokratike dhe të drejtat e njeriut”, me nenin 78 të MSA-së “Fuqizimin e institucioneve dhe shtetit të së drejtës” dhe me nenin 88 “Bashkëpunimi statistikor” të MSA-së, e nënshkruar midis Republikës së Shqipërisë dhe Komuniteteve Evropiane të shteteve të tyre anëtare. Gjithashtu, ky objektiv lidhet me Planin Kombëtar për Integrimin Evropian 2024 – 2026 si dhe reflekton disa nga rekomandimet Raportit të Komisionit Evropian për Shqipërinë për vitin 2023. Objektivi Specifik 4.3 lidhet me Udhërrëfyesin për Shtetin e së Drejtës.</w:t>
      </w:r>
    </w:p>
    <w:p w14:paraId="0D0E86FF"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p>
    <w:p w14:paraId="015DA00F" w14:textId="77777777" w:rsidR="0061449F" w:rsidRPr="0061449F" w:rsidRDefault="0061449F" w:rsidP="0061449F">
      <w:pPr>
        <w:shd w:val="clear" w:color="auto" w:fill="FFFFFF"/>
        <w:spacing w:before="100" w:beforeAutospacing="1" w:after="100" w:afterAutospacing="1" w:line="276" w:lineRule="auto"/>
        <w:jc w:val="both"/>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sq-AL"/>
        </w:rPr>
        <w:t>Masat:</w:t>
      </w:r>
    </w:p>
    <w:p w14:paraId="7FD2147F" w14:textId="77777777" w:rsidR="0061449F" w:rsidRPr="0061449F" w:rsidRDefault="0061449F" w:rsidP="0061449F">
      <w:pPr>
        <w:shd w:val="clear" w:color="auto" w:fill="FFFFFF"/>
        <w:spacing w:before="100" w:beforeAutospacing="1" w:after="100" w:afterAutospacing="1" w:line="276" w:lineRule="auto"/>
        <w:jc w:val="both"/>
        <w:rPr>
          <w:rFonts w:ascii="Times New Roman" w:eastAsia="Times New Roman" w:hAnsi="Times New Roman" w:cs="Times New Roman"/>
          <w:b/>
          <w:sz w:val="24"/>
          <w:szCs w:val="24"/>
          <w:lang w:val="sq-AL"/>
        </w:rPr>
      </w:pPr>
      <w:r w:rsidRPr="0061449F">
        <w:rPr>
          <w:rFonts w:ascii="Times New Roman" w:eastAsia="Calibri" w:hAnsi="Times New Roman" w:cs="Times New Roman"/>
          <w:sz w:val="24"/>
          <w:szCs w:val="24"/>
          <w:lang w:val="sq-AL"/>
        </w:rPr>
        <w:t>4.3.1 SHM rishikon Rregulloren e saj të Brendshme për të siguruar që provimi i pranimit pasqyron standardet më të mira të BE-së dhe shkollave homologe të trajnimit gjyqësor dhe siguron që konkurrentët të vlerësohen mbi bazën e aftësisë dhe jo vetëm mbi bazën e njohurive mbi ligjin.</w:t>
      </w:r>
    </w:p>
    <w:p w14:paraId="39693D0E"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lastRenderedPageBreak/>
        <w:t>4.3.2 ShM-ja siguron staf dhe burime të përshtatshme në bazë të analizave dhe rishikimit dhe parashikimit të nevojave për burime njerëzore dhe akademike.</w:t>
      </w:r>
    </w:p>
    <w:p w14:paraId="15581D47"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4.3.3 Perforcimi i programit dhe përmirësimi i mentorëve nga SHM-ja/gjykatat.</w:t>
      </w:r>
    </w:p>
    <w:p w14:paraId="7067E270"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4.3.4 Rishikimi i kurrikulës së formimit fillestar, miratimi dhe zbatimi i saj nga viti akademik.</w:t>
      </w:r>
    </w:p>
    <w:p w14:paraId="5C66E4FD"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4.3.5 Programi i pasuruar dhe i përmirësuar i formimit të vazhduar, i synuar për nevojat e identifikuara dhe specializimin e gjyqtarëve dhe prokurorëve në detyrë.</w:t>
      </w:r>
    </w:p>
    <w:p w14:paraId="726B92F3"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4.3.6 Kryerja e analizës së përputhshmërisë së metodologjisë për vlerësimin e trajnerëve me standardet evropiane.</w:t>
      </w:r>
    </w:p>
    <w:p w14:paraId="23F17AB3"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4.3.7 Përgatitja e metodologjisë së re për vlerësimin e trajnerëve bazuar në rezultatet e analizës së përputhshmërisë.</w:t>
      </w:r>
    </w:p>
    <w:p w14:paraId="01FCF9C6"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4.3.8 Shkolla është e angazhuar në veprimtari studimi dhe kërkimi në fusha prioritare të së drejtës dhe nxjerr produkte shkencore dhe informuese në funksion të aktorëve të sistemit të drejtësisë.</w:t>
      </w:r>
    </w:p>
    <w:p w14:paraId="6106E51D" w14:textId="77777777" w:rsidR="0061449F" w:rsidRPr="0061449F" w:rsidRDefault="0061449F" w:rsidP="0061449F">
      <w:pPr>
        <w:spacing w:line="276" w:lineRule="auto"/>
        <w:jc w:val="both"/>
        <w:rPr>
          <w:rFonts w:ascii="Times New Roman" w:eastAsia="Calibri" w:hAnsi="Times New Roman" w:cs="Times New Roman"/>
          <w:sz w:val="24"/>
          <w:szCs w:val="24"/>
        </w:rPr>
      </w:pPr>
    </w:p>
    <w:p w14:paraId="60906E9D"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Treguesit kryesorë:</w:t>
      </w:r>
    </w:p>
    <w:p w14:paraId="1FF06F27" w14:textId="77777777" w:rsidR="0061449F" w:rsidRPr="0061449F" w:rsidRDefault="0061449F" w:rsidP="0061449F">
      <w:pPr>
        <w:numPr>
          <w:ilvl w:val="0"/>
          <w:numId w:val="47"/>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Përqindja e gjyqtarëve dhe prokurorëve që kanë marrë pjesë në të pakten 3 ditë trajnimi në vit.</w:t>
      </w:r>
    </w:p>
    <w:p w14:paraId="65E4F725" w14:textId="77777777" w:rsidR="0061449F" w:rsidRPr="0061449F" w:rsidRDefault="0061449F" w:rsidP="0061449F">
      <w:pPr>
        <w:numPr>
          <w:ilvl w:val="0"/>
          <w:numId w:val="47"/>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Raporti i konkurrentëve që kanë marrë pjesë në provimin e pranimit në Shkollën e Magjistraturës me kuotën e përcaktuar nga shkolla.</w:t>
      </w:r>
    </w:p>
    <w:p w14:paraId="1BEA2754" w14:textId="77777777" w:rsidR="0061449F" w:rsidRPr="0061449F" w:rsidRDefault="0061449F" w:rsidP="0061449F">
      <w:pPr>
        <w:numPr>
          <w:ilvl w:val="0"/>
          <w:numId w:val="47"/>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Përqindja e magjistratëve që ndjekin rregullisht trajnimet për të cilat janë përzgjedhur nga Shkolla e Magjistratures.</w:t>
      </w:r>
    </w:p>
    <w:p w14:paraId="00F36FAD"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p>
    <w:p w14:paraId="160FEF21" w14:textId="77777777" w:rsidR="0061449F" w:rsidRPr="0061449F" w:rsidRDefault="0061449F" w:rsidP="0061449F">
      <w:pPr>
        <w:spacing w:line="276" w:lineRule="auto"/>
        <w:jc w:val="both"/>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Objektivi Specifik 4.4</w:t>
      </w:r>
    </w:p>
    <w:p w14:paraId="7C559010"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Sigurimi i aksesit në vendimet e gjykatave dhe qëndrueshmërisë së praktikave gjyqësore me qëllim përmirësimin e cilësisë së arsyetimit të vendimeve.</w:t>
      </w:r>
    </w:p>
    <w:p w14:paraId="7984C1AA"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bdr w:val="none" w:sz="0" w:space="0" w:color="auto" w:frame="1"/>
          <w:lang w:val="sq-AL"/>
        </w:rPr>
      </w:pPr>
      <w:r w:rsidRPr="0061449F">
        <w:rPr>
          <w:rFonts w:ascii="Times New Roman" w:eastAsia="Times New Roman" w:hAnsi="Times New Roman" w:cs="Times New Roman"/>
          <w:sz w:val="24"/>
          <w:szCs w:val="24"/>
          <w:bdr w:val="none" w:sz="0" w:space="0" w:color="auto" w:frame="1"/>
          <w:lang w:val="sq-AL"/>
        </w:rPr>
        <w:t>Ky objektiv specifik 4.4 synon përmirësimin e cilësisë së arsyetimit të vendimeve gjyqësore dhe rritjen e transparencës në sistemin e drejtësisë, nëpërmjet publikimit dhe kërkueshmërisë së vendimeve gjyqësore, ofrimit të trajnimeve për analiza të çështjeve gjyqësore, unifikimin e praktikes gjyqësore, vlerësimin e standardeve të arsyetimit të vendimeve nga gjyqtarët dhe prokurorët, si dhe sigurimin e monitorimit dhe vlerësimit transparent të aktiviteteve të gjykatave.</w:t>
      </w:r>
    </w:p>
    <w:p w14:paraId="75068520"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bdr w:val="none" w:sz="0" w:space="0" w:color="auto" w:frame="1"/>
          <w:lang w:val="sq-AL"/>
        </w:rPr>
      </w:pPr>
    </w:p>
    <w:p w14:paraId="162E0BE5"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t>Gjykata Kushtetuese do të përmirësojë aksesimin në vendimet duke e bërë praktikën e saj gjyqësore më të qasshme dhe transparente. Po ashtu, KLGJ-ja do të sigurojë publikimin e vendimeve dhe do të përmirësojë kërkueshmërinë e tyre, me fokus të veçantë në vendimet e Gjykatës së Lartë, për të lehtësuar analizën dhe kontrollin e praktikave gjyqësore.</w:t>
      </w:r>
    </w:p>
    <w:p w14:paraId="7F8B1FFD"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lang w:val="sq-AL"/>
        </w:rPr>
      </w:pPr>
    </w:p>
    <w:p w14:paraId="175717E9"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t>Një tjetër masë do të jetë ofrimi i trajnimeve për hulumtimin dhe analizën e çështjeve gjyqësore nga SHM-ja, për të ngritur nivelin profesional dhe për të përmirësuar standardet e praktikës gjyqësore. GJL-</w:t>
      </w:r>
      <w:r w:rsidRPr="0061449F">
        <w:rPr>
          <w:rFonts w:ascii="Times New Roman" w:eastAsia="Times New Roman" w:hAnsi="Times New Roman" w:cs="Times New Roman"/>
          <w:sz w:val="24"/>
          <w:szCs w:val="24"/>
          <w:lang w:val="sq-AL"/>
        </w:rPr>
        <w:lastRenderedPageBreak/>
        <w:t>ja do të vazhdojë të unifikojë vendimet e gjykatave, duke kontribuar në përmirësimin e mëtejshëm të praktikës gjyqësore.</w:t>
      </w:r>
    </w:p>
    <w:p w14:paraId="033D07CF"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lang w:val="sq-AL"/>
        </w:rPr>
      </w:pPr>
    </w:p>
    <w:p w14:paraId="57615296"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lang w:val="sq-AL"/>
        </w:rPr>
        <w:t>Vlerësimi i gjyqtarëve dhe prokurorëve nga KLGJ-ja dhe KLP-ja do të përfshijë standardet e arsyetimit të vendimeve, për të siguruar që vendimet të jenë të bazuara në norma të larta profesionale dhe ligjore. Në përputhje me këtë, do të sigurohet një monitorim dhe vlerësim transparent i aktiviteteve të gjykatës për të garantuar llogaridhënie dhe besueshmëri në sistemin gjyqësor.</w:t>
      </w:r>
    </w:p>
    <w:p w14:paraId="4BAA1BC9"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lang w:val="sq-AL"/>
        </w:rPr>
      </w:pPr>
    </w:p>
    <w:p w14:paraId="57F8CFF3" w14:textId="77777777" w:rsidR="0061449F" w:rsidRPr="0061449F" w:rsidRDefault="0061449F" w:rsidP="0061449F">
      <w:pPr>
        <w:shd w:val="clear" w:color="auto" w:fill="FFFFFF"/>
        <w:spacing w:after="0" w:line="276" w:lineRule="auto"/>
        <w:jc w:val="both"/>
        <w:textAlignment w:val="baseline"/>
        <w:rPr>
          <w:rFonts w:ascii="Times New Roman" w:eastAsia="Times New Roman" w:hAnsi="Times New Roman" w:cs="Times New Roman"/>
          <w:sz w:val="24"/>
          <w:szCs w:val="24"/>
          <w:shd w:val="clear" w:color="auto" w:fill="FFFFFF"/>
          <w:lang w:val="sq-AL"/>
        </w:rPr>
      </w:pPr>
      <w:r w:rsidRPr="0061449F">
        <w:rPr>
          <w:rFonts w:ascii="Times New Roman" w:eastAsia="Times New Roman" w:hAnsi="Times New Roman" w:cs="Times New Roman"/>
          <w:sz w:val="24"/>
          <w:szCs w:val="24"/>
          <w:shd w:val="clear" w:color="auto" w:fill="FFFFFF"/>
          <w:lang w:val="sq-AL"/>
        </w:rPr>
        <w:t>Këto masa synojnë të rrisin cilësinë dhe qëndrueshmërinë e vendimeve gjyqësore, duke ndihmuar në forcimin e besimit të publikut në sistemin e drejtësisë.</w:t>
      </w:r>
    </w:p>
    <w:p w14:paraId="7F4E869F"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p>
    <w:p w14:paraId="028F90CE"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Rezultati i pritshëm:</w:t>
      </w:r>
    </w:p>
    <w:p w14:paraId="58B2D8DF" w14:textId="77777777" w:rsidR="0061449F" w:rsidRPr="0061449F" w:rsidRDefault="0061449F" w:rsidP="0061449F">
      <w:pPr>
        <w:numPr>
          <w:ilvl w:val="0"/>
          <w:numId w:val="48"/>
        </w:numPr>
        <w:spacing w:line="276" w:lineRule="auto"/>
        <w:ind w:left="720"/>
        <w:contextualSpacing/>
        <w:jc w:val="both"/>
        <w:outlineLvl w:val="0"/>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Deri në fund të vitit 2030, 100% e arkivave të gjykatave janë digjitalizuar, për të garantuar modernizimin e sistemit gjyqësor, për të lehtësuar aksesin në dokumente dhe për të përmirësuar eficiencën në menaxhimin e çështjeve.</w:t>
      </w:r>
    </w:p>
    <w:p w14:paraId="6036B908" w14:textId="77777777" w:rsidR="0061449F" w:rsidRPr="0061449F" w:rsidRDefault="0061449F" w:rsidP="0061449F">
      <w:pPr>
        <w:spacing w:line="276" w:lineRule="auto"/>
        <w:jc w:val="both"/>
        <w:outlineLvl w:val="0"/>
        <w:rPr>
          <w:rFonts w:ascii="Times New Roman" w:eastAsia="Times New Roman" w:hAnsi="Times New Roman" w:cs="Times New Roman"/>
          <w:b/>
          <w:sz w:val="24"/>
          <w:szCs w:val="24"/>
          <w:bdr w:val="none" w:sz="0" w:space="0" w:color="auto" w:frame="1"/>
          <w:lang w:val="sq-AL"/>
        </w:rPr>
      </w:pPr>
    </w:p>
    <w:p w14:paraId="2E654678" w14:textId="77777777" w:rsidR="0061449F" w:rsidRPr="0061449F" w:rsidRDefault="0061449F" w:rsidP="0061449F">
      <w:pPr>
        <w:spacing w:line="276" w:lineRule="auto"/>
        <w:jc w:val="both"/>
        <w:outlineLvl w:val="0"/>
        <w:rPr>
          <w:rFonts w:ascii="Times New Roman" w:eastAsia="Times New Roman" w:hAnsi="Times New Roman" w:cs="Times New Roman"/>
          <w:b/>
          <w:sz w:val="24"/>
          <w:szCs w:val="24"/>
          <w:bdr w:val="none" w:sz="0" w:space="0" w:color="auto" w:frame="1"/>
          <w:lang w:val="sq-AL"/>
        </w:rPr>
      </w:pPr>
      <w:r w:rsidRPr="0061449F">
        <w:rPr>
          <w:rFonts w:ascii="Times New Roman" w:eastAsia="Times New Roman" w:hAnsi="Times New Roman" w:cs="Times New Roman"/>
          <w:b/>
          <w:sz w:val="24"/>
          <w:szCs w:val="24"/>
          <w:bdr w:val="none" w:sz="0" w:space="0" w:color="auto" w:frame="1"/>
          <w:lang w:val="sq-AL"/>
        </w:rPr>
        <w:t>Lidhja e objektivit specifik me nënkapitullin përkatës të BE-së, sipas MSA-së</w:t>
      </w:r>
    </w:p>
    <w:p w14:paraId="7E4D25E8"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Objektivi Specifik 4.4 lidhet me Kapitullin 23 “Gjyqësori dhe të Drejtat Themelore, me nenin 2 të MSA-së “Respekti për parimet demokratike dhe të drejtat e njeriut”, me nenin 78 të MSA-së “Fuqizimin e institucioneve dhe shtetit të së drejtës” dhe me nenin 88 “Bashkëpunimi statistikor” të MSA-së, e nënshkruar midis Republikës së Shqipërisë dhe Komuniteteve Evropiane të shteteve të tyre anëtare. Gjithashtu, ky objektiv lidhet me Planin Kombëtar për Integrimin Evropian 2024 – 2026 si dhe reflekton disa nga rekomandimet Raportit të Komisionit Evropian për Shqipërinë për vitin 2023. Objektivi Specifik 4.4 lidhet me Udhërrëfyesin për Shtetin e së Drejtës.</w:t>
      </w:r>
    </w:p>
    <w:p w14:paraId="70B43DF3" w14:textId="77777777" w:rsidR="0061449F" w:rsidRPr="0061449F" w:rsidRDefault="0061449F" w:rsidP="0061449F">
      <w:pPr>
        <w:shd w:val="clear" w:color="auto" w:fill="FFFFFF"/>
        <w:spacing w:after="0" w:line="276" w:lineRule="auto"/>
        <w:jc w:val="both"/>
        <w:rPr>
          <w:rFonts w:ascii="Times New Roman" w:eastAsia="Times New Roman" w:hAnsi="Times New Roman" w:cs="Times New Roman"/>
          <w:sz w:val="24"/>
          <w:szCs w:val="24"/>
          <w:lang w:val="sq-AL" w:eastAsia="sq-AL"/>
        </w:rPr>
      </w:pPr>
    </w:p>
    <w:p w14:paraId="4DB9791B" w14:textId="77777777" w:rsidR="0061449F" w:rsidRPr="0061449F" w:rsidRDefault="0061449F" w:rsidP="0061449F">
      <w:pPr>
        <w:shd w:val="clear" w:color="auto" w:fill="FFFFFF"/>
        <w:spacing w:before="100" w:beforeAutospacing="1" w:after="100" w:afterAutospacing="1" w:line="276" w:lineRule="auto"/>
        <w:jc w:val="both"/>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sq-AL"/>
        </w:rPr>
        <w:t>Masat:</w:t>
      </w:r>
    </w:p>
    <w:p w14:paraId="5F67D4F4"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4.4.1 Gjykata Kushtetetuese përmirëson aksesin në praktikën e saj gjyqësore.</w:t>
      </w:r>
    </w:p>
    <w:p w14:paraId="2D616DCF"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4.4.2 KLGJ-ja siguron publikimin dhe përmirëson kërkueshmërinë e vendimeve gjyqësore, veçanërisht të Gjykatës së Lartë.</w:t>
      </w:r>
    </w:p>
    <w:p w14:paraId="0DBE5786"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4.4.3 SHM-ja ofron trajnime për hulumtimin dhe analizën e çështjeve gjyqësore.</w:t>
      </w:r>
    </w:p>
    <w:p w14:paraId="5A30616E"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4.4.4 GJL-ja vazhdon të unifikojë vendimet e gjykatave dhe si rrjedhojë praktika gjyqësore përmirësohet më tej.</w:t>
      </w:r>
    </w:p>
    <w:p w14:paraId="0D16AA2E"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4.4.5 Vlerësimi i gjyqtarëve dhe prokurorëve nga KLGJ-ja dhe KLP-ja, përfshin, ndër të tjera, standardet e arsyetimit të vendimeve gjyqësore.</w:t>
      </w:r>
    </w:p>
    <w:p w14:paraId="398B6BCC"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4.4.6 Sigurohet monitorim dhe vlerësim transparent i aktiviteteve të gjykatës.</w:t>
      </w:r>
    </w:p>
    <w:p w14:paraId="34B336B8" w14:textId="77777777" w:rsidR="0061449F" w:rsidRPr="0061449F" w:rsidRDefault="0061449F" w:rsidP="0061449F">
      <w:pPr>
        <w:spacing w:line="276" w:lineRule="auto"/>
        <w:rPr>
          <w:rFonts w:ascii="Calibri" w:eastAsia="Calibri" w:hAnsi="Calibri" w:cs="Times New Roman"/>
        </w:rPr>
      </w:pPr>
    </w:p>
    <w:p w14:paraId="5A4700DE"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Treguesit kryesorë:</w:t>
      </w:r>
    </w:p>
    <w:p w14:paraId="70F91E2F" w14:textId="77777777" w:rsidR="0061449F" w:rsidRPr="0061449F" w:rsidRDefault="0061449F" w:rsidP="0061449F">
      <w:pPr>
        <w:numPr>
          <w:ilvl w:val="0"/>
          <w:numId w:val="48"/>
        </w:numPr>
        <w:spacing w:line="276" w:lineRule="auto"/>
        <w:ind w:left="720"/>
        <w:contextualSpacing/>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sz w:val="24"/>
          <w:szCs w:val="24"/>
          <w:lang w:val="sq-AL"/>
        </w:rPr>
        <w:t>Përfundimi i digjitalizimit të arkivave në gjykata.</w:t>
      </w:r>
    </w:p>
    <w:p w14:paraId="2007F39A" w14:textId="77777777" w:rsidR="0061449F" w:rsidRPr="0061449F" w:rsidRDefault="0061449F" w:rsidP="0061449F">
      <w:pPr>
        <w:spacing w:line="276" w:lineRule="auto"/>
        <w:jc w:val="both"/>
        <w:rPr>
          <w:rFonts w:ascii="Times New Roman" w:eastAsia="Calibri" w:hAnsi="Times New Roman" w:cs="Times New Roman"/>
          <w:b/>
          <w:sz w:val="24"/>
          <w:szCs w:val="24"/>
          <w:lang w:val="sq-AL"/>
        </w:rPr>
      </w:pPr>
    </w:p>
    <w:p w14:paraId="6C191E9A" w14:textId="77777777" w:rsidR="0061449F" w:rsidRPr="0061449F" w:rsidRDefault="0061449F" w:rsidP="0061449F">
      <w:pPr>
        <w:spacing w:line="276" w:lineRule="auto"/>
        <w:jc w:val="both"/>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Qëllimi Politik 5: Drejtësi më e afërt me qytetarët</w:t>
      </w:r>
    </w:p>
    <w:p w14:paraId="1AB7FAF9"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Qëllimi 5 i Politikës "</w:t>
      </w:r>
      <w:r w:rsidRPr="0061449F">
        <w:rPr>
          <w:rFonts w:ascii="Times New Roman" w:eastAsia="Calibri" w:hAnsi="Times New Roman" w:cs="Times New Roman"/>
          <w:b/>
          <w:i/>
          <w:iCs/>
          <w:sz w:val="24"/>
          <w:szCs w:val="24"/>
          <w:lang w:val="sq-AL"/>
        </w:rPr>
        <w:t>Drejtësi më e afërt me qytetarët</w:t>
      </w:r>
      <w:r w:rsidRPr="0061449F">
        <w:rPr>
          <w:rFonts w:ascii="Times New Roman" w:eastAsia="Calibri" w:hAnsi="Times New Roman" w:cs="Times New Roman"/>
          <w:bCs/>
          <w:sz w:val="24"/>
          <w:szCs w:val="24"/>
          <w:lang w:val="sq-AL"/>
        </w:rPr>
        <w:t>," synon të krijojë një sistem drejtësie më të qasshëm, transparent dhe të orientuar drejt nevojave të qytetarëve. Ky qëllim fokusohet në përmirësimin e marrëdhënieve midis qytetarëve dhe sistemit të drejtësisë, duke u siguruar që qytetarët të kenë një kuptim më të mirë të proceseve gjyqësore dhe të kenë mundësi më të lehta për të aksesuar shërbimet e drejtësisë.</w:t>
      </w:r>
    </w:p>
    <w:p w14:paraId="1F23F435"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Në thelb, ky qëllim synon të rrisë ndërgjegjësimin dhe edukimin e publikut për sistemin dhe institucionet e drejtësisë, duke bërë që qytetarët të ndihen më të informuar dhe më të fuqizuar për të kërkuar drejtësi. Kjo përfshin fushata të informimit dhe ndërgjegjësimit publik, përmirësimin e komunikimit të institucioneve gjyqësore me qytetarët, dhe krijimin e mekanizmave që lehtësojnë aksesin në drejtësi, veçanërisht për grupet më të cenueshme të shoqërisë.</w:t>
      </w:r>
    </w:p>
    <w:p w14:paraId="415C4F40"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Përmes këtij qëllimi, synohet gjithashtu të rritet besimi i qytetarëve në sistemin e drejtësisë, duke e bërë atë më të përgjegjshëm dhe më të orientuar drejt shërbimit të interesave të publikut. Kjo do të kontribuojë në përmirësimin e përgjithshëm të eficiencës dhe efektivitetit të sistemit të drejtësisë, duke e bërë atë më të drejtë dhe më të barabartë për të gjithë qytetarët.</w:t>
      </w:r>
    </w:p>
    <w:p w14:paraId="0D59145C"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Në kontekstin e zbatimit të Politikës 5 është thelbësore të merren parasysh sfidat dhe rekomandimet e përfshira në analizën e situatës aktuale dhe vlerësimin mbi edukimin ligjor të publikut në Shqipëri. Kjo analizë tregon se edukimi ligjor ka fituar një rëndësi të jashtëzakonshme në forcimin e shtetit të së drejtës dhe krijimin e një shoqërie të drejtë dhe të informuar. Megjithatë, ka ende shumë sfida që duhen adresuar për të siguruar që ky proces të jetë i suksesshëm dhe të ketë ndikim të qëndrueshëm.</w:t>
      </w:r>
    </w:p>
    <w:p w14:paraId="2D6EB330"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Një nga sfidat kryesore të evidentuara është mungesa e koordinimit dhe institucionalizimit në ofrimin e edukimit ligjor për publikun. Deri më tani, edukimi ligjor në Shqipëri është realizuar kryesisht nga organizata jofitimprurëse dhe me mbështetjen e partnerëve ndërkombëtarë, por pa një qasje të mirëkoordinuar dhe të institucionalizuar. Kjo ka çuar në një situatë ku masat e edukimit ligjor janë të fragmentuara dhe shpesh të paqëndrueshme. Për zbatimin e Qëllimit Politik 5, është thelbësore që të sigurohet një bashkëpunim efektiv midis institucioneve të drejtësisë, qeverisë dhe organizatave të shoqërisë civile për të krijuar një strukturë të qëndrueshme dhe të koordinuar për edukimin ligjor.</w:t>
      </w:r>
    </w:p>
    <w:p w14:paraId="0ADD00E6"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Një tjetër sfidë e rëndësishme është mungesa e burimeve financiare dhe njerëzore. Institucionet përballen me kufizime të mëdha financiare dhe me mungesë të personelit të trajnuar për të realizuar aktivitetet e edukimit ligjor. Kjo ka ndikuar në cilësinë dhe qëndrueshmërinë e programeve të edukimit ligjor, duke i bërë ato të varura nga financime të përkohshme dhe të pamjaftueshme. Në këtë kontekst, zbatimi i Politikës 5 kërkon një investim të qëndrueshëm në burime financiare dhe në zhvillimin e kapaciteteve </w:t>
      </w:r>
      <w:r w:rsidRPr="0061449F">
        <w:rPr>
          <w:rFonts w:ascii="Times New Roman" w:eastAsia="Calibri" w:hAnsi="Times New Roman" w:cs="Times New Roman"/>
          <w:bCs/>
          <w:sz w:val="24"/>
          <w:szCs w:val="24"/>
          <w:lang w:val="sq-AL"/>
        </w:rPr>
        <w:lastRenderedPageBreak/>
        <w:t>njerëzore, për të siguruar që aktivitetet e planifikuara të realizohen me sukses dhe të kenë një ndikim afatgjatë.</w:t>
      </w:r>
    </w:p>
    <w:p w14:paraId="5B781D78"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Për më tepër, korniza ligjore e paqartë ka qenë një pengesë për edukimin ligjor në Shqipëri. Ligjet ekzistuese shpesh përmendin institucionet përgjegjëse për edukimin ligjor, por nuk specifikojnë detyrime të qarta për to. Kjo ka rezultuar në përgjegjësi të papërcaktuara qartë dhe në mungesë të mekanizmave të qarta zbatimi. Për zbatimin e Politikës 5, është e nevojshme të krijohet një kornizë ligjore më e qartë dhe e detajuar që përcakton rolet dhe përgjegjësitë e secilit institucion në ofrimin e edukimit ligjor dhe në përmirësimin e aksesit në drejtësi.</w:t>
      </w:r>
    </w:p>
    <w:p w14:paraId="2A0F5AFD" w14:textId="77777777" w:rsidR="0061449F" w:rsidRPr="0061449F" w:rsidRDefault="0061449F" w:rsidP="0061449F">
      <w:pPr>
        <w:spacing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Megjithatë, pavarësisht këtyre sfidave, edukimi ligjor dhe përpjekjet për të afruar drejtësinë me qytetarët kanë përfitime të mëdha dhe afatgjata. Siç përmendet edhe në analizën e situatës aktuale, një shoqëri e informuar ligjërisht është një shtyllë e rëndësishme për një shtet të fortë të së drejtës. Kur qytetarët janë të informuar mbi të drejtat dhe detyrimet e tyre, ata janë më të aftë për të kërkuar llogaridhënie nga institucionet publike dhe për të luftuar kundër korrupsionit dhe abuzimit të pushtetit. Kjo do të kontribuojë në krijimin e një sistemi drejtësie më të besueshëm dhe më të qëndrueshëm.</w:t>
      </w:r>
    </w:p>
    <w:p w14:paraId="2A225FF2" w14:textId="77777777" w:rsidR="0061449F" w:rsidRPr="0061449F" w:rsidRDefault="0061449F" w:rsidP="0061449F">
      <w:pPr>
        <w:spacing w:line="276" w:lineRule="auto"/>
        <w:jc w:val="both"/>
        <w:rPr>
          <w:rFonts w:ascii="Times New Roman" w:eastAsia="MS Mincho" w:hAnsi="Times New Roman" w:cs="Times New Roman"/>
          <w:bCs/>
          <w:sz w:val="24"/>
          <w:szCs w:val="24"/>
          <w:lang w:val="sq-AL"/>
        </w:rPr>
      </w:pPr>
      <w:r w:rsidRPr="0061449F">
        <w:rPr>
          <w:rFonts w:ascii="Times New Roman" w:eastAsia="MS Mincho" w:hAnsi="Times New Roman" w:cs="Times New Roman"/>
          <w:bCs/>
          <w:sz w:val="24"/>
          <w:szCs w:val="24"/>
          <w:lang w:val="sq-AL"/>
        </w:rPr>
        <w:t>Për arritjen e këtij qëllimi politik, institucionet përgjegjëse në bashkëpunim me institucione partnerë vendas dhe ndërkombëtarë do të fokusohen në përmbushjen e tre objektivave specifike</w:t>
      </w:r>
      <w:r w:rsidRPr="0061449F">
        <w:rPr>
          <w:rFonts w:ascii="Times New Roman" w:eastAsia="MS Mincho" w:hAnsi="Times New Roman" w:cs="Times New Roman"/>
          <w:b/>
          <w:sz w:val="24"/>
          <w:szCs w:val="24"/>
          <w:shd w:val="clear" w:color="auto" w:fill="FFFFFF"/>
          <w:lang w:val="pt-BR"/>
        </w:rPr>
        <w:t xml:space="preserve"> </w:t>
      </w:r>
      <w:r w:rsidRPr="0061449F">
        <w:rPr>
          <w:rFonts w:ascii="Times New Roman" w:eastAsia="MS Mincho" w:hAnsi="Times New Roman" w:cs="Times New Roman"/>
          <w:sz w:val="24"/>
          <w:szCs w:val="24"/>
          <w:shd w:val="clear" w:color="auto" w:fill="FFFFFF"/>
          <w:lang w:val="pt-BR"/>
        </w:rPr>
        <w:t>si OS.5.1</w:t>
      </w:r>
      <w:r w:rsidRPr="0061449F">
        <w:rPr>
          <w:rFonts w:ascii="Times New Roman" w:eastAsia="MS Mincho" w:hAnsi="Times New Roman" w:cs="Times New Roman"/>
          <w:bCs/>
          <w:sz w:val="24"/>
          <w:szCs w:val="24"/>
          <w:lang w:val="sq-AL"/>
        </w:rPr>
        <w:t xml:space="preserve">, </w:t>
      </w:r>
      <w:r w:rsidRPr="0061449F">
        <w:rPr>
          <w:rFonts w:ascii="Times New Roman" w:eastAsia="MS Mincho" w:hAnsi="Times New Roman" w:cs="Times New Roman"/>
          <w:sz w:val="24"/>
          <w:szCs w:val="24"/>
          <w:shd w:val="clear" w:color="auto" w:fill="FFFFFF"/>
          <w:lang w:val="pt-BR"/>
        </w:rPr>
        <w:t>OS. 5.2, OS. 5.3.</w:t>
      </w:r>
    </w:p>
    <w:p w14:paraId="03C79E0F" w14:textId="77777777" w:rsidR="0061449F" w:rsidRPr="0061449F" w:rsidRDefault="0061449F" w:rsidP="0061449F">
      <w:pPr>
        <w:numPr>
          <w:ilvl w:val="0"/>
          <w:numId w:val="73"/>
        </w:numPr>
        <w:spacing w:after="0" w:line="240" w:lineRule="auto"/>
        <w:contextualSpacing/>
        <w:jc w:val="both"/>
        <w:rPr>
          <w:rFonts w:ascii="Times New Roman" w:eastAsia="MS Mincho" w:hAnsi="Times New Roman" w:cs="Times New Roman"/>
          <w:sz w:val="24"/>
          <w:szCs w:val="24"/>
          <w:shd w:val="clear" w:color="auto" w:fill="FFFFFF"/>
          <w:lang w:val="pt-BR"/>
        </w:rPr>
      </w:pPr>
      <w:r w:rsidRPr="0061449F">
        <w:rPr>
          <w:rFonts w:ascii="Times New Roman" w:eastAsia="MS Mincho" w:hAnsi="Times New Roman" w:cs="Times New Roman"/>
          <w:sz w:val="24"/>
          <w:szCs w:val="24"/>
          <w:shd w:val="clear" w:color="auto" w:fill="FFFFFF"/>
          <w:lang w:val="pt-BR"/>
        </w:rPr>
        <w:t>OS.5.1 - Informimi, edukimi dhe ndërgjegjësimi i publikut mbi sistemin e drejtësisë përmes përdorimit të mjeteve dhe metodave inovative të komunikimit.</w:t>
      </w:r>
    </w:p>
    <w:p w14:paraId="1C076272" w14:textId="77777777" w:rsidR="0061449F" w:rsidRPr="0061449F" w:rsidRDefault="0061449F" w:rsidP="0061449F">
      <w:pPr>
        <w:numPr>
          <w:ilvl w:val="0"/>
          <w:numId w:val="73"/>
        </w:numPr>
        <w:spacing w:after="0" w:line="240" w:lineRule="auto"/>
        <w:contextualSpacing/>
        <w:jc w:val="both"/>
        <w:rPr>
          <w:rFonts w:ascii="Times New Roman" w:eastAsia="MS Mincho" w:hAnsi="Times New Roman" w:cs="Times New Roman"/>
          <w:sz w:val="24"/>
          <w:szCs w:val="24"/>
          <w:shd w:val="clear" w:color="auto" w:fill="FFFFFF"/>
          <w:lang w:val="pt-BR"/>
        </w:rPr>
      </w:pPr>
      <w:r w:rsidRPr="0061449F">
        <w:rPr>
          <w:rFonts w:ascii="Times New Roman" w:eastAsia="MS Mincho" w:hAnsi="Times New Roman" w:cs="Times New Roman"/>
          <w:sz w:val="24"/>
          <w:szCs w:val="24"/>
          <w:shd w:val="clear" w:color="auto" w:fill="FFFFFF"/>
          <w:lang w:val="pt-BR"/>
        </w:rPr>
        <w:t xml:space="preserve">OS. 5.2 - Forcimi i bashkëpunimit efektiv të institucioneve të sistemit të drejtësisë për realizimin e ELP dhe rritja e aksesit të qytetarëve në informacionin mbi kuadrin ligjor dhe sistemin e drejtësisë.   </w:t>
      </w:r>
    </w:p>
    <w:p w14:paraId="62585D58" w14:textId="77777777" w:rsidR="0061449F" w:rsidRPr="0061449F" w:rsidRDefault="0061449F" w:rsidP="0061449F">
      <w:pPr>
        <w:numPr>
          <w:ilvl w:val="0"/>
          <w:numId w:val="73"/>
        </w:numPr>
        <w:spacing w:after="0" w:line="240" w:lineRule="auto"/>
        <w:contextualSpacing/>
        <w:jc w:val="both"/>
        <w:rPr>
          <w:rFonts w:ascii="Times New Roman" w:eastAsia="MS Mincho" w:hAnsi="Times New Roman" w:cs="Times New Roman"/>
          <w:sz w:val="24"/>
          <w:szCs w:val="24"/>
          <w:shd w:val="clear" w:color="auto" w:fill="FFFFFF"/>
          <w:lang w:val="pt-BR"/>
        </w:rPr>
      </w:pPr>
      <w:r w:rsidRPr="0061449F">
        <w:rPr>
          <w:rFonts w:ascii="Times New Roman" w:eastAsia="MS Mincho" w:hAnsi="Times New Roman" w:cs="Times New Roman"/>
          <w:sz w:val="24"/>
          <w:szCs w:val="24"/>
          <w:shd w:val="clear" w:color="auto" w:fill="FFFFFF"/>
          <w:lang w:val="pt-BR"/>
        </w:rPr>
        <w:t xml:space="preserve">OS. 5.3. - Rritja e njohurive dhe kuptueshmërisë së publikut mbi proceset e integrimit evropian përmes iniciativave të edukimit ligjor të publikut. </w:t>
      </w:r>
    </w:p>
    <w:p w14:paraId="7301E011" w14:textId="77777777" w:rsidR="0061449F" w:rsidRPr="0061449F" w:rsidRDefault="0061449F" w:rsidP="0061449F">
      <w:pPr>
        <w:spacing w:line="276" w:lineRule="auto"/>
        <w:ind w:left="2340" w:hanging="2340"/>
        <w:jc w:val="both"/>
        <w:rPr>
          <w:rFonts w:ascii="Times New Roman" w:eastAsia="Calibri" w:hAnsi="Times New Roman" w:cs="Times New Roman"/>
          <w:sz w:val="24"/>
          <w:szCs w:val="24"/>
          <w:lang w:val="sq-AL"/>
        </w:rPr>
      </w:pPr>
    </w:p>
    <w:p w14:paraId="29FDE9FB" w14:textId="77777777" w:rsidR="0061449F" w:rsidRPr="0061449F" w:rsidRDefault="0061449F" w:rsidP="0061449F">
      <w:pPr>
        <w:spacing w:line="276" w:lineRule="auto"/>
        <w:jc w:val="both"/>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Lidhja midis Qëllimit Politik 5 dhe Objektivave të Zhvillimit të Qëndrueshëm (OZHQ)</w:t>
      </w:r>
    </w:p>
    <w:p w14:paraId="0D061B20"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bCs/>
          <w:sz w:val="24"/>
          <w:szCs w:val="24"/>
          <w:lang w:val="sq-AL"/>
        </w:rPr>
        <w:t xml:space="preserve">Qëllimi Politik 5 lidhet </w:t>
      </w:r>
      <w:r w:rsidRPr="0061449F">
        <w:rPr>
          <w:rFonts w:ascii="Times New Roman" w:eastAsia="Calibri" w:hAnsi="Times New Roman" w:cs="Times New Roman"/>
          <w:sz w:val="24"/>
          <w:szCs w:val="24"/>
          <w:lang w:val="sq-AL"/>
        </w:rPr>
        <w:t>me Objektivin 16 të Zhvillimit të Qëndrueshëm (OZHQ, “Promovimi i shoqërive paqësore dhe përfshirëse për zhvillim të qëndrueshëm, ofrim i aksesit në drejtësi për të gjithë dhe ndërtimi i institucioneve efektive, llogaridhënëse dhe gjithëpërfshirëse në të gjitha nivelet”.  SND 2024-2030, lidhet me nënobjektivin 16.3: “Promovimi i shtetit të së drejtës në nivelin kombëtar dhe ndërkombëtar dhe sigurimi i aksesit të barabartë në drejtësi për të gjithë”. Gjithashtu, SND 2024-2030, lidhet me nënobjektivin 16.6: “Zhvillimi i institucioneve efektive, llogaridhënëse dhe transparente në të gjitha nivelet”, me nënobjektivin 16.7: “Sigurimi i vendimmarrjes reaguese, përfshirëse, pjesëmarrëse dhe përfaqësuese në të gjitha nivelet” si dhe me nënobjektivin 16.10: “Sigurimi i aksesit të publikut në informacion dhe mbrojtja e lirive themelore, në përputhje me legjislacionin kombëtar dhe marrëveshjet ndërkombëtare”.</w:t>
      </w:r>
    </w:p>
    <w:p w14:paraId="3E4B6567" w14:textId="77777777" w:rsidR="0061449F" w:rsidRPr="0061449F" w:rsidRDefault="0061449F" w:rsidP="0061449F">
      <w:pPr>
        <w:spacing w:line="276" w:lineRule="auto"/>
        <w:ind w:left="2340" w:hanging="2340"/>
        <w:jc w:val="both"/>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 xml:space="preserve">Objektivi Specifik 5.1: </w:t>
      </w:r>
      <w:r w:rsidRPr="0061449F">
        <w:rPr>
          <w:rFonts w:ascii="Times New Roman" w:eastAsia="Calibri" w:hAnsi="Times New Roman" w:cs="Times New Roman"/>
          <w:sz w:val="24"/>
          <w:szCs w:val="24"/>
          <w:lang w:val="sq-AL"/>
        </w:rPr>
        <w:t xml:space="preserve">Informimi, edukimi dhe ndërgjegjësimi i publikut mbi sistemin e drejtësisë përmes përdorimit të mjeteve dhe metodave inovative të komunikimit     </w:t>
      </w:r>
    </w:p>
    <w:p w14:paraId="6D7E04E5"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lastRenderedPageBreak/>
        <w:t>Objektivi Specifik 5.1 fokusohet në informimin, edukimin dhe ndërgjegjësimin e publikut mbi sistemin e drejtësisë dhe synon të krijojë një komunikim më efektiv dhe të qasshëm midis institucioneve gjyqësore dhe qytetarëve. Kjo realizohet përmes përdorimit të mjeteve dhe metodave inovative të komunikimit, që synojnë të thjeshtësojnë informacionin dhe ta bëjnë atë të kuptueshëm për të gjithë shtresat e shoqërisë.</w:t>
      </w:r>
    </w:p>
    <w:p w14:paraId="168EB549"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Sipas vlerësimit të situatës aktuale mbi edukimin ligjor të publikut në Shqipëri, deri në fund të 2023 disa hapa të rëndësishëm janë ndërmarrë për të realizuar informimin, edukimin dhe ndërgjegjësimin e publikut mbi sistemin e drejtësisë përmes përdorimit të mjeteve dhe metodave inovative të komunikimit. Këto masa janë bazuar kryesisht në parashikimet e Strategjisë së Edukimit Ligjor për Publikun 2019-2023. Në zbatim të planit të veprimit të hartuar në kuadër të kësaj strategjie gjatë periudhës 2019-2023 janë hartuar dhe publikuar materiale informuese në gjuhë të thjeshtë për publikun, të cilat synojnë të shpjegojnë funksionimin e institucioneve të drejtësisë, procedurat që duhet ndjekur, dhe të drejtat e qytetarëve. Këto materiale janë shpërndarë kryesisht përmes faqeve zyrtare të institucioneve dhe mediave sociale, si një përpjekje për të siguruar që qytetarët të kenë akses në informacion të saktë dhe të kuptueshëm. </w:t>
      </w:r>
    </w:p>
    <w:p w14:paraId="7BCD812A"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Gjithashtu, institucionet gjyqësore kanë nisur të krijojnë dhe përditësojnë llogari në platforma të ndryshme të mediave sociale, si Facebook dhe LinkedIn, për të ofruar një burim të besueshëm dhe të përditësuar informacioni për publikun. Këto platforma përdoren për të shpërndarë lajme dhe informacione të rëndësishme rreth aktiviteteve dhe vendimeve të institucioneve gjyqësore.</w:t>
      </w:r>
    </w:p>
    <w:p w14:paraId="15E12BAF"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Në të njëjtën kohë janë realizuar disa përpjekje për të promovuar reformat në sistemin e drejtësisë përmes intervistave në media dhe fushatave mediatike. Institucionet kanë zhvilluar intervista televizive dhe janë angazhuar me median për të shpjeguar ndryshimet në hartën gjyqësore dhe përfitimet që sjellin reformat e fundit në drejtësi. Gjithashtu, krijimi i videove shpjeguese nga Drejtoria e Ndihmës Juridike Falas dhe Ministria e Drejtësisë për të ndihmuar qytetarët të kuptojnë më mirë se si mund të aksesojnë institucionet e drejtësisë është një tjetër hap i rëndësishëm i realizuar deri më tani. Këto video janë krijuar me qëllim që të ofrojnë udhëzime të qarta dhe të thjeshta për qytetarët lidhur me procedurat që duhet ndjekur dhe të drejtat e tyre procedurale.</w:t>
      </w:r>
    </w:p>
    <w:p w14:paraId="7A55A320"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Institucionet e sistemit të Drejtësisë kanë zhvilluar disa sesione informuese për publikun, veçanërisht për grupet vulnerabël, për t'i ndihmuar ata të kuptojnë më mirë të drejtat e tyre dhe të kenë qasje më të lehtë në shërbimet e drejtësisë. Këto sesione janë pjesë e një përpjekjeje më të gjerë për të rritur ndërgjegjësimin dhe për të fuqizuar qytetarët, veçanërisht ata që janë më të prekshëm nga padrejtësitë ligjore.</w:t>
      </w:r>
    </w:p>
    <w:p w14:paraId="425FF890"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Megjithatë, siç evidentohet në vlerësimin e situatës mbi zbatimin e edukimit ligjor të publikut, një pjesë e mirë e masave të parashikuara në Strategjinë e Edukimit Ligjor të Publikut nuk u realizuan plotësisht ose kanë hasur pengesa në zbatimin e tyre për shkak të mungesës së koordinimit ndërmjet institucioneve, burimeve financiare të pamjaftueshme dhe kufizimeve në burimet njerëzore.</w:t>
      </w:r>
    </w:p>
    <w:p w14:paraId="76CF828D"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Në këtë kontekst, është e rëndësishme që të intensifikohen përpjekjet për të përmbushur masat e parashikuara në kuadër të zbatimit të këtij objektivi specifik për të siguruar që Objektivi Specifik 5.1 të realizohet me sukses. Kjo do të kërkojë një angazhim të fortë nga të gjitha institucionet e përfshira dhe </w:t>
      </w:r>
      <w:r w:rsidRPr="0061449F">
        <w:rPr>
          <w:rFonts w:ascii="Times New Roman" w:eastAsia="Calibri" w:hAnsi="Times New Roman" w:cs="Times New Roman"/>
          <w:sz w:val="24"/>
          <w:szCs w:val="24"/>
          <w:lang w:val="sq-AL"/>
        </w:rPr>
        <w:lastRenderedPageBreak/>
        <w:t>një qasje më të mirëkoordinuar dhe të qëndrueshme ndaj edukimit dhe ndërgjegjësimit të publikut për çështjet ligjore.</w:t>
      </w:r>
    </w:p>
    <w:p w14:paraId="11D05E0D"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p>
    <w:p w14:paraId="01B4D1E6"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p>
    <w:p w14:paraId="10E50860" w14:textId="77777777" w:rsidR="0061449F" w:rsidRPr="0061449F" w:rsidRDefault="0061449F" w:rsidP="0061449F">
      <w:pPr>
        <w:spacing w:line="276" w:lineRule="auto"/>
        <w:jc w:val="both"/>
        <w:outlineLvl w:val="0"/>
        <w:rPr>
          <w:rFonts w:ascii="Times New Roman" w:eastAsia="Calibri" w:hAnsi="Times New Roman" w:cs="Times New Roman"/>
          <w:b/>
          <w:sz w:val="24"/>
          <w:szCs w:val="24"/>
          <w:lang w:val="sq-AL"/>
        </w:rPr>
      </w:pPr>
    </w:p>
    <w:p w14:paraId="3D7EF79C" w14:textId="77777777" w:rsidR="0061449F" w:rsidRPr="0061449F" w:rsidRDefault="0061449F" w:rsidP="0061449F">
      <w:pPr>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 xml:space="preserve">Rezultati i pritshëm:  </w:t>
      </w:r>
    </w:p>
    <w:p w14:paraId="4AEDF702" w14:textId="77777777" w:rsidR="0061449F" w:rsidRPr="0061449F" w:rsidRDefault="0061449F" w:rsidP="0061449F">
      <w:pPr>
        <w:numPr>
          <w:ilvl w:val="0"/>
          <w:numId w:val="25"/>
        </w:numPr>
        <w:spacing w:line="276" w:lineRule="auto"/>
        <w:ind w:left="720"/>
        <w:contextualSpacing/>
        <w:jc w:val="both"/>
        <w:outlineLvl w:val="0"/>
        <w:rPr>
          <w:rFonts w:ascii="Times New Roman" w:eastAsia="Calibri" w:hAnsi="Times New Roman" w:cs="Times New Roman"/>
          <w:b/>
          <w:sz w:val="24"/>
          <w:szCs w:val="24"/>
          <w:lang w:val="sq-AL"/>
        </w:rPr>
      </w:pPr>
      <w:r w:rsidRPr="0061449F">
        <w:rPr>
          <w:rFonts w:ascii="Times New Roman" w:eastAsia="Calibri" w:hAnsi="Times New Roman" w:cs="Times New Roman"/>
          <w:sz w:val="24"/>
          <w:szCs w:val="24"/>
          <w:lang w:val="sq-AL"/>
        </w:rPr>
        <w:t>Deri në fund të vitit 2030 ka rritje progresive të numrit të sesioneve informuese të mbajtura mbi sistemin e drejtësisë nga institucionet e Drejtësisë, për të përforcuar informimin, edukimin dhe ndërgjegjësimin publik mbi sistemin e drejtësisë përmes përdorimit të mjeteve dhe metodave inovative të komunikimit.</w:t>
      </w:r>
    </w:p>
    <w:p w14:paraId="2629F1AD" w14:textId="77777777" w:rsidR="0061449F" w:rsidRPr="0061449F" w:rsidRDefault="0061449F" w:rsidP="0061449F">
      <w:pPr>
        <w:spacing w:before="100" w:beforeAutospacing="1" w:after="100" w:afterAutospacing="1"/>
        <w:jc w:val="both"/>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sq-AL"/>
        </w:rPr>
        <w:t>Lidhja e objektivit specifik me nënkapitullin përkatës të BE-së sipas MSA-së</w:t>
      </w:r>
    </w:p>
    <w:p w14:paraId="32294D8B" w14:textId="77777777" w:rsidR="0061449F" w:rsidRPr="0061449F" w:rsidRDefault="0061449F" w:rsidP="0061449F">
      <w:pPr>
        <w:numPr>
          <w:ilvl w:val="0"/>
          <w:numId w:val="25"/>
        </w:numPr>
        <w:spacing w:line="276" w:lineRule="auto"/>
        <w:ind w:left="720"/>
        <w:contextualSpacing/>
        <w:jc w:val="both"/>
        <w:rPr>
          <w:rFonts w:ascii="Times New Roman" w:eastAsia="Calibri" w:hAnsi="Times New Roman" w:cs="Times New Roman"/>
          <w:b/>
          <w:sz w:val="24"/>
          <w:szCs w:val="24"/>
          <w:lang w:val="sq-AL"/>
        </w:rPr>
      </w:pPr>
      <w:r w:rsidRPr="0061449F">
        <w:rPr>
          <w:rFonts w:ascii="Times New Roman" w:eastAsia="Times New Roman" w:hAnsi="Times New Roman" w:cs="Times New Roman"/>
          <w:sz w:val="24"/>
          <w:szCs w:val="24"/>
          <w:lang w:val="sq-AL"/>
        </w:rPr>
        <w:t xml:space="preserve">Objektivi Specifik 5.1 lidhet me Kapitullin 23 “Gjyqësori dhe të Drejtat Themelore, me </w:t>
      </w:r>
      <w:r w:rsidRPr="0061449F">
        <w:rPr>
          <w:rFonts w:ascii="Times New Roman" w:eastAsia="Calibri" w:hAnsi="Times New Roman" w:cs="Times New Roman"/>
          <w:sz w:val="24"/>
          <w:szCs w:val="24"/>
          <w:lang w:val="sq-AL"/>
        </w:rPr>
        <w:t>nenin 2 të MSA-së “</w:t>
      </w:r>
      <w:r w:rsidRPr="0061449F">
        <w:rPr>
          <w:rFonts w:ascii="Times New Roman" w:eastAsia="Calibri" w:hAnsi="Times New Roman" w:cs="Times New Roman"/>
          <w:i/>
          <w:sz w:val="24"/>
          <w:szCs w:val="24"/>
          <w:lang w:val="sq-AL"/>
        </w:rPr>
        <w:t>Respekti për parimet demokratike dhe të drejtat e njeriut</w:t>
      </w:r>
      <w:r w:rsidRPr="0061449F">
        <w:rPr>
          <w:rFonts w:ascii="Times New Roman" w:eastAsia="Calibri" w:hAnsi="Times New Roman" w:cs="Times New Roman"/>
          <w:sz w:val="24"/>
          <w:szCs w:val="24"/>
          <w:lang w:val="sq-AL"/>
        </w:rPr>
        <w:t xml:space="preserve">”, me </w:t>
      </w:r>
      <w:r w:rsidRPr="0061449F">
        <w:rPr>
          <w:rFonts w:ascii="Times New Roman" w:eastAsia="Times New Roman" w:hAnsi="Times New Roman" w:cs="Times New Roman"/>
          <w:sz w:val="24"/>
          <w:szCs w:val="24"/>
          <w:lang w:val="sq-AL"/>
        </w:rPr>
        <w:t>nenin 78 të MSA-së “</w:t>
      </w:r>
      <w:r w:rsidRPr="0061449F">
        <w:rPr>
          <w:rFonts w:ascii="Times New Roman" w:eastAsia="Times New Roman" w:hAnsi="Times New Roman" w:cs="Times New Roman"/>
          <w:i/>
          <w:sz w:val="24"/>
          <w:szCs w:val="24"/>
          <w:lang w:val="sq-AL"/>
        </w:rPr>
        <w:t>Fuqizimin e institucioneve dhe shtetit të së drejtës</w:t>
      </w:r>
      <w:r w:rsidRPr="0061449F">
        <w:rPr>
          <w:rFonts w:ascii="Times New Roman" w:eastAsia="Times New Roman" w:hAnsi="Times New Roman" w:cs="Times New Roman"/>
          <w:sz w:val="24"/>
          <w:szCs w:val="24"/>
          <w:lang w:val="sq-AL"/>
        </w:rPr>
        <w:t xml:space="preserve">” </w:t>
      </w:r>
      <w:r w:rsidRPr="0061449F">
        <w:rPr>
          <w:rFonts w:ascii="Times New Roman" w:eastAsia="Calibri" w:hAnsi="Times New Roman" w:cs="Times New Roman"/>
          <w:sz w:val="24"/>
          <w:szCs w:val="24"/>
          <w:lang w:val="sq-AL"/>
        </w:rPr>
        <w:t>dhe me nenin 88 “</w:t>
      </w:r>
      <w:r w:rsidRPr="0061449F">
        <w:rPr>
          <w:rFonts w:ascii="Times New Roman" w:eastAsia="Calibri" w:hAnsi="Times New Roman" w:cs="Times New Roman"/>
          <w:i/>
          <w:sz w:val="24"/>
          <w:szCs w:val="24"/>
          <w:lang w:val="sq-AL"/>
        </w:rPr>
        <w:t>Bashkëpunimi statistikor</w:t>
      </w:r>
      <w:r w:rsidRPr="0061449F">
        <w:rPr>
          <w:rFonts w:ascii="Times New Roman" w:eastAsia="Calibri" w:hAnsi="Times New Roman" w:cs="Times New Roman"/>
          <w:sz w:val="24"/>
          <w:szCs w:val="24"/>
          <w:lang w:val="sq-AL"/>
        </w:rPr>
        <w:t xml:space="preserve">” të MSA-së, </w:t>
      </w:r>
      <w:r w:rsidRPr="0061449F">
        <w:rPr>
          <w:rFonts w:ascii="Times New Roman" w:eastAsia="Times New Roman" w:hAnsi="Times New Roman" w:cs="Times New Roman"/>
          <w:sz w:val="24"/>
          <w:szCs w:val="24"/>
          <w:lang w:val="sq-AL"/>
        </w:rPr>
        <w:t>e nënshkruar midis Republikës së Shqipërisë dhe Komuniteteve Evropiane të shteteve të tyre anëtare. Gjithashtu, ky objektiv lidhet me Planin Kombëtar për Integrimin Evropian 2024 – 2026 si dhe reflekton disa nga rekomandimet Raportit të Komisionit Evropian për Shqipërinë për vitin 2023.Objektivi Specifik 5.1 lidhet me</w:t>
      </w:r>
      <w:r w:rsidRPr="0061449F">
        <w:rPr>
          <w:rFonts w:ascii="Times New Roman" w:eastAsia="Calibri" w:hAnsi="Times New Roman" w:cs="Times New Roman"/>
          <w:b/>
          <w:sz w:val="24"/>
          <w:szCs w:val="24"/>
          <w:lang w:val="sq-AL"/>
        </w:rPr>
        <w:t xml:space="preserve"> </w:t>
      </w:r>
      <w:r w:rsidRPr="0061449F">
        <w:rPr>
          <w:rFonts w:ascii="Times New Roman" w:eastAsia="Calibri" w:hAnsi="Times New Roman" w:cs="Times New Roman"/>
          <w:sz w:val="24"/>
          <w:szCs w:val="24"/>
          <w:lang w:val="sq-AL"/>
        </w:rPr>
        <w:t>Udhërrëfyesin për Shtetin e së</w:t>
      </w:r>
      <w:r w:rsidRPr="0061449F">
        <w:rPr>
          <w:rFonts w:ascii="Times New Roman" w:eastAsia="Calibri" w:hAnsi="Times New Roman" w:cs="Times New Roman"/>
          <w:b/>
          <w:sz w:val="24"/>
          <w:szCs w:val="24"/>
          <w:lang w:val="sq-AL"/>
        </w:rPr>
        <w:t xml:space="preserve"> </w:t>
      </w:r>
      <w:r w:rsidRPr="0061449F">
        <w:rPr>
          <w:rFonts w:ascii="Times New Roman" w:eastAsia="Calibri" w:hAnsi="Times New Roman" w:cs="Times New Roman"/>
          <w:sz w:val="24"/>
          <w:szCs w:val="24"/>
          <w:lang w:val="sq-AL"/>
        </w:rPr>
        <w:t>Drejtës.</w:t>
      </w:r>
    </w:p>
    <w:p w14:paraId="7590A336" w14:textId="77777777" w:rsidR="0061449F" w:rsidRPr="0061449F" w:rsidRDefault="0061449F" w:rsidP="0061449F">
      <w:pPr>
        <w:spacing w:before="100" w:beforeAutospacing="1" w:after="100" w:afterAutospacing="1" w:line="276" w:lineRule="auto"/>
        <w:jc w:val="both"/>
        <w:rPr>
          <w:rFonts w:ascii="Times New Roman" w:eastAsia="Times New Roman" w:hAnsi="Times New Roman" w:cs="Times New Roman"/>
          <w:b/>
          <w:sz w:val="24"/>
          <w:szCs w:val="24"/>
          <w:bdr w:val="none" w:sz="0" w:space="0" w:color="auto" w:frame="1"/>
          <w:lang w:val="sq-AL"/>
        </w:rPr>
      </w:pPr>
      <w:r w:rsidRPr="0061449F">
        <w:rPr>
          <w:rFonts w:ascii="Times New Roman" w:eastAsia="Times New Roman" w:hAnsi="Times New Roman" w:cs="Times New Roman"/>
          <w:b/>
          <w:sz w:val="24"/>
          <w:szCs w:val="24"/>
          <w:bdr w:val="none" w:sz="0" w:space="0" w:color="auto" w:frame="1"/>
          <w:lang w:val="sq-AL"/>
        </w:rPr>
        <w:t xml:space="preserve">Masat:  </w:t>
      </w:r>
    </w:p>
    <w:p w14:paraId="48D24707"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5.1.1 Hartimi dhe publikimi i materialeve informuese në gjuhë të thjeshtë dhe të kuptueshme      </w:t>
      </w:r>
    </w:p>
    <w:p w14:paraId="45FBAD7C"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         lidhur me organizimin, kompetencat dhe funksionimin e gjykatave dhe përditësimi  </w:t>
      </w:r>
    </w:p>
    <w:p w14:paraId="633B54FF"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         periodik i tyre </w:t>
      </w:r>
    </w:p>
    <w:p w14:paraId="7638AA80"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5.1.2 Intervista në media me qëllim informimin mbi ndryshimet/risitë/përfitimet që solli </w:t>
      </w:r>
    </w:p>
    <w:p w14:paraId="76F1F7F8"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         Reforma në Drejtësi dhe promovimi i rezultateve të arritura. </w:t>
      </w:r>
    </w:p>
    <w:p w14:paraId="3BC2CE85"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5.1.3 Informimi dhe ndërgjegjësimi i publikut lidhur me sistemin gjyqësor nëpërmjet </w:t>
      </w:r>
    </w:p>
    <w:p w14:paraId="3B798DAC"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         platformave të mediave sociale</w:t>
      </w:r>
    </w:p>
    <w:p w14:paraId="413CD2A8"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5.1.4 Hartimi dhe Publikimi i informacioneve shpjeguese për qytetarët mbi aksesin në </w:t>
      </w:r>
    </w:p>
    <w:p w14:paraId="556A4255"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         institucionet e drejtësisë dhe publikimi i tyre në faqet zyrtare të institucioneve të drejtësisë</w:t>
      </w:r>
    </w:p>
    <w:p w14:paraId="687FA5C5"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5.1.5 Hartimi dhe publikimi i buletinit periodik të gjykatave </w:t>
      </w:r>
    </w:p>
    <w:p w14:paraId="0407702E"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5.1.6 Hartimi i materialeve informuese mbi procedurën që ndiqet në çështjet penale, civile dhe </w:t>
      </w:r>
    </w:p>
    <w:p w14:paraId="2C67409F"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         ato administrative; mënyrën e paraqitjes së çështjeve, kërkesave/ankesave drejtuar </w:t>
      </w:r>
    </w:p>
    <w:p w14:paraId="1026D82D"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         gjykatës; formatet standarde; shërbimet që mund të merren nga Gjykatat; e drejta e </w:t>
      </w:r>
    </w:p>
    <w:p w14:paraId="3D3FE39B"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         ankimit/rekursit dhe afatet.</w:t>
      </w:r>
    </w:p>
    <w:p w14:paraId="570B800F"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5.1.7 Përditësimi i materialeve informuese mbi procedurën që ndiqet në çështjet penale ; </w:t>
      </w:r>
    </w:p>
    <w:p w14:paraId="6F3C959D"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         mënyrën e paraqitjes së kallëzimeve drejtuar Prokurorisë; formatet standarde; shërbimet </w:t>
      </w:r>
    </w:p>
    <w:p w14:paraId="0244A3E5"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         që mund të merren nga Prokuroria; e drejta e ankimit/rekursit dhe afatet.</w:t>
      </w:r>
    </w:p>
    <w:p w14:paraId="1E504569"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5.1.8 Informimi i publikut mbi veprimtarinë e prokurorisë së posaçme dhe BKH, aksesi i </w:t>
      </w:r>
    </w:p>
    <w:p w14:paraId="08838FFD"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lastRenderedPageBreak/>
        <w:t xml:space="preserve">         qytetarëve, llojet e çështjeve që trajtojnë, e drejta e ankimit/rekursit dhe afatet</w:t>
      </w:r>
    </w:p>
    <w:p w14:paraId="3A3781ED"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5.1.9 Organizimi i aktiviteteve informuese rreth kompetencave të ILD-së, procedurave,</w:t>
      </w:r>
    </w:p>
    <w:p w14:paraId="7E803098"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         afateve, të drejtave të palëve </w:t>
      </w:r>
    </w:p>
    <w:p w14:paraId="16D52CB6"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5.1.10 Informimi dhe ndërgjegjësimi i publikut mbi mjetet alternative të zgjidhjeve të </w:t>
      </w:r>
    </w:p>
    <w:p w14:paraId="0B20EE67"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           mosmarrëveshjeve</w:t>
      </w:r>
    </w:p>
    <w:p w14:paraId="0966A64F"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5.1.11 Informimi i publikut mbi ndihmën juridike të garantuar nga shteti</w:t>
      </w:r>
    </w:p>
    <w:p w14:paraId="4206E3B7"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5.1.12 Planifikimi dhe organizimi i aktiviteteve informuese dhe promovuese në Javën e </w:t>
      </w:r>
    </w:p>
    <w:p w14:paraId="1D5AB41B"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          Drejtësisë </w:t>
      </w:r>
    </w:p>
    <w:p w14:paraId="3BBC345E"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5.1.13 Planifikimi dhe organizimi i takimeve në ditë të veçanta për sistemin e Drejtësisë dhe të </w:t>
      </w:r>
    </w:p>
    <w:p w14:paraId="3E31DBB5" w14:textId="77777777" w:rsidR="0061449F" w:rsidRPr="0061449F" w:rsidRDefault="0061449F" w:rsidP="0061449F">
      <w:pPr>
        <w:spacing w:after="0" w:line="276" w:lineRule="auto"/>
        <w:jc w:val="both"/>
        <w:rPr>
          <w:rFonts w:ascii="Times New Roman" w:eastAsia="Calibri" w:hAnsi="Times New Roman" w:cs="Times New Roman"/>
          <w:bCs/>
          <w:sz w:val="24"/>
          <w:szCs w:val="24"/>
          <w:lang w:val="sq-AL"/>
        </w:rPr>
      </w:pPr>
      <w:r w:rsidRPr="0061449F">
        <w:rPr>
          <w:rFonts w:ascii="Times New Roman" w:eastAsia="Calibri" w:hAnsi="Times New Roman" w:cs="Times New Roman"/>
          <w:bCs/>
          <w:sz w:val="24"/>
          <w:szCs w:val="24"/>
          <w:lang w:val="sq-AL"/>
        </w:rPr>
        <w:t xml:space="preserve">          drejtave të njeriut ( Dita e Drejtësisë, Dita e të Drejtave të Njeriut)</w:t>
      </w:r>
    </w:p>
    <w:p w14:paraId="19C67544" w14:textId="77777777" w:rsidR="0061449F" w:rsidRPr="0061449F" w:rsidRDefault="0061449F" w:rsidP="0061449F">
      <w:pPr>
        <w:spacing w:before="100" w:beforeAutospacing="1" w:after="100" w:afterAutospacing="1" w:line="276" w:lineRule="auto"/>
        <w:jc w:val="both"/>
        <w:rPr>
          <w:rFonts w:ascii="Times New Roman" w:eastAsia="Calibri" w:hAnsi="Times New Roman" w:cs="Times New Roman"/>
          <w:b/>
          <w:sz w:val="24"/>
          <w:szCs w:val="24"/>
          <w:lang w:val="sq-AL"/>
        </w:rPr>
      </w:pPr>
    </w:p>
    <w:p w14:paraId="6D8D6241" w14:textId="77777777" w:rsidR="0061449F" w:rsidRPr="0061449F" w:rsidRDefault="0061449F" w:rsidP="0061449F">
      <w:pPr>
        <w:spacing w:before="100" w:beforeAutospacing="1" w:after="100" w:afterAutospacing="1" w:line="276" w:lineRule="auto"/>
        <w:jc w:val="both"/>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t xml:space="preserve">Treguesit kryesorë: </w:t>
      </w:r>
    </w:p>
    <w:p w14:paraId="63FF4C6D" w14:textId="77777777" w:rsidR="0061449F" w:rsidRPr="0061449F" w:rsidRDefault="0061449F" w:rsidP="0061449F">
      <w:pPr>
        <w:numPr>
          <w:ilvl w:val="0"/>
          <w:numId w:val="24"/>
        </w:numPr>
        <w:spacing w:line="276" w:lineRule="auto"/>
        <w:ind w:left="720"/>
        <w:contextualSpacing/>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Numri i sesioneve të informimit mbi sistemin e drejtësisë (cdo vit )</w:t>
      </w:r>
    </w:p>
    <w:p w14:paraId="5423D254" w14:textId="77777777" w:rsidR="0061449F" w:rsidRPr="0061449F" w:rsidRDefault="0061449F" w:rsidP="0061449F">
      <w:pPr>
        <w:spacing w:line="276" w:lineRule="auto"/>
        <w:ind w:left="720"/>
        <w:contextualSpacing/>
        <w:jc w:val="both"/>
        <w:rPr>
          <w:rFonts w:ascii="Times New Roman" w:eastAsia="Calibri" w:hAnsi="Times New Roman" w:cs="Times New Roman"/>
          <w:sz w:val="24"/>
          <w:szCs w:val="24"/>
          <w:lang w:val="sq-AL"/>
        </w:rPr>
      </w:pPr>
    </w:p>
    <w:p w14:paraId="7D48CD75" w14:textId="77777777" w:rsidR="0061449F" w:rsidRPr="0061449F" w:rsidRDefault="0061449F" w:rsidP="0061449F">
      <w:pPr>
        <w:spacing w:line="276" w:lineRule="auto"/>
        <w:ind w:left="2340" w:hanging="2340"/>
        <w:jc w:val="both"/>
        <w:rPr>
          <w:rFonts w:ascii="Times New Roman" w:eastAsia="Calibri" w:hAnsi="Times New Roman" w:cs="Times New Roman"/>
          <w:sz w:val="24"/>
          <w:szCs w:val="24"/>
          <w:lang w:val="sq-AL"/>
        </w:rPr>
      </w:pPr>
      <w:r w:rsidRPr="0061449F">
        <w:rPr>
          <w:rFonts w:ascii="Times New Roman" w:eastAsia="Calibri" w:hAnsi="Times New Roman" w:cs="Times New Roman"/>
          <w:b/>
          <w:sz w:val="24"/>
          <w:szCs w:val="24"/>
          <w:lang w:val="sq-AL"/>
        </w:rPr>
        <w:t>Objektivi Specifik 5.2:</w:t>
      </w:r>
      <w:r w:rsidRPr="0061449F">
        <w:rPr>
          <w:rFonts w:ascii="Times New Roman" w:eastAsia="Calibri" w:hAnsi="Times New Roman" w:cs="Times New Roman"/>
          <w:sz w:val="24"/>
          <w:szCs w:val="24"/>
          <w:lang w:val="sq-AL"/>
        </w:rPr>
        <w:t xml:space="preserve"> Forcimi i bashkëpunimit efektiv të institucioneve të sistemit të drejtësisë për realizimin e ELP dhe rritja e aksesit të qytetarëve në informacionin mbi kuadrin ligjor dhe sistemin e drejtësisë   </w:t>
      </w:r>
    </w:p>
    <w:p w14:paraId="6CFF05C0"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Objektivi Specifik 5.2 synon forcimin e bashkëpunimit efektiv midis institucioneve të sistemit të drejtësisë dhe rritjen e aksesit të qytetarëve në informacionin mbi kuadrin ligjor dhe sistemin e drejtësisë. Ky objektiv është thelbësor për krijimin e një sistemi drejtësie që është jo vetëm transparent, por edhe i qasshëm dhe i besueshëm për publikun e gjerë. Analiza e vlerësimit të zbatimit të SELP ka treguar se bashkëpunimi efektiv midis institucioneve të sistemit të drejtësisë dhe rritja e aksesit të qytetarëve në informacionin mbi kuadrin ligjor dhe sistemin e drejtësisë është përballur me një sërë sfidash që kanë ndikuar në progresin e tij. Një nga sfidat më të mëdha ka qenë mungesa e koordinimit ndërmjet institucioneve. Institucionet shpesh kanë vepruar në mënyrë të pavarur, pa një strategji të përbashkët dhe të koordinuar. Ky fragmentim ka krijuar boshllëqe në përpjekjet për të përmirësuar edukimin ligjor të publikut dhe ka ndikuar në aftësinë e institucioneve për të komunikuar në mënyrë efektive me qytetarët. Si rezultat, qytetarët shpesh hasnin në mungesë informacioni të unifikuar dhe të qartë mbi të drejtat dhe procedurat ligjore. Gjithashtu mungesa e burimeve financiare dhe njerëzore për të zbatuar iniciativa që synojnë të përmirësojnë qasjen në drejtësi ka çuar në zbatimin e projekteve të përkohshme dhe të varura nga financime të jashtme, duke bërë që rezultatet të mos jenë të qëndrueshme dhe të plota.</w:t>
      </w:r>
    </w:p>
    <w:p w14:paraId="0E8C8785"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Një sfidë tjetër ka qenë mungesa e një infrastrukture teknologjike të përbashkët dhe të avancuar ndërmjet institucioneve të drejtësisë. Teknologjia është një mjet thelbësor për të përmirësuar qasjen e qytetarëve në informacion ligjor, por mungesa e mjeteve të duhura teknologjike ka kufizuar aftësinë e institucioneve për të ndarë dhe përhapur informacion në mënyrë efikase. Kjo ka krijuar pengesa të konsiderueshme për qytetarët, të cilët kanë nevojë për informacion të azhurnuar dhe të saktë për të drejtat dhe procedurat ligjore.</w:t>
      </w:r>
    </w:p>
    <w:p w14:paraId="4037BB07"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lastRenderedPageBreak/>
        <w:t>Megjithatë, pavarësisht këtyre sfidave, ka pasur edhe disa arritje të rëndësishme. Gjatë viteve të fundit, institucionet e sistemit të Drejtësisë të koordinuar nga Ministria e Drejtësisë kanë bërë përpjekje për të përmirësuar bashkëpunimin e tyre, duke nisur iniciativa të përbashkëta për zhvillimin e materialeve edukative dhe fushatave ndërgjegjësuese. Këto përpjekje janë pjesë e një procesi më të gjerë për të krijuar një sistem më të integruar dhe të koordinuar të edukimit ligjor, që synon të fuqizojë qytetarët dhe të përmirësojë qasjen e tyre në drejtësi. Aktivitete të përbashkëta janë zhvilluar kryesisht në ditë të veçanta për sistemin e Drejtësisë si Dita e Drejtësisë apo Java e Integritetit. Sidoqoftë, për të arritur sukses të plotë në këtë objektiv, do të nevojiten përpjekje të vazhdueshme dhe angazhim i fuqishëm nga të gjitha institucionet e përfshira, si dhe një qasje më e mirëkoordinuar dhe më e qëndrueshme ndaj zbatimit të reformave në sistemin e Drejtësisë.</w:t>
      </w:r>
    </w:p>
    <w:p w14:paraId="350EE0D9" w14:textId="77777777" w:rsidR="0061449F" w:rsidRPr="0061449F" w:rsidRDefault="0061449F" w:rsidP="0061449F">
      <w:pPr>
        <w:shd w:val="clear" w:color="auto" w:fill="FFFFFF"/>
        <w:spacing w:after="0" w:line="276" w:lineRule="auto"/>
        <w:jc w:val="both"/>
        <w:rPr>
          <w:rFonts w:ascii="Times New Roman" w:eastAsia="Calibri" w:hAnsi="Times New Roman" w:cs="Times New Roman"/>
          <w:sz w:val="24"/>
          <w:szCs w:val="24"/>
          <w:lang w:val="sq-AL"/>
        </w:rPr>
      </w:pPr>
      <w:r w:rsidRPr="0061449F">
        <w:rPr>
          <w:rFonts w:ascii="Times New Roman" w:eastAsia="Times New Roman" w:hAnsi="Times New Roman" w:cs="Times New Roman"/>
          <w:sz w:val="24"/>
          <w:szCs w:val="24"/>
          <w:lang w:val="sq-AL"/>
        </w:rPr>
        <w:t>Në këtë konteks, Plani i veprimit të SND 2024-2030 parashikon realizimin e një serë aktivitesh të përbashkëta midis institucioneve të drejtësisë për të rritur bashkëpunimin e tyre në kuadër të informit ligjor të publikut mbi sistemin e drejtësisë.</w:t>
      </w:r>
      <w:r w:rsidRPr="0061449F">
        <w:rPr>
          <w:rFonts w:ascii="Times New Roman" w:eastAsia="Calibri" w:hAnsi="Times New Roman" w:cs="Times New Roman"/>
          <w:sz w:val="24"/>
          <w:szCs w:val="24"/>
          <w:lang w:val="sq-AL"/>
        </w:rPr>
        <w:t xml:space="preserve"> </w:t>
      </w:r>
    </w:p>
    <w:p w14:paraId="16D4AE7D" w14:textId="77777777" w:rsidR="0061449F" w:rsidRPr="0061449F" w:rsidRDefault="0061449F" w:rsidP="0061449F">
      <w:pPr>
        <w:spacing w:after="0" w:line="276" w:lineRule="auto"/>
        <w:jc w:val="both"/>
        <w:rPr>
          <w:rFonts w:ascii="Times New Roman" w:eastAsia="Calibri" w:hAnsi="Times New Roman" w:cs="Times New Roman"/>
          <w:b/>
          <w:sz w:val="24"/>
          <w:szCs w:val="24"/>
          <w:lang w:val="sq-AL"/>
        </w:rPr>
      </w:pPr>
    </w:p>
    <w:p w14:paraId="7836BA16" w14:textId="77777777" w:rsidR="0061449F" w:rsidRPr="0061449F" w:rsidRDefault="0061449F" w:rsidP="0061449F">
      <w:pPr>
        <w:spacing w:after="0" w:line="276" w:lineRule="auto"/>
        <w:jc w:val="both"/>
        <w:rPr>
          <w:rFonts w:ascii="Times New Roman" w:eastAsia="MS Mincho" w:hAnsi="Times New Roman" w:cs="Times New Roman"/>
          <w:sz w:val="24"/>
          <w:szCs w:val="24"/>
          <w:lang w:val="sq-AL"/>
        </w:rPr>
      </w:pPr>
      <w:r w:rsidRPr="0061449F">
        <w:rPr>
          <w:rFonts w:ascii="Times New Roman" w:eastAsia="Calibri" w:hAnsi="Times New Roman" w:cs="Times New Roman"/>
          <w:b/>
          <w:sz w:val="24"/>
          <w:szCs w:val="24"/>
          <w:lang w:val="sq-AL"/>
        </w:rPr>
        <w:t xml:space="preserve">Rezultati i pritshëm: </w:t>
      </w:r>
      <w:r w:rsidRPr="0061449F">
        <w:rPr>
          <w:rFonts w:ascii="Times New Roman" w:eastAsia="MS Mincho" w:hAnsi="Times New Roman" w:cs="Times New Roman"/>
          <w:sz w:val="24"/>
          <w:szCs w:val="24"/>
          <w:lang w:val="sq-AL"/>
        </w:rPr>
        <w:t>Deri në fund të vitit 2030 ka rritje progresive të numrit të fushatave mediatike mbi kuadrin ligjor dhe sistemin e drejtësisë, për të rritur aksesin e qytetarëve në informacionin në këto fusha.</w:t>
      </w:r>
    </w:p>
    <w:p w14:paraId="668DE589" w14:textId="77777777" w:rsidR="0061449F" w:rsidRPr="0061449F" w:rsidRDefault="0061449F" w:rsidP="0061449F">
      <w:pPr>
        <w:spacing w:before="100" w:beforeAutospacing="1" w:after="100" w:afterAutospacing="1" w:line="276" w:lineRule="auto"/>
        <w:jc w:val="both"/>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sq-AL"/>
        </w:rPr>
        <w:t>Lidhja e objektivit specifik me nënkapitullin përkatës të BE-së sipas MSA-së</w:t>
      </w:r>
    </w:p>
    <w:p w14:paraId="6CABA93C" w14:textId="77777777" w:rsidR="0061449F" w:rsidRPr="0061449F" w:rsidRDefault="0061449F" w:rsidP="0061449F">
      <w:pPr>
        <w:spacing w:line="276" w:lineRule="auto"/>
        <w:jc w:val="both"/>
        <w:rPr>
          <w:rFonts w:ascii="Times New Roman" w:eastAsia="Calibri" w:hAnsi="Times New Roman" w:cs="Times New Roman"/>
          <w:b/>
          <w:sz w:val="24"/>
          <w:szCs w:val="24"/>
          <w:lang w:val="sq-AL"/>
        </w:rPr>
      </w:pPr>
      <w:r w:rsidRPr="0061449F">
        <w:rPr>
          <w:rFonts w:ascii="Times New Roman" w:eastAsia="Times New Roman" w:hAnsi="Times New Roman" w:cs="Times New Roman"/>
          <w:sz w:val="24"/>
          <w:szCs w:val="24"/>
          <w:lang w:val="sq-AL"/>
        </w:rPr>
        <w:t xml:space="preserve">Objektivi Specifik 5.2 lidhet me Kapitullin 23 “Gjyqësori dhe të Drejtat Themelore, me </w:t>
      </w:r>
      <w:r w:rsidRPr="0061449F">
        <w:rPr>
          <w:rFonts w:ascii="Times New Roman" w:eastAsia="MS Mincho" w:hAnsi="Times New Roman" w:cs="Times New Roman"/>
          <w:sz w:val="24"/>
          <w:szCs w:val="24"/>
          <w:lang w:val="sq-AL"/>
        </w:rPr>
        <w:t>nenin 2 të MSA-së “</w:t>
      </w:r>
      <w:r w:rsidRPr="0061449F">
        <w:rPr>
          <w:rFonts w:ascii="Times New Roman" w:eastAsia="MS Mincho" w:hAnsi="Times New Roman" w:cs="Times New Roman"/>
          <w:i/>
          <w:sz w:val="24"/>
          <w:szCs w:val="24"/>
          <w:lang w:val="sq-AL"/>
        </w:rPr>
        <w:t>Respekti për parimet demokratike dhe të drejtat e njeriut</w:t>
      </w:r>
      <w:r w:rsidRPr="0061449F">
        <w:rPr>
          <w:rFonts w:ascii="Times New Roman" w:eastAsia="MS Mincho" w:hAnsi="Times New Roman" w:cs="Times New Roman"/>
          <w:sz w:val="24"/>
          <w:szCs w:val="24"/>
          <w:lang w:val="sq-AL"/>
        </w:rPr>
        <w:t xml:space="preserve">”, me </w:t>
      </w:r>
      <w:r w:rsidRPr="0061449F">
        <w:rPr>
          <w:rFonts w:ascii="Times New Roman" w:eastAsia="Times New Roman" w:hAnsi="Times New Roman" w:cs="Times New Roman"/>
          <w:sz w:val="24"/>
          <w:szCs w:val="24"/>
          <w:lang w:val="sq-AL"/>
        </w:rPr>
        <w:t>nenin 78 të MSA-së “</w:t>
      </w:r>
      <w:r w:rsidRPr="0061449F">
        <w:rPr>
          <w:rFonts w:ascii="Times New Roman" w:eastAsia="Times New Roman" w:hAnsi="Times New Roman" w:cs="Times New Roman"/>
          <w:i/>
          <w:sz w:val="24"/>
          <w:szCs w:val="24"/>
          <w:lang w:val="sq-AL"/>
        </w:rPr>
        <w:t>Fuqizimin e institucioneve dhe shtetit të së drejtës</w:t>
      </w:r>
      <w:r w:rsidRPr="0061449F">
        <w:rPr>
          <w:rFonts w:ascii="Times New Roman" w:eastAsia="Times New Roman" w:hAnsi="Times New Roman" w:cs="Times New Roman"/>
          <w:sz w:val="24"/>
          <w:szCs w:val="24"/>
          <w:lang w:val="sq-AL"/>
        </w:rPr>
        <w:t xml:space="preserve">” </w:t>
      </w:r>
      <w:r w:rsidRPr="0061449F">
        <w:rPr>
          <w:rFonts w:ascii="Times New Roman" w:eastAsia="MS Mincho" w:hAnsi="Times New Roman" w:cs="Times New Roman"/>
          <w:sz w:val="24"/>
          <w:szCs w:val="24"/>
          <w:lang w:val="sq-AL"/>
        </w:rPr>
        <w:t>dhe me nenin 88 “</w:t>
      </w:r>
      <w:r w:rsidRPr="0061449F">
        <w:rPr>
          <w:rFonts w:ascii="Times New Roman" w:eastAsia="MS Mincho" w:hAnsi="Times New Roman" w:cs="Times New Roman"/>
          <w:i/>
          <w:sz w:val="24"/>
          <w:szCs w:val="24"/>
          <w:lang w:val="sq-AL"/>
        </w:rPr>
        <w:t>Bashkëpunimi statistikor</w:t>
      </w:r>
      <w:r w:rsidRPr="0061449F">
        <w:rPr>
          <w:rFonts w:ascii="Times New Roman" w:eastAsia="MS Mincho" w:hAnsi="Times New Roman" w:cs="Times New Roman"/>
          <w:sz w:val="24"/>
          <w:szCs w:val="24"/>
          <w:lang w:val="sq-AL"/>
        </w:rPr>
        <w:t xml:space="preserve">” të MSA-së, </w:t>
      </w:r>
      <w:r w:rsidRPr="0061449F">
        <w:rPr>
          <w:rFonts w:ascii="Times New Roman" w:eastAsia="Times New Roman" w:hAnsi="Times New Roman" w:cs="Times New Roman"/>
          <w:sz w:val="24"/>
          <w:szCs w:val="24"/>
          <w:lang w:val="sq-AL"/>
        </w:rPr>
        <w:t>e nënshkruar midis Republikës së Shqipërisë dhe Komuniteteve Evropiane të shteteve të tyre anëtare. Gjithashtu, ky objektiv lidhet me Planin Kombëtar për Integrimin Evropian 2024 – 2026 si dhe reflekton disa nga rekomandimet Raportit të Komisionit Evropian për Shqipërinë për vitin 2023.Objektivi Specifik 5.2 lidhet me</w:t>
      </w:r>
      <w:r w:rsidRPr="0061449F">
        <w:rPr>
          <w:rFonts w:ascii="Times New Roman" w:eastAsia="Calibri" w:hAnsi="Times New Roman" w:cs="Times New Roman"/>
          <w:b/>
          <w:sz w:val="24"/>
          <w:szCs w:val="24"/>
          <w:lang w:val="sq-AL"/>
        </w:rPr>
        <w:t xml:space="preserve"> </w:t>
      </w:r>
      <w:r w:rsidRPr="0061449F">
        <w:rPr>
          <w:rFonts w:ascii="Times New Roman" w:eastAsia="Calibri" w:hAnsi="Times New Roman" w:cs="Times New Roman"/>
          <w:sz w:val="24"/>
          <w:szCs w:val="24"/>
          <w:lang w:val="sq-AL"/>
        </w:rPr>
        <w:t>Udhërrëfyesin për Shtetin e së</w:t>
      </w:r>
      <w:r w:rsidRPr="0061449F">
        <w:rPr>
          <w:rFonts w:ascii="Times New Roman" w:eastAsia="Calibri" w:hAnsi="Times New Roman" w:cs="Times New Roman"/>
          <w:b/>
          <w:sz w:val="24"/>
          <w:szCs w:val="24"/>
          <w:lang w:val="sq-AL"/>
        </w:rPr>
        <w:t xml:space="preserve"> </w:t>
      </w:r>
      <w:r w:rsidRPr="0061449F">
        <w:rPr>
          <w:rFonts w:ascii="Times New Roman" w:eastAsia="Calibri" w:hAnsi="Times New Roman" w:cs="Times New Roman"/>
          <w:sz w:val="24"/>
          <w:szCs w:val="24"/>
          <w:lang w:val="sq-AL"/>
        </w:rPr>
        <w:t>Drejtës.</w:t>
      </w:r>
    </w:p>
    <w:p w14:paraId="1088554A" w14:textId="77777777" w:rsidR="0061449F" w:rsidRPr="0061449F" w:rsidRDefault="0061449F" w:rsidP="0061449F">
      <w:pPr>
        <w:spacing w:before="100" w:beforeAutospacing="1" w:after="100" w:afterAutospacing="1" w:line="276" w:lineRule="auto"/>
        <w:jc w:val="both"/>
        <w:rPr>
          <w:rFonts w:ascii="Times New Roman" w:eastAsia="Times New Roman" w:hAnsi="Times New Roman" w:cs="Times New Roman"/>
          <w:b/>
          <w:sz w:val="24"/>
          <w:szCs w:val="24"/>
          <w:bdr w:val="none" w:sz="0" w:space="0" w:color="auto" w:frame="1"/>
          <w:lang w:val="sq-AL"/>
        </w:rPr>
      </w:pPr>
      <w:r w:rsidRPr="0061449F">
        <w:rPr>
          <w:rFonts w:ascii="Times New Roman" w:eastAsia="Times New Roman" w:hAnsi="Times New Roman" w:cs="Times New Roman"/>
          <w:b/>
          <w:sz w:val="24"/>
          <w:szCs w:val="24"/>
          <w:bdr w:val="none" w:sz="0" w:space="0" w:color="auto" w:frame="1"/>
          <w:lang w:val="sq-AL"/>
        </w:rPr>
        <w:t>Masat:</w:t>
      </w:r>
    </w:p>
    <w:p w14:paraId="593CC056" w14:textId="77777777" w:rsidR="0061449F" w:rsidRPr="0061449F" w:rsidRDefault="0061449F" w:rsidP="0061449F">
      <w:pPr>
        <w:spacing w:after="0" w:line="276" w:lineRule="auto"/>
        <w:jc w:val="both"/>
        <w:rPr>
          <w:rFonts w:ascii="Times New Roman" w:eastAsia="Times New Roman" w:hAnsi="Times New Roman" w:cs="Times New Roman"/>
          <w:bCs/>
          <w:sz w:val="24"/>
          <w:szCs w:val="24"/>
          <w:bdr w:val="none" w:sz="0" w:space="0" w:color="auto" w:frame="1"/>
          <w:lang w:val="sq-AL"/>
        </w:rPr>
      </w:pPr>
      <w:r w:rsidRPr="0061449F">
        <w:rPr>
          <w:rFonts w:ascii="Times New Roman" w:eastAsia="Times New Roman" w:hAnsi="Times New Roman" w:cs="Times New Roman"/>
          <w:bCs/>
          <w:sz w:val="24"/>
          <w:szCs w:val="24"/>
          <w:bdr w:val="none" w:sz="0" w:space="0" w:color="auto" w:frame="1"/>
          <w:lang w:val="sq-AL"/>
        </w:rPr>
        <w:t>5.2.1 Zhvillimi i fushatave të përbashkëta të institucioneve të drejtësisë mbi ELP.</w:t>
      </w:r>
    </w:p>
    <w:p w14:paraId="0AAB95E3" w14:textId="77777777" w:rsidR="0061449F" w:rsidRPr="0061449F" w:rsidRDefault="0061449F" w:rsidP="0061449F">
      <w:pPr>
        <w:spacing w:after="0" w:line="276" w:lineRule="auto"/>
        <w:jc w:val="both"/>
        <w:rPr>
          <w:rFonts w:ascii="Times New Roman" w:eastAsia="Times New Roman" w:hAnsi="Times New Roman" w:cs="Times New Roman"/>
          <w:bCs/>
          <w:sz w:val="24"/>
          <w:szCs w:val="24"/>
          <w:bdr w:val="none" w:sz="0" w:space="0" w:color="auto" w:frame="1"/>
          <w:lang w:val="sq-AL"/>
        </w:rPr>
      </w:pPr>
      <w:r w:rsidRPr="0061449F">
        <w:rPr>
          <w:rFonts w:ascii="Times New Roman" w:eastAsia="Times New Roman" w:hAnsi="Times New Roman" w:cs="Times New Roman"/>
          <w:bCs/>
          <w:sz w:val="24"/>
          <w:szCs w:val="24"/>
          <w:bdr w:val="none" w:sz="0" w:space="0" w:color="auto" w:frame="1"/>
          <w:lang w:val="sq-AL"/>
        </w:rPr>
        <w:t xml:space="preserve">5.2.2 Fushata ndërgjegjësuese dhe edukuese për publikun mbi legjislacionin për të drejtën e </w:t>
      </w:r>
    </w:p>
    <w:p w14:paraId="73A1D57E" w14:textId="77777777" w:rsidR="0061449F" w:rsidRPr="0061449F" w:rsidRDefault="0061449F" w:rsidP="0061449F">
      <w:pPr>
        <w:spacing w:after="0" w:line="276" w:lineRule="auto"/>
        <w:jc w:val="both"/>
        <w:rPr>
          <w:rFonts w:ascii="Times New Roman" w:eastAsia="Times New Roman" w:hAnsi="Times New Roman" w:cs="Times New Roman"/>
          <w:bCs/>
          <w:sz w:val="24"/>
          <w:szCs w:val="24"/>
          <w:bdr w:val="none" w:sz="0" w:space="0" w:color="auto" w:frame="1"/>
          <w:lang w:val="sq-AL"/>
        </w:rPr>
      </w:pPr>
      <w:r w:rsidRPr="0061449F">
        <w:rPr>
          <w:rFonts w:ascii="Times New Roman" w:eastAsia="Times New Roman" w:hAnsi="Times New Roman" w:cs="Times New Roman"/>
          <w:bCs/>
          <w:sz w:val="24"/>
          <w:szCs w:val="24"/>
          <w:bdr w:val="none" w:sz="0" w:space="0" w:color="auto" w:frame="1"/>
          <w:lang w:val="sq-AL"/>
        </w:rPr>
        <w:t xml:space="preserve">         informimit dhe mbrojtjen e te dhënave personale.</w:t>
      </w:r>
    </w:p>
    <w:p w14:paraId="22882D2C" w14:textId="77777777" w:rsidR="0061449F" w:rsidRPr="0061449F" w:rsidRDefault="0061449F" w:rsidP="0061449F">
      <w:pPr>
        <w:spacing w:after="0" w:line="276" w:lineRule="auto"/>
        <w:jc w:val="both"/>
        <w:rPr>
          <w:rFonts w:ascii="Times New Roman" w:eastAsia="Times New Roman" w:hAnsi="Times New Roman" w:cs="Times New Roman"/>
          <w:bCs/>
          <w:sz w:val="24"/>
          <w:szCs w:val="24"/>
          <w:bdr w:val="none" w:sz="0" w:space="0" w:color="auto" w:frame="1"/>
          <w:lang w:val="sq-AL"/>
        </w:rPr>
      </w:pPr>
      <w:r w:rsidRPr="0061449F">
        <w:rPr>
          <w:rFonts w:ascii="Times New Roman" w:eastAsia="Times New Roman" w:hAnsi="Times New Roman" w:cs="Times New Roman"/>
          <w:bCs/>
          <w:sz w:val="24"/>
          <w:szCs w:val="24"/>
          <w:bdr w:val="none" w:sz="0" w:space="0" w:color="auto" w:frame="1"/>
          <w:lang w:val="sq-AL"/>
        </w:rPr>
        <w:t xml:space="preserve">5.2.3 Koordinimi dhe zhvillimi i aktiviteteve të përbashkëta të institucioneve të drejtësisë me </w:t>
      </w:r>
    </w:p>
    <w:p w14:paraId="5D39C820" w14:textId="77777777" w:rsidR="0061449F" w:rsidRPr="0061449F" w:rsidRDefault="0061449F" w:rsidP="0061449F">
      <w:pPr>
        <w:spacing w:after="0" w:line="276" w:lineRule="auto"/>
        <w:jc w:val="both"/>
        <w:rPr>
          <w:rFonts w:ascii="Times New Roman" w:eastAsia="Times New Roman" w:hAnsi="Times New Roman" w:cs="Times New Roman"/>
          <w:bCs/>
          <w:sz w:val="24"/>
          <w:szCs w:val="24"/>
          <w:bdr w:val="none" w:sz="0" w:space="0" w:color="auto" w:frame="1"/>
          <w:lang w:val="sq-AL"/>
        </w:rPr>
      </w:pPr>
      <w:r w:rsidRPr="0061449F">
        <w:rPr>
          <w:rFonts w:ascii="Times New Roman" w:eastAsia="Times New Roman" w:hAnsi="Times New Roman" w:cs="Times New Roman"/>
          <w:bCs/>
          <w:sz w:val="24"/>
          <w:szCs w:val="24"/>
          <w:bdr w:val="none" w:sz="0" w:space="0" w:color="auto" w:frame="1"/>
          <w:lang w:val="sq-AL"/>
        </w:rPr>
        <w:t xml:space="preserve">         OSHC-të dhe grupet e interesit me qëllim forcimin e bashkëpunimit për rritjen e </w:t>
      </w:r>
    </w:p>
    <w:p w14:paraId="0CBF56FC" w14:textId="77777777" w:rsidR="0061449F" w:rsidRPr="0061449F" w:rsidRDefault="0061449F" w:rsidP="0061449F">
      <w:pPr>
        <w:spacing w:after="0" w:line="276" w:lineRule="auto"/>
        <w:jc w:val="both"/>
        <w:rPr>
          <w:rFonts w:ascii="Times New Roman" w:eastAsia="Times New Roman" w:hAnsi="Times New Roman" w:cs="Times New Roman"/>
          <w:bCs/>
          <w:sz w:val="24"/>
          <w:szCs w:val="24"/>
          <w:bdr w:val="none" w:sz="0" w:space="0" w:color="auto" w:frame="1"/>
          <w:lang w:val="sq-AL"/>
        </w:rPr>
      </w:pPr>
      <w:r w:rsidRPr="0061449F">
        <w:rPr>
          <w:rFonts w:ascii="Times New Roman" w:eastAsia="Times New Roman" w:hAnsi="Times New Roman" w:cs="Times New Roman"/>
          <w:bCs/>
          <w:sz w:val="24"/>
          <w:szCs w:val="24"/>
          <w:bdr w:val="none" w:sz="0" w:space="0" w:color="auto" w:frame="1"/>
          <w:lang w:val="sq-AL"/>
        </w:rPr>
        <w:t xml:space="preserve">         informimit të qytetarëve mbi sistemin e drejtësisë</w:t>
      </w:r>
    </w:p>
    <w:p w14:paraId="2378AF7B" w14:textId="77777777" w:rsidR="0061449F" w:rsidRPr="0061449F" w:rsidRDefault="0061449F" w:rsidP="0061449F">
      <w:pPr>
        <w:spacing w:after="0" w:line="276" w:lineRule="auto"/>
        <w:jc w:val="both"/>
        <w:rPr>
          <w:rFonts w:ascii="Times New Roman" w:eastAsia="Times New Roman" w:hAnsi="Times New Roman" w:cs="Times New Roman"/>
          <w:bCs/>
          <w:sz w:val="24"/>
          <w:szCs w:val="24"/>
          <w:bdr w:val="none" w:sz="0" w:space="0" w:color="auto" w:frame="1"/>
          <w:lang w:val="sq-AL"/>
        </w:rPr>
      </w:pPr>
      <w:r w:rsidRPr="0061449F">
        <w:rPr>
          <w:rFonts w:ascii="Times New Roman" w:eastAsia="Times New Roman" w:hAnsi="Times New Roman" w:cs="Times New Roman"/>
          <w:bCs/>
          <w:sz w:val="24"/>
          <w:szCs w:val="24"/>
          <w:bdr w:val="none" w:sz="0" w:space="0" w:color="auto" w:frame="1"/>
          <w:lang w:val="sq-AL"/>
        </w:rPr>
        <w:t>5.2.4 Forcimi i bashkëpunimit me Fakultetet e Drejtësisë për ofrimin e ELP</w:t>
      </w:r>
    </w:p>
    <w:p w14:paraId="67F0C26B" w14:textId="77777777" w:rsidR="0061449F" w:rsidRPr="0061449F" w:rsidRDefault="0061449F" w:rsidP="0061449F">
      <w:pPr>
        <w:spacing w:after="0" w:line="276" w:lineRule="auto"/>
        <w:jc w:val="both"/>
        <w:rPr>
          <w:rFonts w:ascii="Times New Roman" w:eastAsia="Times New Roman" w:hAnsi="Times New Roman" w:cs="Times New Roman"/>
          <w:bCs/>
          <w:sz w:val="24"/>
          <w:szCs w:val="24"/>
          <w:bdr w:val="none" w:sz="0" w:space="0" w:color="auto" w:frame="1"/>
          <w:lang w:val="sq-AL"/>
        </w:rPr>
      </w:pPr>
      <w:r w:rsidRPr="0061449F">
        <w:rPr>
          <w:rFonts w:ascii="Times New Roman" w:eastAsia="Times New Roman" w:hAnsi="Times New Roman" w:cs="Times New Roman"/>
          <w:bCs/>
          <w:sz w:val="24"/>
          <w:szCs w:val="24"/>
          <w:bdr w:val="none" w:sz="0" w:space="0" w:color="auto" w:frame="1"/>
          <w:lang w:val="sq-AL"/>
        </w:rPr>
        <w:t xml:space="preserve">5.2.5 Rritja e Bashkëpunimit me Median për të Promovuar Ndërgjegjësimin Ligjor mbi </w:t>
      </w:r>
    </w:p>
    <w:p w14:paraId="1A5F80AE" w14:textId="77777777" w:rsidR="0061449F" w:rsidRPr="0061449F" w:rsidRDefault="0061449F" w:rsidP="0061449F">
      <w:pPr>
        <w:spacing w:after="0" w:line="276" w:lineRule="auto"/>
        <w:jc w:val="both"/>
        <w:rPr>
          <w:rFonts w:ascii="Times New Roman" w:eastAsia="Times New Roman" w:hAnsi="Times New Roman" w:cs="Times New Roman"/>
          <w:bCs/>
          <w:sz w:val="24"/>
          <w:szCs w:val="24"/>
          <w:bdr w:val="none" w:sz="0" w:space="0" w:color="auto" w:frame="1"/>
          <w:lang w:val="sq-AL"/>
        </w:rPr>
      </w:pPr>
      <w:r w:rsidRPr="0061449F">
        <w:rPr>
          <w:rFonts w:ascii="Times New Roman" w:eastAsia="Times New Roman" w:hAnsi="Times New Roman" w:cs="Times New Roman"/>
          <w:bCs/>
          <w:sz w:val="24"/>
          <w:szCs w:val="24"/>
          <w:bdr w:val="none" w:sz="0" w:space="0" w:color="auto" w:frame="1"/>
          <w:lang w:val="sq-AL"/>
        </w:rPr>
        <w:t xml:space="preserve">         sistemin e drejtësisë</w:t>
      </w:r>
    </w:p>
    <w:p w14:paraId="5CD845B6" w14:textId="77777777" w:rsidR="0061449F" w:rsidRPr="0061449F" w:rsidRDefault="0061449F" w:rsidP="0061449F">
      <w:pPr>
        <w:spacing w:after="0" w:line="276" w:lineRule="auto"/>
        <w:jc w:val="both"/>
        <w:rPr>
          <w:rFonts w:ascii="Times New Roman" w:eastAsia="Times New Roman" w:hAnsi="Times New Roman" w:cs="Times New Roman"/>
          <w:bCs/>
          <w:sz w:val="24"/>
          <w:szCs w:val="24"/>
          <w:bdr w:val="none" w:sz="0" w:space="0" w:color="auto" w:frame="1"/>
          <w:lang w:val="sq-AL"/>
        </w:rPr>
      </w:pPr>
      <w:r w:rsidRPr="0061449F">
        <w:rPr>
          <w:rFonts w:ascii="Times New Roman" w:eastAsia="Times New Roman" w:hAnsi="Times New Roman" w:cs="Times New Roman"/>
          <w:bCs/>
          <w:sz w:val="24"/>
          <w:szCs w:val="24"/>
          <w:bdr w:val="none" w:sz="0" w:space="0" w:color="auto" w:frame="1"/>
          <w:lang w:val="sq-AL"/>
        </w:rPr>
        <w:t xml:space="preserve">5.2.6 Forcimi i kapaciteteve të punonjësve të institucioneve publike (nivel qendror e vendor) </w:t>
      </w:r>
    </w:p>
    <w:p w14:paraId="6FF7414A" w14:textId="77777777" w:rsidR="0061449F" w:rsidRPr="0061449F" w:rsidRDefault="0061449F" w:rsidP="0061449F">
      <w:pPr>
        <w:spacing w:after="0" w:line="276" w:lineRule="auto"/>
        <w:jc w:val="both"/>
        <w:rPr>
          <w:rFonts w:ascii="Times New Roman" w:eastAsia="Times New Roman" w:hAnsi="Times New Roman" w:cs="Times New Roman"/>
          <w:bCs/>
          <w:sz w:val="24"/>
          <w:szCs w:val="24"/>
          <w:bdr w:val="none" w:sz="0" w:space="0" w:color="auto" w:frame="1"/>
          <w:lang w:val="sq-AL"/>
        </w:rPr>
      </w:pPr>
      <w:r w:rsidRPr="0061449F">
        <w:rPr>
          <w:rFonts w:ascii="Times New Roman" w:eastAsia="Times New Roman" w:hAnsi="Times New Roman" w:cs="Times New Roman"/>
          <w:bCs/>
          <w:sz w:val="24"/>
          <w:szCs w:val="24"/>
          <w:bdr w:val="none" w:sz="0" w:space="0" w:color="auto" w:frame="1"/>
          <w:lang w:val="sq-AL"/>
        </w:rPr>
        <w:t xml:space="preserve">         lidhur me zbatimin e ELP </w:t>
      </w:r>
    </w:p>
    <w:p w14:paraId="7B909C7B" w14:textId="77777777" w:rsidR="0061449F" w:rsidRPr="0061449F" w:rsidRDefault="0061449F" w:rsidP="0061449F">
      <w:pPr>
        <w:spacing w:after="0" w:line="276" w:lineRule="auto"/>
        <w:jc w:val="both"/>
        <w:rPr>
          <w:rFonts w:ascii="Times New Roman" w:eastAsia="Times New Roman" w:hAnsi="Times New Roman" w:cs="Times New Roman"/>
          <w:bCs/>
          <w:sz w:val="24"/>
          <w:szCs w:val="24"/>
          <w:bdr w:val="none" w:sz="0" w:space="0" w:color="auto" w:frame="1"/>
          <w:lang w:val="sq-AL"/>
        </w:rPr>
      </w:pPr>
      <w:r w:rsidRPr="0061449F">
        <w:rPr>
          <w:rFonts w:ascii="Times New Roman" w:eastAsia="Times New Roman" w:hAnsi="Times New Roman" w:cs="Times New Roman"/>
          <w:bCs/>
          <w:sz w:val="24"/>
          <w:szCs w:val="24"/>
          <w:bdr w:val="none" w:sz="0" w:space="0" w:color="auto" w:frame="1"/>
          <w:lang w:val="sq-AL"/>
        </w:rPr>
        <w:t xml:space="preserve">5.2.7 Forcimi i Komunikimit dhe Transparencës për të Rritur Mirëkuptimin dhe Besimin e </w:t>
      </w:r>
    </w:p>
    <w:p w14:paraId="75D00A66" w14:textId="77777777" w:rsidR="0061449F" w:rsidRPr="0061449F" w:rsidRDefault="0061449F" w:rsidP="0061449F">
      <w:pPr>
        <w:spacing w:after="0" w:line="276" w:lineRule="auto"/>
        <w:jc w:val="both"/>
        <w:rPr>
          <w:rFonts w:ascii="Times New Roman" w:eastAsia="Times New Roman" w:hAnsi="Times New Roman" w:cs="Times New Roman"/>
          <w:bCs/>
          <w:sz w:val="24"/>
          <w:szCs w:val="24"/>
          <w:bdr w:val="none" w:sz="0" w:space="0" w:color="auto" w:frame="1"/>
          <w:lang w:val="sq-AL"/>
        </w:rPr>
      </w:pPr>
      <w:r w:rsidRPr="0061449F">
        <w:rPr>
          <w:rFonts w:ascii="Times New Roman" w:eastAsia="Times New Roman" w:hAnsi="Times New Roman" w:cs="Times New Roman"/>
          <w:bCs/>
          <w:sz w:val="24"/>
          <w:szCs w:val="24"/>
          <w:bdr w:val="none" w:sz="0" w:space="0" w:color="auto" w:frame="1"/>
          <w:lang w:val="sq-AL"/>
        </w:rPr>
        <w:t xml:space="preserve">         Publikut në Reformën në Drejtësi dhe sistemin e drejtësisë</w:t>
      </w:r>
    </w:p>
    <w:p w14:paraId="492BE4AA" w14:textId="77777777" w:rsidR="0061449F" w:rsidRPr="0061449F" w:rsidRDefault="0061449F" w:rsidP="0061449F">
      <w:pPr>
        <w:spacing w:before="100" w:beforeAutospacing="1" w:after="100" w:afterAutospacing="1" w:line="276" w:lineRule="auto"/>
        <w:jc w:val="both"/>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lastRenderedPageBreak/>
        <w:t xml:space="preserve">Treguesit kryesorë: </w:t>
      </w:r>
    </w:p>
    <w:p w14:paraId="33F0201B" w14:textId="77777777" w:rsidR="0061449F" w:rsidRPr="0061449F" w:rsidRDefault="0061449F" w:rsidP="0061449F">
      <w:pPr>
        <w:numPr>
          <w:ilvl w:val="0"/>
          <w:numId w:val="23"/>
        </w:numPr>
        <w:ind w:left="720"/>
        <w:contextualSpacing/>
        <w:rPr>
          <w:rFonts w:ascii="Times New Roman" w:eastAsia="Calibri" w:hAnsi="Times New Roman" w:cs="Times New Roman"/>
          <w:sz w:val="24"/>
          <w:szCs w:val="24"/>
        </w:rPr>
      </w:pPr>
      <w:r w:rsidRPr="0061449F">
        <w:rPr>
          <w:rFonts w:ascii="Times New Roman" w:eastAsia="Calibri" w:hAnsi="Times New Roman" w:cs="Times New Roman"/>
          <w:sz w:val="24"/>
          <w:szCs w:val="24"/>
        </w:rPr>
        <w:t>Numri i fushatave mediatike mbi kuadrin ligjor dhe sistemin e drejtësisë (cdo vit)</w:t>
      </w:r>
    </w:p>
    <w:p w14:paraId="1E0C7730" w14:textId="77777777" w:rsidR="0061449F" w:rsidRPr="0061449F" w:rsidRDefault="0061449F" w:rsidP="0061449F">
      <w:pPr>
        <w:spacing w:after="0"/>
        <w:rPr>
          <w:rFonts w:ascii="Times New Roman" w:eastAsia="Calibri" w:hAnsi="Times New Roman" w:cs="Times New Roman"/>
          <w:b/>
          <w:bCs/>
          <w:sz w:val="24"/>
          <w:szCs w:val="24"/>
        </w:rPr>
      </w:pPr>
    </w:p>
    <w:p w14:paraId="5F453BEF" w14:textId="77777777" w:rsidR="0061449F" w:rsidRPr="0061449F" w:rsidRDefault="0061449F" w:rsidP="0061449F">
      <w:pPr>
        <w:spacing w:after="0"/>
        <w:rPr>
          <w:rFonts w:ascii="Times New Roman" w:eastAsia="Calibri" w:hAnsi="Times New Roman" w:cs="Times New Roman"/>
          <w:sz w:val="24"/>
          <w:szCs w:val="24"/>
        </w:rPr>
      </w:pPr>
      <w:r w:rsidRPr="0061449F">
        <w:rPr>
          <w:rFonts w:ascii="Times New Roman" w:eastAsia="Calibri" w:hAnsi="Times New Roman" w:cs="Times New Roman"/>
          <w:b/>
          <w:bCs/>
          <w:sz w:val="24"/>
          <w:szCs w:val="24"/>
        </w:rPr>
        <w:t xml:space="preserve">Objektivi specifik 5.3: </w:t>
      </w:r>
      <w:r w:rsidRPr="0061449F">
        <w:rPr>
          <w:rFonts w:ascii="Times New Roman" w:eastAsia="Calibri" w:hAnsi="Times New Roman" w:cs="Times New Roman"/>
          <w:sz w:val="24"/>
          <w:szCs w:val="24"/>
        </w:rPr>
        <w:t xml:space="preserve">Rritja e njohurive dhe kuptueshmërisë së publikut mbi proceset  </w:t>
      </w:r>
    </w:p>
    <w:p w14:paraId="7E19354F" w14:textId="77777777" w:rsidR="0061449F" w:rsidRPr="0061449F" w:rsidRDefault="0061449F" w:rsidP="0061449F">
      <w:pPr>
        <w:spacing w:after="0"/>
        <w:ind w:left="2160"/>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   e integrimit evropian përmes iniciativave të edukimit ligjor të   </w:t>
      </w:r>
    </w:p>
    <w:p w14:paraId="281F10B6" w14:textId="77777777" w:rsidR="0061449F" w:rsidRPr="0061449F" w:rsidRDefault="0061449F" w:rsidP="0061449F">
      <w:pPr>
        <w:spacing w:after="0"/>
        <w:ind w:left="2160"/>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   publikut   </w:t>
      </w:r>
    </w:p>
    <w:p w14:paraId="4AD0D714" w14:textId="77777777" w:rsidR="0061449F" w:rsidRPr="0061449F" w:rsidRDefault="0061449F" w:rsidP="0061449F">
      <w:pPr>
        <w:spacing w:after="0"/>
        <w:ind w:left="2160"/>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     </w:t>
      </w:r>
    </w:p>
    <w:p w14:paraId="48D8069D" w14:textId="77777777" w:rsidR="0061449F" w:rsidRPr="0061449F" w:rsidRDefault="0061449F" w:rsidP="0061449F">
      <w:pPr>
        <w:spacing w:line="276" w:lineRule="auto"/>
        <w:jc w:val="both"/>
        <w:rPr>
          <w:rFonts w:ascii="Times New Roman" w:eastAsia="Times New Roman" w:hAnsi="Times New Roman" w:cs="Times New Roman"/>
          <w:bCs/>
          <w:sz w:val="24"/>
          <w:szCs w:val="24"/>
          <w:lang w:val="sq-AL"/>
        </w:rPr>
      </w:pPr>
      <w:r w:rsidRPr="0061449F">
        <w:rPr>
          <w:rFonts w:ascii="Times New Roman" w:eastAsia="Times New Roman" w:hAnsi="Times New Roman" w:cs="Times New Roman"/>
          <w:bCs/>
          <w:sz w:val="24"/>
          <w:szCs w:val="24"/>
          <w:lang w:val="sq-AL"/>
        </w:rPr>
        <w:t>Objektivi Specifik 5.3 synon rritjen e njohurive dhe kuptueshmërisë së publikut mbi proceset e integrimit evropian përmes iniciativave të edukimit ligjor të publikut. Ky objektiv është veçanërisht i rëndësishëm në kontekstin e aspiratave të Shqipërisë për anëtarësim në Bashkimin Evropian, duke qenë se kuptimi i proceseve të integrimit dhe harmonizimit me legjislacionin evropian është thelbësor për qytetarët dhe për institucionet publike.</w:t>
      </w:r>
    </w:p>
    <w:p w14:paraId="2282818A" w14:textId="77777777" w:rsidR="0061449F" w:rsidRPr="0061449F" w:rsidRDefault="0061449F" w:rsidP="0061449F">
      <w:pPr>
        <w:spacing w:line="276" w:lineRule="auto"/>
        <w:jc w:val="both"/>
        <w:rPr>
          <w:rFonts w:ascii="Times New Roman" w:eastAsia="Times New Roman" w:hAnsi="Times New Roman" w:cs="Times New Roman"/>
          <w:bCs/>
          <w:sz w:val="24"/>
          <w:szCs w:val="24"/>
          <w:lang w:val="sq-AL"/>
        </w:rPr>
      </w:pPr>
      <w:r w:rsidRPr="0061449F">
        <w:rPr>
          <w:rFonts w:ascii="Times New Roman" w:eastAsia="Times New Roman" w:hAnsi="Times New Roman" w:cs="Times New Roman"/>
          <w:bCs/>
          <w:sz w:val="24"/>
          <w:szCs w:val="24"/>
          <w:lang w:val="sq-AL"/>
        </w:rPr>
        <w:t>Aktualisht, njohuritë e publikut mbi proceset e integrimit evropian dhe ndikimin e tyre në legjislacionin dhe praktikat gjyqësore në Shqipëri janë të kufizuara. Shumë qytetarë kanë një kuptim të përgjithshëm për integrimin evropian, por mungesa e informimit të detajuar dhe e kuptueshmërisë së ndryshimeve që sjell ky proces është një sfidë kryesore. Edukimi ligjor në këtë kontekst mbetet i fragmentuar dhe shpesh i orientuar vetëm ndaj grupeve të vogla të popullsisë. Ekziston një nevojë urgjente për të zgjeruar këto përpjekje, duke përfshirë një gamë më të gjerë të popullsisë dhe duke përdorur mjete më të qarta dhe të aksesueshme për të përçuar mesazhet e rëndësishme.</w:t>
      </w:r>
    </w:p>
    <w:p w14:paraId="03B05012" w14:textId="77777777" w:rsidR="0061449F" w:rsidRPr="0061449F" w:rsidRDefault="0061449F" w:rsidP="0061449F">
      <w:pPr>
        <w:spacing w:line="276" w:lineRule="auto"/>
        <w:jc w:val="both"/>
        <w:rPr>
          <w:rFonts w:ascii="Times New Roman" w:eastAsia="Times New Roman" w:hAnsi="Times New Roman" w:cs="Times New Roman"/>
          <w:bCs/>
          <w:sz w:val="24"/>
          <w:szCs w:val="24"/>
          <w:lang w:val="sq-AL"/>
        </w:rPr>
      </w:pPr>
      <w:r w:rsidRPr="0061449F">
        <w:rPr>
          <w:rFonts w:ascii="Times New Roman" w:eastAsia="Times New Roman" w:hAnsi="Times New Roman" w:cs="Times New Roman"/>
          <w:bCs/>
          <w:sz w:val="24"/>
          <w:szCs w:val="24"/>
          <w:lang w:val="sq-AL"/>
        </w:rPr>
        <w:t>Megjithatë, disa përparime janë bërë në drejtim të rritjes së ndërgjegjësimit të publikut për proceset e integrimit evropian. Gjatë 2023, Ministria e Drejtësisë ka ndërmarrë disa iniciativa për rritjen e informimit ligjor të publikut mbi proceset e integrimit evropian. Me rëndësi është sidomos hartimi i broshurave informuese të përshtatura për nxënësit e shkollave 9-vjeçare me qëllim që edhe ata të kenë njohuri të mjaftueshme mbi këtë proces me rëndësi për shtetin shqiptar. Gjithashtu, në bashkëpunim me Shkollën Shqiptare të Administratës Publike, tema e integrimit evropian është përfshirë në programin e trajnimit  mbi edukimin ligjor për nëpunësit e administratës publike. Gjithashtu, MAS ka filluar analizën e kurrikulave arsimore me qëllim përfshirjen e temës së integrimit evropian në të gjitha kurrikulat e arsimit parauniversitar. Në të njëjtën kohë janë zhvilluar nga Ministria e Drejtësisë dhe institucionet e tjera të sistemit të drejtësisë fushata informuese që synojnë të shpjegojnë ndryshimet ligjore që vijnë si rezultat i procesit të integrimit dhe që janë të lidhura me standardet evropiane.</w:t>
      </w:r>
    </w:p>
    <w:p w14:paraId="1DFC7A37" w14:textId="77777777" w:rsidR="0061449F" w:rsidRPr="0061449F" w:rsidRDefault="0061449F" w:rsidP="0061449F">
      <w:pPr>
        <w:spacing w:line="276" w:lineRule="auto"/>
        <w:jc w:val="both"/>
        <w:rPr>
          <w:rFonts w:ascii="Times New Roman" w:eastAsia="Times New Roman" w:hAnsi="Times New Roman" w:cs="Times New Roman"/>
          <w:bCs/>
          <w:sz w:val="24"/>
          <w:szCs w:val="24"/>
          <w:lang w:val="sq-AL"/>
        </w:rPr>
      </w:pPr>
      <w:r w:rsidRPr="0061449F">
        <w:rPr>
          <w:rFonts w:ascii="Times New Roman" w:eastAsia="Times New Roman" w:hAnsi="Times New Roman" w:cs="Times New Roman"/>
          <w:bCs/>
          <w:sz w:val="24"/>
          <w:szCs w:val="24"/>
          <w:lang w:val="sq-AL"/>
        </w:rPr>
        <w:t>Një tjetër arritje ka qenë përfshirja e mediave në promovimin e këtyre iniciativave. Intervistat dhe programet televizive që trajtojnë tematikën e integrimit evropian dhe ndikimin e tij në Shqipëri kanë ndihmuar në zgjerimin e ndërgjegjësimit të publikut të gjerë.</w:t>
      </w:r>
    </w:p>
    <w:p w14:paraId="79E941E1" w14:textId="77777777" w:rsidR="0061449F" w:rsidRPr="0061449F" w:rsidRDefault="0061449F" w:rsidP="0061449F">
      <w:pPr>
        <w:spacing w:line="276" w:lineRule="auto"/>
        <w:jc w:val="both"/>
        <w:rPr>
          <w:rFonts w:ascii="Times New Roman" w:eastAsia="Times New Roman" w:hAnsi="Times New Roman" w:cs="Times New Roman"/>
          <w:bCs/>
          <w:sz w:val="24"/>
          <w:szCs w:val="24"/>
          <w:lang w:val="sq-AL"/>
        </w:rPr>
      </w:pPr>
      <w:r w:rsidRPr="0061449F">
        <w:rPr>
          <w:rFonts w:ascii="Times New Roman" w:eastAsia="Times New Roman" w:hAnsi="Times New Roman" w:cs="Times New Roman"/>
          <w:bCs/>
          <w:sz w:val="24"/>
          <w:szCs w:val="24"/>
          <w:lang w:val="sq-AL"/>
        </w:rPr>
        <w:t>Megjithatë, pavarësisht se janë bërë disa hapa përpara në drejtim të rritjes së njohurive të publikut mbi proceset e integrimit evropian, mbetet ende shumë punë për të bërë për të siguruar që kjo njohuri të jetë e përhapur dhe e mirëkuptuar nga të gjitha shtresat e shoqërisë. Për të arritur objektivat e plota të këtij objektivi specifik, do të kërkohet një përpjekje më e madhe për të integruar temat e integrimit evropian në programet e edukimit ligjor dhe për të krijuar një strategji të përbashkët dhe të mirëkoordinuar midis të gjitha institucioneve të përfshira.</w:t>
      </w:r>
    </w:p>
    <w:p w14:paraId="049153E5" w14:textId="77777777" w:rsidR="0061449F" w:rsidRPr="0061449F" w:rsidRDefault="0061449F" w:rsidP="0061449F">
      <w:pPr>
        <w:spacing w:after="0" w:line="276" w:lineRule="auto"/>
        <w:jc w:val="both"/>
        <w:rPr>
          <w:rFonts w:ascii="Times New Roman" w:eastAsia="Calibri" w:hAnsi="Times New Roman" w:cs="Times New Roman"/>
          <w:b/>
          <w:sz w:val="24"/>
          <w:szCs w:val="24"/>
          <w:lang w:val="sq-AL"/>
        </w:rPr>
      </w:pPr>
      <w:r w:rsidRPr="0061449F">
        <w:rPr>
          <w:rFonts w:ascii="Times New Roman" w:eastAsia="Calibri" w:hAnsi="Times New Roman" w:cs="Times New Roman"/>
          <w:b/>
          <w:sz w:val="24"/>
          <w:szCs w:val="24"/>
          <w:lang w:val="sq-AL"/>
        </w:rPr>
        <w:lastRenderedPageBreak/>
        <w:t xml:space="preserve">Rezultati i pritshëm:  </w:t>
      </w:r>
    </w:p>
    <w:p w14:paraId="564C351B" w14:textId="77777777" w:rsidR="0061449F" w:rsidRPr="0061449F" w:rsidRDefault="0061449F" w:rsidP="0061449F">
      <w:pPr>
        <w:numPr>
          <w:ilvl w:val="0"/>
          <w:numId w:val="26"/>
        </w:numPr>
        <w:spacing w:after="0" w:line="276" w:lineRule="auto"/>
        <w:ind w:left="720"/>
        <w:contextualSpacing/>
        <w:jc w:val="both"/>
        <w:rPr>
          <w:rFonts w:ascii="Times New Roman" w:eastAsia="MS Mincho" w:hAnsi="Times New Roman" w:cs="Times New Roman"/>
          <w:sz w:val="24"/>
          <w:szCs w:val="24"/>
          <w:lang w:val="sq-AL"/>
        </w:rPr>
      </w:pPr>
      <w:r w:rsidRPr="0061449F">
        <w:rPr>
          <w:rFonts w:ascii="Times New Roman" w:eastAsia="MS Mincho" w:hAnsi="Times New Roman" w:cs="Times New Roman"/>
          <w:sz w:val="24"/>
          <w:szCs w:val="24"/>
          <w:lang w:val="sq-AL"/>
        </w:rPr>
        <w:t xml:space="preserve">Deri në fund të vitit 2030 ka rritje progresive të edukimit ligjor të publikut përmes sesioneve të informimit mbi njohuritë dhe kuptueshmërinë e proceseve të integrimit evropian. </w:t>
      </w:r>
    </w:p>
    <w:p w14:paraId="449E407F" w14:textId="77777777" w:rsidR="0061449F" w:rsidRPr="0061449F" w:rsidRDefault="0061449F" w:rsidP="0061449F">
      <w:pPr>
        <w:numPr>
          <w:ilvl w:val="0"/>
          <w:numId w:val="26"/>
        </w:numPr>
        <w:spacing w:after="0" w:line="276" w:lineRule="auto"/>
        <w:ind w:left="720"/>
        <w:contextualSpacing/>
        <w:jc w:val="both"/>
        <w:rPr>
          <w:rFonts w:ascii="Times New Roman" w:eastAsia="MS Mincho" w:hAnsi="Times New Roman" w:cs="Times New Roman"/>
          <w:sz w:val="24"/>
          <w:szCs w:val="24"/>
          <w:lang w:val="sq-AL"/>
        </w:rPr>
      </w:pPr>
      <w:r w:rsidRPr="0061449F">
        <w:rPr>
          <w:rFonts w:ascii="Times New Roman" w:eastAsia="MS Mincho" w:hAnsi="Times New Roman" w:cs="Times New Roman"/>
          <w:sz w:val="24"/>
          <w:szCs w:val="24"/>
          <w:lang w:val="sq-AL"/>
        </w:rPr>
        <w:t>Deri në fund të vitit 2030 ka rritje progresive të numrit të nxënësve të informuar mbi njohuritë dhe kuptueshmërinë e proceseve te integrimit ne BE.</w:t>
      </w:r>
    </w:p>
    <w:p w14:paraId="061D335D" w14:textId="77777777" w:rsidR="0061449F" w:rsidRPr="0061449F" w:rsidRDefault="0061449F" w:rsidP="0061449F">
      <w:pPr>
        <w:spacing w:before="100" w:beforeAutospacing="1" w:after="100" w:afterAutospacing="1" w:line="276" w:lineRule="auto"/>
        <w:jc w:val="both"/>
        <w:rPr>
          <w:rFonts w:ascii="Times New Roman" w:eastAsia="Times New Roman" w:hAnsi="Times New Roman" w:cs="Times New Roman"/>
          <w:b/>
          <w:sz w:val="24"/>
          <w:szCs w:val="24"/>
          <w:lang w:val="sq-AL"/>
        </w:rPr>
      </w:pPr>
      <w:r w:rsidRPr="0061449F">
        <w:rPr>
          <w:rFonts w:ascii="Times New Roman" w:eastAsia="Times New Roman" w:hAnsi="Times New Roman" w:cs="Times New Roman"/>
          <w:b/>
          <w:sz w:val="24"/>
          <w:szCs w:val="24"/>
          <w:lang w:val="sq-AL"/>
        </w:rPr>
        <w:t>Lidhja e objektivit specifik me nënkapitullin përkatës të BE-së sipas MSA-së</w:t>
      </w:r>
    </w:p>
    <w:p w14:paraId="2948277E" w14:textId="77777777" w:rsidR="0061449F" w:rsidRPr="0061449F" w:rsidRDefault="0061449F" w:rsidP="0061449F">
      <w:pPr>
        <w:spacing w:line="276" w:lineRule="auto"/>
        <w:jc w:val="both"/>
        <w:rPr>
          <w:rFonts w:ascii="Times New Roman" w:eastAsia="Calibri" w:hAnsi="Times New Roman" w:cs="Times New Roman"/>
          <w:b/>
          <w:sz w:val="24"/>
          <w:szCs w:val="24"/>
          <w:lang w:val="sq-AL"/>
        </w:rPr>
      </w:pPr>
      <w:r w:rsidRPr="0061449F">
        <w:rPr>
          <w:rFonts w:ascii="Times New Roman" w:eastAsia="Times New Roman" w:hAnsi="Times New Roman" w:cs="Times New Roman"/>
          <w:sz w:val="24"/>
          <w:szCs w:val="24"/>
          <w:lang w:val="sq-AL"/>
        </w:rPr>
        <w:t xml:space="preserve">Objektivi Specifik 5.3 lidhet me Kapitullin 23 “Gjyqësori dhe të Drejtat Themelore, me </w:t>
      </w:r>
      <w:r w:rsidRPr="0061449F">
        <w:rPr>
          <w:rFonts w:ascii="Times New Roman" w:eastAsia="MS Mincho" w:hAnsi="Times New Roman" w:cs="Times New Roman"/>
          <w:sz w:val="24"/>
          <w:szCs w:val="24"/>
          <w:lang w:val="sq-AL"/>
        </w:rPr>
        <w:t>nenin 2 të MSA-së “</w:t>
      </w:r>
      <w:r w:rsidRPr="0061449F">
        <w:rPr>
          <w:rFonts w:ascii="Times New Roman" w:eastAsia="MS Mincho" w:hAnsi="Times New Roman" w:cs="Times New Roman"/>
          <w:i/>
          <w:sz w:val="24"/>
          <w:szCs w:val="24"/>
          <w:lang w:val="sq-AL"/>
        </w:rPr>
        <w:t>Respekti për parimet demokratike dhe të drejtat e njeriut</w:t>
      </w:r>
      <w:r w:rsidRPr="0061449F">
        <w:rPr>
          <w:rFonts w:ascii="Times New Roman" w:eastAsia="MS Mincho" w:hAnsi="Times New Roman" w:cs="Times New Roman"/>
          <w:sz w:val="24"/>
          <w:szCs w:val="24"/>
          <w:lang w:val="sq-AL"/>
        </w:rPr>
        <w:t xml:space="preserve">”, me </w:t>
      </w:r>
      <w:r w:rsidRPr="0061449F">
        <w:rPr>
          <w:rFonts w:ascii="Times New Roman" w:eastAsia="Times New Roman" w:hAnsi="Times New Roman" w:cs="Times New Roman"/>
          <w:sz w:val="24"/>
          <w:szCs w:val="24"/>
          <w:lang w:val="sq-AL"/>
        </w:rPr>
        <w:t>nenin 78 të MSA-së “</w:t>
      </w:r>
      <w:r w:rsidRPr="0061449F">
        <w:rPr>
          <w:rFonts w:ascii="Times New Roman" w:eastAsia="Times New Roman" w:hAnsi="Times New Roman" w:cs="Times New Roman"/>
          <w:i/>
          <w:sz w:val="24"/>
          <w:szCs w:val="24"/>
          <w:lang w:val="sq-AL"/>
        </w:rPr>
        <w:t>Fuqizimin e institucioneve dhe shtetit të së drejtës</w:t>
      </w:r>
      <w:r w:rsidRPr="0061449F">
        <w:rPr>
          <w:rFonts w:ascii="Times New Roman" w:eastAsia="Times New Roman" w:hAnsi="Times New Roman" w:cs="Times New Roman"/>
          <w:sz w:val="24"/>
          <w:szCs w:val="24"/>
          <w:lang w:val="sq-AL"/>
        </w:rPr>
        <w:t xml:space="preserve">” </w:t>
      </w:r>
      <w:r w:rsidRPr="0061449F">
        <w:rPr>
          <w:rFonts w:ascii="Times New Roman" w:eastAsia="MS Mincho" w:hAnsi="Times New Roman" w:cs="Times New Roman"/>
          <w:sz w:val="24"/>
          <w:szCs w:val="24"/>
          <w:lang w:val="sq-AL"/>
        </w:rPr>
        <w:t>dhe me nenin 88 “</w:t>
      </w:r>
      <w:r w:rsidRPr="0061449F">
        <w:rPr>
          <w:rFonts w:ascii="Times New Roman" w:eastAsia="MS Mincho" w:hAnsi="Times New Roman" w:cs="Times New Roman"/>
          <w:i/>
          <w:sz w:val="24"/>
          <w:szCs w:val="24"/>
          <w:lang w:val="sq-AL"/>
        </w:rPr>
        <w:t>Bashkëpunimi statistikor</w:t>
      </w:r>
      <w:r w:rsidRPr="0061449F">
        <w:rPr>
          <w:rFonts w:ascii="Times New Roman" w:eastAsia="MS Mincho" w:hAnsi="Times New Roman" w:cs="Times New Roman"/>
          <w:sz w:val="24"/>
          <w:szCs w:val="24"/>
          <w:lang w:val="sq-AL"/>
        </w:rPr>
        <w:t xml:space="preserve">” të MSA-së, </w:t>
      </w:r>
      <w:r w:rsidRPr="0061449F">
        <w:rPr>
          <w:rFonts w:ascii="Times New Roman" w:eastAsia="Times New Roman" w:hAnsi="Times New Roman" w:cs="Times New Roman"/>
          <w:sz w:val="24"/>
          <w:szCs w:val="24"/>
          <w:lang w:val="sq-AL"/>
        </w:rPr>
        <w:t>e nënshkruar midis Republikës së Shqipërisë dhe Komuniteteve Evropiane të shteteve të tyre anëtare. Gjithashtu, ky objektiv lidhet me Planin Kombëtar për Integrimin Evropian 2024 – 2026 si dhe reflekton disa nga rekomandimet Raportit të Komisionit Evropian për Shqipërinë për vitin 2023.Objektivi Specifik 5.3 lidhet me</w:t>
      </w:r>
      <w:r w:rsidRPr="0061449F">
        <w:rPr>
          <w:rFonts w:ascii="Times New Roman" w:eastAsia="Calibri" w:hAnsi="Times New Roman" w:cs="Times New Roman"/>
          <w:b/>
          <w:sz w:val="24"/>
          <w:szCs w:val="24"/>
          <w:lang w:val="sq-AL"/>
        </w:rPr>
        <w:t xml:space="preserve"> </w:t>
      </w:r>
      <w:r w:rsidRPr="0061449F">
        <w:rPr>
          <w:rFonts w:ascii="Times New Roman" w:eastAsia="Calibri" w:hAnsi="Times New Roman" w:cs="Times New Roman"/>
          <w:sz w:val="24"/>
          <w:szCs w:val="24"/>
          <w:lang w:val="sq-AL"/>
        </w:rPr>
        <w:t>Udhërrëfyesin për Shtetin e së</w:t>
      </w:r>
      <w:r w:rsidRPr="0061449F">
        <w:rPr>
          <w:rFonts w:ascii="Times New Roman" w:eastAsia="Calibri" w:hAnsi="Times New Roman" w:cs="Times New Roman"/>
          <w:b/>
          <w:sz w:val="24"/>
          <w:szCs w:val="24"/>
          <w:lang w:val="sq-AL"/>
        </w:rPr>
        <w:t xml:space="preserve"> </w:t>
      </w:r>
      <w:r w:rsidRPr="0061449F">
        <w:rPr>
          <w:rFonts w:ascii="Times New Roman" w:eastAsia="Calibri" w:hAnsi="Times New Roman" w:cs="Times New Roman"/>
          <w:sz w:val="24"/>
          <w:szCs w:val="24"/>
          <w:lang w:val="sq-AL"/>
        </w:rPr>
        <w:t>Drejtës.</w:t>
      </w:r>
    </w:p>
    <w:p w14:paraId="501FC2CC" w14:textId="77777777" w:rsidR="0061449F" w:rsidRPr="0061449F" w:rsidRDefault="0061449F" w:rsidP="0061449F">
      <w:pPr>
        <w:rPr>
          <w:rFonts w:ascii="Times New Roman" w:eastAsia="Calibri" w:hAnsi="Times New Roman" w:cs="Times New Roman"/>
          <w:b/>
          <w:bCs/>
          <w:sz w:val="24"/>
          <w:szCs w:val="24"/>
        </w:rPr>
      </w:pPr>
      <w:r w:rsidRPr="0061449F">
        <w:rPr>
          <w:rFonts w:ascii="Times New Roman" w:eastAsia="Calibri" w:hAnsi="Times New Roman" w:cs="Times New Roman"/>
          <w:b/>
          <w:bCs/>
          <w:sz w:val="24"/>
          <w:szCs w:val="24"/>
        </w:rPr>
        <w:t>Masat:</w:t>
      </w:r>
    </w:p>
    <w:p w14:paraId="6D80E486" w14:textId="77777777" w:rsidR="0061449F" w:rsidRPr="0061449F" w:rsidRDefault="0061449F" w:rsidP="0061449F">
      <w:pPr>
        <w:spacing w:after="0" w:line="276" w:lineRule="auto"/>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5.3.1 Informimi dhe edukimi i publikut mbi proceset e integrimit evropian dhe ndikimin e         </w:t>
      </w:r>
    </w:p>
    <w:p w14:paraId="04CBCF69" w14:textId="77777777" w:rsidR="0061449F" w:rsidRPr="0061449F" w:rsidRDefault="0061449F" w:rsidP="0061449F">
      <w:pPr>
        <w:spacing w:after="0" w:line="276" w:lineRule="auto"/>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          tyre në jetën e përditshme</w:t>
      </w:r>
    </w:p>
    <w:p w14:paraId="19E0A3D2" w14:textId="77777777" w:rsidR="0061449F" w:rsidRPr="0061449F" w:rsidRDefault="0061449F" w:rsidP="0061449F">
      <w:pPr>
        <w:spacing w:after="0" w:line="276" w:lineRule="auto"/>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5.3.2 Integrimi i njohurive mbi ligjet dhe politikat e Bashkimit Evropian në kurrikulat </w:t>
      </w:r>
    </w:p>
    <w:p w14:paraId="59F97D5D" w14:textId="77777777" w:rsidR="0061449F" w:rsidRPr="0061449F" w:rsidRDefault="0061449F" w:rsidP="0061449F">
      <w:pPr>
        <w:spacing w:after="0" w:line="276" w:lineRule="auto"/>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         kombëtare të arsimit</w:t>
      </w:r>
    </w:p>
    <w:p w14:paraId="534B3CF7" w14:textId="77777777" w:rsidR="0061449F" w:rsidRPr="0061449F" w:rsidRDefault="0061449F" w:rsidP="0061449F">
      <w:pPr>
        <w:spacing w:after="0" w:line="276" w:lineRule="auto"/>
        <w:rPr>
          <w:rFonts w:ascii="Times New Roman" w:eastAsia="Calibri" w:hAnsi="Times New Roman" w:cs="Times New Roman"/>
          <w:sz w:val="24"/>
          <w:szCs w:val="24"/>
        </w:rPr>
      </w:pPr>
      <w:r w:rsidRPr="0061449F">
        <w:rPr>
          <w:rFonts w:ascii="Times New Roman" w:eastAsia="Calibri" w:hAnsi="Times New Roman" w:cs="Times New Roman"/>
          <w:sz w:val="24"/>
          <w:szCs w:val="24"/>
        </w:rPr>
        <w:t>5.3.3 Organizimi i aktiviteteve informuese në Ditën e Europës</w:t>
      </w:r>
    </w:p>
    <w:p w14:paraId="086EA3F4" w14:textId="77777777" w:rsidR="0061449F" w:rsidRPr="0061449F" w:rsidRDefault="0061449F" w:rsidP="0061449F">
      <w:pPr>
        <w:spacing w:after="0" w:line="276" w:lineRule="auto"/>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5.3.4 Aktivitete informuese dhe zhvillimi i programeve edukative mbi integrimin evropian në </w:t>
      </w:r>
    </w:p>
    <w:p w14:paraId="1794816A" w14:textId="77777777" w:rsidR="0061449F" w:rsidRPr="0061449F" w:rsidRDefault="0061449F" w:rsidP="0061449F">
      <w:pPr>
        <w:spacing w:after="0" w:line="276" w:lineRule="auto"/>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         shkollat 9- vjeçare dhe të mesme</w:t>
      </w:r>
    </w:p>
    <w:p w14:paraId="373574B5" w14:textId="77777777" w:rsidR="0061449F" w:rsidRPr="0061449F" w:rsidRDefault="0061449F" w:rsidP="0061449F">
      <w:pPr>
        <w:spacing w:after="0"/>
        <w:rPr>
          <w:rFonts w:ascii="Times New Roman" w:eastAsia="Calibri" w:hAnsi="Times New Roman" w:cs="Times New Roman"/>
          <w:sz w:val="24"/>
          <w:szCs w:val="24"/>
        </w:rPr>
      </w:pPr>
    </w:p>
    <w:p w14:paraId="18CB1C3F" w14:textId="77777777" w:rsidR="0061449F" w:rsidRPr="0061449F" w:rsidRDefault="0061449F" w:rsidP="0061449F">
      <w:pPr>
        <w:rPr>
          <w:rFonts w:ascii="Times New Roman" w:eastAsia="Calibri" w:hAnsi="Times New Roman" w:cs="Times New Roman"/>
          <w:b/>
          <w:bCs/>
          <w:sz w:val="24"/>
          <w:szCs w:val="24"/>
        </w:rPr>
      </w:pPr>
      <w:r w:rsidRPr="0061449F">
        <w:rPr>
          <w:rFonts w:ascii="Times New Roman" w:eastAsia="Calibri" w:hAnsi="Times New Roman" w:cs="Times New Roman"/>
          <w:b/>
          <w:bCs/>
          <w:sz w:val="24"/>
          <w:szCs w:val="24"/>
        </w:rPr>
        <w:t xml:space="preserve">Treguesit kryesorë: </w:t>
      </w:r>
    </w:p>
    <w:p w14:paraId="43076438" w14:textId="77777777" w:rsidR="0061449F" w:rsidRPr="0061449F" w:rsidRDefault="0061449F" w:rsidP="0061449F">
      <w:pPr>
        <w:numPr>
          <w:ilvl w:val="0"/>
          <w:numId w:val="23"/>
        </w:numPr>
        <w:ind w:left="720"/>
        <w:contextualSpacing/>
        <w:rPr>
          <w:rFonts w:ascii="Times New Roman" w:eastAsia="Calibri" w:hAnsi="Times New Roman" w:cs="Times New Roman"/>
          <w:sz w:val="24"/>
          <w:szCs w:val="24"/>
        </w:rPr>
      </w:pPr>
      <w:r w:rsidRPr="0061449F">
        <w:rPr>
          <w:rFonts w:ascii="Times New Roman" w:eastAsia="Calibri" w:hAnsi="Times New Roman" w:cs="Times New Roman"/>
          <w:sz w:val="24"/>
          <w:szCs w:val="24"/>
        </w:rPr>
        <w:t>Numri i sesioneve të informimit mbi procesin e integrimit ne BE</w:t>
      </w:r>
    </w:p>
    <w:p w14:paraId="17223506" w14:textId="77777777" w:rsidR="005A5BC6" w:rsidRDefault="0061449F" w:rsidP="0061449F">
      <w:pPr>
        <w:numPr>
          <w:ilvl w:val="0"/>
          <w:numId w:val="23"/>
        </w:numPr>
        <w:ind w:left="720"/>
        <w:contextualSpacing/>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Numri i nxënësve të informuar mbi procesin e integrimit ne BE                  </w:t>
      </w:r>
    </w:p>
    <w:p w14:paraId="69EBAF26" w14:textId="77777777" w:rsidR="005A5BC6" w:rsidRDefault="005A5BC6" w:rsidP="005A5BC6">
      <w:pPr>
        <w:contextualSpacing/>
        <w:rPr>
          <w:rFonts w:ascii="Times New Roman" w:eastAsia="Calibri" w:hAnsi="Times New Roman" w:cs="Times New Roman"/>
          <w:sz w:val="24"/>
          <w:szCs w:val="24"/>
        </w:rPr>
      </w:pPr>
    </w:p>
    <w:p w14:paraId="4A2DEBEB" w14:textId="1658DB8F" w:rsidR="0061449F" w:rsidRPr="0061449F" w:rsidRDefault="0061449F" w:rsidP="005A5BC6">
      <w:pPr>
        <w:contextualSpacing/>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                                                              </w:t>
      </w:r>
    </w:p>
    <w:p w14:paraId="5EC07B26" w14:textId="77777777" w:rsidR="0061449F" w:rsidRPr="0061449F" w:rsidRDefault="0061449F" w:rsidP="0061449F">
      <w:pPr>
        <w:pBdr>
          <w:bottom w:val="single" w:sz="24" w:space="1" w:color="F0CDA1"/>
        </w:pBdr>
        <w:spacing w:before="120" w:after="120" w:line="288" w:lineRule="auto"/>
        <w:jc w:val="center"/>
        <w:rPr>
          <w:rFonts w:ascii="Times New Roman" w:eastAsia="Arial" w:hAnsi="Times New Roman" w:cs="Times New Roman"/>
          <w:b/>
          <w:sz w:val="40"/>
          <w:szCs w:val="40"/>
          <w:lang w:val="it-IT"/>
        </w:rPr>
      </w:pPr>
      <w:r w:rsidRPr="0061449F">
        <w:rPr>
          <w:rFonts w:ascii="Times New Roman" w:eastAsia="Arial" w:hAnsi="Times New Roman" w:cs="Times New Roman"/>
          <w:b/>
          <w:sz w:val="40"/>
          <w:szCs w:val="40"/>
          <w:lang w:val="it-IT"/>
        </w:rPr>
        <w:t>PJESA III – PËRGJEGJËSIA E INSTITUCIONEVE, LLOGARIDHËNIA, KOORDINIMI, MONITORIMI DHE VLERESIMI</w:t>
      </w:r>
    </w:p>
    <w:p w14:paraId="19414669" w14:textId="77777777" w:rsidR="0061449F" w:rsidRPr="0061449F" w:rsidRDefault="0061449F" w:rsidP="0061449F">
      <w:pPr>
        <w:spacing w:line="276" w:lineRule="auto"/>
        <w:jc w:val="both"/>
        <w:rPr>
          <w:rFonts w:ascii="Times New Roman" w:eastAsia="Calibri" w:hAnsi="Times New Roman" w:cs="Times New Roman"/>
          <w:b/>
          <w:sz w:val="24"/>
          <w:szCs w:val="24"/>
          <w:lang w:val="it-IT"/>
        </w:rPr>
      </w:pPr>
    </w:p>
    <w:p w14:paraId="7836E94E" w14:textId="77777777" w:rsidR="0061449F" w:rsidRPr="0061449F" w:rsidRDefault="0061449F" w:rsidP="0061449F">
      <w:pPr>
        <w:numPr>
          <w:ilvl w:val="0"/>
          <w:numId w:val="9"/>
        </w:numPr>
        <w:spacing w:line="276" w:lineRule="auto"/>
        <w:contextualSpacing/>
        <w:jc w:val="both"/>
        <w:rPr>
          <w:rFonts w:ascii="Times New Roman" w:eastAsia="Calibri" w:hAnsi="Times New Roman" w:cs="Times New Roman"/>
          <w:sz w:val="24"/>
          <w:szCs w:val="24"/>
        </w:rPr>
      </w:pPr>
      <w:r w:rsidRPr="0061449F">
        <w:rPr>
          <w:rFonts w:ascii="Times New Roman" w:eastAsia="Calibri" w:hAnsi="Times New Roman" w:cs="Times New Roman"/>
          <w:b/>
          <w:sz w:val="24"/>
          <w:szCs w:val="24"/>
        </w:rPr>
        <w:t>Përgjegjësia e institucioneve</w:t>
      </w:r>
    </w:p>
    <w:p w14:paraId="6DA15A42"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Për zbatimin e masave të parashikuara në Planin e Veprimit të </w:t>
      </w:r>
      <w:r w:rsidRPr="0061449F">
        <w:rPr>
          <w:rFonts w:ascii="Times New Roman" w:eastAsia="Times New Roman" w:hAnsi="Times New Roman" w:cs="Times New Roman"/>
          <w:kern w:val="32"/>
          <w:sz w:val="24"/>
          <w:szCs w:val="24"/>
        </w:rPr>
        <w:t>Strategjisë Ndërsektoriale të Drejtësisë</w:t>
      </w:r>
      <w:r w:rsidRPr="0061449F">
        <w:rPr>
          <w:rFonts w:ascii="Times New Roman" w:eastAsia="Calibri" w:hAnsi="Times New Roman" w:cs="Times New Roman"/>
          <w:sz w:val="24"/>
          <w:szCs w:val="24"/>
        </w:rPr>
        <w:t xml:space="preserve"> 2024 – 2030 “SND 2024-20230”, do të angazhohen kryesisht institucionet e pavarura, disa prej ministrive të linjës, akademia, etj.</w:t>
      </w:r>
    </w:p>
    <w:p w14:paraId="621078CE"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lastRenderedPageBreak/>
        <w:t>Strategjia përcakton Ministrinë e Drejtësisë si institucionin përgjegjës kryesor të raportimit për progresin e saj edhe pse pjesa më e madhe e aktiviteteve do të kërkojë bashkëpunim ndërmjet aktorëve të ndryshëm të sistemit të drejtësisë. Institucionet përgjegjëse për çdo masë sipas objektivave specifikë dhe fushave të politikës janë të përcaktuar në Matricën që gjendet në Aneksin 1 të këtij dokumenti.</w:t>
      </w:r>
    </w:p>
    <w:p w14:paraId="2CF76728" w14:textId="77777777" w:rsidR="0061449F" w:rsidRPr="0061449F" w:rsidRDefault="0061449F" w:rsidP="0061449F">
      <w:pPr>
        <w:spacing w:line="276" w:lineRule="auto"/>
        <w:jc w:val="both"/>
        <w:rPr>
          <w:rFonts w:ascii="Times New Roman" w:eastAsia="Calibri" w:hAnsi="Times New Roman" w:cs="Times New Roman"/>
          <w:noProof/>
          <w:sz w:val="24"/>
          <w:szCs w:val="24"/>
        </w:rPr>
      </w:pPr>
      <w:r w:rsidRPr="0061449F">
        <w:rPr>
          <w:rFonts w:ascii="Times New Roman" w:eastAsia="Calibri" w:hAnsi="Times New Roman" w:cs="Times New Roman"/>
          <w:noProof/>
          <w:sz w:val="24"/>
          <w:szCs w:val="24"/>
        </w:rPr>
        <w:t>Institucionet të cilat janë angazhuar në hartimin dhe konsultimin e strategjisë dhe do të jenë përgjegjëse për zbatimin e saj janë:</w:t>
      </w:r>
    </w:p>
    <w:p w14:paraId="2A3D27B9" w14:textId="77777777" w:rsidR="0061449F" w:rsidRPr="0061449F" w:rsidRDefault="0061449F" w:rsidP="0061449F">
      <w:pPr>
        <w:spacing w:after="0" w:line="276" w:lineRule="auto"/>
        <w:jc w:val="both"/>
        <w:rPr>
          <w:rFonts w:ascii="Times New Roman" w:eastAsia="MS Gothic" w:hAnsi="Times New Roman" w:cs="Times New Roman"/>
          <w:b/>
          <w:iCs/>
          <w:sz w:val="24"/>
          <w:szCs w:val="24"/>
          <w:bdr w:val="none" w:sz="0" w:space="0" w:color="auto" w:frame="1"/>
          <w:lang w:val="sq-AL"/>
        </w:rPr>
      </w:pPr>
    </w:p>
    <w:p w14:paraId="0729B4E9" w14:textId="77777777" w:rsidR="0061449F" w:rsidRPr="0061449F" w:rsidRDefault="0061449F" w:rsidP="0061449F">
      <w:pPr>
        <w:spacing w:line="276" w:lineRule="auto"/>
        <w:jc w:val="both"/>
        <w:rPr>
          <w:rFonts w:ascii="Times New Roman" w:eastAsia="Calibri" w:hAnsi="Times New Roman" w:cs="Times New Roman"/>
          <w:b/>
          <w:noProof/>
          <w:sz w:val="24"/>
          <w:szCs w:val="24"/>
          <w:lang w:val="it-IT"/>
        </w:rPr>
      </w:pPr>
      <w:r w:rsidRPr="0061449F">
        <w:rPr>
          <w:rFonts w:ascii="Times New Roman" w:eastAsia="Calibri" w:hAnsi="Times New Roman" w:cs="Times New Roman"/>
          <w:b/>
          <w:noProof/>
          <w:sz w:val="24"/>
          <w:szCs w:val="24"/>
          <w:lang w:val="it-IT"/>
        </w:rPr>
        <w:t>Ministritë e linjës dhe institucionet në varësi:</w:t>
      </w:r>
    </w:p>
    <w:p w14:paraId="660DF3CF" w14:textId="77777777" w:rsidR="0061449F" w:rsidRPr="0061449F" w:rsidRDefault="0061449F" w:rsidP="00E316F6">
      <w:pPr>
        <w:numPr>
          <w:ilvl w:val="0"/>
          <w:numId w:val="16"/>
        </w:numPr>
        <w:spacing w:line="276" w:lineRule="auto"/>
        <w:contextualSpacing/>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Ministria e Drejtësisë</w:t>
      </w:r>
    </w:p>
    <w:p w14:paraId="404F29A3" w14:textId="77777777" w:rsidR="0061449F" w:rsidRPr="0061449F" w:rsidRDefault="0061449F" w:rsidP="00E316F6">
      <w:pPr>
        <w:numPr>
          <w:ilvl w:val="0"/>
          <w:numId w:val="16"/>
        </w:numPr>
        <w:spacing w:line="276" w:lineRule="auto"/>
        <w:contextualSpacing/>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Ministria e Financave</w:t>
      </w:r>
    </w:p>
    <w:p w14:paraId="37FD1919" w14:textId="77777777" w:rsidR="0061449F" w:rsidRPr="0061449F" w:rsidRDefault="0061449F" w:rsidP="00E316F6">
      <w:pPr>
        <w:numPr>
          <w:ilvl w:val="0"/>
          <w:numId w:val="16"/>
        </w:numPr>
        <w:spacing w:line="276" w:lineRule="auto"/>
        <w:contextualSpacing/>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Ministria e Arsimit dhe Sportit</w:t>
      </w:r>
    </w:p>
    <w:p w14:paraId="03B8A77B" w14:textId="77777777" w:rsidR="0061449F" w:rsidRPr="00E316F6" w:rsidRDefault="0061449F" w:rsidP="00E316F6">
      <w:pPr>
        <w:numPr>
          <w:ilvl w:val="0"/>
          <w:numId w:val="16"/>
        </w:numPr>
        <w:spacing w:line="276" w:lineRule="auto"/>
        <w:contextualSpacing/>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bdr w:val="none" w:sz="0" w:space="0" w:color="auto" w:frame="1"/>
        </w:rPr>
        <w:t>Ministria e Brendshme</w:t>
      </w:r>
    </w:p>
    <w:p w14:paraId="3F879BA8" w14:textId="3E67477A" w:rsidR="00E316F6" w:rsidRPr="0061449F" w:rsidRDefault="00E316F6" w:rsidP="00E316F6">
      <w:pPr>
        <w:numPr>
          <w:ilvl w:val="0"/>
          <w:numId w:val="16"/>
        </w:numPr>
        <w:spacing w:line="276"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bdr w:val="none" w:sz="0" w:space="0" w:color="auto" w:frame="1"/>
        </w:rPr>
        <w:t>Ministria e Shëndetësisë dhe Mbrojtjes Social</w:t>
      </w:r>
    </w:p>
    <w:p w14:paraId="4A522230" w14:textId="7C074052" w:rsidR="00E316F6" w:rsidRPr="0061449F" w:rsidRDefault="0061449F" w:rsidP="00E316F6">
      <w:pPr>
        <w:numPr>
          <w:ilvl w:val="0"/>
          <w:numId w:val="16"/>
        </w:numPr>
        <w:shd w:val="clear" w:color="auto" w:fill="FFFFFF"/>
        <w:spacing w:after="0" w:line="276" w:lineRule="auto"/>
        <w:contextualSpacing/>
        <w:jc w:val="both"/>
        <w:textAlignment w:val="baseline"/>
        <w:rPr>
          <w:rFonts w:ascii="Times New Roman" w:eastAsia="Times New Roman" w:hAnsi="Times New Roman" w:cs="Times New Roman"/>
          <w:sz w:val="24"/>
          <w:szCs w:val="24"/>
          <w:lang w:val="it-IT"/>
        </w:rPr>
      </w:pPr>
      <w:r w:rsidRPr="0061449F">
        <w:rPr>
          <w:rFonts w:ascii="Times New Roman" w:eastAsia="Times New Roman" w:hAnsi="Times New Roman" w:cs="Times New Roman"/>
          <w:sz w:val="24"/>
          <w:szCs w:val="24"/>
          <w:bdr w:val="none" w:sz="0" w:space="0" w:color="auto" w:frame="1"/>
          <w:lang w:val="it-IT"/>
        </w:rPr>
        <w:t>Ministri i Shtetit për Marrëdhëniet me Parlamentin</w:t>
      </w:r>
    </w:p>
    <w:p w14:paraId="6DA8C492" w14:textId="77777777" w:rsidR="0061449F" w:rsidRPr="0061449F" w:rsidRDefault="0061449F" w:rsidP="00E316F6">
      <w:pPr>
        <w:numPr>
          <w:ilvl w:val="0"/>
          <w:numId w:val="16"/>
        </w:numPr>
        <w:spacing w:line="276" w:lineRule="auto"/>
        <w:contextualSpacing/>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bdr w:val="none" w:sz="0" w:space="0" w:color="auto" w:frame="1"/>
          <w:lang w:val="it-IT"/>
        </w:rPr>
        <w:t>Ministri i Shtetit për Rininë dhe Fëmijët</w:t>
      </w:r>
    </w:p>
    <w:p w14:paraId="7E8A0FC5" w14:textId="77777777" w:rsidR="0061449F" w:rsidRPr="0061449F" w:rsidRDefault="0061449F" w:rsidP="00E316F6">
      <w:pPr>
        <w:numPr>
          <w:ilvl w:val="0"/>
          <w:numId w:val="16"/>
        </w:numPr>
        <w:spacing w:line="276" w:lineRule="auto"/>
        <w:contextualSpacing/>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bdr w:val="none" w:sz="0" w:space="0" w:color="auto" w:frame="1"/>
        </w:rPr>
        <w:t>Ministri i Shtetit për Administratën Publike dhe Antikorrupsion</w:t>
      </w:r>
    </w:p>
    <w:p w14:paraId="118BE6CA" w14:textId="77777777" w:rsidR="0061449F" w:rsidRPr="0061449F" w:rsidRDefault="0061449F" w:rsidP="00E316F6">
      <w:pPr>
        <w:numPr>
          <w:ilvl w:val="0"/>
          <w:numId w:val="16"/>
        </w:numPr>
        <w:spacing w:before="100" w:beforeAutospacing="1" w:after="100" w:afterAutospacing="1" w:line="276" w:lineRule="auto"/>
        <w:contextualSpacing/>
        <w:jc w:val="both"/>
        <w:rPr>
          <w:rFonts w:ascii="Times New Roman" w:eastAsia="Times New Roman" w:hAnsi="Times New Roman" w:cs="Times New Roman"/>
          <w:sz w:val="24"/>
          <w:szCs w:val="24"/>
        </w:rPr>
      </w:pPr>
      <w:r w:rsidRPr="0061449F">
        <w:rPr>
          <w:rFonts w:ascii="Times New Roman" w:eastAsia="Times New Roman" w:hAnsi="Times New Roman" w:cs="Times New Roman"/>
          <w:sz w:val="24"/>
          <w:szCs w:val="24"/>
        </w:rPr>
        <w:t>Departamenti i Administratës Publike</w:t>
      </w:r>
    </w:p>
    <w:p w14:paraId="3F218E5A" w14:textId="77777777" w:rsidR="0061449F" w:rsidRPr="0061449F" w:rsidRDefault="0061449F" w:rsidP="00E316F6">
      <w:pPr>
        <w:numPr>
          <w:ilvl w:val="0"/>
          <w:numId w:val="16"/>
        </w:numPr>
        <w:spacing w:before="100" w:beforeAutospacing="1" w:after="100" w:afterAutospacing="1" w:line="276" w:lineRule="auto"/>
        <w:contextualSpacing/>
        <w:jc w:val="both"/>
        <w:rPr>
          <w:rFonts w:ascii="Times New Roman" w:eastAsia="Times New Roman" w:hAnsi="Times New Roman" w:cs="Times New Roman"/>
          <w:sz w:val="24"/>
          <w:szCs w:val="24"/>
        </w:rPr>
      </w:pPr>
      <w:r w:rsidRPr="0061449F">
        <w:rPr>
          <w:rFonts w:ascii="Times New Roman" w:eastAsia="Times New Roman" w:hAnsi="Times New Roman" w:cs="Times New Roman"/>
          <w:sz w:val="24"/>
          <w:szCs w:val="24"/>
        </w:rPr>
        <w:t>Shkolla Shqiptare e Administratës Publike</w:t>
      </w:r>
    </w:p>
    <w:p w14:paraId="055EEAAA" w14:textId="77777777" w:rsidR="0061449F" w:rsidRPr="0061449F" w:rsidRDefault="0061449F" w:rsidP="00E316F6">
      <w:pPr>
        <w:numPr>
          <w:ilvl w:val="0"/>
          <w:numId w:val="16"/>
        </w:numPr>
        <w:spacing w:line="276" w:lineRule="auto"/>
        <w:contextualSpacing/>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Agjencia Shtetërore e Programimit Strategjik dhe Koordinimit të Ndihmës</w:t>
      </w:r>
    </w:p>
    <w:p w14:paraId="255D38AD" w14:textId="77777777" w:rsidR="0061449F" w:rsidRPr="0061449F" w:rsidRDefault="0061449F" w:rsidP="00E316F6">
      <w:pPr>
        <w:numPr>
          <w:ilvl w:val="0"/>
          <w:numId w:val="16"/>
        </w:numPr>
        <w:spacing w:line="276" w:lineRule="auto"/>
        <w:contextualSpacing/>
        <w:jc w:val="both"/>
        <w:rPr>
          <w:rFonts w:ascii="Times New Roman" w:eastAsia="Calibri" w:hAnsi="Times New Roman" w:cs="Times New Roman"/>
          <w:sz w:val="24"/>
          <w:szCs w:val="24"/>
          <w:bdr w:val="none" w:sz="0" w:space="0" w:color="auto" w:frame="1"/>
          <w:lang w:val="sq-AL"/>
        </w:rPr>
      </w:pPr>
      <w:r w:rsidRPr="0061449F">
        <w:rPr>
          <w:rFonts w:ascii="Times New Roman" w:eastAsia="Calibri" w:hAnsi="Times New Roman" w:cs="Times New Roman"/>
          <w:sz w:val="24"/>
          <w:szCs w:val="24"/>
          <w:bdr w:val="none" w:sz="0" w:space="0" w:color="auto" w:frame="1"/>
          <w:lang w:val="sq-AL"/>
        </w:rPr>
        <w:t>Agjencia për Mbështetjen e Shoqërisë Civile</w:t>
      </w:r>
    </w:p>
    <w:p w14:paraId="0454122D" w14:textId="77777777" w:rsidR="0061449F" w:rsidRPr="0061449F" w:rsidRDefault="0061449F" w:rsidP="00E316F6">
      <w:pPr>
        <w:numPr>
          <w:ilvl w:val="0"/>
          <w:numId w:val="16"/>
        </w:numPr>
        <w:spacing w:line="276" w:lineRule="auto"/>
        <w:contextualSpacing/>
        <w:jc w:val="both"/>
        <w:rPr>
          <w:rFonts w:ascii="Times New Roman" w:eastAsia="Times New Roman" w:hAnsi="Times New Roman" w:cs="Times New Roman"/>
          <w:sz w:val="24"/>
          <w:szCs w:val="24"/>
          <w:bdr w:val="none" w:sz="0" w:space="0" w:color="auto" w:frame="1"/>
          <w:lang w:val="it-IT"/>
        </w:rPr>
      </w:pPr>
      <w:r w:rsidRPr="0061449F">
        <w:rPr>
          <w:rFonts w:ascii="Times New Roman" w:eastAsia="Times New Roman" w:hAnsi="Times New Roman" w:cs="Times New Roman"/>
          <w:sz w:val="24"/>
          <w:szCs w:val="24"/>
          <w:bdr w:val="none" w:sz="0" w:space="0" w:color="auto" w:frame="1"/>
          <w:lang w:val="it-IT"/>
        </w:rPr>
        <w:t>Drejtoria e Ndihmës Juridike Falas</w:t>
      </w:r>
    </w:p>
    <w:p w14:paraId="284A0D35" w14:textId="77777777" w:rsidR="0061449F" w:rsidRPr="0061449F" w:rsidRDefault="0061449F" w:rsidP="00E316F6">
      <w:pPr>
        <w:numPr>
          <w:ilvl w:val="0"/>
          <w:numId w:val="16"/>
        </w:numPr>
        <w:spacing w:line="276" w:lineRule="auto"/>
        <w:contextualSpacing/>
        <w:jc w:val="both"/>
        <w:rPr>
          <w:rFonts w:ascii="Times New Roman" w:eastAsia="Times New Roman" w:hAnsi="Times New Roman" w:cs="Times New Roman"/>
          <w:sz w:val="24"/>
          <w:szCs w:val="24"/>
          <w:bdr w:val="none" w:sz="0" w:space="0" w:color="auto" w:frame="1"/>
          <w:lang w:val="it-IT"/>
        </w:rPr>
      </w:pPr>
      <w:r w:rsidRPr="0061449F">
        <w:rPr>
          <w:rFonts w:ascii="Times New Roman" w:eastAsia="Times New Roman" w:hAnsi="Times New Roman" w:cs="Times New Roman"/>
          <w:sz w:val="24"/>
          <w:szCs w:val="24"/>
          <w:bdr w:val="none" w:sz="0" w:space="0" w:color="auto" w:frame="1"/>
          <w:lang w:val="it-IT"/>
        </w:rPr>
        <w:t>Drejtoria e Përgjithshme e Burgjeve</w:t>
      </w:r>
    </w:p>
    <w:p w14:paraId="3BE98152" w14:textId="77777777" w:rsidR="0061449F" w:rsidRPr="0061449F" w:rsidRDefault="0061449F" w:rsidP="00E316F6">
      <w:pPr>
        <w:numPr>
          <w:ilvl w:val="0"/>
          <w:numId w:val="16"/>
        </w:numPr>
        <w:spacing w:line="276" w:lineRule="auto"/>
        <w:contextualSpacing/>
        <w:jc w:val="both"/>
        <w:rPr>
          <w:rFonts w:ascii="Times New Roman" w:eastAsia="Times New Roman" w:hAnsi="Times New Roman" w:cs="Times New Roman"/>
          <w:sz w:val="24"/>
          <w:szCs w:val="24"/>
          <w:lang w:val="it-IT"/>
        </w:rPr>
      </w:pPr>
      <w:r w:rsidRPr="0061449F">
        <w:rPr>
          <w:rFonts w:ascii="Times New Roman" w:eastAsia="Times New Roman" w:hAnsi="Times New Roman" w:cs="Times New Roman"/>
          <w:sz w:val="24"/>
          <w:szCs w:val="24"/>
          <w:lang w:val="it-IT"/>
        </w:rPr>
        <w:t>Drejtoria e Përgjithshme e Shërbimit të Provës</w:t>
      </w:r>
    </w:p>
    <w:p w14:paraId="0813032E" w14:textId="403B4FB1" w:rsidR="0061449F" w:rsidRDefault="0061449F" w:rsidP="00E316F6">
      <w:pPr>
        <w:numPr>
          <w:ilvl w:val="0"/>
          <w:numId w:val="16"/>
        </w:numPr>
        <w:spacing w:line="276" w:lineRule="auto"/>
        <w:contextualSpacing/>
        <w:jc w:val="both"/>
        <w:rPr>
          <w:rFonts w:ascii="Times New Roman" w:eastAsia="Times New Roman" w:hAnsi="Times New Roman" w:cs="Times New Roman"/>
          <w:sz w:val="24"/>
          <w:szCs w:val="24"/>
          <w:lang w:val="it-IT"/>
        </w:rPr>
      </w:pPr>
      <w:r w:rsidRPr="0061449F">
        <w:rPr>
          <w:rFonts w:ascii="Times New Roman" w:eastAsia="Times New Roman" w:hAnsi="Times New Roman" w:cs="Times New Roman"/>
          <w:sz w:val="24"/>
          <w:szCs w:val="24"/>
          <w:lang w:val="it-IT"/>
        </w:rPr>
        <w:t>Drejtoria e Përmbarimit Gjyqësor Shtetëror</w:t>
      </w:r>
    </w:p>
    <w:p w14:paraId="79533FF2" w14:textId="667056C8" w:rsidR="00E316F6" w:rsidRPr="0061449F" w:rsidRDefault="00E316F6" w:rsidP="00E316F6">
      <w:pPr>
        <w:numPr>
          <w:ilvl w:val="0"/>
          <w:numId w:val="16"/>
        </w:numPr>
        <w:spacing w:line="276" w:lineRule="auto"/>
        <w:contextualSpacing/>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Arkiva Shtetërore e Sistemit Gjyqësor</w:t>
      </w:r>
    </w:p>
    <w:p w14:paraId="5C6DADC3" w14:textId="77777777" w:rsidR="0061449F" w:rsidRPr="0061449F" w:rsidRDefault="0061449F" w:rsidP="0061449F">
      <w:pPr>
        <w:spacing w:after="0" w:line="276" w:lineRule="auto"/>
        <w:jc w:val="both"/>
        <w:rPr>
          <w:rFonts w:ascii="Times New Roman" w:eastAsia="MS Gothic" w:hAnsi="Times New Roman" w:cs="Times New Roman"/>
          <w:b/>
          <w:iCs/>
          <w:sz w:val="24"/>
          <w:szCs w:val="24"/>
          <w:bdr w:val="none" w:sz="0" w:space="0" w:color="auto" w:frame="1"/>
          <w:lang w:val="sq-AL"/>
        </w:rPr>
      </w:pPr>
    </w:p>
    <w:p w14:paraId="76AFF890" w14:textId="77777777" w:rsidR="0061449F" w:rsidRPr="0061449F" w:rsidRDefault="0061449F" w:rsidP="0061449F">
      <w:pPr>
        <w:spacing w:after="0" w:line="276" w:lineRule="auto"/>
        <w:jc w:val="both"/>
        <w:rPr>
          <w:rFonts w:ascii="Times New Roman" w:eastAsia="MS Gothic" w:hAnsi="Times New Roman" w:cs="Times New Roman"/>
          <w:b/>
          <w:iCs/>
          <w:sz w:val="24"/>
          <w:szCs w:val="24"/>
          <w:bdr w:val="none" w:sz="0" w:space="0" w:color="auto" w:frame="1"/>
          <w:lang w:val="sq-AL"/>
        </w:rPr>
      </w:pPr>
      <w:r w:rsidRPr="0061449F">
        <w:rPr>
          <w:rFonts w:ascii="Times New Roman" w:eastAsia="MS Gothic" w:hAnsi="Times New Roman" w:cs="Times New Roman"/>
          <w:b/>
          <w:iCs/>
          <w:sz w:val="24"/>
          <w:szCs w:val="24"/>
          <w:bdr w:val="none" w:sz="0" w:space="0" w:color="auto" w:frame="1"/>
          <w:lang w:val="sq-AL"/>
        </w:rPr>
        <w:t>Institucionet e pavarura:  </w:t>
      </w:r>
    </w:p>
    <w:p w14:paraId="57DFADA3" w14:textId="77777777" w:rsidR="0061449F" w:rsidRPr="0061449F" w:rsidRDefault="0061449F" w:rsidP="0061449F">
      <w:pPr>
        <w:numPr>
          <w:ilvl w:val="0"/>
          <w:numId w:val="17"/>
        </w:numPr>
        <w:spacing w:line="276" w:lineRule="auto"/>
        <w:ind w:left="720"/>
        <w:contextualSpacing/>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Kuvendi i Shqipërisë</w:t>
      </w:r>
    </w:p>
    <w:p w14:paraId="3B1533D6" w14:textId="77777777" w:rsidR="0061449F" w:rsidRPr="0061449F" w:rsidRDefault="0061449F" w:rsidP="0061449F">
      <w:pPr>
        <w:numPr>
          <w:ilvl w:val="0"/>
          <w:numId w:val="17"/>
        </w:numPr>
        <w:shd w:val="clear" w:color="auto" w:fill="FFFFFF"/>
        <w:spacing w:beforeAutospacing="1" w:after="0" w:afterAutospacing="1" w:line="276" w:lineRule="auto"/>
        <w:ind w:left="720"/>
        <w:contextualSpacing/>
        <w:jc w:val="both"/>
        <w:rPr>
          <w:rFonts w:ascii="Times New Roman" w:eastAsia="Times New Roman" w:hAnsi="Times New Roman" w:cs="Times New Roman"/>
          <w:sz w:val="24"/>
          <w:szCs w:val="24"/>
          <w:bdr w:val="none" w:sz="0" w:space="0" w:color="auto" w:frame="1"/>
        </w:rPr>
      </w:pPr>
      <w:r w:rsidRPr="0061449F">
        <w:rPr>
          <w:rFonts w:ascii="Times New Roman" w:eastAsia="Times New Roman" w:hAnsi="Times New Roman" w:cs="Times New Roman"/>
          <w:sz w:val="24"/>
          <w:szCs w:val="24"/>
          <w:bdr w:val="none" w:sz="0" w:space="0" w:color="auto" w:frame="1"/>
        </w:rPr>
        <w:t>Gjykata Kushtetuese</w:t>
      </w:r>
    </w:p>
    <w:p w14:paraId="3772689E" w14:textId="77777777" w:rsidR="0061449F" w:rsidRPr="0061449F" w:rsidRDefault="0061449F" w:rsidP="0061449F">
      <w:pPr>
        <w:numPr>
          <w:ilvl w:val="0"/>
          <w:numId w:val="17"/>
        </w:numPr>
        <w:shd w:val="clear" w:color="auto" w:fill="FFFFFF"/>
        <w:spacing w:beforeAutospacing="1" w:after="0" w:afterAutospacing="1" w:line="276" w:lineRule="auto"/>
        <w:ind w:left="720"/>
        <w:contextualSpacing/>
        <w:jc w:val="both"/>
        <w:rPr>
          <w:rFonts w:ascii="Times New Roman" w:eastAsia="Times New Roman" w:hAnsi="Times New Roman" w:cs="Times New Roman"/>
          <w:sz w:val="24"/>
          <w:szCs w:val="24"/>
          <w:bdr w:val="none" w:sz="0" w:space="0" w:color="auto" w:frame="1"/>
        </w:rPr>
      </w:pPr>
      <w:r w:rsidRPr="0061449F">
        <w:rPr>
          <w:rFonts w:ascii="Times New Roman" w:eastAsia="Times New Roman" w:hAnsi="Times New Roman" w:cs="Times New Roman"/>
          <w:sz w:val="24"/>
          <w:szCs w:val="24"/>
          <w:bdr w:val="none" w:sz="0" w:space="0" w:color="auto" w:frame="1"/>
        </w:rPr>
        <w:t>Këshilli i Lartë Gjyqësor</w:t>
      </w:r>
    </w:p>
    <w:p w14:paraId="3B244100" w14:textId="77777777" w:rsidR="0061449F" w:rsidRPr="0061449F" w:rsidRDefault="0061449F" w:rsidP="0061449F">
      <w:pPr>
        <w:numPr>
          <w:ilvl w:val="0"/>
          <w:numId w:val="17"/>
        </w:numPr>
        <w:shd w:val="clear" w:color="auto" w:fill="FFFFFF"/>
        <w:spacing w:beforeAutospacing="1" w:after="0" w:afterAutospacing="1" w:line="276" w:lineRule="auto"/>
        <w:ind w:left="720"/>
        <w:contextualSpacing/>
        <w:jc w:val="both"/>
        <w:rPr>
          <w:rFonts w:ascii="Times New Roman" w:eastAsia="Times New Roman" w:hAnsi="Times New Roman" w:cs="Times New Roman"/>
          <w:sz w:val="24"/>
          <w:szCs w:val="24"/>
          <w:bdr w:val="none" w:sz="0" w:space="0" w:color="auto" w:frame="1"/>
        </w:rPr>
      </w:pPr>
      <w:r w:rsidRPr="0061449F">
        <w:rPr>
          <w:rFonts w:ascii="Times New Roman" w:eastAsia="Times New Roman" w:hAnsi="Times New Roman" w:cs="Times New Roman"/>
          <w:sz w:val="24"/>
          <w:szCs w:val="24"/>
          <w:bdr w:val="none" w:sz="0" w:space="0" w:color="auto" w:frame="1"/>
        </w:rPr>
        <w:t>Këshilli i Lartë i Prokurorisë</w:t>
      </w:r>
    </w:p>
    <w:p w14:paraId="78DE8167" w14:textId="77777777" w:rsidR="0061449F" w:rsidRPr="0061449F" w:rsidRDefault="0061449F" w:rsidP="0061449F">
      <w:pPr>
        <w:numPr>
          <w:ilvl w:val="0"/>
          <w:numId w:val="17"/>
        </w:numPr>
        <w:shd w:val="clear" w:color="auto" w:fill="FFFFFF"/>
        <w:spacing w:beforeAutospacing="1" w:after="0" w:afterAutospacing="1" w:line="276" w:lineRule="auto"/>
        <w:ind w:left="720"/>
        <w:contextualSpacing/>
        <w:jc w:val="both"/>
        <w:rPr>
          <w:rFonts w:ascii="Times New Roman" w:eastAsia="Times New Roman" w:hAnsi="Times New Roman" w:cs="Times New Roman"/>
          <w:sz w:val="24"/>
          <w:szCs w:val="24"/>
          <w:bdr w:val="none" w:sz="0" w:space="0" w:color="auto" w:frame="1"/>
          <w:lang w:val="pl-PL"/>
        </w:rPr>
      </w:pPr>
      <w:r w:rsidRPr="0061449F">
        <w:rPr>
          <w:rFonts w:ascii="Times New Roman" w:eastAsia="Times New Roman" w:hAnsi="Times New Roman" w:cs="Times New Roman"/>
          <w:sz w:val="24"/>
          <w:szCs w:val="24"/>
          <w:bdr w:val="none" w:sz="0" w:space="0" w:color="auto" w:frame="1"/>
          <w:lang w:val="pl-PL"/>
        </w:rPr>
        <w:t>Inspektori i Lartë i Drejtësisë</w:t>
      </w:r>
    </w:p>
    <w:p w14:paraId="0B17358C" w14:textId="77777777" w:rsidR="0061449F" w:rsidRPr="0061449F" w:rsidRDefault="0061449F" w:rsidP="0061449F">
      <w:pPr>
        <w:numPr>
          <w:ilvl w:val="0"/>
          <w:numId w:val="17"/>
        </w:numPr>
        <w:shd w:val="clear" w:color="auto" w:fill="FFFFFF"/>
        <w:spacing w:beforeAutospacing="1" w:after="0" w:afterAutospacing="1" w:line="276" w:lineRule="auto"/>
        <w:ind w:left="720"/>
        <w:contextualSpacing/>
        <w:jc w:val="both"/>
        <w:rPr>
          <w:rFonts w:ascii="Times New Roman" w:eastAsia="Times New Roman" w:hAnsi="Times New Roman" w:cs="Times New Roman"/>
          <w:sz w:val="24"/>
          <w:szCs w:val="24"/>
          <w:bdr w:val="none" w:sz="0" w:space="0" w:color="auto" w:frame="1"/>
          <w:lang w:val="pl-PL"/>
        </w:rPr>
      </w:pPr>
      <w:r w:rsidRPr="0061449F">
        <w:rPr>
          <w:rFonts w:ascii="Times New Roman" w:eastAsia="Times New Roman" w:hAnsi="Times New Roman" w:cs="Times New Roman"/>
          <w:sz w:val="24"/>
          <w:szCs w:val="24"/>
          <w:bdr w:val="none" w:sz="0" w:space="0" w:color="auto" w:frame="1"/>
          <w:lang w:val="pl-PL"/>
        </w:rPr>
        <w:t>Këshilli i Emërimeve në Drejtësi</w:t>
      </w:r>
    </w:p>
    <w:p w14:paraId="146DE958" w14:textId="77777777" w:rsidR="0061449F" w:rsidRPr="0061449F" w:rsidRDefault="0061449F" w:rsidP="0061449F">
      <w:pPr>
        <w:numPr>
          <w:ilvl w:val="0"/>
          <w:numId w:val="17"/>
        </w:numPr>
        <w:shd w:val="clear" w:color="auto" w:fill="FFFFFF"/>
        <w:spacing w:beforeAutospacing="1" w:after="0" w:afterAutospacing="1" w:line="276" w:lineRule="auto"/>
        <w:ind w:left="720"/>
        <w:contextualSpacing/>
        <w:jc w:val="both"/>
        <w:rPr>
          <w:rFonts w:ascii="Times New Roman" w:eastAsia="Times New Roman" w:hAnsi="Times New Roman" w:cs="Times New Roman"/>
          <w:sz w:val="24"/>
          <w:szCs w:val="24"/>
          <w:bdr w:val="none" w:sz="0" w:space="0" w:color="auto" w:frame="1"/>
          <w:lang w:val="pl-PL"/>
        </w:rPr>
      </w:pPr>
      <w:r w:rsidRPr="0061449F">
        <w:rPr>
          <w:rFonts w:ascii="Times New Roman" w:eastAsia="Times New Roman" w:hAnsi="Times New Roman" w:cs="Times New Roman"/>
          <w:sz w:val="24"/>
          <w:szCs w:val="24"/>
          <w:bdr w:val="none" w:sz="0" w:space="0" w:color="auto" w:frame="1"/>
          <w:lang w:val="pl-PL"/>
        </w:rPr>
        <w:t>Kolegji i Posaçëm i Apelimit</w:t>
      </w:r>
    </w:p>
    <w:p w14:paraId="579D9242" w14:textId="77777777" w:rsidR="0061449F" w:rsidRPr="0061449F" w:rsidRDefault="0061449F" w:rsidP="0061449F">
      <w:pPr>
        <w:numPr>
          <w:ilvl w:val="0"/>
          <w:numId w:val="17"/>
        </w:numPr>
        <w:shd w:val="clear" w:color="auto" w:fill="FFFFFF"/>
        <w:spacing w:beforeAutospacing="1" w:after="0" w:afterAutospacing="1" w:line="276" w:lineRule="auto"/>
        <w:ind w:left="720"/>
        <w:contextualSpacing/>
        <w:jc w:val="both"/>
        <w:rPr>
          <w:rFonts w:ascii="Times New Roman" w:eastAsia="Times New Roman" w:hAnsi="Times New Roman" w:cs="Times New Roman"/>
          <w:sz w:val="24"/>
          <w:szCs w:val="24"/>
          <w:bdr w:val="none" w:sz="0" w:space="0" w:color="auto" w:frame="1"/>
        </w:rPr>
      </w:pPr>
      <w:r w:rsidRPr="0061449F">
        <w:rPr>
          <w:rFonts w:ascii="Times New Roman" w:eastAsia="Times New Roman" w:hAnsi="Times New Roman" w:cs="Times New Roman"/>
          <w:sz w:val="24"/>
          <w:szCs w:val="24"/>
          <w:bdr w:val="none" w:sz="0" w:space="0" w:color="auto" w:frame="1"/>
        </w:rPr>
        <w:t>Komisioni i Pavarur i Kualifikimit</w:t>
      </w:r>
    </w:p>
    <w:p w14:paraId="5300DE25" w14:textId="77777777" w:rsidR="0061449F" w:rsidRPr="0061449F" w:rsidRDefault="0061449F" w:rsidP="0061449F">
      <w:pPr>
        <w:numPr>
          <w:ilvl w:val="0"/>
          <w:numId w:val="17"/>
        </w:numPr>
        <w:shd w:val="clear" w:color="auto" w:fill="FFFFFF"/>
        <w:spacing w:beforeAutospacing="1" w:after="0" w:afterAutospacing="1" w:line="276" w:lineRule="auto"/>
        <w:ind w:left="720"/>
        <w:contextualSpacing/>
        <w:jc w:val="both"/>
        <w:rPr>
          <w:rFonts w:ascii="Times New Roman" w:eastAsia="Times New Roman" w:hAnsi="Times New Roman" w:cs="Times New Roman"/>
          <w:sz w:val="24"/>
          <w:szCs w:val="24"/>
          <w:bdr w:val="none" w:sz="0" w:space="0" w:color="auto" w:frame="1"/>
        </w:rPr>
      </w:pPr>
      <w:r w:rsidRPr="0061449F">
        <w:rPr>
          <w:rFonts w:ascii="Times New Roman" w:eastAsia="Calibri" w:hAnsi="Times New Roman" w:cs="Times New Roman"/>
          <w:sz w:val="24"/>
          <w:szCs w:val="24"/>
          <w:shd w:val="clear" w:color="auto" w:fill="FFFFFF"/>
        </w:rPr>
        <w:t>Institucioni i Komisioner</w:t>
      </w:r>
      <w:r w:rsidRPr="0061449F">
        <w:rPr>
          <w:rFonts w:ascii="Times New Roman" w:eastAsia="Calibri" w:hAnsi="Times New Roman" w:cs="Times New Roman"/>
          <w:sz w:val="24"/>
          <w:szCs w:val="24"/>
        </w:rPr>
        <w:t>ë</w:t>
      </w:r>
      <w:r w:rsidRPr="0061449F">
        <w:rPr>
          <w:rFonts w:ascii="Times New Roman" w:eastAsia="Calibri" w:hAnsi="Times New Roman" w:cs="Times New Roman"/>
          <w:sz w:val="24"/>
          <w:szCs w:val="24"/>
          <w:shd w:val="clear" w:color="auto" w:fill="FFFFFF"/>
        </w:rPr>
        <w:t>ve Publikë</w:t>
      </w:r>
    </w:p>
    <w:p w14:paraId="6357080F" w14:textId="77777777" w:rsidR="0061449F" w:rsidRPr="0061449F" w:rsidRDefault="0061449F" w:rsidP="0061449F">
      <w:pPr>
        <w:numPr>
          <w:ilvl w:val="0"/>
          <w:numId w:val="17"/>
        </w:numPr>
        <w:shd w:val="clear" w:color="auto" w:fill="FFFFFF"/>
        <w:spacing w:beforeAutospacing="1" w:after="0" w:afterAutospacing="1" w:line="276" w:lineRule="auto"/>
        <w:ind w:left="720"/>
        <w:contextualSpacing/>
        <w:jc w:val="both"/>
        <w:rPr>
          <w:rFonts w:ascii="Times New Roman" w:eastAsia="Times New Roman" w:hAnsi="Times New Roman" w:cs="Times New Roman"/>
          <w:sz w:val="24"/>
          <w:szCs w:val="24"/>
          <w:bdr w:val="none" w:sz="0" w:space="0" w:color="auto" w:frame="1"/>
        </w:rPr>
      </w:pPr>
      <w:r w:rsidRPr="0061449F">
        <w:rPr>
          <w:rFonts w:ascii="Times New Roman" w:eastAsia="Times New Roman" w:hAnsi="Times New Roman" w:cs="Times New Roman"/>
          <w:sz w:val="24"/>
          <w:szCs w:val="24"/>
          <w:bdr w:val="none" w:sz="0" w:space="0" w:color="auto" w:frame="1"/>
        </w:rPr>
        <w:t>Shkolla e Magjistraturës</w:t>
      </w:r>
    </w:p>
    <w:p w14:paraId="1CDD0064" w14:textId="77777777" w:rsidR="0061449F" w:rsidRPr="0061449F" w:rsidRDefault="0061449F" w:rsidP="0061449F">
      <w:pPr>
        <w:numPr>
          <w:ilvl w:val="0"/>
          <w:numId w:val="17"/>
        </w:numPr>
        <w:shd w:val="clear" w:color="auto" w:fill="FFFFFF"/>
        <w:spacing w:beforeAutospacing="1" w:after="0" w:afterAutospacing="1" w:line="276" w:lineRule="auto"/>
        <w:ind w:left="720"/>
        <w:contextualSpacing/>
        <w:jc w:val="both"/>
        <w:rPr>
          <w:rFonts w:ascii="Times New Roman" w:eastAsia="Times New Roman" w:hAnsi="Times New Roman" w:cs="Times New Roman"/>
          <w:sz w:val="24"/>
          <w:szCs w:val="24"/>
          <w:bdr w:val="none" w:sz="0" w:space="0" w:color="auto" w:frame="1"/>
        </w:rPr>
      </w:pPr>
      <w:r w:rsidRPr="0061449F">
        <w:rPr>
          <w:rFonts w:ascii="Times New Roman" w:eastAsia="Times New Roman" w:hAnsi="Times New Roman" w:cs="Times New Roman"/>
          <w:sz w:val="24"/>
          <w:szCs w:val="24"/>
          <w:bdr w:val="none" w:sz="0" w:space="0" w:color="auto" w:frame="1"/>
        </w:rPr>
        <w:t>Gjykata e Lartë</w:t>
      </w:r>
    </w:p>
    <w:p w14:paraId="6564C71B" w14:textId="77777777" w:rsidR="0061449F" w:rsidRPr="0061449F" w:rsidRDefault="0061449F" w:rsidP="0061449F">
      <w:pPr>
        <w:numPr>
          <w:ilvl w:val="0"/>
          <w:numId w:val="17"/>
        </w:numPr>
        <w:shd w:val="clear" w:color="auto" w:fill="FFFFFF"/>
        <w:spacing w:beforeAutospacing="1" w:after="0" w:afterAutospacing="1" w:line="276" w:lineRule="auto"/>
        <w:ind w:left="720"/>
        <w:contextualSpacing/>
        <w:jc w:val="both"/>
        <w:rPr>
          <w:rFonts w:ascii="Times New Roman" w:eastAsia="Times New Roman" w:hAnsi="Times New Roman" w:cs="Times New Roman"/>
          <w:sz w:val="24"/>
          <w:szCs w:val="24"/>
          <w:bdr w:val="none" w:sz="0" w:space="0" w:color="auto" w:frame="1"/>
        </w:rPr>
      </w:pPr>
      <w:r w:rsidRPr="0061449F">
        <w:rPr>
          <w:rFonts w:ascii="Times New Roman" w:eastAsia="Times New Roman" w:hAnsi="Times New Roman" w:cs="Times New Roman"/>
          <w:sz w:val="24"/>
          <w:szCs w:val="24"/>
          <w:bdr w:val="none" w:sz="0" w:space="0" w:color="auto" w:frame="1"/>
        </w:rPr>
        <w:t>Prokuroria e Përgjithshme</w:t>
      </w:r>
    </w:p>
    <w:p w14:paraId="66373B49" w14:textId="77777777" w:rsidR="0061449F" w:rsidRPr="0061449F" w:rsidRDefault="0061449F" w:rsidP="0061449F">
      <w:pPr>
        <w:numPr>
          <w:ilvl w:val="0"/>
          <w:numId w:val="17"/>
        </w:numPr>
        <w:shd w:val="clear" w:color="auto" w:fill="FFFFFF"/>
        <w:spacing w:beforeAutospacing="1" w:after="0" w:afterAutospacing="1" w:line="276" w:lineRule="auto"/>
        <w:ind w:left="720"/>
        <w:contextualSpacing/>
        <w:jc w:val="both"/>
        <w:rPr>
          <w:rFonts w:ascii="Times New Roman" w:eastAsia="Times New Roman" w:hAnsi="Times New Roman" w:cs="Times New Roman"/>
          <w:sz w:val="24"/>
          <w:szCs w:val="24"/>
          <w:bdr w:val="none" w:sz="0" w:space="0" w:color="auto" w:frame="1"/>
        </w:rPr>
      </w:pPr>
      <w:r w:rsidRPr="0061449F">
        <w:rPr>
          <w:rFonts w:ascii="Times New Roman" w:eastAsia="Times New Roman" w:hAnsi="Times New Roman" w:cs="Times New Roman"/>
          <w:sz w:val="24"/>
          <w:szCs w:val="24"/>
          <w:bdr w:val="none" w:sz="0" w:space="0" w:color="auto" w:frame="1"/>
        </w:rPr>
        <w:t>Byroja Kombëtare e Hetimit</w:t>
      </w:r>
    </w:p>
    <w:p w14:paraId="6FEA4F9C" w14:textId="77777777" w:rsidR="0061449F" w:rsidRPr="0061449F" w:rsidRDefault="0061449F" w:rsidP="0061449F">
      <w:pPr>
        <w:numPr>
          <w:ilvl w:val="0"/>
          <w:numId w:val="17"/>
        </w:numPr>
        <w:shd w:val="clear" w:color="auto" w:fill="FFFFFF"/>
        <w:spacing w:beforeAutospacing="1" w:after="0" w:afterAutospacing="1" w:line="276" w:lineRule="auto"/>
        <w:ind w:left="720"/>
        <w:contextualSpacing/>
        <w:jc w:val="both"/>
        <w:rPr>
          <w:rFonts w:ascii="Times New Roman" w:eastAsia="Times New Roman" w:hAnsi="Times New Roman" w:cs="Times New Roman"/>
          <w:sz w:val="24"/>
          <w:szCs w:val="24"/>
          <w:bdr w:val="none" w:sz="0" w:space="0" w:color="auto" w:frame="1"/>
        </w:rPr>
      </w:pPr>
      <w:r w:rsidRPr="0061449F">
        <w:rPr>
          <w:rFonts w:ascii="Times New Roman" w:eastAsia="Calibri" w:hAnsi="Times New Roman" w:cs="Times New Roman"/>
          <w:sz w:val="24"/>
          <w:szCs w:val="24"/>
          <w:shd w:val="clear" w:color="auto" w:fill="FFFFFF"/>
        </w:rPr>
        <w:lastRenderedPageBreak/>
        <w:t>Prokuroria e Posaçme;</w:t>
      </w:r>
    </w:p>
    <w:p w14:paraId="0AFD09B0" w14:textId="77777777" w:rsidR="0061449F" w:rsidRPr="0061449F" w:rsidRDefault="0061449F" w:rsidP="0061449F">
      <w:pPr>
        <w:numPr>
          <w:ilvl w:val="0"/>
          <w:numId w:val="17"/>
        </w:numPr>
        <w:shd w:val="clear" w:color="auto" w:fill="FFFFFF"/>
        <w:spacing w:beforeAutospacing="1" w:after="0" w:afterAutospacing="1" w:line="276" w:lineRule="auto"/>
        <w:ind w:left="720"/>
        <w:contextualSpacing/>
        <w:jc w:val="both"/>
        <w:rPr>
          <w:rFonts w:ascii="Times New Roman" w:eastAsia="Times New Roman" w:hAnsi="Times New Roman" w:cs="Times New Roman"/>
          <w:sz w:val="24"/>
          <w:szCs w:val="24"/>
          <w:bdr w:val="none" w:sz="0" w:space="0" w:color="auto" w:frame="1"/>
        </w:rPr>
      </w:pPr>
      <w:r w:rsidRPr="0061449F">
        <w:rPr>
          <w:rFonts w:ascii="Times New Roman" w:eastAsia="Times New Roman" w:hAnsi="Times New Roman" w:cs="Times New Roman"/>
          <w:sz w:val="24"/>
          <w:szCs w:val="24"/>
          <w:bdr w:val="none" w:sz="0" w:space="0" w:color="auto" w:frame="1"/>
        </w:rPr>
        <w:t>Gjykata e Posaçme e Shkallës së Parë për Korrupsionin dhe Krimin e Organizuar</w:t>
      </w:r>
    </w:p>
    <w:p w14:paraId="28695BB6" w14:textId="77777777" w:rsidR="0061449F" w:rsidRPr="0061449F" w:rsidRDefault="0061449F" w:rsidP="0061449F">
      <w:pPr>
        <w:numPr>
          <w:ilvl w:val="0"/>
          <w:numId w:val="17"/>
        </w:numPr>
        <w:shd w:val="clear" w:color="auto" w:fill="FFFFFF"/>
        <w:spacing w:beforeAutospacing="1" w:after="0" w:afterAutospacing="1" w:line="276" w:lineRule="auto"/>
        <w:ind w:left="720"/>
        <w:contextualSpacing/>
        <w:jc w:val="both"/>
        <w:rPr>
          <w:rFonts w:ascii="Times New Roman" w:eastAsia="Times New Roman" w:hAnsi="Times New Roman" w:cs="Times New Roman"/>
          <w:sz w:val="24"/>
          <w:szCs w:val="24"/>
          <w:bdr w:val="none" w:sz="0" w:space="0" w:color="auto" w:frame="1"/>
        </w:rPr>
      </w:pPr>
      <w:r w:rsidRPr="0061449F">
        <w:rPr>
          <w:rFonts w:ascii="Times New Roman" w:eastAsia="Calibri" w:hAnsi="Times New Roman" w:cs="Times New Roman"/>
          <w:sz w:val="24"/>
          <w:szCs w:val="24"/>
          <w:shd w:val="clear" w:color="auto" w:fill="FFFFFF"/>
        </w:rPr>
        <w:t>Inspektorati i Lartë i Deklarimit dhe Kontrollit të Pasurive dhe Konfliktit të Interesave</w:t>
      </w:r>
    </w:p>
    <w:p w14:paraId="6CF0267D" w14:textId="77777777" w:rsidR="0061449F" w:rsidRPr="0061449F" w:rsidRDefault="0061449F" w:rsidP="0061449F">
      <w:pPr>
        <w:numPr>
          <w:ilvl w:val="0"/>
          <w:numId w:val="17"/>
        </w:numPr>
        <w:shd w:val="clear" w:color="auto" w:fill="FFFFFF"/>
        <w:spacing w:after="0" w:line="276" w:lineRule="auto"/>
        <w:ind w:left="720"/>
        <w:contextualSpacing/>
        <w:jc w:val="both"/>
        <w:textAlignment w:val="baseline"/>
        <w:rPr>
          <w:rFonts w:ascii="Times New Roman" w:eastAsia="Times New Roman" w:hAnsi="Times New Roman" w:cs="Times New Roman"/>
          <w:sz w:val="24"/>
          <w:szCs w:val="24"/>
        </w:rPr>
      </w:pPr>
      <w:r w:rsidRPr="0061449F">
        <w:rPr>
          <w:rFonts w:ascii="Times New Roman" w:eastAsia="Times New Roman" w:hAnsi="Times New Roman" w:cs="Times New Roman"/>
          <w:sz w:val="24"/>
          <w:szCs w:val="24"/>
          <w:bdr w:val="none" w:sz="0" w:space="0" w:color="auto" w:frame="1"/>
        </w:rPr>
        <w:t>Avokatura e Shtetit</w:t>
      </w:r>
    </w:p>
    <w:p w14:paraId="54016D4A" w14:textId="77777777" w:rsidR="0061449F" w:rsidRPr="0061449F" w:rsidRDefault="0061449F" w:rsidP="0061449F">
      <w:pPr>
        <w:numPr>
          <w:ilvl w:val="0"/>
          <w:numId w:val="17"/>
        </w:numPr>
        <w:spacing w:line="276" w:lineRule="auto"/>
        <w:ind w:left="720"/>
        <w:contextualSpacing/>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bdr w:val="none" w:sz="0" w:space="0" w:color="auto" w:frame="1"/>
        </w:rPr>
        <w:t>Avokati i Popullit</w:t>
      </w:r>
    </w:p>
    <w:p w14:paraId="55CA8EAB" w14:textId="77777777" w:rsidR="0061449F" w:rsidRPr="0061449F" w:rsidRDefault="0061449F" w:rsidP="0061449F">
      <w:pPr>
        <w:numPr>
          <w:ilvl w:val="0"/>
          <w:numId w:val="17"/>
        </w:numPr>
        <w:shd w:val="clear" w:color="auto" w:fill="FFFFFF"/>
        <w:spacing w:after="0" w:line="240" w:lineRule="auto"/>
        <w:ind w:left="720"/>
        <w:contextualSpacing/>
        <w:textAlignment w:val="baseline"/>
        <w:rPr>
          <w:rFonts w:ascii="Times New Roman" w:eastAsia="Times New Roman" w:hAnsi="Times New Roman" w:cs="Times New Roman"/>
          <w:sz w:val="24"/>
          <w:szCs w:val="24"/>
          <w:lang w:val="sq-AL"/>
        </w:rPr>
      </w:pPr>
      <w:r w:rsidRPr="0061449F">
        <w:rPr>
          <w:rFonts w:ascii="Times New Roman" w:eastAsia="Times New Roman" w:hAnsi="Times New Roman" w:cs="Times New Roman"/>
          <w:sz w:val="24"/>
          <w:szCs w:val="24"/>
          <w:bdr w:val="none" w:sz="0" w:space="0" w:color="auto" w:frame="1"/>
          <w:lang w:val="sq-AL"/>
        </w:rPr>
        <w:t>Agjencia Kombëtare e Shoqërisë së Informacionit</w:t>
      </w:r>
    </w:p>
    <w:p w14:paraId="56D00758" w14:textId="77777777" w:rsidR="0061449F" w:rsidRPr="0061449F" w:rsidRDefault="0061449F" w:rsidP="0061449F">
      <w:pPr>
        <w:numPr>
          <w:ilvl w:val="0"/>
          <w:numId w:val="17"/>
        </w:numPr>
        <w:shd w:val="clear" w:color="auto" w:fill="FFFFFF"/>
        <w:spacing w:after="0" w:line="240" w:lineRule="auto"/>
        <w:ind w:left="720"/>
        <w:contextualSpacing/>
        <w:textAlignment w:val="baseline"/>
        <w:rPr>
          <w:rFonts w:ascii="Times New Roman" w:eastAsia="Times New Roman" w:hAnsi="Times New Roman" w:cs="Times New Roman"/>
          <w:sz w:val="24"/>
          <w:szCs w:val="24"/>
        </w:rPr>
      </w:pPr>
      <w:r w:rsidRPr="0061449F">
        <w:rPr>
          <w:rFonts w:ascii="Times New Roman" w:eastAsia="Calibri" w:hAnsi="Times New Roman" w:cs="Times New Roman"/>
          <w:sz w:val="24"/>
          <w:szCs w:val="24"/>
        </w:rPr>
        <w:t>Autoriteti i Medias Audiovizive</w:t>
      </w:r>
    </w:p>
    <w:p w14:paraId="05B690EA" w14:textId="77777777" w:rsidR="0061449F" w:rsidRPr="0061449F" w:rsidRDefault="0061449F" w:rsidP="0061449F">
      <w:pPr>
        <w:numPr>
          <w:ilvl w:val="0"/>
          <w:numId w:val="17"/>
        </w:numPr>
        <w:spacing w:line="276" w:lineRule="auto"/>
        <w:ind w:left="720"/>
        <w:contextualSpacing/>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Komisioneri për të Drejtën e Informimit dhe Mbrojtjen e të Dhënave Personale</w:t>
      </w:r>
    </w:p>
    <w:p w14:paraId="47E22199" w14:textId="77777777" w:rsidR="0061449F" w:rsidRPr="0061449F" w:rsidRDefault="0061449F" w:rsidP="0061449F">
      <w:pPr>
        <w:numPr>
          <w:ilvl w:val="0"/>
          <w:numId w:val="17"/>
        </w:numPr>
        <w:shd w:val="clear" w:color="auto" w:fill="FFFFFF"/>
        <w:spacing w:beforeAutospacing="1" w:after="0" w:afterAutospacing="1" w:line="276" w:lineRule="auto"/>
        <w:ind w:left="720"/>
        <w:contextualSpacing/>
        <w:jc w:val="both"/>
        <w:rPr>
          <w:rFonts w:ascii="Times New Roman" w:eastAsia="Times New Roman" w:hAnsi="Times New Roman" w:cs="Times New Roman"/>
          <w:sz w:val="24"/>
          <w:szCs w:val="24"/>
          <w:bdr w:val="none" w:sz="0" w:space="0" w:color="auto" w:frame="1"/>
          <w:lang w:val="sq-AL"/>
        </w:rPr>
      </w:pPr>
      <w:r w:rsidRPr="0061449F">
        <w:rPr>
          <w:rFonts w:ascii="Times New Roman" w:eastAsia="Calibri" w:hAnsi="Times New Roman" w:cs="Times New Roman"/>
          <w:sz w:val="24"/>
          <w:szCs w:val="24"/>
          <w:lang w:val="sq-AL"/>
        </w:rPr>
        <w:t>Dhoma e Avokatisë së Shqipërisë</w:t>
      </w:r>
    </w:p>
    <w:p w14:paraId="492FB416" w14:textId="77777777" w:rsidR="0061449F" w:rsidRPr="0061449F" w:rsidRDefault="0061449F" w:rsidP="0061449F">
      <w:pPr>
        <w:numPr>
          <w:ilvl w:val="0"/>
          <w:numId w:val="17"/>
        </w:numPr>
        <w:shd w:val="clear" w:color="auto" w:fill="FFFFFF"/>
        <w:spacing w:beforeAutospacing="1" w:after="0" w:afterAutospacing="1" w:line="276" w:lineRule="auto"/>
        <w:ind w:left="720"/>
        <w:contextualSpacing/>
        <w:jc w:val="both"/>
        <w:rPr>
          <w:rFonts w:ascii="Times New Roman" w:eastAsia="Times New Roman" w:hAnsi="Times New Roman" w:cs="Times New Roman"/>
          <w:sz w:val="24"/>
          <w:szCs w:val="24"/>
          <w:bdr w:val="none" w:sz="0" w:space="0" w:color="auto" w:frame="1"/>
        </w:rPr>
      </w:pPr>
      <w:r w:rsidRPr="0061449F">
        <w:rPr>
          <w:rFonts w:ascii="Times New Roman" w:eastAsia="Calibri" w:hAnsi="Times New Roman" w:cs="Times New Roman"/>
          <w:sz w:val="24"/>
          <w:szCs w:val="24"/>
          <w:lang w:val="sq-AL"/>
        </w:rPr>
        <w:t>Dhoma Kombëtare e Ndërmjetësve</w:t>
      </w:r>
    </w:p>
    <w:p w14:paraId="461C9119" w14:textId="77777777" w:rsidR="0061449F" w:rsidRPr="0061449F" w:rsidRDefault="0061449F" w:rsidP="0061449F">
      <w:pPr>
        <w:numPr>
          <w:ilvl w:val="0"/>
          <w:numId w:val="17"/>
        </w:numPr>
        <w:spacing w:line="276" w:lineRule="auto"/>
        <w:ind w:left="720"/>
        <w:contextualSpacing/>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Dhoma Kombëtare e Noterisë.</w:t>
      </w:r>
    </w:p>
    <w:p w14:paraId="50F75581" w14:textId="77777777" w:rsidR="0061449F" w:rsidRPr="0061449F" w:rsidRDefault="0061449F" w:rsidP="0061449F">
      <w:pPr>
        <w:spacing w:line="276" w:lineRule="auto"/>
        <w:jc w:val="both"/>
        <w:rPr>
          <w:rFonts w:ascii="Times New Roman" w:eastAsia="Calibri" w:hAnsi="Times New Roman" w:cs="Times New Roman"/>
          <w:sz w:val="24"/>
          <w:szCs w:val="24"/>
        </w:rPr>
      </w:pPr>
    </w:p>
    <w:p w14:paraId="3B982582" w14:textId="77777777" w:rsidR="0061449F" w:rsidRPr="0061449F" w:rsidRDefault="0061449F" w:rsidP="0061449F">
      <w:pPr>
        <w:numPr>
          <w:ilvl w:val="0"/>
          <w:numId w:val="9"/>
        </w:numPr>
        <w:autoSpaceDE w:val="0"/>
        <w:autoSpaceDN w:val="0"/>
        <w:adjustRightInd w:val="0"/>
        <w:spacing w:line="276" w:lineRule="auto"/>
        <w:contextualSpacing/>
        <w:jc w:val="both"/>
        <w:rPr>
          <w:rFonts w:ascii="Times New Roman" w:eastAsia="Calibri" w:hAnsi="Times New Roman" w:cs="Times New Roman"/>
          <w:b/>
          <w:sz w:val="24"/>
          <w:szCs w:val="24"/>
        </w:rPr>
      </w:pPr>
      <w:r w:rsidRPr="0061449F">
        <w:rPr>
          <w:rFonts w:ascii="Times New Roman" w:eastAsia="Calibri" w:hAnsi="Times New Roman" w:cs="Times New Roman"/>
          <w:b/>
          <w:sz w:val="24"/>
          <w:szCs w:val="24"/>
        </w:rPr>
        <w:t>Llogaridhënia dhe koordinimi</w:t>
      </w:r>
    </w:p>
    <w:p w14:paraId="56E3B86D" w14:textId="77777777" w:rsidR="0061449F" w:rsidRPr="0061449F" w:rsidRDefault="0061449F" w:rsidP="0061449F">
      <w:pPr>
        <w:autoSpaceDE w:val="0"/>
        <w:autoSpaceDN w:val="0"/>
        <w:adjustRightInd w:val="0"/>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Kuadri monitorues do të shërbejë për orientimin e politikave në kuadër të Sistemit të Planifikimit të Integruar (SPI) i cili është sistemi kryesor vendimmarrës që përcakton drejtimin strategjik dhe alokimin e burimeve të vendit. </w:t>
      </w:r>
    </w:p>
    <w:p w14:paraId="79272362" w14:textId="77777777" w:rsidR="0061449F" w:rsidRPr="0061449F" w:rsidRDefault="0061449F" w:rsidP="0061449F">
      <w:pPr>
        <w:autoSpaceDE w:val="0"/>
        <w:autoSpaceDN w:val="0"/>
        <w:adjustRightInd w:val="0"/>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Bazuar në urdhërin e Kryeministrit nr. 90 datë 1.8.2023 “Për marrjen e masave për zbatimin e qasjes së gjerë sektoriale/mdërsektoriale, si dhe ngritjen dhe riorganizimin e mekanizmit sektorial/ndërsektorial të integruar”, mekanizmi i menaxhimit ndërsektorial të integruar do të veprojë përmes grupeve të menaxhimit të integruar të politikave dhe të ekipeve tematike. </w:t>
      </w:r>
    </w:p>
    <w:p w14:paraId="6D85551E" w14:textId="77777777" w:rsidR="0061449F" w:rsidRPr="0061449F" w:rsidRDefault="0061449F" w:rsidP="0061449F">
      <w:pPr>
        <w:widowControl w:val="0"/>
        <w:suppressAutoHyphens/>
        <w:spacing w:after="0" w:line="276" w:lineRule="auto"/>
        <w:jc w:val="both"/>
        <w:rPr>
          <w:rFonts w:ascii="Times New Roman" w:eastAsia="Liberation Mono" w:hAnsi="Times New Roman" w:cs="Times New Roman"/>
          <w:sz w:val="24"/>
          <w:szCs w:val="24"/>
          <w:lang w:eastAsia="zh-CN" w:bidi="hi-IN"/>
        </w:rPr>
      </w:pPr>
      <w:r w:rsidRPr="0061449F">
        <w:rPr>
          <w:rFonts w:ascii="Times New Roman" w:eastAsia="Liberation Mono" w:hAnsi="Times New Roman" w:cs="Times New Roman"/>
          <w:sz w:val="24"/>
          <w:szCs w:val="24"/>
          <w:lang w:eastAsia="zh-CN" w:bidi="hi-IN"/>
        </w:rPr>
        <w:t>Në mbledhjet e GMIP dhe të ekipit tematik në fushën e drejtësisë, ftohen të marrin pjesë përfaqësues nga partnerët e zhvillimit, institucionet dhe organizatat ndërkombëtare të pranishme në Shqipëri. Në këto mbledhje mund të ftohen të marrin pjesë edhe përfaqësues nga institucionet e pavarura, akademia, shoqëria civile dhe organizatat e biznesit në vend.</w:t>
      </w:r>
    </w:p>
    <w:p w14:paraId="2F1F5D1B" w14:textId="77777777" w:rsidR="0061449F" w:rsidRPr="0061449F" w:rsidRDefault="0061449F" w:rsidP="0061449F">
      <w:pPr>
        <w:widowControl w:val="0"/>
        <w:suppressAutoHyphens/>
        <w:spacing w:after="0" w:line="276" w:lineRule="auto"/>
        <w:jc w:val="both"/>
        <w:rPr>
          <w:rFonts w:ascii="Times New Roman" w:eastAsia="Liberation Mono" w:hAnsi="Times New Roman" w:cs="Times New Roman"/>
          <w:sz w:val="24"/>
          <w:szCs w:val="24"/>
          <w:lang w:eastAsia="zh-CN" w:bidi="hi-IN"/>
        </w:rPr>
      </w:pPr>
    </w:p>
    <w:p w14:paraId="61439C5D" w14:textId="77777777" w:rsidR="0061449F" w:rsidRPr="0061449F" w:rsidRDefault="0061449F" w:rsidP="0061449F">
      <w:pPr>
        <w:widowControl w:val="0"/>
        <w:suppressAutoHyphens/>
        <w:spacing w:after="0" w:line="276" w:lineRule="auto"/>
        <w:jc w:val="both"/>
        <w:rPr>
          <w:rFonts w:ascii="Times New Roman" w:eastAsia="Liberation Mono" w:hAnsi="Times New Roman" w:cs="Times New Roman"/>
          <w:sz w:val="24"/>
          <w:szCs w:val="24"/>
          <w:lang w:eastAsia="zh-CN" w:bidi="hi-IN"/>
        </w:rPr>
      </w:pPr>
      <w:r w:rsidRPr="0061449F">
        <w:rPr>
          <w:rFonts w:ascii="Times New Roman" w:eastAsia="Liberation Mono" w:hAnsi="Times New Roman" w:cs="Times New Roman"/>
          <w:sz w:val="24"/>
          <w:szCs w:val="24"/>
          <w:lang w:eastAsia="zh-CN" w:bidi="hi-IN"/>
        </w:rPr>
        <w:t>GMIP do të sigurojë udhëheqjen për ndjekjen e zbatimit të bashkërenduar të politikave prioritare dhe reformave, përmes raportimit dhe monitorimit për masat e lidhura me synimet dhe objektivat prioritarë (prioritetet) në lidhje me Strategjinë, reformat dhe sektorët e rëndësisë së veçantë, si dhe detyrimet që burojnë nga angazhimet në kuadër të  integrimit evropian, përmes qasjes së jetësimit të prioriteteve dhe masave organizative e strukturave të ngarkuara për këtë qëllim, raporteve periodike të progresit, raporteve të monitorimit etj.</w:t>
      </w:r>
    </w:p>
    <w:p w14:paraId="79D28787" w14:textId="77777777" w:rsidR="0061449F" w:rsidRPr="0061449F" w:rsidRDefault="0061449F" w:rsidP="0061449F">
      <w:pPr>
        <w:widowControl w:val="0"/>
        <w:suppressAutoHyphens/>
        <w:spacing w:after="0" w:line="276" w:lineRule="auto"/>
        <w:jc w:val="both"/>
        <w:rPr>
          <w:rFonts w:ascii="Times New Roman" w:eastAsia="Liberation Mono" w:hAnsi="Times New Roman" w:cs="Times New Roman"/>
          <w:sz w:val="24"/>
          <w:szCs w:val="24"/>
          <w:lang w:eastAsia="zh-CN" w:bidi="hi-IN"/>
        </w:rPr>
      </w:pPr>
    </w:p>
    <w:p w14:paraId="1CA64DE4" w14:textId="77777777" w:rsidR="0061449F" w:rsidRPr="0061449F" w:rsidRDefault="0061449F" w:rsidP="0061449F">
      <w:pPr>
        <w:widowControl w:val="0"/>
        <w:suppressAutoHyphens/>
        <w:spacing w:after="0" w:line="276" w:lineRule="auto"/>
        <w:jc w:val="both"/>
        <w:rPr>
          <w:rFonts w:ascii="Times New Roman" w:eastAsia="Liberation Mono" w:hAnsi="Times New Roman" w:cs="Times New Roman"/>
          <w:sz w:val="24"/>
          <w:szCs w:val="24"/>
          <w:lang w:eastAsia="zh-CN" w:bidi="hi-IN"/>
        </w:rPr>
      </w:pPr>
      <w:r w:rsidRPr="0061449F">
        <w:rPr>
          <w:rFonts w:ascii="Times New Roman" w:eastAsia="Liberation Mono" w:hAnsi="Times New Roman" w:cs="Times New Roman"/>
          <w:sz w:val="24"/>
          <w:szCs w:val="24"/>
          <w:lang w:eastAsia="zh-CN" w:bidi="hi-IN"/>
        </w:rPr>
        <w:t xml:space="preserve">GMIP dhe ekipi tematik do të sigurojnë shqyrtimin, diskutimin, konsultimin dhe miratimin paraprak të </w:t>
      </w:r>
      <w:bookmarkStart w:id="20" w:name="_Hlk143099035"/>
      <w:r w:rsidRPr="0061449F">
        <w:rPr>
          <w:rFonts w:ascii="Times New Roman" w:eastAsia="Liberation Mono" w:hAnsi="Times New Roman" w:cs="Times New Roman"/>
          <w:sz w:val="24"/>
          <w:szCs w:val="24"/>
          <w:lang w:eastAsia="zh-CN" w:bidi="hi-IN"/>
        </w:rPr>
        <w:t>“SND 2024-20230”.</w:t>
      </w:r>
      <w:bookmarkEnd w:id="20"/>
    </w:p>
    <w:p w14:paraId="3306E372" w14:textId="77777777" w:rsidR="0061449F" w:rsidRPr="0061449F" w:rsidRDefault="0061449F" w:rsidP="0061449F">
      <w:pPr>
        <w:spacing w:before="100" w:beforeAutospacing="1" w:after="100" w:afterAutospacing="1"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 xml:space="preserve">Ekipi tematik do të diskutojë çështje të ecurisë së </w:t>
      </w:r>
      <w:r w:rsidRPr="0061449F">
        <w:rPr>
          <w:rFonts w:ascii="Times New Roman" w:eastAsia="Calibri" w:hAnsi="Times New Roman" w:cs="Times New Roman"/>
          <w:noProof/>
          <w:sz w:val="24"/>
          <w:szCs w:val="24"/>
          <w:lang w:val="sq-AL"/>
        </w:rPr>
        <w:t>zbatimit të objektivave dhe masave t</w:t>
      </w:r>
      <w:r w:rsidRPr="0061449F">
        <w:rPr>
          <w:rFonts w:ascii="Times New Roman" w:eastAsia="Calibri" w:hAnsi="Times New Roman" w:cs="Times New Roman"/>
          <w:sz w:val="24"/>
          <w:szCs w:val="24"/>
          <w:lang w:val="sq-AL"/>
        </w:rPr>
        <w:t xml:space="preserve">ë “SNMVK 2024-2030” dhe ku do të realizohet bashkëpunimi ndërinstitucional me grupet e interesit.  Ky grup do të drejtohet nga Ministria e Drejtësisë dhe do të ketë në përbërje të tij përfaqësues nga institucionet e tjera ligjzbatuese, që janë përgjegjëse për zbatimin dhe monitorimin e treguesve në kompetencën e tyre, duke krahasuar objektivat e treguesve të performancës së planifikuar me ata aktualë. </w:t>
      </w:r>
    </w:p>
    <w:p w14:paraId="2A50480F" w14:textId="77777777" w:rsidR="0061449F" w:rsidRPr="0061449F" w:rsidRDefault="0061449F" w:rsidP="0061449F">
      <w:pPr>
        <w:spacing w:before="100" w:beforeAutospacing="1" w:after="100" w:afterAutospacing="1"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lastRenderedPageBreak/>
        <w:t>Ekipi tematik për zbatimin dhe monitorimin e strategjisë “SND 2024-2030” mbledh dhe analizon raportet periodike të masave për zbatimin e Planit të Veprimit të këtij dokumenti strategjik, vlerësimin e ecurisë së treguesve të performancës, propozon rekomandime, bazuar në gjetjet e raporteve periodike etj.</w:t>
      </w:r>
    </w:p>
    <w:p w14:paraId="64E93167" w14:textId="77777777" w:rsidR="0061449F" w:rsidRPr="0061449F" w:rsidRDefault="0061449F" w:rsidP="0061449F">
      <w:pPr>
        <w:spacing w:line="276" w:lineRule="auto"/>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Objektivi i mbledhjeve do të jetë kryesisht:</w:t>
      </w:r>
    </w:p>
    <w:p w14:paraId="611920F8" w14:textId="77777777" w:rsidR="0061449F" w:rsidRPr="0061449F" w:rsidRDefault="0061449F" w:rsidP="0061449F">
      <w:pPr>
        <w:numPr>
          <w:ilvl w:val="0"/>
          <w:numId w:val="8"/>
        </w:numPr>
        <w:spacing w:after="200" w:line="276" w:lineRule="auto"/>
        <w:contextualSpacing/>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Vlerësimi i progresit të arritur dhe niveli i zbatimit të masave të parashikuara në Planin e Veprimit për përmbushjen e objektivave strategjikë të parashikuara.</w:t>
      </w:r>
    </w:p>
    <w:p w14:paraId="1C12C128" w14:textId="77777777" w:rsidR="0061449F" w:rsidRPr="0061449F" w:rsidRDefault="0061449F" w:rsidP="0061449F">
      <w:pPr>
        <w:numPr>
          <w:ilvl w:val="0"/>
          <w:numId w:val="8"/>
        </w:numPr>
        <w:spacing w:after="200" w:line="276" w:lineRule="auto"/>
        <w:contextualSpacing/>
        <w:jc w:val="both"/>
        <w:rPr>
          <w:rFonts w:ascii="Times New Roman" w:eastAsia="Calibri" w:hAnsi="Times New Roman" w:cs="Times New Roman"/>
          <w:sz w:val="24"/>
          <w:szCs w:val="24"/>
          <w:lang w:val="sq-AL"/>
        </w:rPr>
      </w:pPr>
      <w:r w:rsidRPr="0061449F">
        <w:rPr>
          <w:rFonts w:ascii="Times New Roman" w:eastAsia="Calibri" w:hAnsi="Times New Roman" w:cs="Times New Roman"/>
          <w:sz w:val="24"/>
          <w:szCs w:val="24"/>
          <w:lang w:val="sq-AL"/>
        </w:rPr>
        <w:t>Identifikimi i problematikave të hasura me qëllim marrjen e masave të nevojshme në kohën e duhur për të siguruar realizimin, pajtueshmërinë dhe koordinimet e duhura në lidhje me Planin e Veprimit/aktivitetet/rreziqet/Pasaportën e Treguesve etj. deri në fund të vitit kalendarik;</w:t>
      </w:r>
    </w:p>
    <w:p w14:paraId="1688E710" w14:textId="77777777" w:rsidR="0061449F" w:rsidRPr="0061449F" w:rsidRDefault="0061449F" w:rsidP="0061449F">
      <w:pPr>
        <w:numPr>
          <w:ilvl w:val="0"/>
          <w:numId w:val="8"/>
        </w:numPr>
        <w:spacing w:after="200"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Miratimi në parim i raporteve të monitorimit të përgatitura nga Sekretariati Teknik. </w:t>
      </w:r>
    </w:p>
    <w:p w14:paraId="1D1507E3" w14:textId="77777777" w:rsidR="0061449F" w:rsidRPr="0061449F" w:rsidRDefault="0061449F" w:rsidP="0061449F">
      <w:pPr>
        <w:spacing w:before="100" w:beforeAutospacing="1" w:after="100" w:afterAutospacing="1"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sq-AL"/>
        </w:rPr>
        <w:t>Ekipi Tematik do të mbështetet në veprimtarinë e tij nga Sekretariati Teknik (ST), i cili do të drejtohet nga Ministria e Drejtësisë.</w:t>
      </w:r>
    </w:p>
    <w:p w14:paraId="4ADC5659" w14:textId="77777777" w:rsidR="0061449F" w:rsidRPr="0061449F" w:rsidRDefault="0061449F" w:rsidP="0061449F">
      <w:pPr>
        <w:spacing w:line="276" w:lineRule="auto"/>
        <w:jc w:val="both"/>
        <w:rPr>
          <w:rFonts w:ascii="Times New Roman" w:eastAsia="Calibri" w:hAnsi="Times New Roman" w:cs="Times New Roman"/>
          <w:sz w:val="24"/>
          <w:szCs w:val="24"/>
          <w:lang w:val="pl-PL"/>
        </w:rPr>
      </w:pPr>
      <w:r w:rsidRPr="0061449F">
        <w:rPr>
          <w:rFonts w:ascii="Times New Roman" w:eastAsia="Calibri" w:hAnsi="Times New Roman" w:cs="Times New Roman"/>
          <w:sz w:val="24"/>
          <w:szCs w:val="24"/>
          <w:lang w:val="pl-PL"/>
        </w:rPr>
        <w:t>Sekretariati Teknik do të ketë këto detyra:</w:t>
      </w:r>
    </w:p>
    <w:p w14:paraId="01E967BB" w14:textId="77777777" w:rsidR="0061449F" w:rsidRPr="0061449F" w:rsidRDefault="0061449F" w:rsidP="0061449F">
      <w:pPr>
        <w:numPr>
          <w:ilvl w:val="0"/>
          <w:numId w:val="6"/>
        </w:numPr>
        <w:spacing w:after="200" w:line="276" w:lineRule="auto"/>
        <w:contextualSpacing/>
        <w:jc w:val="both"/>
        <w:rPr>
          <w:rFonts w:ascii="Times New Roman" w:eastAsia="Calibri" w:hAnsi="Times New Roman" w:cs="Times New Roman"/>
          <w:sz w:val="24"/>
          <w:szCs w:val="24"/>
          <w:lang w:val="pl-PL"/>
        </w:rPr>
      </w:pPr>
      <w:r w:rsidRPr="0061449F">
        <w:rPr>
          <w:rFonts w:ascii="Times New Roman" w:eastAsia="Calibri" w:hAnsi="Times New Roman" w:cs="Times New Roman"/>
          <w:sz w:val="24"/>
          <w:szCs w:val="24"/>
          <w:lang w:val="pl-PL"/>
        </w:rPr>
        <w:t xml:space="preserve">Mbledh, analizon dhe vlerëson kontributin për çdo aktivitet dhe çdo tregues nga institucionet raportuese; </w:t>
      </w:r>
    </w:p>
    <w:p w14:paraId="723D2AC7" w14:textId="77777777" w:rsidR="0061449F" w:rsidRPr="0061449F" w:rsidRDefault="0061449F" w:rsidP="0061449F">
      <w:pPr>
        <w:numPr>
          <w:ilvl w:val="0"/>
          <w:numId w:val="6"/>
        </w:numPr>
        <w:spacing w:after="200" w:line="276" w:lineRule="auto"/>
        <w:contextualSpacing/>
        <w:jc w:val="both"/>
        <w:rPr>
          <w:rFonts w:ascii="Times New Roman" w:eastAsia="Calibri" w:hAnsi="Times New Roman" w:cs="Times New Roman"/>
          <w:sz w:val="24"/>
          <w:szCs w:val="24"/>
          <w:lang w:val="pl-PL"/>
        </w:rPr>
      </w:pPr>
      <w:r w:rsidRPr="0061449F">
        <w:rPr>
          <w:rFonts w:ascii="Times New Roman" w:eastAsia="Calibri" w:hAnsi="Times New Roman" w:cs="Times New Roman"/>
          <w:sz w:val="24"/>
          <w:szCs w:val="24"/>
          <w:lang w:val="pl-PL"/>
        </w:rPr>
        <w:t xml:space="preserve">Komunikon tek institucionet vendimet e Ekipi tematik së bashku me udhëzimet e lëna nga ky i fundit; </w:t>
      </w:r>
    </w:p>
    <w:p w14:paraId="2F9EF6D4" w14:textId="77777777" w:rsidR="0061449F" w:rsidRPr="0061449F" w:rsidRDefault="0061449F" w:rsidP="0061449F">
      <w:pPr>
        <w:numPr>
          <w:ilvl w:val="0"/>
          <w:numId w:val="6"/>
        </w:numPr>
        <w:spacing w:after="200" w:line="276" w:lineRule="auto"/>
        <w:contextualSpacing/>
        <w:jc w:val="both"/>
        <w:rPr>
          <w:rFonts w:ascii="Times New Roman" w:eastAsia="Calibri" w:hAnsi="Times New Roman" w:cs="Times New Roman"/>
          <w:sz w:val="24"/>
          <w:szCs w:val="24"/>
          <w:lang w:val="pl-PL"/>
        </w:rPr>
      </w:pPr>
      <w:r w:rsidRPr="0061449F">
        <w:rPr>
          <w:rFonts w:ascii="Times New Roman" w:eastAsia="Calibri" w:hAnsi="Times New Roman" w:cs="Times New Roman"/>
          <w:sz w:val="24"/>
          <w:szCs w:val="24"/>
          <w:lang w:val="pl-PL"/>
        </w:rPr>
        <w:t xml:space="preserve">Harton raportin e zbatimit të integruar çdo gjashtë muaj dhe në bazë vjetore; </w:t>
      </w:r>
    </w:p>
    <w:p w14:paraId="006FE807" w14:textId="77777777" w:rsidR="0061449F" w:rsidRPr="0061449F" w:rsidRDefault="0061449F" w:rsidP="0061449F">
      <w:pPr>
        <w:numPr>
          <w:ilvl w:val="0"/>
          <w:numId w:val="6"/>
        </w:numPr>
        <w:spacing w:after="0"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Publikon vendimet e marra dhe dokumentet e miratuara; </w:t>
      </w:r>
    </w:p>
    <w:p w14:paraId="6025132E" w14:textId="77777777" w:rsidR="0061449F" w:rsidRPr="0061449F" w:rsidRDefault="0061449F" w:rsidP="0061449F">
      <w:pPr>
        <w:numPr>
          <w:ilvl w:val="0"/>
          <w:numId w:val="6"/>
        </w:numPr>
        <w:spacing w:after="0"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Përgatit agjendat dhe dokumentacionin e duhur për mbledhjet që do të zhvillohen sipas rregullores së brendshme për Monitorimin e Strategjisë dhe Grupin e Punës. </w:t>
      </w:r>
    </w:p>
    <w:p w14:paraId="095DC639" w14:textId="77777777" w:rsidR="0061449F" w:rsidRPr="0061449F" w:rsidRDefault="0061449F" w:rsidP="0061449F">
      <w:pPr>
        <w:numPr>
          <w:ilvl w:val="0"/>
          <w:numId w:val="6"/>
        </w:numPr>
        <w:spacing w:after="0" w:line="276" w:lineRule="auto"/>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Harton minutat e mbledhjeve dhe e shpërndan tek të gjithë anëtarët e Ekipit tematik.</w:t>
      </w:r>
    </w:p>
    <w:p w14:paraId="6D8A36F8"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p>
    <w:p w14:paraId="6A6BC61F"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Në aspektin cilësor të monitorimit, ST mund të sugjerojë të përdorë metodat e mëposhtme për monitorimin dhe vlerësimin e zbatimit të strategjisë: </w:t>
      </w:r>
    </w:p>
    <w:p w14:paraId="439C812E" w14:textId="77777777" w:rsidR="0061449F" w:rsidRPr="0061449F" w:rsidRDefault="0061449F" w:rsidP="0061449F">
      <w:pPr>
        <w:numPr>
          <w:ilvl w:val="0"/>
          <w:numId w:val="7"/>
        </w:numPr>
        <w:spacing w:after="200" w:line="276" w:lineRule="auto"/>
        <w:ind w:left="720" w:hanging="360"/>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Përditësimin e përmbushjes apo jo të masave, sipas Planit të Veprimit dhe në bazë të vetëvlerësimit të institucioneve; </w:t>
      </w:r>
    </w:p>
    <w:p w14:paraId="6614AD75" w14:textId="77777777" w:rsidR="0061449F" w:rsidRPr="0061449F" w:rsidRDefault="0061449F" w:rsidP="0061449F">
      <w:pPr>
        <w:numPr>
          <w:ilvl w:val="0"/>
          <w:numId w:val="7"/>
        </w:numPr>
        <w:spacing w:after="200" w:line="276" w:lineRule="auto"/>
        <w:ind w:left="720" w:hanging="360"/>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Vlerësime tematike (sipas objektivave specifikë të “SND 2024-2030”), sipas udhëzimeve të mekanizmit vlerësues, lidhur me efektivitetin e veprimeve të ndërmarra; </w:t>
      </w:r>
    </w:p>
    <w:p w14:paraId="424F42FC" w14:textId="77777777" w:rsidR="0061449F" w:rsidRPr="0061449F" w:rsidRDefault="0061449F" w:rsidP="0061449F">
      <w:pPr>
        <w:numPr>
          <w:ilvl w:val="0"/>
          <w:numId w:val="7"/>
        </w:numPr>
        <w:spacing w:after="200" w:line="276" w:lineRule="auto"/>
        <w:ind w:left="720" w:hanging="360"/>
        <w:contextualSpacing/>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Komunikimin me palë të treta dhe shoqërinë civile për vlerësimin e masave të zbatuara; </w:t>
      </w:r>
    </w:p>
    <w:p w14:paraId="75C9A372" w14:textId="77777777" w:rsidR="0061449F" w:rsidRPr="0061449F" w:rsidRDefault="0061449F" w:rsidP="0061449F">
      <w:pPr>
        <w:autoSpaceDE w:val="0"/>
        <w:autoSpaceDN w:val="0"/>
        <w:adjustRightInd w:val="0"/>
        <w:spacing w:line="276" w:lineRule="auto"/>
        <w:jc w:val="both"/>
        <w:rPr>
          <w:rFonts w:ascii="Times New Roman" w:eastAsia="Calibri" w:hAnsi="Times New Roman" w:cs="Times New Roman"/>
          <w:noProof/>
          <w:sz w:val="24"/>
          <w:szCs w:val="24"/>
          <w:lang w:val="it-IT"/>
        </w:rPr>
      </w:pPr>
      <w:r w:rsidRPr="0061449F">
        <w:rPr>
          <w:rFonts w:ascii="Times New Roman" w:eastAsia="Calibri" w:hAnsi="Times New Roman" w:cs="Times New Roman"/>
          <w:sz w:val="24"/>
          <w:szCs w:val="24"/>
          <w:lang w:val="it-IT"/>
        </w:rPr>
        <w:t>Çdo institucion i përfshirë në Planin e Veprimit për zbatimin e kësaj strategjie, raporton çdo 6 muaj dhe në bazë vjetore për nivelin e zbatimit të çdo objektivi strategjik dhe aktiviteti, problemet e hasura dhe vlerësimin e progresit të strategjisë në tërësi, ndërsa</w:t>
      </w:r>
      <w:r w:rsidRPr="0061449F">
        <w:rPr>
          <w:rFonts w:ascii="Times New Roman" w:eastAsia="Calibri" w:hAnsi="Times New Roman" w:cs="Times New Roman"/>
          <w:noProof/>
          <w:sz w:val="24"/>
          <w:szCs w:val="24"/>
          <w:lang w:val="it-IT"/>
        </w:rPr>
        <w:t xml:space="preserve"> </w:t>
      </w:r>
      <w:r w:rsidRPr="0061449F">
        <w:rPr>
          <w:rFonts w:ascii="Times New Roman" w:eastAsia="Calibri" w:hAnsi="Times New Roman" w:cs="Times New Roman"/>
          <w:sz w:val="24"/>
          <w:szCs w:val="24"/>
          <w:lang w:val="it-IT"/>
        </w:rPr>
        <w:t xml:space="preserve">Ministria a Drejtësisë ka rol koordinues dhe raporton në mënyrë periodike mbi ecurinë e zbatimit të strategjisë. </w:t>
      </w:r>
    </w:p>
    <w:p w14:paraId="53904DD0" w14:textId="77777777" w:rsidR="0061449F" w:rsidRPr="0061449F" w:rsidRDefault="0061449F" w:rsidP="0061449F">
      <w:pPr>
        <w:autoSpaceDE w:val="0"/>
        <w:autoSpaceDN w:val="0"/>
        <w:adjustRightInd w:val="0"/>
        <w:spacing w:line="276" w:lineRule="auto"/>
        <w:ind w:left="360"/>
        <w:jc w:val="both"/>
        <w:rPr>
          <w:rFonts w:ascii="Times New Roman" w:eastAsia="Calibri" w:hAnsi="Times New Roman" w:cs="Times New Roman"/>
          <w:b/>
          <w:sz w:val="24"/>
          <w:szCs w:val="24"/>
          <w:lang w:val="it-IT"/>
        </w:rPr>
      </w:pPr>
    </w:p>
    <w:p w14:paraId="62061913" w14:textId="77777777" w:rsidR="0061449F" w:rsidRPr="0061449F" w:rsidRDefault="0061449F" w:rsidP="0061449F">
      <w:pPr>
        <w:numPr>
          <w:ilvl w:val="0"/>
          <w:numId w:val="9"/>
        </w:numPr>
        <w:autoSpaceDE w:val="0"/>
        <w:autoSpaceDN w:val="0"/>
        <w:adjustRightInd w:val="0"/>
        <w:spacing w:line="276" w:lineRule="auto"/>
        <w:contextualSpacing/>
        <w:jc w:val="both"/>
        <w:rPr>
          <w:rFonts w:ascii="Times New Roman" w:eastAsia="Calibri" w:hAnsi="Times New Roman" w:cs="Times New Roman"/>
          <w:b/>
          <w:sz w:val="24"/>
          <w:szCs w:val="24"/>
        </w:rPr>
      </w:pPr>
      <w:r w:rsidRPr="0061449F">
        <w:rPr>
          <w:rFonts w:ascii="Times New Roman" w:eastAsia="Calibri" w:hAnsi="Times New Roman" w:cs="Times New Roman"/>
          <w:b/>
          <w:sz w:val="24"/>
          <w:szCs w:val="24"/>
        </w:rPr>
        <w:t xml:space="preserve">Monitorimi dhe Raportimi </w:t>
      </w:r>
    </w:p>
    <w:p w14:paraId="1EFCD90D"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lastRenderedPageBreak/>
        <w:t xml:space="preserve">Krahas zbatimit të masave të përcaktuara në Strategji dhe Planin e Veprimit, monitorimi i vazhdueshëm i strukturave të angazhuara për përmbushjen e detyrimeve që rrjedhin nga ky dokument, konsiderohet i nevojshëm për të analizuar gjendjen reale gjatë zbatimit të tij me qëllim përmbushjen e objektivave në mënyrë sa më efektive. </w:t>
      </w:r>
    </w:p>
    <w:p w14:paraId="651F97D2"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Më konkretisht do të ndërmerren këto masa: </w:t>
      </w:r>
    </w:p>
    <w:p w14:paraId="081033CD" w14:textId="77777777" w:rsidR="0061449F" w:rsidRPr="0061449F" w:rsidRDefault="0061449F" w:rsidP="0061449F">
      <w:pPr>
        <w:numPr>
          <w:ilvl w:val="0"/>
          <w:numId w:val="5"/>
        </w:numPr>
        <w:spacing w:after="0" w:line="276" w:lineRule="auto"/>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do të monitorohen treguesit e përcaktuar në strategjime bazë vjetore; </w:t>
      </w:r>
    </w:p>
    <w:p w14:paraId="709FF126" w14:textId="77777777" w:rsidR="0061449F" w:rsidRPr="0061449F" w:rsidRDefault="0061449F" w:rsidP="0061449F">
      <w:pPr>
        <w:numPr>
          <w:ilvl w:val="0"/>
          <w:numId w:val="5"/>
        </w:numPr>
        <w:spacing w:after="0" w:line="276" w:lineRule="auto"/>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do të rekomandohen ndryshime në programet sektoriale, duke pasur parasysh arritjet, rrethanat, risqet si dhe eksperiencat e mëparshme, si dhe në përputhje me rekomandimet e progres raporteve të Bashkimit Evropian dhe dokumenteve të tjerë ndërkombëtarë; </w:t>
      </w:r>
    </w:p>
    <w:p w14:paraId="42F3290E" w14:textId="77777777" w:rsidR="0061449F" w:rsidRPr="0061449F" w:rsidRDefault="0061449F" w:rsidP="0061449F">
      <w:pPr>
        <w:numPr>
          <w:ilvl w:val="0"/>
          <w:numId w:val="5"/>
        </w:numPr>
        <w:spacing w:after="0" w:line="276" w:lineRule="auto"/>
        <w:contextualSpacing/>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do të sigurohen konsultime me palët e interesit, përfshirë shpërndarjen sistematike të informacionit për publikun; </w:t>
      </w:r>
    </w:p>
    <w:p w14:paraId="057AC772" w14:textId="77777777" w:rsidR="0061449F" w:rsidRPr="0061449F" w:rsidRDefault="0061449F" w:rsidP="0061449F">
      <w:pPr>
        <w:numPr>
          <w:ilvl w:val="0"/>
          <w:numId w:val="5"/>
        </w:numPr>
        <w:spacing w:after="120" w:line="276" w:lineRule="auto"/>
        <w:ind w:left="714" w:hanging="357"/>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do të kryhet monitorim dhe do të hartohen raporte gjashtëmujore/vjetore për monitorimin dhe koordinimin e zbatimit të objektivave dhe masave të planit të veprimit. </w:t>
      </w:r>
    </w:p>
    <w:p w14:paraId="52420D38"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 xml:space="preserve">Në kuadrin e këtyre masave eksperienca e monitorimit dhe raportimit të SND 2021-2025 ka evidentuar nevojën për ngritjen dhe përdorimin e një Mekanizmi të Paralajmërimit të Hershëm në kontekstin e monitorimit të zbatimit të Strategjisë Ndërsektoriale së Drejtësisë. Mekanizmi ka për qëllim të sigurojë që vlerësimi mbi ecurine e Strategjisë të kryhet në çdo fazë të zbatimit të saj, dhe kur konstatohet se progresi është i pamjaftueshëm ose i vonuar, Ekipi Tematik dhe eventualisht GIMP të njoftohen sa më parë, për të mundësuar marrjen e masave të nevojshme për të trajtuar çështjen nëpërmjet mekanizmit për menaxhimin e integruar ndër-sektorial. Mekanizmi i Paralajmërimit të Hershëm është një instrument plotësues i nevojshëm në nivelin e menaxhimit dhe në nivelin teknik ndërinstitucional, i cili parashikohet të aktivizohet në fazen e analizës të të dhënave të raportuara nga insitucionet mbi zbatimin e masave dhe aktiviteve (nëse ka mungesë informacioni, apo informacioni është i pa mfjatueshëm), dhe sipas nevojës në fazën e konsultimit në Ekipin Tematik, ose në GIMP.  </w:t>
      </w:r>
    </w:p>
    <w:p w14:paraId="4B020F02"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Përmirësimet në sistemin e monitorimit dhe vlerësimit synojnë të lehtësojnë/ndihmojnë në përafrimin e kuadrit strategjik dhe prioriteteve në fusha të ndryshme dhe të informojnë për politikat e vendit të lidhura me avancimin drejt rezultateve të reformave në drejtësi. Përdorimi i Mekanizmit të Paralajmërimit të hershëm konsiderohet një element thelbësor për të siguruar progres në zbatimin e Strategjisë, sipas planit, dhe një koordinim ndërinstitucional efektiv që mundëson diskutimin dhe trajtimin e çështjeve problematike në kohën e duhur dhe efektivisht. Mekanizmi do të mundësojë përparim efektiv në zbatimin e SND 2024-2030 dhe në realizimin e arritjeve të synuara duke pasur parasysh integrimin në BE.</w:t>
      </w:r>
    </w:p>
    <w:p w14:paraId="2906AE9F" w14:textId="77777777" w:rsidR="0061449F" w:rsidRPr="0061449F" w:rsidRDefault="0061449F" w:rsidP="0061449F">
      <w:pPr>
        <w:spacing w:line="276" w:lineRule="auto"/>
        <w:jc w:val="both"/>
        <w:rPr>
          <w:rFonts w:ascii="Times New Roman" w:eastAsia="Times New Roman" w:hAnsi="Times New Roman" w:cs="Times New Roman"/>
          <w:sz w:val="24"/>
          <w:szCs w:val="24"/>
        </w:rPr>
      </w:pPr>
      <w:r w:rsidRPr="0061449F">
        <w:rPr>
          <w:rFonts w:ascii="Times New Roman" w:eastAsia="Times New Roman" w:hAnsi="Times New Roman" w:cs="Times New Roman"/>
          <w:sz w:val="24"/>
          <w:szCs w:val="24"/>
        </w:rPr>
        <w:t xml:space="preserve">Në përputhje me procedurat që do të ndiqen për raportim &amp; monitorimin në zbatim të Vendimit të Këshillit të Ministrave Nr. 290, datë 11.4.2020 </w:t>
      </w:r>
      <w:r w:rsidRPr="0061449F">
        <w:rPr>
          <w:rFonts w:ascii="Times New Roman" w:eastAsia="Times New Roman" w:hAnsi="Times New Roman" w:cs="Times New Roman"/>
          <w:i/>
          <w:sz w:val="24"/>
          <w:szCs w:val="24"/>
        </w:rPr>
        <w:t>“Për krijimin e bazës të të dhënave shtetërore të sistemit informatik të planifikimit të integruar (SIPI/IPSIS)”</w:t>
      </w:r>
      <w:r w:rsidRPr="0061449F">
        <w:rPr>
          <w:rFonts w:ascii="Times New Roman" w:eastAsia="Times New Roman" w:hAnsi="Times New Roman" w:cs="Times New Roman"/>
          <w:sz w:val="24"/>
          <w:szCs w:val="24"/>
        </w:rPr>
        <w:t>, për përgatitjen e raporteve të monitorimit do të ndiqen fazat e mëposhtme.</w:t>
      </w:r>
    </w:p>
    <w:p w14:paraId="0065DD03" w14:textId="77777777" w:rsidR="0061449F" w:rsidRPr="0061449F" w:rsidRDefault="0061449F" w:rsidP="0061449F">
      <w:pPr>
        <w:spacing w:line="276" w:lineRule="auto"/>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440A2" w:rsidRPr="0061449F" w14:paraId="5D33F41F" w14:textId="77777777" w:rsidTr="003F6980">
        <w:tc>
          <w:tcPr>
            <w:tcW w:w="4675" w:type="dxa"/>
          </w:tcPr>
          <w:p w14:paraId="5EDC67FF" w14:textId="77777777" w:rsidR="0061449F" w:rsidRPr="0061449F" w:rsidRDefault="0061449F" w:rsidP="0061449F">
            <w:pPr>
              <w:spacing w:line="276" w:lineRule="auto"/>
              <w:jc w:val="both"/>
              <w:rPr>
                <w:rFonts w:ascii="Times New Roman" w:eastAsia="Times New Roman" w:hAnsi="Times New Roman" w:cs="Times New Roman"/>
                <w:sz w:val="24"/>
                <w:szCs w:val="24"/>
              </w:rPr>
            </w:pPr>
            <w:r w:rsidRPr="0061449F">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704320" behindDoc="0" locked="0" layoutInCell="1" allowOverlap="1" wp14:anchorId="5A6F7292" wp14:editId="008B239C">
                      <wp:simplePos x="0" y="0"/>
                      <wp:positionH relativeFrom="column">
                        <wp:posOffset>826467</wp:posOffset>
                      </wp:positionH>
                      <wp:positionV relativeFrom="paragraph">
                        <wp:posOffset>56874</wp:posOffset>
                      </wp:positionV>
                      <wp:extent cx="691156" cy="79513"/>
                      <wp:effectExtent l="0" t="19050" r="33020" b="34925"/>
                      <wp:wrapNone/>
                      <wp:docPr id="6" name="Right Arrow 6"/>
                      <wp:cNvGraphicFramePr/>
                      <a:graphic xmlns:a="http://schemas.openxmlformats.org/drawingml/2006/main">
                        <a:graphicData uri="http://schemas.microsoft.com/office/word/2010/wordprocessingShape">
                          <wps:wsp>
                            <wps:cNvSpPr/>
                            <wps:spPr>
                              <a:xfrm>
                                <a:off x="0" y="0"/>
                                <a:ext cx="691156" cy="79513"/>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4A4F5F" id="Right Arrow 6" o:spid="_x0000_s1026" type="#_x0000_t13" style="position:absolute;margin-left:65.1pt;margin-top:4.5pt;width:54.4pt;height: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" adj="20358" fillcolor="#5b9bd5" strokecolor="#41719c" strokeweight="1pt"/>
                  </w:pict>
                </mc:Fallback>
              </mc:AlternateContent>
            </w:r>
            <w:r w:rsidRPr="0061449F">
              <w:rPr>
                <w:rFonts w:ascii="Times New Roman" w:eastAsia="Times New Roman" w:hAnsi="Times New Roman" w:cs="Times New Roman"/>
                <w:sz w:val="24"/>
                <w:szCs w:val="24"/>
              </w:rPr>
              <w:t xml:space="preserve">Faza 1 </w:t>
            </w:r>
          </w:p>
        </w:tc>
        <w:tc>
          <w:tcPr>
            <w:tcW w:w="4675" w:type="dxa"/>
          </w:tcPr>
          <w:p w14:paraId="488E8C69" w14:textId="77777777" w:rsidR="0061449F" w:rsidRPr="0061449F" w:rsidRDefault="0061449F" w:rsidP="0061449F">
            <w:pPr>
              <w:spacing w:line="276" w:lineRule="auto"/>
              <w:jc w:val="both"/>
              <w:rPr>
                <w:rFonts w:ascii="Times New Roman" w:eastAsia="Times New Roman" w:hAnsi="Times New Roman" w:cs="Times New Roman"/>
                <w:sz w:val="24"/>
                <w:szCs w:val="24"/>
              </w:rPr>
            </w:pPr>
            <w:r w:rsidRPr="0061449F">
              <w:rPr>
                <w:rFonts w:ascii="Times New Roman" w:eastAsia="Times New Roman" w:hAnsi="Times New Roman" w:cs="Times New Roman"/>
                <w:sz w:val="24"/>
                <w:szCs w:val="24"/>
              </w:rPr>
              <w:t>Marrja e të gjithë kontributeve nga institucionet raportuese dhe konsolidimi i paketës në përputhje me standardet e sistemit.</w:t>
            </w:r>
          </w:p>
          <w:p w14:paraId="1FAD7A27" w14:textId="77777777" w:rsidR="0061449F" w:rsidRPr="0061449F" w:rsidRDefault="0061449F" w:rsidP="0061449F">
            <w:pPr>
              <w:spacing w:line="276" w:lineRule="auto"/>
              <w:jc w:val="both"/>
              <w:rPr>
                <w:rFonts w:ascii="Times New Roman" w:eastAsia="Times New Roman" w:hAnsi="Times New Roman" w:cs="Times New Roman"/>
                <w:sz w:val="24"/>
                <w:szCs w:val="24"/>
              </w:rPr>
            </w:pPr>
          </w:p>
        </w:tc>
      </w:tr>
      <w:tr w:rsidR="007440A2" w:rsidRPr="0061449F" w14:paraId="6832FCBE" w14:textId="77777777" w:rsidTr="003F6980">
        <w:tc>
          <w:tcPr>
            <w:tcW w:w="4675" w:type="dxa"/>
          </w:tcPr>
          <w:p w14:paraId="2D292DD1" w14:textId="77777777" w:rsidR="0061449F" w:rsidRPr="0061449F" w:rsidRDefault="0061449F" w:rsidP="0061449F">
            <w:pPr>
              <w:spacing w:line="276" w:lineRule="auto"/>
              <w:jc w:val="both"/>
              <w:rPr>
                <w:rFonts w:ascii="Times New Roman" w:eastAsia="Times New Roman" w:hAnsi="Times New Roman" w:cs="Times New Roman"/>
                <w:sz w:val="24"/>
                <w:szCs w:val="24"/>
              </w:rPr>
            </w:pPr>
            <w:r w:rsidRPr="0061449F">
              <w:rPr>
                <w:rFonts w:ascii="Times New Roman" w:eastAsia="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74E1BF9B" wp14:editId="13809666">
                      <wp:simplePos x="0" y="0"/>
                      <wp:positionH relativeFrom="column">
                        <wp:posOffset>812635</wp:posOffset>
                      </wp:positionH>
                      <wp:positionV relativeFrom="paragraph">
                        <wp:posOffset>70568</wp:posOffset>
                      </wp:positionV>
                      <wp:extent cx="691156" cy="79513"/>
                      <wp:effectExtent l="0" t="19050" r="33020" b="34925"/>
                      <wp:wrapNone/>
                      <wp:docPr id="7" name="Right Arrow 7"/>
                      <wp:cNvGraphicFramePr/>
                      <a:graphic xmlns:a="http://schemas.openxmlformats.org/drawingml/2006/main">
                        <a:graphicData uri="http://schemas.microsoft.com/office/word/2010/wordprocessingShape">
                          <wps:wsp>
                            <wps:cNvSpPr/>
                            <wps:spPr>
                              <a:xfrm>
                                <a:off x="0" y="0"/>
                                <a:ext cx="691156" cy="79513"/>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F5CF39" id="Right Arrow 7" o:spid="_x0000_s1026" type="#_x0000_t13" style="position:absolute;margin-left:64pt;margin-top:5.55pt;width:54.4pt;height: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" adj="20358" fillcolor="#5b9bd5" strokecolor="#41719c" strokeweight="1pt"/>
                  </w:pict>
                </mc:Fallback>
              </mc:AlternateContent>
            </w:r>
            <w:r w:rsidRPr="0061449F">
              <w:rPr>
                <w:rFonts w:ascii="Times New Roman" w:eastAsia="Times New Roman" w:hAnsi="Times New Roman" w:cs="Times New Roman"/>
                <w:sz w:val="24"/>
                <w:szCs w:val="24"/>
              </w:rPr>
              <w:t xml:space="preserve">Faza 2 </w:t>
            </w:r>
          </w:p>
        </w:tc>
        <w:tc>
          <w:tcPr>
            <w:tcW w:w="4675" w:type="dxa"/>
          </w:tcPr>
          <w:p w14:paraId="1FCF7BA0" w14:textId="77777777" w:rsidR="0061449F" w:rsidRPr="0061449F" w:rsidRDefault="0061449F" w:rsidP="0061449F">
            <w:pPr>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Dërgimi i paketës së plotë për vlerësim pranë Agjencisë Shtetërore të Programimit Strategjik dhe Koordinimit të Ndihmës (SASPAC), në Kryeministri në përputhje me standardet e sistemit. Paketa e plotë do të duhet të përfshijë materialet e mëposhtme:</w:t>
            </w:r>
          </w:p>
          <w:p w14:paraId="75C674A6" w14:textId="77777777" w:rsidR="0061449F" w:rsidRPr="0061449F" w:rsidRDefault="0061449F" w:rsidP="0061449F">
            <w:pPr>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2.1 Raport-Progresin e konsoliduar në përputhje me standardet e sistemit dhe metodologjinë e agjendës së mirëqeverisjes;</w:t>
            </w:r>
          </w:p>
          <w:p w14:paraId="5976081A" w14:textId="77777777" w:rsidR="0061449F" w:rsidRPr="0061449F" w:rsidRDefault="0061449F" w:rsidP="0061449F">
            <w:pPr>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2.2 Planin e zbatueshmërisë së masave për periudhën referuese në përputhje me standardet e sistemit dhe metodologjinë e agjendës së mirëqeverisjes;</w:t>
            </w:r>
          </w:p>
          <w:p w14:paraId="2021BAC5" w14:textId="77777777" w:rsidR="0061449F" w:rsidRPr="0061449F" w:rsidRDefault="0061449F" w:rsidP="0061449F">
            <w:pPr>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2.3 Pasaportën e treguesve në përputhje me standartet e sistemit IPSIS për periudhën   referuese;</w:t>
            </w:r>
          </w:p>
          <w:p w14:paraId="4906CB91" w14:textId="77777777" w:rsidR="0061449F" w:rsidRPr="0061449F" w:rsidRDefault="0061449F" w:rsidP="0061449F">
            <w:pPr>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2.4 Bazën e të dhënave për vitin referues në zbatim të raportimit të treguesve të strategjisë.</w:t>
            </w:r>
          </w:p>
          <w:p w14:paraId="24BC55C4" w14:textId="77777777" w:rsidR="0061449F" w:rsidRPr="0061449F" w:rsidRDefault="0061449F" w:rsidP="0061449F">
            <w:pPr>
              <w:spacing w:line="276" w:lineRule="auto"/>
              <w:jc w:val="both"/>
              <w:rPr>
                <w:rFonts w:ascii="Times New Roman" w:eastAsia="Times New Roman" w:hAnsi="Times New Roman" w:cs="Times New Roman"/>
                <w:sz w:val="24"/>
                <w:szCs w:val="24"/>
              </w:rPr>
            </w:pPr>
          </w:p>
        </w:tc>
      </w:tr>
      <w:tr w:rsidR="007440A2" w:rsidRPr="0061449F" w14:paraId="70BE0D66" w14:textId="77777777" w:rsidTr="003F6980">
        <w:tc>
          <w:tcPr>
            <w:tcW w:w="4675" w:type="dxa"/>
          </w:tcPr>
          <w:p w14:paraId="0716FC3D" w14:textId="77777777" w:rsidR="0061449F" w:rsidRPr="0061449F" w:rsidRDefault="0061449F" w:rsidP="0061449F">
            <w:pPr>
              <w:spacing w:line="276" w:lineRule="auto"/>
              <w:jc w:val="both"/>
              <w:rPr>
                <w:rFonts w:ascii="Times New Roman" w:eastAsia="Times New Roman" w:hAnsi="Times New Roman" w:cs="Times New Roman"/>
                <w:sz w:val="24"/>
                <w:szCs w:val="24"/>
              </w:rPr>
            </w:pPr>
            <w:r w:rsidRPr="0061449F">
              <w:rPr>
                <w:rFonts w:ascii="Times New Roman" w:eastAsia="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47167416" wp14:editId="43705033">
                      <wp:simplePos x="0" y="0"/>
                      <wp:positionH relativeFrom="column">
                        <wp:posOffset>844164</wp:posOffset>
                      </wp:positionH>
                      <wp:positionV relativeFrom="paragraph">
                        <wp:posOffset>103256</wp:posOffset>
                      </wp:positionV>
                      <wp:extent cx="691156" cy="79513"/>
                      <wp:effectExtent l="0" t="19050" r="33020" b="34925"/>
                      <wp:wrapNone/>
                      <wp:docPr id="8" name="Right Arrow 8"/>
                      <wp:cNvGraphicFramePr/>
                      <a:graphic xmlns:a="http://schemas.openxmlformats.org/drawingml/2006/main">
                        <a:graphicData uri="http://schemas.microsoft.com/office/word/2010/wordprocessingShape">
                          <wps:wsp>
                            <wps:cNvSpPr/>
                            <wps:spPr>
                              <a:xfrm>
                                <a:off x="0" y="0"/>
                                <a:ext cx="691156" cy="79513"/>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B440E4" id="Right Arrow 8" o:spid="_x0000_s1026" type="#_x0000_t13" style="position:absolute;margin-left:66.45pt;margin-top:8.15pt;width:54.4pt;height: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" adj="20358" fillcolor="#5b9bd5" strokecolor="#41719c" strokeweight="1pt"/>
                  </w:pict>
                </mc:Fallback>
              </mc:AlternateContent>
            </w:r>
            <w:r w:rsidRPr="0061449F">
              <w:rPr>
                <w:rFonts w:ascii="Times New Roman" w:eastAsia="Times New Roman" w:hAnsi="Times New Roman" w:cs="Times New Roman"/>
                <w:sz w:val="24"/>
                <w:szCs w:val="24"/>
              </w:rPr>
              <w:t xml:space="preserve"> Faza 3</w:t>
            </w:r>
          </w:p>
        </w:tc>
        <w:tc>
          <w:tcPr>
            <w:tcW w:w="4675" w:type="dxa"/>
          </w:tcPr>
          <w:p w14:paraId="17D76344" w14:textId="77777777" w:rsidR="0061449F" w:rsidRPr="0061449F" w:rsidRDefault="0061449F" w:rsidP="0061449F">
            <w:pPr>
              <w:spacing w:line="276" w:lineRule="auto"/>
              <w:jc w:val="both"/>
              <w:rPr>
                <w:rFonts w:ascii="Times New Roman" w:eastAsia="Times New Roman" w:hAnsi="Times New Roman" w:cs="Times New Roman"/>
                <w:sz w:val="24"/>
                <w:szCs w:val="24"/>
              </w:rPr>
            </w:pPr>
            <w:r w:rsidRPr="0061449F">
              <w:rPr>
                <w:rFonts w:ascii="Times New Roman" w:eastAsia="Times New Roman" w:hAnsi="Times New Roman" w:cs="Times New Roman"/>
                <w:sz w:val="24"/>
                <w:szCs w:val="24"/>
              </w:rPr>
              <w:t>Konsolidimi i paketës pas marrjes dhe reflektimit të komenteve të sjella nga Agjencia Shtetërore e Programimit Strategjik dhe Koordinimit të Ndihmës (SASPAC), në Kryeministri.</w:t>
            </w:r>
          </w:p>
          <w:p w14:paraId="3D07D689" w14:textId="77777777" w:rsidR="0061449F" w:rsidRPr="0061449F" w:rsidRDefault="0061449F" w:rsidP="0061449F">
            <w:pPr>
              <w:spacing w:line="276" w:lineRule="auto"/>
              <w:jc w:val="both"/>
              <w:rPr>
                <w:rFonts w:ascii="Times New Roman" w:eastAsia="Times New Roman" w:hAnsi="Times New Roman" w:cs="Times New Roman"/>
                <w:sz w:val="24"/>
                <w:szCs w:val="24"/>
              </w:rPr>
            </w:pPr>
          </w:p>
        </w:tc>
      </w:tr>
      <w:tr w:rsidR="007440A2" w:rsidRPr="0061449F" w14:paraId="2F5DDC49" w14:textId="77777777" w:rsidTr="003F6980">
        <w:tc>
          <w:tcPr>
            <w:tcW w:w="4675" w:type="dxa"/>
          </w:tcPr>
          <w:p w14:paraId="4614F4C5" w14:textId="77777777" w:rsidR="0061449F" w:rsidRPr="0061449F" w:rsidRDefault="0061449F" w:rsidP="0061449F">
            <w:pPr>
              <w:spacing w:line="276" w:lineRule="auto"/>
              <w:jc w:val="both"/>
              <w:rPr>
                <w:rFonts w:ascii="Times New Roman" w:eastAsia="Times New Roman" w:hAnsi="Times New Roman" w:cs="Times New Roman"/>
                <w:sz w:val="24"/>
                <w:szCs w:val="24"/>
              </w:rPr>
            </w:pPr>
            <w:r w:rsidRPr="0061449F">
              <w:rPr>
                <w:rFonts w:ascii="Times New Roman" w:eastAsia="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46C1970F" wp14:editId="0BCCEED2">
                      <wp:simplePos x="0" y="0"/>
                      <wp:positionH relativeFrom="column">
                        <wp:posOffset>876162</wp:posOffset>
                      </wp:positionH>
                      <wp:positionV relativeFrom="paragraph">
                        <wp:posOffset>83213</wp:posOffset>
                      </wp:positionV>
                      <wp:extent cx="691156" cy="79513"/>
                      <wp:effectExtent l="0" t="19050" r="33020" b="34925"/>
                      <wp:wrapNone/>
                      <wp:docPr id="9" name="Right Arrow 9"/>
                      <wp:cNvGraphicFramePr/>
                      <a:graphic xmlns:a="http://schemas.openxmlformats.org/drawingml/2006/main">
                        <a:graphicData uri="http://schemas.microsoft.com/office/word/2010/wordprocessingShape">
                          <wps:wsp>
                            <wps:cNvSpPr/>
                            <wps:spPr>
                              <a:xfrm>
                                <a:off x="0" y="0"/>
                                <a:ext cx="691156" cy="79513"/>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82A83C" id="Right Arrow 9" o:spid="_x0000_s1026" type="#_x0000_t13" style="position:absolute;margin-left:69pt;margin-top:6.55pt;width:54.4pt;height: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" adj="20358" fillcolor="#5b9bd5" strokecolor="#41719c" strokeweight="1pt"/>
                  </w:pict>
                </mc:Fallback>
              </mc:AlternateContent>
            </w:r>
            <w:r w:rsidRPr="0061449F">
              <w:rPr>
                <w:rFonts w:ascii="Times New Roman" w:eastAsia="Times New Roman" w:hAnsi="Times New Roman" w:cs="Times New Roman"/>
                <w:sz w:val="24"/>
                <w:szCs w:val="24"/>
              </w:rPr>
              <w:t>Faza 4</w:t>
            </w:r>
          </w:p>
        </w:tc>
        <w:tc>
          <w:tcPr>
            <w:tcW w:w="4675" w:type="dxa"/>
          </w:tcPr>
          <w:p w14:paraId="2CFF0701" w14:textId="77777777" w:rsidR="0061449F" w:rsidRPr="0061449F" w:rsidRDefault="0061449F" w:rsidP="0061449F">
            <w:pPr>
              <w:spacing w:line="276" w:lineRule="auto"/>
              <w:jc w:val="both"/>
              <w:rPr>
                <w:rFonts w:ascii="Times New Roman" w:eastAsia="Times New Roman" w:hAnsi="Times New Roman" w:cs="Times New Roman"/>
                <w:sz w:val="24"/>
                <w:szCs w:val="24"/>
              </w:rPr>
            </w:pPr>
            <w:r w:rsidRPr="0061449F">
              <w:rPr>
                <w:rFonts w:ascii="Times New Roman" w:eastAsia="Times New Roman" w:hAnsi="Times New Roman" w:cs="Times New Roman"/>
                <w:sz w:val="24"/>
                <w:szCs w:val="24"/>
              </w:rPr>
              <w:t>Organizimi i mbledhjes së Ekipit Tematik</w:t>
            </w:r>
            <w:r w:rsidRPr="0061449F">
              <w:rPr>
                <w:rFonts w:ascii="Calibri" w:eastAsia="Times New Roman" w:hAnsi="Calibri" w:cs="Times New Roman"/>
              </w:rPr>
              <w:t xml:space="preserve"> </w:t>
            </w:r>
            <w:r w:rsidRPr="0061449F">
              <w:rPr>
                <w:rFonts w:ascii="Times New Roman" w:eastAsia="Times New Roman" w:hAnsi="Times New Roman" w:cs="Times New Roman"/>
                <w:sz w:val="24"/>
                <w:szCs w:val="24"/>
              </w:rPr>
              <w:t>për konsultimin e paketës së konsoliduar dhe marrjen e komenteve nga aktorët.</w:t>
            </w:r>
          </w:p>
          <w:p w14:paraId="4EBC783F" w14:textId="77777777" w:rsidR="0061449F" w:rsidRPr="0061449F" w:rsidRDefault="0061449F" w:rsidP="0061449F">
            <w:pPr>
              <w:spacing w:line="276" w:lineRule="auto"/>
              <w:jc w:val="both"/>
              <w:rPr>
                <w:rFonts w:ascii="Times New Roman" w:eastAsia="Times New Roman" w:hAnsi="Times New Roman" w:cs="Times New Roman"/>
                <w:sz w:val="24"/>
                <w:szCs w:val="24"/>
              </w:rPr>
            </w:pPr>
          </w:p>
        </w:tc>
      </w:tr>
      <w:tr w:rsidR="007440A2" w:rsidRPr="0061449F" w14:paraId="7C6AE4D0" w14:textId="77777777" w:rsidTr="003F6980">
        <w:tc>
          <w:tcPr>
            <w:tcW w:w="4675" w:type="dxa"/>
          </w:tcPr>
          <w:p w14:paraId="3ED8965D" w14:textId="77777777" w:rsidR="0061449F" w:rsidRPr="0061449F" w:rsidRDefault="0061449F" w:rsidP="0061449F">
            <w:pPr>
              <w:spacing w:line="276" w:lineRule="auto"/>
              <w:jc w:val="both"/>
              <w:rPr>
                <w:rFonts w:ascii="Times New Roman" w:eastAsia="Times New Roman" w:hAnsi="Times New Roman" w:cs="Times New Roman"/>
                <w:sz w:val="24"/>
                <w:szCs w:val="24"/>
              </w:rPr>
            </w:pPr>
            <w:r w:rsidRPr="0061449F">
              <w:rPr>
                <w:rFonts w:ascii="Times New Roman" w:eastAsia="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4FF2B5FF" wp14:editId="2D3CCAF5">
                      <wp:simplePos x="0" y="0"/>
                      <wp:positionH relativeFrom="column">
                        <wp:posOffset>860011</wp:posOffset>
                      </wp:positionH>
                      <wp:positionV relativeFrom="paragraph">
                        <wp:posOffset>76200</wp:posOffset>
                      </wp:positionV>
                      <wp:extent cx="691156" cy="79513"/>
                      <wp:effectExtent l="0" t="19050" r="33020" b="34925"/>
                      <wp:wrapNone/>
                      <wp:docPr id="10" name="Right Arrow 10"/>
                      <wp:cNvGraphicFramePr/>
                      <a:graphic xmlns:a="http://schemas.openxmlformats.org/drawingml/2006/main">
                        <a:graphicData uri="http://schemas.microsoft.com/office/word/2010/wordprocessingShape">
                          <wps:wsp>
                            <wps:cNvSpPr/>
                            <wps:spPr>
                              <a:xfrm>
                                <a:off x="0" y="0"/>
                                <a:ext cx="691156" cy="79513"/>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A64F6E" id="Right Arrow 10" o:spid="_x0000_s1026" type="#_x0000_t13" style="position:absolute;margin-left:67.7pt;margin-top:6pt;width:54.4pt;height: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" adj="20358" fillcolor="#5b9bd5" strokecolor="#41719c" strokeweight="1pt"/>
                  </w:pict>
                </mc:Fallback>
              </mc:AlternateContent>
            </w:r>
            <w:r w:rsidRPr="0061449F">
              <w:rPr>
                <w:rFonts w:ascii="Times New Roman" w:eastAsia="Times New Roman" w:hAnsi="Times New Roman" w:cs="Times New Roman"/>
                <w:sz w:val="24"/>
                <w:szCs w:val="24"/>
              </w:rPr>
              <w:t>Faza 5</w:t>
            </w:r>
          </w:p>
        </w:tc>
        <w:tc>
          <w:tcPr>
            <w:tcW w:w="4675" w:type="dxa"/>
          </w:tcPr>
          <w:p w14:paraId="160D5052" w14:textId="77777777" w:rsidR="0061449F" w:rsidRPr="0061449F" w:rsidRDefault="0061449F" w:rsidP="0061449F">
            <w:pPr>
              <w:spacing w:line="276" w:lineRule="auto"/>
              <w:jc w:val="both"/>
              <w:rPr>
                <w:rFonts w:ascii="Times New Roman" w:eastAsia="Times New Roman" w:hAnsi="Times New Roman" w:cs="Times New Roman"/>
                <w:sz w:val="24"/>
                <w:szCs w:val="24"/>
                <w:lang w:val="it-IT"/>
              </w:rPr>
            </w:pPr>
            <w:r w:rsidRPr="0061449F">
              <w:rPr>
                <w:rFonts w:ascii="Times New Roman" w:eastAsia="Times New Roman" w:hAnsi="Times New Roman" w:cs="Times New Roman"/>
                <w:sz w:val="24"/>
                <w:szCs w:val="24"/>
                <w:lang w:val="it-IT"/>
              </w:rPr>
              <w:t>Reflektimi i komenteve dhe finalizimi i paketës së Raportit të Monitorimit.</w:t>
            </w:r>
          </w:p>
          <w:p w14:paraId="17CF07CC" w14:textId="77777777" w:rsidR="0061449F" w:rsidRPr="0061449F" w:rsidRDefault="0061449F" w:rsidP="0061449F">
            <w:pPr>
              <w:spacing w:line="276" w:lineRule="auto"/>
              <w:jc w:val="both"/>
              <w:rPr>
                <w:rFonts w:ascii="Times New Roman" w:eastAsia="Times New Roman" w:hAnsi="Times New Roman" w:cs="Times New Roman"/>
                <w:sz w:val="24"/>
                <w:szCs w:val="24"/>
                <w:lang w:val="it-IT"/>
              </w:rPr>
            </w:pPr>
          </w:p>
        </w:tc>
      </w:tr>
      <w:tr w:rsidR="007440A2" w:rsidRPr="0061449F" w14:paraId="25571547" w14:textId="77777777" w:rsidTr="003F6980">
        <w:tc>
          <w:tcPr>
            <w:tcW w:w="4675" w:type="dxa"/>
          </w:tcPr>
          <w:p w14:paraId="2BD8F93F" w14:textId="77777777" w:rsidR="0061449F" w:rsidRPr="0061449F" w:rsidRDefault="0061449F" w:rsidP="0061449F">
            <w:pPr>
              <w:spacing w:line="276" w:lineRule="auto"/>
              <w:jc w:val="both"/>
              <w:rPr>
                <w:rFonts w:ascii="Times New Roman" w:eastAsia="Times New Roman" w:hAnsi="Times New Roman" w:cs="Times New Roman"/>
                <w:sz w:val="24"/>
                <w:szCs w:val="24"/>
              </w:rPr>
            </w:pPr>
            <w:r w:rsidRPr="0061449F">
              <w:rPr>
                <w:rFonts w:ascii="Times New Roman" w:eastAsia="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1042F23F" wp14:editId="73541B2C">
                      <wp:simplePos x="0" y="0"/>
                      <wp:positionH relativeFrom="column">
                        <wp:posOffset>868294</wp:posOffset>
                      </wp:positionH>
                      <wp:positionV relativeFrom="paragraph">
                        <wp:posOffset>72473</wp:posOffset>
                      </wp:positionV>
                      <wp:extent cx="691156" cy="79513"/>
                      <wp:effectExtent l="0" t="19050" r="33020" b="34925"/>
                      <wp:wrapNone/>
                      <wp:docPr id="11" name="Right Arrow 11"/>
                      <wp:cNvGraphicFramePr/>
                      <a:graphic xmlns:a="http://schemas.openxmlformats.org/drawingml/2006/main">
                        <a:graphicData uri="http://schemas.microsoft.com/office/word/2010/wordprocessingShape">
                          <wps:wsp>
                            <wps:cNvSpPr/>
                            <wps:spPr>
                              <a:xfrm>
                                <a:off x="0" y="0"/>
                                <a:ext cx="691156" cy="79513"/>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011C20" id="Right Arrow 11" o:spid="_x0000_s1026" type="#_x0000_t13" style="position:absolute;margin-left:68.35pt;margin-top:5.7pt;width:54.4pt;height: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" adj="20358" fillcolor="#5b9bd5" strokecolor="#41719c" strokeweight="1pt"/>
                  </w:pict>
                </mc:Fallback>
              </mc:AlternateContent>
            </w:r>
            <w:r w:rsidRPr="0061449F">
              <w:rPr>
                <w:rFonts w:ascii="Times New Roman" w:eastAsia="Times New Roman" w:hAnsi="Times New Roman" w:cs="Times New Roman"/>
                <w:sz w:val="24"/>
                <w:szCs w:val="24"/>
              </w:rPr>
              <w:t>Faza 6</w:t>
            </w:r>
          </w:p>
        </w:tc>
        <w:tc>
          <w:tcPr>
            <w:tcW w:w="4675" w:type="dxa"/>
          </w:tcPr>
          <w:p w14:paraId="3DDEBF20" w14:textId="77777777" w:rsidR="0061449F" w:rsidRPr="0061449F" w:rsidRDefault="0061449F" w:rsidP="0061449F">
            <w:pPr>
              <w:spacing w:line="276" w:lineRule="auto"/>
              <w:jc w:val="both"/>
              <w:rPr>
                <w:rFonts w:ascii="Times New Roman" w:eastAsia="Times New Roman" w:hAnsi="Times New Roman" w:cs="Times New Roman"/>
                <w:sz w:val="24"/>
                <w:szCs w:val="24"/>
                <w:lang w:val="it-IT"/>
              </w:rPr>
            </w:pPr>
            <w:r w:rsidRPr="0061449F">
              <w:rPr>
                <w:rFonts w:ascii="Times New Roman" w:eastAsia="Times New Roman" w:hAnsi="Times New Roman" w:cs="Times New Roman"/>
                <w:sz w:val="24"/>
                <w:szCs w:val="24"/>
                <w:lang w:val="it-IT"/>
              </w:rPr>
              <w:t>Publikimi i raporteve të monitorimit.</w:t>
            </w:r>
          </w:p>
        </w:tc>
      </w:tr>
    </w:tbl>
    <w:p w14:paraId="18D818CA" w14:textId="77777777" w:rsidR="0061449F" w:rsidRPr="0061449F" w:rsidRDefault="0061449F" w:rsidP="0061449F">
      <w:pPr>
        <w:spacing w:line="276" w:lineRule="auto"/>
        <w:jc w:val="both"/>
        <w:rPr>
          <w:rFonts w:ascii="Calibri" w:eastAsia="Calibri" w:hAnsi="Calibri" w:cs="Times New Roman"/>
          <w:lang w:val="it-IT"/>
        </w:rPr>
      </w:pPr>
    </w:p>
    <w:p w14:paraId="353BC89D"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t xml:space="preserve">Ministria e Drejtësisë do të jetë institucioni udhëheqës, i cili do të mbledhë, përpunojë dhe analizojë raportet periodike 6-mujore dhe 1-vjeçare që do të përcillen nga të gjitha institucionet e ngarkuara në përmbushje të objektivave dhe masave përkatëse. </w:t>
      </w:r>
    </w:p>
    <w:p w14:paraId="518BF099" w14:textId="77777777" w:rsidR="0061449F" w:rsidRPr="0061449F" w:rsidRDefault="0061449F" w:rsidP="0061449F">
      <w:pPr>
        <w:spacing w:line="276" w:lineRule="auto"/>
        <w:jc w:val="both"/>
        <w:rPr>
          <w:rFonts w:ascii="Times New Roman" w:eastAsia="Calibri" w:hAnsi="Times New Roman" w:cs="Times New Roman"/>
          <w:sz w:val="24"/>
          <w:szCs w:val="24"/>
          <w:lang w:val="it-IT"/>
        </w:rPr>
      </w:pPr>
      <w:r w:rsidRPr="0061449F">
        <w:rPr>
          <w:rFonts w:ascii="Times New Roman" w:eastAsia="Calibri" w:hAnsi="Times New Roman" w:cs="Times New Roman"/>
          <w:sz w:val="24"/>
          <w:szCs w:val="24"/>
          <w:lang w:val="it-IT"/>
        </w:rPr>
        <w:lastRenderedPageBreak/>
        <w:t xml:space="preserve">Institucionet duhet të raportojnë periodikisht për realizimin e masave, me periodicitet 6 mujor përmes të dhënave të raportuara në Sistemin Informativ për Planifikimin Strategjik të Integruar (IPSIS) në Këshillin e Ministrave dhe në Sekretariatin Teknik. </w:t>
      </w:r>
    </w:p>
    <w:p w14:paraId="0099F4F4" w14:textId="77777777" w:rsidR="0061449F" w:rsidRPr="0061449F" w:rsidRDefault="0061449F" w:rsidP="0061449F">
      <w:pPr>
        <w:spacing w:line="276" w:lineRule="auto"/>
        <w:jc w:val="both"/>
        <w:rPr>
          <w:rFonts w:ascii="Times New Roman" w:eastAsia="Calibri" w:hAnsi="Times New Roman" w:cs="Times New Roman"/>
          <w:noProof/>
          <w:sz w:val="24"/>
          <w:szCs w:val="24"/>
          <w:lang w:val="it-IT"/>
        </w:rPr>
      </w:pPr>
      <w:r w:rsidRPr="0061449F">
        <w:rPr>
          <w:rFonts w:ascii="Times New Roman" w:eastAsia="Calibri" w:hAnsi="Times New Roman" w:cs="Times New Roman"/>
          <w:noProof/>
          <w:sz w:val="24"/>
          <w:szCs w:val="24"/>
          <w:lang w:val="it-IT"/>
        </w:rPr>
        <w:t xml:space="preserve">Përfaqësuesit në Ministritë e Linjës do të punojnë me përfaqësuesit në nivel rajonal dhe vendor për të përmirësuar cilësinë e të dhënave. Nevojitet ngritja e kapaciteteve për të garantuar që të gjitha institucionet shtetërore përkatëse të mund të mbledhin të dhënat e nevojshme për monitorimin e zbatimit të </w:t>
      </w:r>
      <w:r w:rsidRPr="0061449F">
        <w:rPr>
          <w:rFonts w:ascii="Times New Roman" w:eastAsia="Calibri" w:hAnsi="Times New Roman" w:cs="Times New Roman"/>
          <w:sz w:val="24"/>
          <w:szCs w:val="24"/>
          <w:lang w:val="it-IT"/>
        </w:rPr>
        <w:t xml:space="preserve">“SND 2024-2030” </w:t>
      </w:r>
      <w:r w:rsidRPr="0061449F">
        <w:rPr>
          <w:rFonts w:ascii="Times New Roman" w:eastAsia="Calibri" w:hAnsi="Times New Roman" w:cs="Times New Roman"/>
          <w:noProof/>
          <w:sz w:val="24"/>
          <w:szCs w:val="24"/>
          <w:lang w:val="it-IT"/>
        </w:rPr>
        <w:t xml:space="preserve">duke patur në fokus reformat në drejtësi. </w:t>
      </w:r>
    </w:p>
    <w:p w14:paraId="2D56E02D" w14:textId="77777777" w:rsidR="0061449F" w:rsidRPr="0061449F" w:rsidRDefault="0061449F" w:rsidP="0061449F">
      <w:pPr>
        <w:spacing w:line="276" w:lineRule="auto"/>
        <w:jc w:val="both"/>
        <w:rPr>
          <w:rFonts w:ascii="Times New Roman" w:eastAsia="Calibri" w:hAnsi="Times New Roman" w:cs="Times New Roman"/>
          <w:noProof/>
          <w:sz w:val="24"/>
          <w:szCs w:val="24"/>
          <w:lang w:val="it-IT"/>
        </w:rPr>
      </w:pPr>
    </w:p>
    <w:p w14:paraId="78E2E647" w14:textId="77777777" w:rsidR="0061449F" w:rsidRPr="0061449F" w:rsidRDefault="0061449F" w:rsidP="0061449F">
      <w:pPr>
        <w:numPr>
          <w:ilvl w:val="0"/>
          <w:numId w:val="9"/>
        </w:numPr>
        <w:spacing w:line="276" w:lineRule="auto"/>
        <w:contextualSpacing/>
        <w:jc w:val="both"/>
        <w:rPr>
          <w:rFonts w:ascii="Times New Roman" w:eastAsia="Calibri" w:hAnsi="Times New Roman" w:cs="Times New Roman"/>
          <w:b/>
          <w:bCs/>
          <w:sz w:val="24"/>
          <w:szCs w:val="24"/>
        </w:rPr>
      </w:pPr>
      <w:r w:rsidRPr="0061449F">
        <w:rPr>
          <w:rFonts w:ascii="Times New Roman" w:eastAsia="Calibri" w:hAnsi="Times New Roman" w:cs="Times New Roman"/>
          <w:b/>
          <w:bCs/>
          <w:sz w:val="24"/>
          <w:szCs w:val="24"/>
        </w:rPr>
        <w:t>Vlerësimi</w:t>
      </w:r>
    </w:p>
    <w:p w14:paraId="33A92585" w14:textId="77777777" w:rsidR="0061449F" w:rsidRPr="0061449F" w:rsidRDefault="0061449F" w:rsidP="0061449F">
      <w:pPr>
        <w:spacing w:line="276" w:lineRule="auto"/>
        <w:jc w:val="both"/>
        <w:rPr>
          <w:rFonts w:ascii="Times New Roman" w:eastAsia="Calibri" w:hAnsi="Times New Roman" w:cs="Times New Roman"/>
          <w:sz w:val="24"/>
          <w:szCs w:val="24"/>
        </w:rPr>
      </w:pPr>
      <w:r w:rsidRPr="0061449F">
        <w:rPr>
          <w:rFonts w:ascii="Times New Roman" w:eastAsia="Calibri" w:hAnsi="Times New Roman" w:cs="Times New Roman"/>
          <w:sz w:val="24"/>
          <w:szCs w:val="24"/>
        </w:rPr>
        <w:t>Për shkak të kohëzgjatjes shtatëvjeçare të zbatimit të strategjisë kombëtare dhe përputhjes së saj me OZHQ-të, është menduar që përveç monitorimeve të zbatimit të kësaj strategjie, të ketë edhe një proces vlerësimi të pëgjithshëm gjatë vitit të katërt të zbatimit të saj. Bazuar mbi këtë vlerësim mund të ndyshohen/hiqen (nëse janë realizuar plotësisht) dhe shtohen jo vetëm veprime e masa, por edhe objektiva specifikë nën qëllimet strategjike bazë të dokumentit.</w:t>
      </w:r>
    </w:p>
    <w:p w14:paraId="0D47930A" w14:textId="02A1951D" w:rsidR="007A7A71" w:rsidRPr="007440A2" w:rsidRDefault="007A7A71" w:rsidP="007A7A71">
      <w:pPr>
        <w:spacing w:line="276" w:lineRule="auto"/>
        <w:jc w:val="both"/>
      </w:pPr>
    </w:p>
    <w:p w14:paraId="548C1F67" w14:textId="77777777" w:rsidR="0061449F" w:rsidRPr="007440A2" w:rsidRDefault="0061449F" w:rsidP="007A7A71">
      <w:pPr>
        <w:spacing w:line="276" w:lineRule="auto"/>
        <w:jc w:val="both"/>
      </w:pPr>
    </w:p>
    <w:p w14:paraId="20003049" w14:textId="77777777" w:rsidR="0061449F" w:rsidRPr="007440A2" w:rsidRDefault="0061449F" w:rsidP="007A7A71">
      <w:pPr>
        <w:spacing w:line="276" w:lineRule="auto"/>
        <w:jc w:val="both"/>
      </w:pPr>
    </w:p>
    <w:p w14:paraId="0A235D35" w14:textId="77777777" w:rsidR="0061449F" w:rsidRPr="007440A2" w:rsidRDefault="0061449F" w:rsidP="007A7A71">
      <w:pPr>
        <w:spacing w:line="276" w:lineRule="auto"/>
        <w:jc w:val="both"/>
      </w:pPr>
    </w:p>
    <w:p w14:paraId="7622B3F7" w14:textId="77777777" w:rsidR="0061449F" w:rsidRPr="007440A2" w:rsidRDefault="0061449F" w:rsidP="007A7A71">
      <w:pPr>
        <w:spacing w:line="276" w:lineRule="auto"/>
        <w:jc w:val="both"/>
      </w:pPr>
    </w:p>
    <w:p w14:paraId="53F1530E" w14:textId="77777777" w:rsidR="0061449F" w:rsidRPr="007440A2" w:rsidRDefault="0061449F" w:rsidP="007A7A71">
      <w:pPr>
        <w:spacing w:line="276" w:lineRule="auto"/>
        <w:jc w:val="both"/>
      </w:pPr>
    </w:p>
    <w:p w14:paraId="28737D73" w14:textId="77777777" w:rsidR="0061449F" w:rsidRPr="007440A2" w:rsidRDefault="0061449F" w:rsidP="007A7A71">
      <w:pPr>
        <w:spacing w:line="276" w:lineRule="auto"/>
        <w:jc w:val="both"/>
      </w:pPr>
    </w:p>
    <w:p w14:paraId="34B909FC" w14:textId="77777777" w:rsidR="0061449F" w:rsidRPr="007440A2" w:rsidRDefault="0061449F" w:rsidP="007A7A71">
      <w:pPr>
        <w:spacing w:line="276" w:lineRule="auto"/>
        <w:jc w:val="both"/>
      </w:pPr>
    </w:p>
    <w:p w14:paraId="38213CFB" w14:textId="77777777" w:rsidR="0061449F" w:rsidRPr="007440A2" w:rsidRDefault="0061449F" w:rsidP="007A7A71">
      <w:pPr>
        <w:spacing w:line="276" w:lineRule="auto"/>
        <w:jc w:val="both"/>
      </w:pPr>
    </w:p>
    <w:p w14:paraId="5A2346D5" w14:textId="77777777" w:rsidR="0061449F" w:rsidRDefault="0061449F" w:rsidP="007A7A71">
      <w:pPr>
        <w:spacing w:line="276" w:lineRule="auto"/>
        <w:jc w:val="both"/>
      </w:pPr>
    </w:p>
    <w:p w14:paraId="5D14DED6" w14:textId="77777777" w:rsidR="005A5BC6" w:rsidRDefault="005A5BC6" w:rsidP="007A7A71">
      <w:pPr>
        <w:spacing w:line="276" w:lineRule="auto"/>
        <w:jc w:val="both"/>
      </w:pPr>
    </w:p>
    <w:p w14:paraId="4875E692" w14:textId="77777777" w:rsidR="005A5BC6" w:rsidRDefault="005A5BC6" w:rsidP="007A7A71">
      <w:pPr>
        <w:spacing w:line="276" w:lineRule="auto"/>
        <w:jc w:val="both"/>
      </w:pPr>
    </w:p>
    <w:p w14:paraId="2937A0DC" w14:textId="77777777" w:rsidR="005A5BC6" w:rsidRDefault="005A5BC6" w:rsidP="007A7A71">
      <w:pPr>
        <w:spacing w:line="276" w:lineRule="auto"/>
        <w:jc w:val="both"/>
      </w:pPr>
    </w:p>
    <w:p w14:paraId="114649B1" w14:textId="77777777" w:rsidR="005A5BC6" w:rsidRDefault="005A5BC6" w:rsidP="007A7A71">
      <w:pPr>
        <w:spacing w:line="276" w:lineRule="auto"/>
        <w:jc w:val="both"/>
      </w:pPr>
    </w:p>
    <w:p w14:paraId="39CBBDBC" w14:textId="77777777" w:rsidR="005A5BC6" w:rsidRDefault="005A5BC6" w:rsidP="007A7A71">
      <w:pPr>
        <w:spacing w:line="276" w:lineRule="auto"/>
        <w:jc w:val="both"/>
      </w:pPr>
    </w:p>
    <w:p w14:paraId="5FCD92D5" w14:textId="77777777" w:rsidR="005A5BC6" w:rsidRDefault="005A5BC6" w:rsidP="007A7A71">
      <w:pPr>
        <w:spacing w:line="276" w:lineRule="auto"/>
        <w:jc w:val="both"/>
      </w:pPr>
    </w:p>
    <w:p w14:paraId="0C27193E" w14:textId="77777777" w:rsidR="005A5BC6" w:rsidRDefault="005A5BC6" w:rsidP="007A7A71">
      <w:pPr>
        <w:spacing w:line="276" w:lineRule="auto"/>
        <w:jc w:val="both"/>
      </w:pPr>
    </w:p>
    <w:p w14:paraId="5FDDF0E1" w14:textId="77777777" w:rsidR="00E505F9" w:rsidRPr="007440A2" w:rsidRDefault="00E505F9" w:rsidP="007A7A71">
      <w:pPr>
        <w:spacing w:line="276" w:lineRule="auto"/>
        <w:jc w:val="both"/>
      </w:pPr>
    </w:p>
    <w:p w14:paraId="2969BC3C" w14:textId="05FB4950" w:rsidR="006B677E" w:rsidRPr="006B677E" w:rsidRDefault="00E505F9" w:rsidP="006B677E">
      <w:pPr>
        <w:pBdr>
          <w:bottom w:val="single" w:sz="24" w:space="1" w:color="F0CDA1"/>
        </w:pBdr>
        <w:spacing w:before="120" w:after="120" w:line="288" w:lineRule="auto"/>
        <w:rPr>
          <w:rFonts w:ascii="Times New Roman" w:eastAsia="Arial" w:hAnsi="Times New Roman" w:cs="Times New Roman"/>
          <w:b/>
          <w:sz w:val="40"/>
          <w:szCs w:val="40"/>
          <w:lang w:val="it-IT"/>
        </w:rPr>
      </w:pPr>
      <w:r w:rsidRPr="007440A2">
        <w:rPr>
          <w:rFonts w:ascii="Times New Roman" w:eastAsia="Arial" w:hAnsi="Times New Roman" w:cs="Times New Roman"/>
          <w:b/>
          <w:sz w:val="40"/>
          <w:szCs w:val="40"/>
          <w:lang w:val="it-IT"/>
        </w:rPr>
        <w:lastRenderedPageBreak/>
        <w:t>PJESA IV – ANALIZA E BUXHETIT</w:t>
      </w:r>
    </w:p>
    <w:p w14:paraId="5867213D" w14:textId="77777777" w:rsidR="006B677E" w:rsidRPr="00F72F1D" w:rsidRDefault="006B677E" w:rsidP="006B677E">
      <w:pPr>
        <w:spacing w:after="0"/>
        <w:jc w:val="both"/>
        <w:rPr>
          <w:rFonts w:ascii="Times New Roman" w:hAnsi="Times New Roman"/>
          <w:color w:val="000000" w:themeColor="text1"/>
          <w:sz w:val="24"/>
          <w:szCs w:val="24"/>
        </w:rPr>
      </w:pPr>
      <w:r w:rsidRPr="00F72F1D">
        <w:rPr>
          <w:rFonts w:ascii="Times New Roman" w:hAnsi="Times New Roman"/>
          <w:color w:val="000000" w:themeColor="text1"/>
          <w:sz w:val="24"/>
          <w:szCs w:val="24"/>
        </w:rPr>
        <w:t xml:space="preserve">Në këtë kapitull të strategjisë paraqitet shpërndarja e kostove treguese dhe burimet financiare për financimin e aktiviteteve të </w:t>
      </w:r>
      <w:bookmarkStart w:id="21" w:name="_Hlk89013352"/>
      <w:r w:rsidRPr="00F72F1D">
        <w:rPr>
          <w:rFonts w:ascii="Times New Roman" w:hAnsi="Times New Roman"/>
          <w:color w:val="000000" w:themeColor="text1"/>
          <w:sz w:val="24"/>
          <w:szCs w:val="24"/>
        </w:rPr>
        <w:t xml:space="preserve">Planit të veprimit për zbatimin </w:t>
      </w:r>
      <w:bookmarkStart w:id="22" w:name="_Hlk144064402"/>
      <w:r w:rsidRPr="00F72F1D">
        <w:rPr>
          <w:rFonts w:ascii="Times New Roman" w:hAnsi="Times New Roman"/>
          <w:color w:val="000000" w:themeColor="text1"/>
          <w:sz w:val="24"/>
          <w:szCs w:val="24"/>
        </w:rPr>
        <w:t>e Strategjisë Kombëtare të Drejtësisë 2024-20</w:t>
      </w:r>
      <w:bookmarkEnd w:id="21"/>
      <w:r w:rsidRPr="00F72F1D">
        <w:rPr>
          <w:rFonts w:ascii="Times New Roman" w:hAnsi="Times New Roman"/>
          <w:color w:val="000000" w:themeColor="text1"/>
          <w:sz w:val="24"/>
          <w:szCs w:val="24"/>
        </w:rPr>
        <w:t>30</w:t>
      </w:r>
      <w:bookmarkEnd w:id="22"/>
      <w:r w:rsidRPr="00F72F1D">
        <w:rPr>
          <w:rFonts w:ascii="Times New Roman" w:hAnsi="Times New Roman"/>
          <w:color w:val="000000" w:themeColor="text1"/>
          <w:sz w:val="24"/>
          <w:szCs w:val="24"/>
        </w:rPr>
        <w:t>. Kostimi i Strategjisë u realizua mbështetur në metodologjinë dhe praktikën e planifikimit buxhetor, ndërsa vlerësimi i kostove indikative është mbështetur në objektivat dhe treguesit e përcaktuar për arritjen e tyre, si dhe në masat, aktivitetet dhe produktet e identifikuara për secilin aktivitet. Përllogaritjet buxhetore janë bërë duke përdorur instrumentin e rekomanduar nga IPSIS, të përshtatur sipas udhëzimeve përkatëse.</w:t>
      </w:r>
    </w:p>
    <w:p w14:paraId="0772FA07" w14:textId="77777777" w:rsidR="006B677E" w:rsidRPr="00F72F1D" w:rsidRDefault="006B677E" w:rsidP="006B677E">
      <w:pPr>
        <w:spacing w:after="0"/>
        <w:jc w:val="both"/>
        <w:rPr>
          <w:rFonts w:ascii="Times New Roman" w:hAnsi="Times New Roman"/>
          <w:color w:val="000000" w:themeColor="text1"/>
          <w:sz w:val="24"/>
          <w:szCs w:val="24"/>
        </w:rPr>
      </w:pPr>
    </w:p>
    <w:p w14:paraId="60EEA25A" w14:textId="77777777" w:rsidR="006B677E" w:rsidRPr="00F72F1D" w:rsidRDefault="006B677E" w:rsidP="006B677E">
      <w:pPr>
        <w:spacing w:after="0"/>
        <w:jc w:val="both"/>
        <w:rPr>
          <w:rFonts w:ascii="Times New Roman" w:hAnsi="Times New Roman"/>
          <w:color w:val="000000" w:themeColor="text1"/>
          <w:sz w:val="24"/>
          <w:szCs w:val="24"/>
        </w:rPr>
      </w:pPr>
      <w:r w:rsidRPr="00F72F1D">
        <w:rPr>
          <w:rFonts w:ascii="Times New Roman" w:hAnsi="Times New Roman"/>
          <w:color w:val="000000" w:themeColor="text1"/>
          <w:sz w:val="24"/>
          <w:szCs w:val="24"/>
        </w:rPr>
        <w:t>Procesi i kostimit u mbëshetet gjithashtu në konsultimin me Programin Buxhetor Afatmesëm 2024-2026 (faza e II), në konsultimet me të gjitha institucionet përgjegjëse për zbatimin e planit të veprimit, si dhe në kostot historike nga zbatimi i strategjive së mëparshme dhe strategjive të ngjashme. Në disa raste janë marr në konsideratë dhe kostot e produkteve të PBA-së ose projekte të ngjajshme.</w:t>
      </w:r>
    </w:p>
    <w:p w14:paraId="3DD73F4C" w14:textId="77777777" w:rsidR="006B677E" w:rsidRPr="00F72F1D" w:rsidRDefault="006B677E" w:rsidP="006B677E">
      <w:pPr>
        <w:spacing w:after="0"/>
        <w:jc w:val="both"/>
        <w:rPr>
          <w:rFonts w:ascii="Times New Roman" w:hAnsi="Times New Roman"/>
          <w:color w:val="000000" w:themeColor="text1"/>
          <w:sz w:val="24"/>
          <w:szCs w:val="24"/>
        </w:rPr>
      </w:pPr>
    </w:p>
    <w:p w14:paraId="05A40FF8" w14:textId="77777777" w:rsidR="006B677E" w:rsidRPr="00F72F1D" w:rsidRDefault="006B677E" w:rsidP="006B677E">
      <w:pPr>
        <w:spacing w:after="0"/>
        <w:jc w:val="both"/>
        <w:rPr>
          <w:rFonts w:ascii="Times New Roman" w:hAnsi="Times New Roman"/>
          <w:color w:val="000000" w:themeColor="text1"/>
          <w:sz w:val="24"/>
          <w:szCs w:val="24"/>
        </w:rPr>
      </w:pPr>
      <w:r w:rsidRPr="00F72F1D">
        <w:rPr>
          <w:rFonts w:ascii="Times New Roman" w:hAnsi="Times New Roman"/>
          <w:color w:val="000000" w:themeColor="text1"/>
          <w:sz w:val="24"/>
          <w:szCs w:val="24"/>
        </w:rPr>
        <w:t>Plani i veprimit për zbatimin e kësaj strategjie shoqërohet me një kostim analitik të secilës masë, i mbështetur në një detajim të hollësishëm të shpenzimeve për çdo aktivitet.</w:t>
      </w:r>
    </w:p>
    <w:p w14:paraId="020549E8" w14:textId="77777777" w:rsidR="006B677E" w:rsidRPr="00F72F1D" w:rsidRDefault="006B677E" w:rsidP="006B677E">
      <w:pPr>
        <w:spacing w:after="0"/>
        <w:jc w:val="both"/>
        <w:rPr>
          <w:rFonts w:ascii="Times New Roman" w:hAnsi="Times New Roman"/>
          <w:color w:val="000000" w:themeColor="text1"/>
          <w:sz w:val="24"/>
          <w:szCs w:val="24"/>
        </w:rPr>
      </w:pPr>
    </w:p>
    <w:p w14:paraId="1FF0EE39" w14:textId="77777777" w:rsidR="006B677E" w:rsidRPr="00F72F1D" w:rsidRDefault="006B677E" w:rsidP="006B677E">
      <w:pPr>
        <w:spacing w:after="0"/>
        <w:jc w:val="both"/>
        <w:rPr>
          <w:rFonts w:ascii="Times New Roman" w:hAnsi="Times New Roman"/>
          <w:color w:val="000000" w:themeColor="text1"/>
          <w:sz w:val="24"/>
          <w:szCs w:val="24"/>
        </w:rPr>
      </w:pPr>
      <w:r w:rsidRPr="00F72F1D">
        <w:rPr>
          <w:rFonts w:ascii="Times New Roman" w:hAnsi="Times New Roman"/>
          <w:color w:val="000000" w:themeColor="text1"/>
          <w:sz w:val="24"/>
          <w:szCs w:val="24"/>
        </w:rPr>
        <w:t xml:space="preserve">Gjatë procesit të kostimit janë identifikuar shpenzimet për secilin aktivitet dhe ato janë klasifikuar në kategori shpenzuese të paracaktuara, sipas formatit IPSIS mbi metodologjinë e kostimit. Për kategori të caktuara shpenzimesh si pagat, shpenzimet e trajnimit, seminaret, shpenzimet e udhëtimeve, shpenzimet e ekspertëve dhe disa kategori pajisjesh janë përdorur kostot standarde të përcaktuara në metodologjinë e kostimit. Përllogaritja e kostove është bërë sipas viteve financiare. </w:t>
      </w:r>
    </w:p>
    <w:p w14:paraId="78EFC93D" w14:textId="77777777" w:rsidR="006B677E" w:rsidRPr="00F72F1D" w:rsidRDefault="006B677E" w:rsidP="006B677E">
      <w:pPr>
        <w:spacing w:after="0"/>
        <w:jc w:val="both"/>
        <w:rPr>
          <w:rFonts w:ascii="Times New Roman" w:hAnsi="Times New Roman"/>
          <w:color w:val="000000" w:themeColor="text1"/>
          <w:sz w:val="24"/>
          <w:szCs w:val="24"/>
        </w:rPr>
      </w:pPr>
    </w:p>
    <w:p w14:paraId="22081369" w14:textId="77777777" w:rsidR="006B677E" w:rsidRPr="00F72F1D" w:rsidRDefault="006B677E" w:rsidP="006B677E">
      <w:pPr>
        <w:spacing w:after="0"/>
        <w:jc w:val="both"/>
        <w:rPr>
          <w:rFonts w:ascii="Times New Roman" w:hAnsi="Times New Roman"/>
          <w:color w:val="000000" w:themeColor="text1"/>
          <w:sz w:val="24"/>
          <w:szCs w:val="24"/>
          <w:lang w:val="it-IT"/>
        </w:rPr>
      </w:pPr>
      <w:r w:rsidRPr="00F72F1D">
        <w:rPr>
          <w:rFonts w:ascii="Times New Roman" w:hAnsi="Times New Roman"/>
          <w:color w:val="000000" w:themeColor="text1"/>
          <w:sz w:val="24"/>
          <w:szCs w:val="24"/>
        </w:rPr>
        <w:t xml:space="preserve">Kostoja e përgjithshme e përllogaritur për zbatimin e planit të veprimit për zbatimin e Strategjisë Kombëtare të Drejtësisë 2024-2030 është rreth 4.48 miliardë Lekë, ose rreth 42.7 milionë Euro. </w:t>
      </w:r>
      <w:r w:rsidRPr="00F72F1D">
        <w:rPr>
          <w:rFonts w:ascii="Times New Roman" w:hAnsi="Times New Roman"/>
          <w:color w:val="000000" w:themeColor="text1"/>
          <w:sz w:val="24"/>
          <w:szCs w:val="24"/>
          <w:lang w:val="it-IT"/>
        </w:rPr>
        <w:t>Kursi mesatar për referencë është përllogaritur me 105 lekë për 1 euro.</w:t>
      </w:r>
    </w:p>
    <w:tbl>
      <w:tblPr>
        <w:tblpPr w:leftFromText="180" w:rightFromText="180" w:vertAnchor="text" w:horzAnchor="margin" w:tblpY="157"/>
        <w:tblW w:w="10769" w:type="dxa"/>
        <w:tblLook w:val="04A0" w:firstRow="1" w:lastRow="0" w:firstColumn="1" w:lastColumn="0" w:noHBand="0" w:noVBand="1"/>
      </w:tblPr>
      <w:tblGrid>
        <w:gridCol w:w="4234"/>
        <w:gridCol w:w="1091"/>
        <w:gridCol w:w="1355"/>
        <w:gridCol w:w="1426"/>
        <w:gridCol w:w="1355"/>
        <w:gridCol w:w="1308"/>
      </w:tblGrid>
      <w:tr w:rsidR="006B677E" w:rsidRPr="00F72F1D" w14:paraId="4A17DAE0" w14:textId="77777777" w:rsidTr="006B677E">
        <w:trPr>
          <w:trHeight w:val="306"/>
        </w:trPr>
        <w:tc>
          <w:tcPr>
            <w:tcW w:w="4234" w:type="dxa"/>
            <w:vMerge w:val="restart"/>
            <w:tcBorders>
              <w:top w:val="single" w:sz="8" w:space="0" w:color="auto"/>
              <w:left w:val="single" w:sz="8" w:space="0" w:color="auto"/>
              <w:bottom w:val="nil"/>
              <w:right w:val="nil"/>
            </w:tcBorders>
            <w:shd w:val="clear" w:color="000000" w:fill="4472C4"/>
            <w:vAlign w:val="center"/>
            <w:hideMark/>
          </w:tcPr>
          <w:p w14:paraId="2ADD6C80" w14:textId="77777777" w:rsidR="006B677E" w:rsidRPr="006B677E" w:rsidRDefault="006B677E" w:rsidP="006B677E">
            <w:pPr>
              <w:spacing w:after="0" w:line="240" w:lineRule="auto"/>
              <w:jc w:val="both"/>
              <w:rPr>
                <w:rFonts w:ascii="Times New Roman" w:eastAsia="Times New Roman" w:hAnsi="Times New Roman"/>
                <w:b/>
                <w:bCs/>
                <w:color w:val="000000" w:themeColor="text1"/>
                <w:sz w:val="18"/>
                <w:szCs w:val="18"/>
              </w:rPr>
            </w:pPr>
            <w:r w:rsidRPr="006B677E">
              <w:rPr>
                <w:rFonts w:ascii="Times New Roman" w:eastAsia="Times New Roman" w:hAnsi="Times New Roman"/>
                <w:b/>
                <w:bCs/>
                <w:color w:val="000000" w:themeColor="text1"/>
                <w:sz w:val="18"/>
                <w:szCs w:val="18"/>
              </w:rPr>
              <w:t>Qëllimi i Politikave</w:t>
            </w:r>
          </w:p>
        </w:tc>
        <w:tc>
          <w:tcPr>
            <w:tcW w:w="1091" w:type="dxa"/>
            <w:vMerge w:val="restart"/>
            <w:tcBorders>
              <w:top w:val="single" w:sz="8" w:space="0" w:color="auto"/>
              <w:left w:val="nil"/>
              <w:bottom w:val="nil"/>
              <w:right w:val="nil"/>
            </w:tcBorders>
            <w:shd w:val="clear" w:color="000000" w:fill="4472C4"/>
            <w:vAlign w:val="center"/>
            <w:hideMark/>
          </w:tcPr>
          <w:p w14:paraId="0B983DAD" w14:textId="77777777" w:rsidR="006B677E" w:rsidRPr="006B677E" w:rsidRDefault="006B677E" w:rsidP="006B677E">
            <w:pPr>
              <w:spacing w:after="0" w:line="240" w:lineRule="auto"/>
              <w:jc w:val="center"/>
              <w:rPr>
                <w:rFonts w:ascii="Times New Roman" w:eastAsia="Times New Roman" w:hAnsi="Times New Roman"/>
                <w:b/>
                <w:bCs/>
                <w:color w:val="000000" w:themeColor="text1"/>
                <w:sz w:val="18"/>
                <w:szCs w:val="18"/>
              </w:rPr>
            </w:pPr>
            <w:r w:rsidRPr="006B677E">
              <w:rPr>
                <w:rFonts w:ascii="Times New Roman" w:eastAsia="Times New Roman" w:hAnsi="Times New Roman"/>
                <w:b/>
                <w:bCs/>
                <w:color w:val="000000" w:themeColor="text1"/>
                <w:sz w:val="18"/>
                <w:szCs w:val="18"/>
              </w:rPr>
              <w:t>Natyra/ Tipologjia e Kostove</w:t>
            </w:r>
          </w:p>
        </w:tc>
        <w:tc>
          <w:tcPr>
            <w:tcW w:w="1355" w:type="dxa"/>
            <w:tcBorders>
              <w:top w:val="single" w:sz="8" w:space="0" w:color="auto"/>
              <w:left w:val="nil"/>
              <w:bottom w:val="nil"/>
              <w:right w:val="nil"/>
            </w:tcBorders>
            <w:shd w:val="clear" w:color="000000" w:fill="4472C4"/>
            <w:vAlign w:val="center"/>
            <w:hideMark/>
          </w:tcPr>
          <w:p w14:paraId="6A82BAC9" w14:textId="77777777" w:rsidR="006B677E" w:rsidRPr="006B677E" w:rsidRDefault="006B677E" w:rsidP="006B677E">
            <w:pPr>
              <w:spacing w:after="0" w:line="240" w:lineRule="auto"/>
              <w:jc w:val="center"/>
              <w:rPr>
                <w:rFonts w:ascii="Times New Roman" w:eastAsia="Times New Roman" w:hAnsi="Times New Roman"/>
                <w:b/>
                <w:bCs/>
                <w:color w:val="000000" w:themeColor="text1"/>
                <w:sz w:val="18"/>
                <w:szCs w:val="18"/>
              </w:rPr>
            </w:pPr>
            <w:r w:rsidRPr="006B677E">
              <w:rPr>
                <w:rFonts w:ascii="Times New Roman" w:eastAsia="Times New Roman" w:hAnsi="Times New Roman"/>
                <w:b/>
                <w:bCs/>
                <w:color w:val="000000" w:themeColor="text1"/>
                <w:sz w:val="18"/>
                <w:szCs w:val="18"/>
              </w:rPr>
              <w:t>Kostoja Totale</w:t>
            </w:r>
          </w:p>
        </w:tc>
        <w:tc>
          <w:tcPr>
            <w:tcW w:w="1426" w:type="dxa"/>
            <w:tcBorders>
              <w:top w:val="single" w:sz="8" w:space="0" w:color="auto"/>
              <w:left w:val="nil"/>
              <w:bottom w:val="nil"/>
              <w:right w:val="nil"/>
            </w:tcBorders>
            <w:shd w:val="clear" w:color="000000" w:fill="4472C4"/>
            <w:vAlign w:val="center"/>
            <w:hideMark/>
          </w:tcPr>
          <w:p w14:paraId="34449FEA" w14:textId="77777777" w:rsidR="006B677E" w:rsidRPr="006B677E" w:rsidRDefault="006B677E" w:rsidP="006B677E">
            <w:pPr>
              <w:spacing w:after="0" w:line="240" w:lineRule="auto"/>
              <w:jc w:val="center"/>
              <w:rPr>
                <w:rFonts w:ascii="Times New Roman" w:eastAsia="Times New Roman" w:hAnsi="Times New Roman"/>
                <w:b/>
                <w:bCs/>
                <w:color w:val="000000" w:themeColor="text1"/>
                <w:sz w:val="18"/>
                <w:szCs w:val="18"/>
              </w:rPr>
            </w:pPr>
            <w:r w:rsidRPr="006B677E">
              <w:rPr>
                <w:rFonts w:ascii="Times New Roman" w:eastAsia="Times New Roman" w:hAnsi="Times New Roman"/>
                <w:b/>
                <w:bCs/>
                <w:color w:val="000000" w:themeColor="text1"/>
                <w:sz w:val="18"/>
                <w:szCs w:val="18"/>
              </w:rPr>
              <w:t>Kostot e Planifikuara</w:t>
            </w:r>
          </w:p>
        </w:tc>
        <w:tc>
          <w:tcPr>
            <w:tcW w:w="1355" w:type="dxa"/>
            <w:tcBorders>
              <w:top w:val="single" w:sz="8" w:space="0" w:color="auto"/>
              <w:left w:val="nil"/>
              <w:bottom w:val="nil"/>
              <w:right w:val="nil"/>
            </w:tcBorders>
            <w:shd w:val="clear" w:color="000000" w:fill="4472C4"/>
            <w:vAlign w:val="center"/>
            <w:hideMark/>
          </w:tcPr>
          <w:p w14:paraId="47B7A741" w14:textId="77777777" w:rsidR="006B677E" w:rsidRPr="006B677E" w:rsidRDefault="006B677E" w:rsidP="006B677E">
            <w:pPr>
              <w:spacing w:after="0" w:line="240" w:lineRule="auto"/>
              <w:jc w:val="center"/>
              <w:rPr>
                <w:rFonts w:ascii="Times New Roman" w:eastAsia="Times New Roman" w:hAnsi="Times New Roman"/>
                <w:b/>
                <w:bCs/>
                <w:color w:val="000000" w:themeColor="text1"/>
                <w:sz w:val="18"/>
                <w:szCs w:val="18"/>
              </w:rPr>
            </w:pPr>
            <w:r w:rsidRPr="006B677E">
              <w:rPr>
                <w:rFonts w:ascii="Times New Roman" w:eastAsia="Times New Roman" w:hAnsi="Times New Roman"/>
                <w:b/>
                <w:bCs/>
                <w:color w:val="000000" w:themeColor="text1"/>
                <w:sz w:val="18"/>
                <w:szCs w:val="18"/>
              </w:rPr>
              <w:t xml:space="preserve">Kosto për tu </w:t>
            </w:r>
          </w:p>
        </w:tc>
        <w:tc>
          <w:tcPr>
            <w:tcW w:w="1308" w:type="dxa"/>
            <w:tcBorders>
              <w:top w:val="single" w:sz="8" w:space="0" w:color="auto"/>
              <w:left w:val="nil"/>
              <w:bottom w:val="nil"/>
              <w:right w:val="single" w:sz="8" w:space="0" w:color="auto"/>
            </w:tcBorders>
            <w:shd w:val="clear" w:color="000000" w:fill="4472C4"/>
            <w:vAlign w:val="center"/>
            <w:hideMark/>
          </w:tcPr>
          <w:p w14:paraId="6B983AE2" w14:textId="77777777" w:rsidR="006B677E" w:rsidRPr="006B677E" w:rsidRDefault="006B677E" w:rsidP="006B677E">
            <w:pPr>
              <w:spacing w:after="0" w:line="240" w:lineRule="auto"/>
              <w:jc w:val="center"/>
              <w:rPr>
                <w:rFonts w:ascii="Times New Roman" w:eastAsia="Times New Roman" w:hAnsi="Times New Roman"/>
                <w:b/>
                <w:bCs/>
                <w:color w:val="0070C0"/>
                <w:sz w:val="18"/>
                <w:szCs w:val="18"/>
              </w:rPr>
            </w:pPr>
            <w:r w:rsidRPr="006B677E">
              <w:rPr>
                <w:rFonts w:ascii="Times New Roman" w:eastAsia="Times New Roman" w:hAnsi="Times New Roman"/>
                <w:b/>
                <w:bCs/>
                <w:color w:val="000000" w:themeColor="text1"/>
                <w:sz w:val="18"/>
                <w:szCs w:val="18"/>
              </w:rPr>
              <w:t>Hendeku Financiar</w:t>
            </w:r>
          </w:p>
        </w:tc>
      </w:tr>
      <w:tr w:rsidR="006B677E" w:rsidRPr="00F72F1D" w14:paraId="722D59BB" w14:textId="77777777" w:rsidTr="006B677E">
        <w:trPr>
          <w:trHeight w:val="194"/>
        </w:trPr>
        <w:tc>
          <w:tcPr>
            <w:tcW w:w="4234" w:type="dxa"/>
            <w:vMerge/>
            <w:tcBorders>
              <w:top w:val="single" w:sz="8" w:space="0" w:color="auto"/>
              <w:left w:val="single" w:sz="8" w:space="0" w:color="auto"/>
              <w:bottom w:val="nil"/>
              <w:right w:val="nil"/>
            </w:tcBorders>
            <w:vAlign w:val="center"/>
            <w:hideMark/>
          </w:tcPr>
          <w:p w14:paraId="10349713" w14:textId="77777777" w:rsidR="006B677E" w:rsidRPr="00F72F1D" w:rsidRDefault="006B677E" w:rsidP="006B677E">
            <w:pPr>
              <w:spacing w:after="0" w:line="240" w:lineRule="auto"/>
              <w:rPr>
                <w:rFonts w:ascii="Times New Roman" w:eastAsia="Times New Roman" w:hAnsi="Times New Roman"/>
                <w:b/>
                <w:bCs/>
                <w:color w:val="000000" w:themeColor="text1"/>
                <w:sz w:val="18"/>
                <w:szCs w:val="18"/>
              </w:rPr>
            </w:pPr>
          </w:p>
        </w:tc>
        <w:tc>
          <w:tcPr>
            <w:tcW w:w="1091" w:type="dxa"/>
            <w:vMerge/>
            <w:tcBorders>
              <w:top w:val="single" w:sz="8" w:space="0" w:color="auto"/>
              <w:left w:val="nil"/>
              <w:bottom w:val="nil"/>
              <w:right w:val="nil"/>
            </w:tcBorders>
            <w:vAlign w:val="center"/>
            <w:hideMark/>
          </w:tcPr>
          <w:p w14:paraId="4C946342" w14:textId="77777777" w:rsidR="006B677E" w:rsidRPr="00F72F1D" w:rsidRDefault="006B677E" w:rsidP="006B677E">
            <w:pPr>
              <w:spacing w:after="0" w:line="240" w:lineRule="auto"/>
              <w:rPr>
                <w:rFonts w:ascii="Times New Roman" w:eastAsia="Times New Roman" w:hAnsi="Times New Roman"/>
                <w:b/>
                <w:bCs/>
                <w:color w:val="000000" w:themeColor="text1"/>
                <w:sz w:val="18"/>
                <w:szCs w:val="18"/>
              </w:rPr>
            </w:pPr>
          </w:p>
        </w:tc>
        <w:tc>
          <w:tcPr>
            <w:tcW w:w="1355" w:type="dxa"/>
            <w:tcBorders>
              <w:top w:val="nil"/>
              <w:left w:val="nil"/>
              <w:bottom w:val="nil"/>
              <w:right w:val="nil"/>
            </w:tcBorders>
            <w:shd w:val="clear" w:color="000000" w:fill="4472C4"/>
            <w:vAlign w:val="center"/>
            <w:hideMark/>
          </w:tcPr>
          <w:p w14:paraId="73B0AD05" w14:textId="77777777" w:rsidR="006B677E" w:rsidRPr="00F72F1D" w:rsidRDefault="006B677E" w:rsidP="006B677E">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2024-2030</w:t>
            </w:r>
          </w:p>
        </w:tc>
        <w:tc>
          <w:tcPr>
            <w:tcW w:w="1426" w:type="dxa"/>
            <w:tcBorders>
              <w:top w:val="nil"/>
              <w:left w:val="nil"/>
              <w:bottom w:val="nil"/>
              <w:right w:val="nil"/>
            </w:tcBorders>
            <w:shd w:val="clear" w:color="000000" w:fill="4472C4"/>
            <w:vAlign w:val="center"/>
            <w:hideMark/>
          </w:tcPr>
          <w:p w14:paraId="5BEA950C" w14:textId="77777777" w:rsidR="006B677E" w:rsidRPr="00F72F1D" w:rsidRDefault="006B677E" w:rsidP="006B677E">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PBA 2024-2026</w:t>
            </w:r>
          </w:p>
        </w:tc>
        <w:tc>
          <w:tcPr>
            <w:tcW w:w="1355" w:type="dxa"/>
            <w:tcBorders>
              <w:top w:val="nil"/>
              <w:left w:val="nil"/>
              <w:bottom w:val="nil"/>
              <w:right w:val="nil"/>
            </w:tcBorders>
            <w:shd w:val="clear" w:color="000000" w:fill="4472C4"/>
            <w:vAlign w:val="center"/>
            <w:hideMark/>
          </w:tcPr>
          <w:p w14:paraId="5164CD7E" w14:textId="77777777" w:rsidR="006B677E" w:rsidRPr="00F72F1D" w:rsidRDefault="006B677E" w:rsidP="006B677E">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Planifikuar në</w:t>
            </w:r>
          </w:p>
        </w:tc>
        <w:tc>
          <w:tcPr>
            <w:tcW w:w="1308" w:type="dxa"/>
            <w:tcBorders>
              <w:top w:val="nil"/>
              <w:left w:val="nil"/>
              <w:bottom w:val="nil"/>
              <w:right w:val="single" w:sz="8" w:space="0" w:color="auto"/>
            </w:tcBorders>
            <w:shd w:val="clear" w:color="000000" w:fill="4472C4"/>
            <w:vAlign w:val="center"/>
            <w:hideMark/>
          </w:tcPr>
          <w:p w14:paraId="232C3657" w14:textId="77777777" w:rsidR="006B677E" w:rsidRPr="00F72F1D" w:rsidRDefault="006B677E" w:rsidP="006B677E">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2024-2030</w:t>
            </w:r>
          </w:p>
        </w:tc>
      </w:tr>
      <w:tr w:rsidR="006B677E" w:rsidRPr="00F72F1D" w14:paraId="5729F883" w14:textId="77777777" w:rsidTr="006B677E">
        <w:trPr>
          <w:trHeight w:val="314"/>
        </w:trPr>
        <w:tc>
          <w:tcPr>
            <w:tcW w:w="4234" w:type="dxa"/>
            <w:vMerge/>
            <w:tcBorders>
              <w:top w:val="single" w:sz="8" w:space="0" w:color="auto"/>
              <w:left w:val="single" w:sz="8" w:space="0" w:color="auto"/>
              <w:bottom w:val="nil"/>
              <w:right w:val="nil"/>
            </w:tcBorders>
            <w:vAlign w:val="center"/>
            <w:hideMark/>
          </w:tcPr>
          <w:p w14:paraId="50D848A1" w14:textId="77777777" w:rsidR="006B677E" w:rsidRPr="00F72F1D" w:rsidRDefault="006B677E" w:rsidP="006B677E">
            <w:pPr>
              <w:spacing w:after="0" w:line="240" w:lineRule="auto"/>
              <w:rPr>
                <w:rFonts w:ascii="Times New Roman" w:eastAsia="Times New Roman" w:hAnsi="Times New Roman"/>
                <w:b/>
                <w:bCs/>
                <w:color w:val="000000" w:themeColor="text1"/>
                <w:sz w:val="18"/>
                <w:szCs w:val="18"/>
              </w:rPr>
            </w:pPr>
          </w:p>
        </w:tc>
        <w:tc>
          <w:tcPr>
            <w:tcW w:w="1091" w:type="dxa"/>
            <w:vMerge/>
            <w:tcBorders>
              <w:top w:val="single" w:sz="8" w:space="0" w:color="auto"/>
              <w:left w:val="nil"/>
              <w:bottom w:val="nil"/>
              <w:right w:val="nil"/>
            </w:tcBorders>
            <w:vAlign w:val="center"/>
            <w:hideMark/>
          </w:tcPr>
          <w:p w14:paraId="14671F55" w14:textId="77777777" w:rsidR="006B677E" w:rsidRPr="00F72F1D" w:rsidRDefault="006B677E" w:rsidP="006B677E">
            <w:pPr>
              <w:spacing w:after="0" w:line="240" w:lineRule="auto"/>
              <w:rPr>
                <w:rFonts w:ascii="Times New Roman" w:eastAsia="Times New Roman" w:hAnsi="Times New Roman"/>
                <w:b/>
                <w:bCs/>
                <w:color w:val="000000" w:themeColor="text1"/>
                <w:sz w:val="18"/>
                <w:szCs w:val="18"/>
              </w:rPr>
            </w:pPr>
          </w:p>
        </w:tc>
        <w:tc>
          <w:tcPr>
            <w:tcW w:w="1355" w:type="dxa"/>
            <w:tcBorders>
              <w:top w:val="nil"/>
              <w:left w:val="nil"/>
              <w:bottom w:val="nil"/>
              <w:right w:val="nil"/>
            </w:tcBorders>
            <w:shd w:val="clear" w:color="000000" w:fill="4472C4"/>
            <w:vAlign w:val="center"/>
            <w:hideMark/>
          </w:tcPr>
          <w:p w14:paraId="5329C75C" w14:textId="77777777" w:rsidR="006B677E" w:rsidRPr="00F72F1D" w:rsidRDefault="006B677E" w:rsidP="006B677E">
            <w:pPr>
              <w:spacing w:after="0" w:line="240" w:lineRule="auto"/>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 </w:t>
            </w:r>
          </w:p>
        </w:tc>
        <w:tc>
          <w:tcPr>
            <w:tcW w:w="1426" w:type="dxa"/>
            <w:tcBorders>
              <w:top w:val="nil"/>
              <w:left w:val="nil"/>
              <w:bottom w:val="nil"/>
              <w:right w:val="nil"/>
            </w:tcBorders>
            <w:shd w:val="clear" w:color="000000" w:fill="4472C4"/>
            <w:vAlign w:val="center"/>
            <w:hideMark/>
          </w:tcPr>
          <w:p w14:paraId="04D1F934" w14:textId="77777777" w:rsidR="006B677E" w:rsidRPr="00F72F1D" w:rsidRDefault="006B677E" w:rsidP="006B677E">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Buxheti &amp; Donator</w:t>
            </w:r>
          </w:p>
        </w:tc>
        <w:tc>
          <w:tcPr>
            <w:tcW w:w="1355" w:type="dxa"/>
            <w:tcBorders>
              <w:top w:val="nil"/>
              <w:left w:val="nil"/>
              <w:bottom w:val="nil"/>
              <w:right w:val="nil"/>
            </w:tcBorders>
            <w:shd w:val="clear" w:color="000000" w:fill="4472C4"/>
            <w:vAlign w:val="center"/>
            <w:hideMark/>
          </w:tcPr>
          <w:p w14:paraId="0651FF22" w14:textId="77777777" w:rsidR="006B677E" w:rsidRPr="00F72F1D" w:rsidRDefault="006B677E" w:rsidP="006B677E">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 xml:space="preserve"> Buxhetin 2027-2030</w:t>
            </w:r>
          </w:p>
        </w:tc>
        <w:tc>
          <w:tcPr>
            <w:tcW w:w="1308" w:type="dxa"/>
            <w:tcBorders>
              <w:top w:val="nil"/>
              <w:left w:val="nil"/>
              <w:bottom w:val="single" w:sz="8" w:space="0" w:color="4472C4"/>
              <w:right w:val="single" w:sz="8" w:space="0" w:color="auto"/>
            </w:tcBorders>
            <w:shd w:val="clear" w:color="000000" w:fill="4472C4"/>
            <w:vAlign w:val="center"/>
            <w:hideMark/>
          </w:tcPr>
          <w:p w14:paraId="12B57A85" w14:textId="77777777" w:rsidR="006B677E" w:rsidRPr="00F72F1D" w:rsidRDefault="006B677E" w:rsidP="006B677E">
            <w:pPr>
              <w:spacing w:after="0" w:line="240" w:lineRule="auto"/>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 </w:t>
            </w:r>
          </w:p>
        </w:tc>
      </w:tr>
      <w:tr w:rsidR="006B677E" w:rsidRPr="00F72F1D" w14:paraId="4D348725" w14:textId="77777777" w:rsidTr="006B677E">
        <w:trPr>
          <w:trHeight w:val="242"/>
        </w:trPr>
        <w:tc>
          <w:tcPr>
            <w:tcW w:w="4234"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002F9C46" w14:textId="77777777" w:rsidR="006B677E" w:rsidRPr="00F72F1D" w:rsidRDefault="006B677E" w:rsidP="006B677E">
            <w:pPr>
              <w:spacing w:after="0" w:line="240" w:lineRule="auto"/>
              <w:rPr>
                <w:rFonts w:ascii="Times New Roman" w:eastAsia="Times New Roman" w:hAnsi="Times New Roman"/>
                <w:color w:val="000000" w:themeColor="text1"/>
                <w:sz w:val="18"/>
                <w:szCs w:val="18"/>
                <w:lang w:val="it-IT"/>
              </w:rPr>
            </w:pPr>
            <w:r w:rsidRPr="00F72F1D">
              <w:rPr>
                <w:rFonts w:ascii="Times New Roman" w:eastAsia="Times New Roman" w:hAnsi="Times New Roman"/>
                <w:color w:val="000000" w:themeColor="text1"/>
                <w:sz w:val="18"/>
                <w:szCs w:val="18"/>
                <w:lang w:val="it-IT"/>
              </w:rPr>
              <w:t>Qëllimi i Politikës 1.  Konsolidimi dhe qendrueshmeria e arritjeve te reformes ne drejtesi ne perputhje me standartet Evropiane</w:t>
            </w:r>
          </w:p>
        </w:tc>
        <w:tc>
          <w:tcPr>
            <w:tcW w:w="1091" w:type="dxa"/>
            <w:tcBorders>
              <w:top w:val="single" w:sz="4" w:space="0" w:color="auto"/>
              <w:left w:val="nil"/>
              <w:bottom w:val="single" w:sz="4" w:space="0" w:color="auto"/>
              <w:right w:val="single" w:sz="4" w:space="0" w:color="auto"/>
            </w:tcBorders>
            <w:shd w:val="clear" w:color="000000" w:fill="D9E2F3"/>
            <w:vAlign w:val="center"/>
            <w:hideMark/>
          </w:tcPr>
          <w:p w14:paraId="3D8AE55F"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Korente</w:t>
            </w:r>
          </w:p>
        </w:tc>
        <w:tc>
          <w:tcPr>
            <w:tcW w:w="1355" w:type="dxa"/>
            <w:tcBorders>
              <w:top w:val="single" w:sz="4" w:space="0" w:color="auto"/>
              <w:left w:val="nil"/>
              <w:bottom w:val="single" w:sz="4" w:space="0" w:color="auto"/>
              <w:right w:val="single" w:sz="4" w:space="0" w:color="auto"/>
            </w:tcBorders>
            <w:shd w:val="clear" w:color="000000" w:fill="D9E2F3"/>
            <w:vAlign w:val="center"/>
            <w:hideMark/>
          </w:tcPr>
          <w:p w14:paraId="148E5358"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429,547,445</w:t>
            </w:r>
          </w:p>
        </w:tc>
        <w:tc>
          <w:tcPr>
            <w:tcW w:w="1426" w:type="dxa"/>
            <w:tcBorders>
              <w:top w:val="single" w:sz="4" w:space="0" w:color="auto"/>
              <w:left w:val="nil"/>
              <w:bottom w:val="single" w:sz="4" w:space="0" w:color="auto"/>
              <w:right w:val="single" w:sz="4" w:space="0" w:color="auto"/>
            </w:tcBorders>
            <w:shd w:val="clear" w:color="000000" w:fill="D9E2F3"/>
            <w:vAlign w:val="center"/>
            <w:hideMark/>
          </w:tcPr>
          <w:p w14:paraId="33201310"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266,921,855</w:t>
            </w:r>
          </w:p>
        </w:tc>
        <w:tc>
          <w:tcPr>
            <w:tcW w:w="1355" w:type="dxa"/>
            <w:tcBorders>
              <w:top w:val="single" w:sz="4" w:space="0" w:color="auto"/>
              <w:left w:val="nil"/>
              <w:bottom w:val="single" w:sz="4" w:space="0" w:color="auto"/>
              <w:right w:val="single" w:sz="4" w:space="0" w:color="auto"/>
            </w:tcBorders>
            <w:shd w:val="clear" w:color="000000" w:fill="D9E2F3"/>
            <w:vAlign w:val="center"/>
            <w:hideMark/>
          </w:tcPr>
          <w:p w14:paraId="70881A36"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160,225,590</w:t>
            </w:r>
          </w:p>
        </w:tc>
        <w:tc>
          <w:tcPr>
            <w:tcW w:w="1308" w:type="dxa"/>
            <w:vMerge w:val="restart"/>
            <w:tcBorders>
              <w:top w:val="nil"/>
              <w:left w:val="nil"/>
              <w:bottom w:val="single" w:sz="8" w:space="0" w:color="8EAADB"/>
              <w:right w:val="single" w:sz="8" w:space="0" w:color="auto"/>
            </w:tcBorders>
            <w:shd w:val="clear" w:color="000000" w:fill="D9E2F3"/>
            <w:vAlign w:val="center"/>
            <w:hideMark/>
          </w:tcPr>
          <w:p w14:paraId="30627BCF" w14:textId="77777777" w:rsidR="006B677E" w:rsidRPr="00F72F1D" w:rsidRDefault="006B677E" w:rsidP="006B677E">
            <w:pPr>
              <w:spacing w:after="0" w:line="240" w:lineRule="auto"/>
              <w:jc w:val="center"/>
              <w:rPr>
                <w:rFonts w:ascii="Times New Roman" w:eastAsia="Times New Roman" w:hAnsi="Times New Roman"/>
                <w:b/>
                <w:bCs/>
                <w:i/>
                <w:iCs/>
                <w:color w:val="000000" w:themeColor="text1"/>
                <w:sz w:val="18"/>
                <w:szCs w:val="18"/>
              </w:rPr>
            </w:pPr>
            <w:r w:rsidRPr="00F72F1D">
              <w:rPr>
                <w:rFonts w:ascii="Times New Roman" w:eastAsia="Times New Roman" w:hAnsi="Times New Roman"/>
                <w:b/>
                <w:bCs/>
                <w:i/>
                <w:iCs/>
                <w:color w:val="000000" w:themeColor="text1"/>
                <w:sz w:val="18"/>
                <w:szCs w:val="18"/>
              </w:rPr>
              <w:t xml:space="preserve">2,400,000 </w:t>
            </w:r>
          </w:p>
        </w:tc>
      </w:tr>
      <w:tr w:rsidR="006B677E" w:rsidRPr="00F72F1D" w14:paraId="13139CD3" w14:textId="77777777" w:rsidTr="006B677E">
        <w:trPr>
          <w:trHeight w:val="333"/>
        </w:trPr>
        <w:tc>
          <w:tcPr>
            <w:tcW w:w="4234" w:type="dxa"/>
            <w:vMerge/>
            <w:tcBorders>
              <w:top w:val="single" w:sz="4" w:space="0" w:color="auto"/>
              <w:left w:val="single" w:sz="4" w:space="0" w:color="auto"/>
              <w:bottom w:val="single" w:sz="4" w:space="0" w:color="auto"/>
              <w:right w:val="single" w:sz="4" w:space="0" w:color="auto"/>
            </w:tcBorders>
            <w:vAlign w:val="center"/>
            <w:hideMark/>
          </w:tcPr>
          <w:p w14:paraId="73317333" w14:textId="77777777" w:rsidR="006B677E" w:rsidRPr="00F72F1D" w:rsidRDefault="006B677E" w:rsidP="006B677E">
            <w:pPr>
              <w:spacing w:after="0" w:line="240" w:lineRule="auto"/>
              <w:rPr>
                <w:rFonts w:ascii="Times New Roman" w:eastAsia="Times New Roman" w:hAnsi="Times New Roman"/>
                <w:color w:val="000000" w:themeColor="text1"/>
                <w:sz w:val="18"/>
                <w:szCs w:val="18"/>
              </w:rPr>
            </w:pPr>
          </w:p>
        </w:tc>
        <w:tc>
          <w:tcPr>
            <w:tcW w:w="1091" w:type="dxa"/>
            <w:tcBorders>
              <w:top w:val="nil"/>
              <w:left w:val="nil"/>
              <w:bottom w:val="single" w:sz="4" w:space="0" w:color="auto"/>
              <w:right w:val="single" w:sz="4" w:space="0" w:color="auto"/>
            </w:tcBorders>
            <w:shd w:val="clear" w:color="auto" w:fill="auto"/>
            <w:vAlign w:val="center"/>
            <w:hideMark/>
          </w:tcPr>
          <w:p w14:paraId="4B1D66C9"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Kapitale</w:t>
            </w:r>
          </w:p>
        </w:tc>
        <w:tc>
          <w:tcPr>
            <w:tcW w:w="1355" w:type="dxa"/>
            <w:tcBorders>
              <w:top w:val="nil"/>
              <w:left w:val="nil"/>
              <w:bottom w:val="single" w:sz="4" w:space="0" w:color="auto"/>
              <w:right w:val="single" w:sz="4" w:space="0" w:color="auto"/>
            </w:tcBorders>
            <w:shd w:val="clear" w:color="auto" w:fill="auto"/>
            <w:vAlign w:val="center"/>
            <w:hideMark/>
          </w:tcPr>
          <w:p w14:paraId="41FCFF37"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426" w:type="dxa"/>
            <w:tcBorders>
              <w:top w:val="nil"/>
              <w:left w:val="nil"/>
              <w:bottom w:val="single" w:sz="4" w:space="0" w:color="auto"/>
              <w:right w:val="single" w:sz="4" w:space="0" w:color="auto"/>
            </w:tcBorders>
            <w:shd w:val="clear" w:color="auto" w:fill="auto"/>
            <w:vAlign w:val="center"/>
            <w:hideMark/>
          </w:tcPr>
          <w:p w14:paraId="21D7C4CA"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355" w:type="dxa"/>
            <w:tcBorders>
              <w:top w:val="nil"/>
              <w:left w:val="nil"/>
              <w:bottom w:val="single" w:sz="4" w:space="0" w:color="auto"/>
              <w:right w:val="single" w:sz="4" w:space="0" w:color="auto"/>
            </w:tcBorders>
            <w:shd w:val="clear" w:color="auto" w:fill="auto"/>
            <w:vAlign w:val="center"/>
            <w:hideMark/>
          </w:tcPr>
          <w:p w14:paraId="6DA52AC2"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308" w:type="dxa"/>
            <w:vMerge/>
            <w:tcBorders>
              <w:top w:val="nil"/>
              <w:left w:val="nil"/>
              <w:bottom w:val="single" w:sz="8" w:space="0" w:color="8EAADB"/>
              <w:right w:val="single" w:sz="8" w:space="0" w:color="auto"/>
            </w:tcBorders>
            <w:vAlign w:val="center"/>
            <w:hideMark/>
          </w:tcPr>
          <w:p w14:paraId="74664936" w14:textId="77777777" w:rsidR="006B677E" w:rsidRPr="00F72F1D" w:rsidRDefault="006B677E" w:rsidP="006B677E">
            <w:pPr>
              <w:spacing w:after="0" w:line="240" w:lineRule="auto"/>
              <w:rPr>
                <w:rFonts w:ascii="Times New Roman" w:eastAsia="Times New Roman" w:hAnsi="Times New Roman"/>
                <w:b/>
                <w:bCs/>
                <w:i/>
                <w:iCs/>
                <w:color w:val="000000" w:themeColor="text1"/>
                <w:sz w:val="18"/>
                <w:szCs w:val="18"/>
              </w:rPr>
            </w:pPr>
          </w:p>
        </w:tc>
      </w:tr>
      <w:tr w:rsidR="006B677E" w:rsidRPr="00F72F1D" w14:paraId="0B474787" w14:textId="77777777" w:rsidTr="006B677E">
        <w:trPr>
          <w:trHeight w:val="194"/>
        </w:trPr>
        <w:tc>
          <w:tcPr>
            <w:tcW w:w="4234" w:type="dxa"/>
            <w:vMerge w:val="restart"/>
            <w:tcBorders>
              <w:top w:val="nil"/>
              <w:left w:val="single" w:sz="4" w:space="0" w:color="auto"/>
              <w:bottom w:val="single" w:sz="4" w:space="0" w:color="auto"/>
              <w:right w:val="single" w:sz="4" w:space="0" w:color="auto"/>
            </w:tcBorders>
            <w:shd w:val="clear" w:color="000000" w:fill="D9E2F3"/>
            <w:vAlign w:val="center"/>
            <w:hideMark/>
          </w:tcPr>
          <w:p w14:paraId="7273F608" w14:textId="77777777" w:rsidR="006B677E" w:rsidRPr="00F72F1D" w:rsidRDefault="006B677E" w:rsidP="006B677E">
            <w:pPr>
              <w:spacing w:after="0" w:line="240" w:lineRule="auto"/>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Qëllimi i Politikës 2:  Forcimi i pavarësisë, paanshmërisë dhe llogaridhënies në sistemin e drejtesisë</w:t>
            </w:r>
          </w:p>
        </w:tc>
        <w:tc>
          <w:tcPr>
            <w:tcW w:w="1091" w:type="dxa"/>
            <w:tcBorders>
              <w:top w:val="nil"/>
              <w:left w:val="nil"/>
              <w:bottom w:val="single" w:sz="4" w:space="0" w:color="auto"/>
              <w:right w:val="single" w:sz="4" w:space="0" w:color="auto"/>
            </w:tcBorders>
            <w:shd w:val="clear" w:color="000000" w:fill="D9E2F3"/>
            <w:vAlign w:val="center"/>
            <w:hideMark/>
          </w:tcPr>
          <w:p w14:paraId="65B297A0"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Korente</w:t>
            </w:r>
          </w:p>
        </w:tc>
        <w:tc>
          <w:tcPr>
            <w:tcW w:w="1355" w:type="dxa"/>
            <w:tcBorders>
              <w:top w:val="nil"/>
              <w:left w:val="nil"/>
              <w:bottom w:val="single" w:sz="4" w:space="0" w:color="auto"/>
              <w:right w:val="single" w:sz="4" w:space="0" w:color="auto"/>
            </w:tcBorders>
            <w:shd w:val="clear" w:color="000000" w:fill="D9E2F3"/>
            <w:vAlign w:val="center"/>
            <w:hideMark/>
          </w:tcPr>
          <w:p w14:paraId="0F6FC5BF"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449,795,730</w:t>
            </w:r>
          </w:p>
        </w:tc>
        <w:tc>
          <w:tcPr>
            <w:tcW w:w="1426" w:type="dxa"/>
            <w:tcBorders>
              <w:top w:val="nil"/>
              <w:left w:val="nil"/>
              <w:bottom w:val="single" w:sz="4" w:space="0" w:color="auto"/>
              <w:right w:val="single" w:sz="4" w:space="0" w:color="auto"/>
            </w:tcBorders>
            <w:shd w:val="clear" w:color="000000" w:fill="D9E2F3"/>
            <w:vAlign w:val="center"/>
            <w:hideMark/>
          </w:tcPr>
          <w:p w14:paraId="4E01E416"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216,440,830</w:t>
            </w:r>
          </w:p>
        </w:tc>
        <w:tc>
          <w:tcPr>
            <w:tcW w:w="1355" w:type="dxa"/>
            <w:tcBorders>
              <w:top w:val="nil"/>
              <w:left w:val="nil"/>
              <w:bottom w:val="single" w:sz="4" w:space="0" w:color="auto"/>
              <w:right w:val="single" w:sz="4" w:space="0" w:color="auto"/>
            </w:tcBorders>
            <w:shd w:val="clear" w:color="000000" w:fill="D9E2F3"/>
            <w:vAlign w:val="center"/>
            <w:hideMark/>
          </w:tcPr>
          <w:p w14:paraId="39980692"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196,406,760</w:t>
            </w:r>
          </w:p>
        </w:tc>
        <w:tc>
          <w:tcPr>
            <w:tcW w:w="1308" w:type="dxa"/>
            <w:vMerge w:val="restart"/>
            <w:tcBorders>
              <w:top w:val="single" w:sz="8" w:space="0" w:color="4472C4"/>
              <w:left w:val="nil"/>
              <w:bottom w:val="single" w:sz="8" w:space="0" w:color="8EAADB"/>
              <w:right w:val="single" w:sz="8" w:space="0" w:color="auto"/>
            </w:tcBorders>
            <w:shd w:val="clear" w:color="000000" w:fill="D9E2F3"/>
            <w:vAlign w:val="center"/>
            <w:hideMark/>
          </w:tcPr>
          <w:p w14:paraId="1840DC11" w14:textId="77777777" w:rsidR="006B677E" w:rsidRPr="00F72F1D" w:rsidRDefault="006B677E" w:rsidP="006B677E">
            <w:pPr>
              <w:spacing w:after="0" w:line="240" w:lineRule="auto"/>
              <w:jc w:val="center"/>
              <w:rPr>
                <w:rFonts w:ascii="Times New Roman" w:eastAsia="Times New Roman" w:hAnsi="Times New Roman"/>
                <w:b/>
                <w:bCs/>
                <w:i/>
                <w:iCs/>
                <w:color w:val="000000" w:themeColor="text1"/>
                <w:sz w:val="18"/>
                <w:szCs w:val="18"/>
              </w:rPr>
            </w:pPr>
            <w:r w:rsidRPr="00F72F1D">
              <w:rPr>
                <w:rFonts w:ascii="Times New Roman" w:eastAsia="Times New Roman" w:hAnsi="Times New Roman"/>
                <w:b/>
                <w:bCs/>
                <w:i/>
                <w:iCs/>
                <w:color w:val="000000" w:themeColor="text1"/>
                <w:sz w:val="18"/>
                <w:szCs w:val="18"/>
              </w:rPr>
              <w:t xml:space="preserve">36,948,140 </w:t>
            </w:r>
          </w:p>
        </w:tc>
      </w:tr>
      <w:tr w:rsidR="006B677E" w:rsidRPr="00F72F1D" w14:paraId="6286927F" w14:textId="77777777" w:rsidTr="006B677E">
        <w:trPr>
          <w:trHeight w:val="582"/>
        </w:trPr>
        <w:tc>
          <w:tcPr>
            <w:tcW w:w="4234" w:type="dxa"/>
            <w:vMerge/>
            <w:tcBorders>
              <w:top w:val="nil"/>
              <w:left w:val="single" w:sz="4" w:space="0" w:color="auto"/>
              <w:bottom w:val="single" w:sz="4" w:space="0" w:color="auto"/>
              <w:right w:val="single" w:sz="4" w:space="0" w:color="auto"/>
            </w:tcBorders>
            <w:vAlign w:val="center"/>
            <w:hideMark/>
          </w:tcPr>
          <w:p w14:paraId="488FC73B" w14:textId="77777777" w:rsidR="006B677E" w:rsidRPr="00F72F1D" w:rsidRDefault="006B677E" w:rsidP="006B677E">
            <w:pPr>
              <w:spacing w:after="0" w:line="240" w:lineRule="auto"/>
              <w:rPr>
                <w:rFonts w:ascii="Times New Roman" w:eastAsia="Times New Roman" w:hAnsi="Times New Roman"/>
                <w:color w:val="000000" w:themeColor="text1"/>
                <w:sz w:val="18"/>
                <w:szCs w:val="18"/>
              </w:rPr>
            </w:pPr>
          </w:p>
        </w:tc>
        <w:tc>
          <w:tcPr>
            <w:tcW w:w="1091" w:type="dxa"/>
            <w:tcBorders>
              <w:top w:val="nil"/>
              <w:left w:val="nil"/>
              <w:bottom w:val="single" w:sz="4" w:space="0" w:color="auto"/>
              <w:right w:val="single" w:sz="4" w:space="0" w:color="auto"/>
            </w:tcBorders>
            <w:shd w:val="clear" w:color="auto" w:fill="auto"/>
            <w:vAlign w:val="center"/>
            <w:hideMark/>
          </w:tcPr>
          <w:p w14:paraId="4EDAFD52"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Kapitale</w:t>
            </w:r>
          </w:p>
        </w:tc>
        <w:tc>
          <w:tcPr>
            <w:tcW w:w="1355" w:type="dxa"/>
            <w:tcBorders>
              <w:top w:val="nil"/>
              <w:left w:val="nil"/>
              <w:bottom w:val="single" w:sz="4" w:space="0" w:color="auto"/>
              <w:right w:val="single" w:sz="4" w:space="0" w:color="auto"/>
            </w:tcBorders>
            <w:shd w:val="clear" w:color="auto" w:fill="auto"/>
            <w:vAlign w:val="center"/>
            <w:hideMark/>
          </w:tcPr>
          <w:p w14:paraId="4235194B"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426" w:type="dxa"/>
            <w:tcBorders>
              <w:top w:val="nil"/>
              <w:left w:val="nil"/>
              <w:bottom w:val="single" w:sz="4" w:space="0" w:color="auto"/>
              <w:right w:val="single" w:sz="4" w:space="0" w:color="auto"/>
            </w:tcBorders>
            <w:shd w:val="clear" w:color="auto" w:fill="auto"/>
            <w:vAlign w:val="center"/>
            <w:hideMark/>
          </w:tcPr>
          <w:p w14:paraId="0A18184F"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355" w:type="dxa"/>
            <w:tcBorders>
              <w:top w:val="nil"/>
              <w:left w:val="nil"/>
              <w:bottom w:val="single" w:sz="4" w:space="0" w:color="auto"/>
              <w:right w:val="single" w:sz="4" w:space="0" w:color="auto"/>
            </w:tcBorders>
            <w:shd w:val="clear" w:color="auto" w:fill="auto"/>
            <w:vAlign w:val="center"/>
            <w:hideMark/>
          </w:tcPr>
          <w:p w14:paraId="59693BCE"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308" w:type="dxa"/>
            <w:vMerge/>
            <w:tcBorders>
              <w:top w:val="single" w:sz="8" w:space="0" w:color="4472C4"/>
              <w:left w:val="nil"/>
              <w:bottom w:val="single" w:sz="8" w:space="0" w:color="8EAADB"/>
              <w:right w:val="single" w:sz="8" w:space="0" w:color="auto"/>
            </w:tcBorders>
            <w:vAlign w:val="center"/>
            <w:hideMark/>
          </w:tcPr>
          <w:p w14:paraId="35283503" w14:textId="77777777" w:rsidR="006B677E" w:rsidRPr="00F72F1D" w:rsidRDefault="006B677E" w:rsidP="006B677E">
            <w:pPr>
              <w:spacing w:after="0" w:line="240" w:lineRule="auto"/>
              <w:rPr>
                <w:rFonts w:ascii="Times New Roman" w:eastAsia="Times New Roman" w:hAnsi="Times New Roman"/>
                <w:b/>
                <w:bCs/>
                <w:i/>
                <w:iCs/>
                <w:color w:val="000000" w:themeColor="text1"/>
                <w:sz w:val="18"/>
                <w:szCs w:val="18"/>
              </w:rPr>
            </w:pPr>
          </w:p>
        </w:tc>
      </w:tr>
      <w:tr w:rsidR="006B677E" w:rsidRPr="00F72F1D" w14:paraId="6C82783C" w14:textId="77777777" w:rsidTr="006B677E">
        <w:trPr>
          <w:trHeight w:val="194"/>
        </w:trPr>
        <w:tc>
          <w:tcPr>
            <w:tcW w:w="4234" w:type="dxa"/>
            <w:vMerge w:val="restart"/>
            <w:tcBorders>
              <w:top w:val="nil"/>
              <w:left w:val="single" w:sz="4" w:space="0" w:color="auto"/>
              <w:bottom w:val="single" w:sz="4" w:space="0" w:color="auto"/>
              <w:right w:val="single" w:sz="4" w:space="0" w:color="auto"/>
            </w:tcBorders>
            <w:shd w:val="clear" w:color="000000" w:fill="D9E2F3"/>
            <w:vAlign w:val="center"/>
            <w:hideMark/>
          </w:tcPr>
          <w:p w14:paraId="5FAF0D3E" w14:textId="77777777" w:rsidR="006B677E" w:rsidRPr="00F72F1D" w:rsidRDefault="006B677E" w:rsidP="006B677E">
            <w:pPr>
              <w:spacing w:after="0" w:line="240" w:lineRule="auto"/>
              <w:rPr>
                <w:rFonts w:ascii="Times New Roman" w:eastAsia="Times New Roman" w:hAnsi="Times New Roman"/>
                <w:color w:val="000000" w:themeColor="text1"/>
                <w:sz w:val="18"/>
                <w:szCs w:val="18"/>
                <w:lang w:val="it-IT"/>
              </w:rPr>
            </w:pPr>
            <w:r w:rsidRPr="00F72F1D">
              <w:rPr>
                <w:rFonts w:ascii="Times New Roman" w:eastAsia="Times New Roman" w:hAnsi="Times New Roman"/>
                <w:color w:val="000000" w:themeColor="text1"/>
                <w:sz w:val="18"/>
                <w:szCs w:val="18"/>
                <w:lang w:val="it-IT"/>
              </w:rPr>
              <w:t>Qëllimi i Politikës  3. Rritja e efikasitetit te institucioneve në sistemin e drejtësisë</w:t>
            </w:r>
          </w:p>
        </w:tc>
        <w:tc>
          <w:tcPr>
            <w:tcW w:w="1091" w:type="dxa"/>
            <w:tcBorders>
              <w:top w:val="nil"/>
              <w:left w:val="nil"/>
              <w:bottom w:val="single" w:sz="4" w:space="0" w:color="auto"/>
              <w:right w:val="single" w:sz="4" w:space="0" w:color="auto"/>
            </w:tcBorders>
            <w:shd w:val="clear" w:color="000000" w:fill="D9E2F3"/>
            <w:vAlign w:val="center"/>
            <w:hideMark/>
          </w:tcPr>
          <w:p w14:paraId="599BEE12"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Korente</w:t>
            </w:r>
          </w:p>
        </w:tc>
        <w:tc>
          <w:tcPr>
            <w:tcW w:w="1355" w:type="dxa"/>
            <w:tcBorders>
              <w:top w:val="nil"/>
              <w:left w:val="nil"/>
              <w:bottom w:val="single" w:sz="4" w:space="0" w:color="auto"/>
              <w:right w:val="single" w:sz="4" w:space="0" w:color="auto"/>
            </w:tcBorders>
            <w:shd w:val="clear" w:color="000000" w:fill="D9E2F3"/>
            <w:vAlign w:val="center"/>
            <w:hideMark/>
          </w:tcPr>
          <w:p w14:paraId="4E090D9E"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1,114,311,091</w:t>
            </w:r>
          </w:p>
        </w:tc>
        <w:tc>
          <w:tcPr>
            <w:tcW w:w="1426" w:type="dxa"/>
            <w:tcBorders>
              <w:top w:val="nil"/>
              <w:left w:val="nil"/>
              <w:bottom w:val="single" w:sz="4" w:space="0" w:color="auto"/>
              <w:right w:val="single" w:sz="4" w:space="0" w:color="auto"/>
            </w:tcBorders>
            <w:shd w:val="clear" w:color="000000" w:fill="D9E2F3"/>
            <w:vAlign w:val="center"/>
            <w:hideMark/>
          </w:tcPr>
          <w:p w14:paraId="4C5C4183"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492,788,969</w:t>
            </w:r>
          </w:p>
        </w:tc>
        <w:tc>
          <w:tcPr>
            <w:tcW w:w="1355" w:type="dxa"/>
            <w:tcBorders>
              <w:top w:val="nil"/>
              <w:left w:val="nil"/>
              <w:bottom w:val="single" w:sz="4" w:space="0" w:color="auto"/>
              <w:right w:val="single" w:sz="4" w:space="0" w:color="auto"/>
            </w:tcBorders>
            <w:shd w:val="clear" w:color="000000" w:fill="D9E2F3"/>
            <w:vAlign w:val="center"/>
            <w:hideMark/>
          </w:tcPr>
          <w:p w14:paraId="0A4A13A3"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490,738,422</w:t>
            </w:r>
          </w:p>
        </w:tc>
        <w:tc>
          <w:tcPr>
            <w:tcW w:w="1308" w:type="dxa"/>
            <w:vMerge w:val="restart"/>
            <w:tcBorders>
              <w:top w:val="single" w:sz="8" w:space="0" w:color="4472C4"/>
              <w:left w:val="nil"/>
              <w:bottom w:val="single" w:sz="8" w:space="0" w:color="8EAADB"/>
              <w:right w:val="single" w:sz="8" w:space="0" w:color="auto"/>
            </w:tcBorders>
            <w:shd w:val="clear" w:color="000000" w:fill="D9E2F3"/>
            <w:vAlign w:val="center"/>
            <w:hideMark/>
          </w:tcPr>
          <w:p w14:paraId="56E00DE9" w14:textId="77777777" w:rsidR="006B677E" w:rsidRPr="00F72F1D" w:rsidRDefault="006B677E" w:rsidP="006B677E">
            <w:pPr>
              <w:spacing w:after="0" w:line="240" w:lineRule="auto"/>
              <w:jc w:val="center"/>
              <w:rPr>
                <w:rFonts w:ascii="Times New Roman" w:eastAsia="Times New Roman" w:hAnsi="Times New Roman"/>
                <w:b/>
                <w:bCs/>
                <w:i/>
                <w:iCs/>
                <w:color w:val="000000" w:themeColor="text1"/>
                <w:sz w:val="18"/>
                <w:szCs w:val="18"/>
              </w:rPr>
            </w:pPr>
            <w:r w:rsidRPr="00F72F1D">
              <w:rPr>
                <w:rFonts w:ascii="Times New Roman" w:eastAsia="Times New Roman" w:hAnsi="Times New Roman"/>
                <w:b/>
                <w:bCs/>
                <w:i/>
                <w:iCs/>
                <w:color w:val="000000" w:themeColor="text1"/>
                <w:sz w:val="18"/>
                <w:szCs w:val="18"/>
              </w:rPr>
              <w:t xml:space="preserve">192,783,700 </w:t>
            </w:r>
          </w:p>
        </w:tc>
      </w:tr>
      <w:tr w:rsidR="006B677E" w:rsidRPr="00F72F1D" w14:paraId="191473F7" w14:textId="77777777" w:rsidTr="006B677E">
        <w:trPr>
          <w:trHeight w:val="271"/>
        </w:trPr>
        <w:tc>
          <w:tcPr>
            <w:tcW w:w="4234" w:type="dxa"/>
            <w:vMerge/>
            <w:tcBorders>
              <w:top w:val="nil"/>
              <w:left w:val="single" w:sz="4" w:space="0" w:color="auto"/>
              <w:bottom w:val="single" w:sz="4" w:space="0" w:color="auto"/>
              <w:right w:val="single" w:sz="4" w:space="0" w:color="auto"/>
            </w:tcBorders>
            <w:vAlign w:val="center"/>
            <w:hideMark/>
          </w:tcPr>
          <w:p w14:paraId="644B98C5" w14:textId="77777777" w:rsidR="006B677E" w:rsidRPr="00F72F1D" w:rsidRDefault="006B677E" w:rsidP="006B677E">
            <w:pPr>
              <w:spacing w:after="0" w:line="240" w:lineRule="auto"/>
              <w:rPr>
                <w:rFonts w:ascii="Times New Roman" w:eastAsia="Times New Roman" w:hAnsi="Times New Roman"/>
                <w:color w:val="000000" w:themeColor="text1"/>
                <w:sz w:val="18"/>
                <w:szCs w:val="18"/>
              </w:rPr>
            </w:pPr>
          </w:p>
        </w:tc>
        <w:tc>
          <w:tcPr>
            <w:tcW w:w="1091" w:type="dxa"/>
            <w:tcBorders>
              <w:top w:val="nil"/>
              <w:left w:val="nil"/>
              <w:bottom w:val="single" w:sz="4" w:space="0" w:color="auto"/>
              <w:right w:val="single" w:sz="4" w:space="0" w:color="auto"/>
            </w:tcBorders>
            <w:shd w:val="clear" w:color="auto" w:fill="auto"/>
            <w:vAlign w:val="center"/>
            <w:hideMark/>
          </w:tcPr>
          <w:p w14:paraId="4330AAE3"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Kapitale</w:t>
            </w:r>
          </w:p>
        </w:tc>
        <w:tc>
          <w:tcPr>
            <w:tcW w:w="1355" w:type="dxa"/>
            <w:tcBorders>
              <w:top w:val="nil"/>
              <w:left w:val="nil"/>
              <w:bottom w:val="single" w:sz="4" w:space="0" w:color="auto"/>
              <w:right w:val="single" w:sz="4" w:space="0" w:color="auto"/>
            </w:tcBorders>
            <w:shd w:val="clear" w:color="auto" w:fill="auto"/>
            <w:vAlign w:val="center"/>
            <w:hideMark/>
          </w:tcPr>
          <w:p w14:paraId="3D18A0D4"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1,799,001,000</w:t>
            </w:r>
          </w:p>
        </w:tc>
        <w:tc>
          <w:tcPr>
            <w:tcW w:w="1426" w:type="dxa"/>
            <w:tcBorders>
              <w:top w:val="nil"/>
              <w:left w:val="nil"/>
              <w:bottom w:val="single" w:sz="4" w:space="0" w:color="auto"/>
              <w:right w:val="single" w:sz="4" w:space="0" w:color="auto"/>
            </w:tcBorders>
            <w:shd w:val="clear" w:color="auto" w:fill="auto"/>
            <w:vAlign w:val="center"/>
            <w:hideMark/>
          </w:tcPr>
          <w:p w14:paraId="74DEC119"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1,737,001,000</w:t>
            </w:r>
          </w:p>
        </w:tc>
        <w:tc>
          <w:tcPr>
            <w:tcW w:w="1355" w:type="dxa"/>
            <w:tcBorders>
              <w:top w:val="nil"/>
              <w:left w:val="nil"/>
              <w:bottom w:val="single" w:sz="4" w:space="0" w:color="auto"/>
              <w:right w:val="single" w:sz="4" w:space="0" w:color="auto"/>
            </w:tcBorders>
            <w:shd w:val="clear" w:color="auto" w:fill="auto"/>
            <w:vAlign w:val="center"/>
            <w:hideMark/>
          </w:tcPr>
          <w:p w14:paraId="20A2E55A"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308" w:type="dxa"/>
            <w:vMerge/>
            <w:tcBorders>
              <w:top w:val="single" w:sz="8" w:space="0" w:color="4472C4"/>
              <w:left w:val="nil"/>
              <w:bottom w:val="single" w:sz="8" w:space="0" w:color="8EAADB"/>
              <w:right w:val="single" w:sz="8" w:space="0" w:color="auto"/>
            </w:tcBorders>
            <w:vAlign w:val="center"/>
            <w:hideMark/>
          </w:tcPr>
          <w:p w14:paraId="24457E8C" w14:textId="77777777" w:rsidR="006B677E" w:rsidRPr="00F72F1D" w:rsidRDefault="006B677E" w:rsidP="006B677E">
            <w:pPr>
              <w:spacing w:after="0" w:line="240" w:lineRule="auto"/>
              <w:rPr>
                <w:rFonts w:ascii="Times New Roman" w:eastAsia="Times New Roman" w:hAnsi="Times New Roman"/>
                <w:b/>
                <w:bCs/>
                <w:i/>
                <w:iCs/>
                <w:color w:val="000000" w:themeColor="text1"/>
                <w:sz w:val="18"/>
                <w:szCs w:val="18"/>
              </w:rPr>
            </w:pPr>
          </w:p>
        </w:tc>
      </w:tr>
      <w:tr w:rsidR="006B677E" w:rsidRPr="00F72F1D" w14:paraId="3587F1CA" w14:textId="77777777" w:rsidTr="006B677E">
        <w:trPr>
          <w:trHeight w:val="271"/>
        </w:trPr>
        <w:tc>
          <w:tcPr>
            <w:tcW w:w="4234" w:type="dxa"/>
            <w:vMerge w:val="restart"/>
            <w:tcBorders>
              <w:top w:val="nil"/>
              <w:left w:val="single" w:sz="4" w:space="0" w:color="auto"/>
              <w:bottom w:val="single" w:sz="4" w:space="0" w:color="000000"/>
              <w:right w:val="single" w:sz="4" w:space="0" w:color="auto"/>
            </w:tcBorders>
            <w:shd w:val="clear" w:color="000000" w:fill="D9E2F3"/>
            <w:vAlign w:val="center"/>
            <w:hideMark/>
          </w:tcPr>
          <w:p w14:paraId="40B17990" w14:textId="77777777" w:rsidR="006B677E" w:rsidRPr="00F72F1D" w:rsidRDefault="006B677E" w:rsidP="006B677E">
            <w:pPr>
              <w:spacing w:after="0" w:line="240" w:lineRule="auto"/>
              <w:rPr>
                <w:rFonts w:ascii="Times New Roman" w:eastAsia="Times New Roman" w:hAnsi="Times New Roman"/>
                <w:color w:val="000000" w:themeColor="text1"/>
                <w:sz w:val="18"/>
                <w:szCs w:val="18"/>
                <w:lang w:val="it-IT"/>
              </w:rPr>
            </w:pPr>
            <w:r w:rsidRPr="00F72F1D">
              <w:rPr>
                <w:rFonts w:ascii="Times New Roman" w:eastAsia="Times New Roman" w:hAnsi="Times New Roman"/>
                <w:color w:val="000000" w:themeColor="text1"/>
                <w:sz w:val="18"/>
                <w:szCs w:val="18"/>
                <w:lang w:val="it-IT"/>
              </w:rPr>
              <w:t>Qëllimi i Politikës  4. Forcimi i cilësisë së drejtësisë</w:t>
            </w:r>
          </w:p>
        </w:tc>
        <w:tc>
          <w:tcPr>
            <w:tcW w:w="1091" w:type="dxa"/>
            <w:tcBorders>
              <w:top w:val="nil"/>
              <w:left w:val="nil"/>
              <w:bottom w:val="single" w:sz="4" w:space="0" w:color="auto"/>
              <w:right w:val="single" w:sz="4" w:space="0" w:color="auto"/>
            </w:tcBorders>
            <w:shd w:val="clear" w:color="000000" w:fill="DDEBF7"/>
            <w:vAlign w:val="center"/>
            <w:hideMark/>
          </w:tcPr>
          <w:p w14:paraId="739150F1"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Korente</w:t>
            </w:r>
          </w:p>
        </w:tc>
        <w:tc>
          <w:tcPr>
            <w:tcW w:w="1355" w:type="dxa"/>
            <w:tcBorders>
              <w:top w:val="nil"/>
              <w:left w:val="nil"/>
              <w:bottom w:val="single" w:sz="4" w:space="0" w:color="auto"/>
              <w:right w:val="single" w:sz="4" w:space="0" w:color="auto"/>
            </w:tcBorders>
            <w:shd w:val="clear" w:color="000000" w:fill="DDEBF7"/>
            <w:vAlign w:val="center"/>
            <w:hideMark/>
          </w:tcPr>
          <w:p w14:paraId="28DB2045"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150,476,249</w:t>
            </w:r>
          </w:p>
        </w:tc>
        <w:tc>
          <w:tcPr>
            <w:tcW w:w="1426" w:type="dxa"/>
            <w:tcBorders>
              <w:top w:val="nil"/>
              <w:left w:val="nil"/>
              <w:bottom w:val="single" w:sz="4" w:space="0" w:color="auto"/>
              <w:right w:val="single" w:sz="4" w:space="0" w:color="auto"/>
            </w:tcBorders>
            <w:shd w:val="clear" w:color="000000" w:fill="DDEBF7"/>
            <w:vAlign w:val="center"/>
            <w:hideMark/>
          </w:tcPr>
          <w:p w14:paraId="7971AE23"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64,382,668</w:t>
            </w:r>
          </w:p>
        </w:tc>
        <w:tc>
          <w:tcPr>
            <w:tcW w:w="1355" w:type="dxa"/>
            <w:tcBorders>
              <w:top w:val="nil"/>
              <w:left w:val="nil"/>
              <w:bottom w:val="single" w:sz="4" w:space="0" w:color="auto"/>
              <w:right w:val="single" w:sz="4" w:space="0" w:color="auto"/>
            </w:tcBorders>
            <w:shd w:val="clear" w:color="000000" w:fill="DDEBF7"/>
            <w:vAlign w:val="center"/>
            <w:hideMark/>
          </w:tcPr>
          <w:p w14:paraId="193261F7"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81,693,581</w:t>
            </w:r>
          </w:p>
        </w:tc>
        <w:tc>
          <w:tcPr>
            <w:tcW w:w="1308" w:type="dxa"/>
            <w:tcBorders>
              <w:top w:val="nil"/>
              <w:left w:val="nil"/>
              <w:bottom w:val="nil"/>
              <w:right w:val="single" w:sz="8" w:space="0" w:color="auto"/>
            </w:tcBorders>
            <w:shd w:val="clear" w:color="000000" w:fill="D9E2F3"/>
            <w:vAlign w:val="center"/>
            <w:hideMark/>
          </w:tcPr>
          <w:p w14:paraId="3CE4EDEA" w14:textId="77777777" w:rsidR="006B677E" w:rsidRPr="00F72F1D" w:rsidRDefault="006B677E" w:rsidP="006B677E">
            <w:pPr>
              <w:spacing w:after="0" w:line="240" w:lineRule="auto"/>
              <w:jc w:val="center"/>
              <w:rPr>
                <w:rFonts w:ascii="Times New Roman" w:eastAsia="Times New Roman" w:hAnsi="Times New Roman"/>
                <w:b/>
                <w:bCs/>
                <w:i/>
                <w:iCs/>
                <w:color w:val="000000" w:themeColor="text1"/>
                <w:sz w:val="18"/>
                <w:szCs w:val="18"/>
              </w:rPr>
            </w:pPr>
            <w:r w:rsidRPr="00F72F1D">
              <w:rPr>
                <w:rFonts w:ascii="Times New Roman" w:eastAsia="Times New Roman" w:hAnsi="Times New Roman"/>
                <w:b/>
                <w:bCs/>
                <w:i/>
                <w:iCs/>
                <w:color w:val="000000" w:themeColor="text1"/>
                <w:sz w:val="18"/>
                <w:szCs w:val="18"/>
              </w:rPr>
              <w:t xml:space="preserve">188,400,000 </w:t>
            </w:r>
          </w:p>
        </w:tc>
      </w:tr>
      <w:tr w:rsidR="006B677E" w:rsidRPr="00F72F1D" w14:paraId="3B06AABD" w14:textId="77777777" w:rsidTr="006B677E">
        <w:trPr>
          <w:trHeight w:val="271"/>
        </w:trPr>
        <w:tc>
          <w:tcPr>
            <w:tcW w:w="4234" w:type="dxa"/>
            <w:vMerge/>
            <w:tcBorders>
              <w:top w:val="nil"/>
              <w:left w:val="single" w:sz="4" w:space="0" w:color="auto"/>
              <w:bottom w:val="single" w:sz="4" w:space="0" w:color="000000"/>
              <w:right w:val="single" w:sz="4" w:space="0" w:color="auto"/>
            </w:tcBorders>
            <w:vAlign w:val="center"/>
            <w:hideMark/>
          </w:tcPr>
          <w:p w14:paraId="3B53ACAC" w14:textId="77777777" w:rsidR="006B677E" w:rsidRPr="00F72F1D" w:rsidRDefault="006B677E" w:rsidP="006B677E">
            <w:pPr>
              <w:spacing w:after="0" w:line="240" w:lineRule="auto"/>
              <w:rPr>
                <w:rFonts w:ascii="Times New Roman" w:eastAsia="Times New Roman" w:hAnsi="Times New Roman"/>
                <w:color w:val="000000" w:themeColor="text1"/>
                <w:sz w:val="18"/>
                <w:szCs w:val="18"/>
              </w:rPr>
            </w:pPr>
          </w:p>
        </w:tc>
        <w:tc>
          <w:tcPr>
            <w:tcW w:w="1091" w:type="dxa"/>
            <w:tcBorders>
              <w:top w:val="nil"/>
              <w:left w:val="nil"/>
              <w:bottom w:val="single" w:sz="4" w:space="0" w:color="auto"/>
              <w:right w:val="single" w:sz="4" w:space="0" w:color="auto"/>
            </w:tcBorders>
            <w:shd w:val="clear" w:color="auto" w:fill="auto"/>
            <w:vAlign w:val="center"/>
            <w:hideMark/>
          </w:tcPr>
          <w:p w14:paraId="1414179B"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Kapitale</w:t>
            </w:r>
          </w:p>
        </w:tc>
        <w:tc>
          <w:tcPr>
            <w:tcW w:w="1355" w:type="dxa"/>
            <w:tcBorders>
              <w:top w:val="nil"/>
              <w:left w:val="nil"/>
              <w:bottom w:val="single" w:sz="4" w:space="0" w:color="auto"/>
              <w:right w:val="single" w:sz="4" w:space="0" w:color="auto"/>
            </w:tcBorders>
            <w:shd w:val="clear" w:color="auto" w:fill="auto"/>
            <w:vAlign w:val="center"/>
            <w:hideMark/>
          </w:tcPr>
          <w:p w14:paraId="61DA55F8"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184,000,000</w:t>
            </w:r>
          </w:p>
        </w:tc>
        <w:tc>
          <w:tcPr>
            <w:tcW w:w="1426" w:type="dxa"/>
            <w:tcBorders>
              <w:top w:val="nil"/>
              <w:left w:val="nil"/>
              <w:bottom w:val="single" w:sz="4" w:space="0" w:color="auto"/>
              <w:right w:val="single" w:sz="4" w:space="0" w:color="auto"/>
            </w:tcBorders>
            <w:shd w:val="clear" w:color="auto" w:fill="auto"/>
            <w:vAlign w:val="center"/>
            <w:hideMark/>
          </w:tcPr>
          <w:p w14:paraId="102101EF"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355" w:type="dxa"/>
            <w:tcBorders>
              <w:top w:val="nil"/>
              <w:left w:val="nil"/>
              <w:bottom w:val="single" w:sz="4" w:space="0" w:color="auto"/>
              <w:right w:val="single" w:sz="4" w:space="0" w:color="auto"/>
            </w:tcBorders>
            <w:shd w:val="clear" w:color="auto" w:fill="auto"/>
            <w:vAlign w:val="center"/>
            <w:hideMark/>
          </w:tcPr>
          <w:p w14:paraId="5D53E472"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308" w:type="dxa"/>
            <w:tcBorders>
              <w:top w:val="nil"/>
              <w:left w:val="nil"/>
              <w:bottom w:val="nil"/>
              <w:right w:val="single" w:sz="8" w:space="0" w:color="auto"/>
            </w:tcBorders>
            <w:shd w:val="clear" w:color="000000" w:fill="D9E2F3"/>
            <w:vAlign w:val="center"/>
            <w:hideMark/>
          </w:tcPr>
          <w:p w14:paraId="766FD336" w14:textId="77777777" w:rsidR="006B677E" w:rsidRPr="00F72F1D" w:rsidRDefault="006B677E" w:rsidP="006B677E">
            <w:pPr>
              <w:spacing w:after="0" w:line="240" w:lineRule="auto"/>
              <w:jc w:val="center"/>
              <w:rPr>
                <w:rFonts w:ascii="Times New Roman" w:eastAsia="Times New Roman" w:hAnsi="Times New Roman"/>
                <w:b/>
                <w:bCs/>
                <w:i/>
                <w:iCs/>
                <w:color w:val="000000" w:themeColor="text1"/>
                <w:sz w:val="18"/>
                <w:szCs w:val="18"/>
              </w:rPr>
            </w:pPr>
            <w:r w:rsidRPr="00F72F1D">
              <w:rPr>
                <w:rFonts w:ascii="Times New Roman" w:eastAsia="Times New Roman" w:hAnsi="Times New Roman"/>
                <w:b/>
                <w:bCs/>
                <w:i/>
                <w:iCs/>
                <w:color w:val="000000" w:themeColor="text1"/>
                <w:sz w:val="18"/>
                <w:szCs w:val="18"/>
              </w:rPr>
              <w:t> </w:t>
            </w:r>
          </w:p>
        </w:tc>
      </w:tr>
      <w:tr w:rsidR="006B677E" w:rsidRPr="00F72F1D" w14:paraId="380C5B65" w14:textId="77777777" w:rsidTr="006B677E">
        <w:trPr>
          <w:trHeight w:val="194"/>
        </w:trPr>
        <w:tc>
          <w:tcPr>
            <w:tcW w:w="4234" w:type="dxa"/>
            <w:vMerge w:val="restart"/>
            <w:tcBorders>
              <w:top w:val="nil"/>
              <w:left w:val="single" w:sz="4" w:space="0" w:color="auto"/>
              <w:bottom w:val="single" w:sz="4" w:space="0" w:color="auto"/>
              <w:right w:val="single" w:sz="4" w:space="0" w:color="auto"/>
            </w:tcBorders>
            <w:shd w:val="clear" w:color="000000" w:fill="D9E2F3"/>
            <w:vAlign w:val="center"/>
            <w:hideMark/>
          </w:tcPr>
          <w:p w14:paraId="09D0F2B3" w14:textId="77777777" w:rsidR="006B677E" w:rsidRPr="00F72F1D" w:rsidRDefault="006B677E" w:rsidP="006B677E">
            <w:pPr>
              <w:spacing w:after="0" w:line="240" w:lineRule="auto"/>
              <w:rPr>
                <w:rFonts w:ascii="Times New Roman" w:eastAsia="Times New Roman" w:hAnsi="Times New Roman"/>
                <w:color w:val="000000" w:themeColor="text1"/>
                <w:sz w:val="18"/>
                <w:szCs w:val="18"/>
                <w:lang w:val="it-IT"/>
              </w:rPr>
            </w:pPr>
            <w:r w:rsidRPr="00F72F1D">
              <w:rPr>
                <w:rFonts w:ascii="Times New Roman" w:eastAsia="Times New Roman" w:hAnsi="Times New Roman"/>
                <w:color w:val="000000" w:themeColor="text1"/>
                <w:sz w:val="18"/>
                <w:szCs w:val="18"/>
                <w:lang w:val="it-IT"/>
              </w:rPr>
              <w:t>Qëllimi i Politikës 5. Drejtësi më e afërt me qytetarët.</w:t>
            </w:r>
          </w:p>
        </w:tc>
        <w:tc>
          <w:tcPr>
            <w:tcW w:w="1091" w:type="dxa"/>
            <w:tcBorders>
              <w:top w:val="nil"/>
              <w:left w:val="nil"/>
              <w:bottom w:val="single" w:sz="4" w:space="0" w:color="auto"/>
              <w:right w:val="single" w:sz="4" w:space="0" w:color="auto"/>
            </w:tcBorders>
            <w:shd w:val="clear" w:color="000000" w:fill="D9E2F3"/>
            <w:vAlign w:val="center"/>
            <w:hideMark/>
          </w:tcPr>
          <w:p w14:paraId="2FFB6EEE"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Korente</w:t>
            </w:r>
          </w:p>
        </w:tc>
        <w:tc>
          <w:tcPr>
            <w:tcW w:w="1355" w:type="dxa"/>
            <w:tcBorders>
              <w:top w:val="nil"/>
              <w:left w:val="nil"/>
              <w:bottom w:val="single" w:sz="4" w:space="0" w:color="auto"/>
              <w:right w:val="single" w:sz="4" w:space="0" w:color="auto"/>
            </w:tcBorders>
            <w:shd w:val="clear" w:color="000000" w:fill="D9E2F3"/>
            <w:vAlign w:val="center"/>
            <w:hideMark/>
          </w:tcPr>
          <w:p w14:paraId="5BDB7940"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340,717,455</w:t>
            </w:r>
          </w:p>
        </w:tc>
        <w:tc>
          <w:tcPr>
            <w:tcW w:w="1426" w:type="dxa"/>
            <w:tcBorders>
              <w:top w:val="nil"/>
              <w:left w:val="nil"/>
              <w:bottom w:val="single" w:sz="4" w:space="0" w:color="auto"/>
              <w:right w:val="single" w:sz="4" w:space="0" w:color="auto"/>
            </w:tcBorders>
            <w:shd w:val="clear" w:color="000000" w:fill="D9E2F3"/>
            <w:vAlign w:val="center"/>
            <w:hideMark/>
          </w:tcPr>
          <w:p w14:paraId="0DC76F75"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75,627,267</w:t>
            </w:r>
          </w:p>
        </w:tc>
        <w:tc>
          <w:tcPr>
            <w:tcW w:w="1355" w:type="dxa"/>
            <w:tcBorders>
              <w:top w:val="nil"/>
              <w:left w:val="nil"/>
              <w:bottom w:val="single" w:sz="4" w:space="0" w:color="auto"/>
              <w:right w:val="single" w:sz="4" w:space="0" w:color="auto"/>
            </w:tcBorders>
            <w:shd w:val="clear" w:color="000000" w:fill="D9E2F3"/>
            <w:vAlign w:val="center"/>
            <w:hideMark/>
          </w:tcPr>
          <w:p w14:paraId="370BA1DD"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209,330,188</w:t>
            </w:r>
          </w:p>
        </w:tc>
        <w:tc>
          <w:tcPr>
            <w:tcW w:w="1308" w:type="dxa"/>
            <w:vMerge w:val="restart"/>
            <w:tcBorders>
              <w:top w:val="single" w:sz="8" w:space="0" w:color="4472C4"/>
              <w:left w:val="nil"/>
              <w:bottom w:val="single" w:sz="8" w:space="0" w:color="8EAADB"/>
              <w:right w:val="single" w:sz="8" w:space="0" w:color="auto"/>
            </w:tcBorders>
            <w:shd w:val="clear" w:color="000000" w:fill="D9E2F3"/>
            <w:vAlign w:val="center"/>
            <w:hideMark/>
          </w:tcPr>
          <w:p w14:paraId="544D6444" w14:textId="77777777" w:rsidR="006B677E" w:rsidRPr="00F72F1D" w:rsidRDefault="006B677E" w:rsidP="006B677E">
            <w:pPr>
              <w:spacing w:after="0" w:line="240" w:lineRule="auto"/>
              <w:jc w:val="center"/>
              <w:rPr>
                <w:rFonts w:ascii="Times New Roman" w:eastAsia="Times New Roman" w:hAnsi="Times New Roman"/>
                <w:b/>
                <w:bCs/>
                <w:i/>
                <w:iCs/>
                <w:color w:val="000000" w:themeColor="text1"/>
                <w:sz w:val="18"/>
                <w:szCs w:val="18"/>
              </w:rPr>
            </w:pPr>
            <w:r w:rsidRPr="00F72F1D">
              <w:rPr>
                <w:rFonts w:ascii="Times New Roman" w:eastAsia="Times New Roman" w:hAnsi="Times New Roman"/>
                <w:b/>
                <w:bCs/>
                <w:i/>
                <w:iCs/>
                <w:color w:val="000000" w:themeColor="text1"/>
                <w:sz w:val="18"/>
                <w:szCs w:val="18"/>
              </w:rPr>
              <w:t xml:space="preserve">55,760,000 </w:t>
            </w:r>
          </w:p>
        </w:tc>
      </w:tr>
      <w:tr w:rsidR="006B677E" w:rsidRPr="00F72F1D" w14:paraId="6A54DEEE" w14:textId="77777777" w:rsidTr="006B677E">
        <w:trPr>
          <w:trHeight w:val="349"/>
        </w:trPr>
        <w:tc>
          <w:tcPr>
            <w:tcW w:w="4234" w:type="dxa"/>
            <w:vMerge/>
            <w:tcBorders>
              <w:top w:val="nil"/>
              <w:left w:val="single" w:sz="4" w:space="0" w:color="auto"/>
              <w:bottom w:val="single" w:sz="4" w:space="0" w:color="auto"/>
              <w:right w:val="single" w:sz="4" w:space="0" w:color="auto"/>
            </w:tcBorders>
            <w:vAlign w:val="center"/>
            <w:hideMark/>
          </w:tcPr>
          <w:p w14:paraId="4D1B1199" w14:textId="77777777" w:rsidR="006B677E" w:rsidRPr="00F72F1D" w:rsidRDefault="006B677E" w:rsidP="006B677E">
            <w:pPr>
              <w:spacing w:after="0" w:line="240" w:lineRule="auto"/>
              <w:rPr>
                <w:rFonts w:ascii="Times New Roman" w:eastAsia="Times New Roman" w:hAnsi="Times New Roman"/>
                <w:color w:val="000000" w:themeColor="text1"/>
                <w:sz w:val="18"/>
                <w:szCs w:val="18"/>
              </w:rPr>
            </w:pPr>
          </w:p>
        </w:tc>
        <w:tc>
          <w:tcPr>
            <w:tcW w:w="1091" w:type="dxa"/>
            <w:tcBorders>
              <w:top w:val="nil"/>
              <w:left w:val="nil"/>
              <w:bottom w:val="single" w:sz="4" w:space="0" w:color="auto"/>
              <w:right w:val="single" w:sz="4" w:space="0" w:color="auto"/>
            </w:tcBorders>
            <w:shd w:val="clear" w:color="auto" w:fill="auto"/>
            <w:vAlign w:val="center"/>
            <w:hideMark/>
          </w:tcPr>
          <w:p w14:paraId="227F079B"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Kapitale</w:t>
            </w:r>
          </w:p>
        </w:tc>
        <w:tc>
          <w:tcPr>
            <w:tcW w:w="1355" w:type="dxa"/>
            <w:tcBorders>
              <w:top w:val="nil"/>
              <w:left w:val="nil"/>
              <w:bottom w:val="single" w:sz="4" w:space="0" w:color="auto"/>
              <w:right w:val="single" w:sz="4" w:space="0" w:color="auto"/>
            </w:tcBorders>
            <w:shd w:val="clear" w:color="auto" w:fill="auto"/>
            <w:vAlign w:val="center"/>
            <w:hideMark/>
          </w:tcPr>
          <w:p w14:paraId="7E5383CC"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426" w:type="dxa"/>
            <w:tcBorders>
              <w:top w:val="nil"/>
              <w:left w:val="nil"/>
              <w:bottom w:val="single" w:sz="4" w:space="0" w:color="auto"/>
              <w:right w:val="single" w:sz="4" w:space="0" w:color="auto"/>
            </w:tcBorders>
            <w:shd w:val="clear" w:color="auto" w:fill="auto"/>
            <w:vAlign w:val="center"/>
            <w:hideMark/>
          </w:tcPr>
          <w:p w14:paraId="64F415AE"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355" w:type="dxa"/>
            <w:tcBorders>
              <w:top w:val="nil"/>
              <w:left w:val="nil"/>
              <w:bottom w:val="single" w:sz="4" w:space="0" w:color="auto"/>
              <w:right w:val="single" w:sz="4" w:space="0" w:color="auto"/>
            </w:tcBorders>
            <w:shd w:val="clear" w:color="auto" w:fill="auto"/>
            <w:vAlign w:val="center"/>
            <w:hideMark/>
          </w:tcPr>
          <w:p w14:paraId="02F095B2" w14:textId="77777777" w:rsidR="006B677E" w:rsidRPr="00F72F1D" w:rsidRDefault="006B677E" w:rsidP="006B677E">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308" w:type="dxa"/>
            <w:vMerge/>
            <w:tcBorders>
              <w:top w:val="single" w:sz="8" w:space="0" w:color="4472C4"/>
              <w:left w:val="nil"/>
              <w:bottom w:val="single" w:sz="8" w:space="0" w:color="8EAADB"/>
              <w:right w:val="single" w:sz="8" w:space="0" w:color="auto"/>
            </w:tcBorders>
            <w:vAlign w:val="center"/>
            <w:hideMark/>
          </w:tcPr>
          <w:p w14:paraId="62AB8D34" w14:textId="77777777" w:rsidR="006B677E" w:rsidRPr="00F72F1D" w:rsidRDefault="006B677E" w:rsidP="006B677E">
            <w:pPr>
              <w:spacing w:after="0" w:line="240" w:lineRule="auto"/>
              <w:rPr>
                <w:rFonts w:ascii="Times New Roman" w:eastAsia="Times New Roman" w:hAnsi="Times New Roman"/>
                <w:b/>
                <w:bCs/>
                <w:i/>
                <w:iCs/>
                <w:color w:val="000000" w:themeColor="text1"/>
                <w:sz w:val="18"/>
                <w:szCs w:val="18"/>
              </w:rPr>
            </w:pPr>
          </w:p>
        </w:tc>
      </w:tr>
      <w:tr w:rsidR="006B677E" w:rsidRPr="00F72F1D" w14:paraId="61FCA122" w14:textId="77777777" w:rsidTr="006B677E">
        <w:trPr>
          <w:trHeight w:val="201"/>
        </w:trPr>
        <w:tc>
          <w:tcPr>
            <w:tcW w:w="4234" w:type="dxa"/>
            <w:tcBorders>
              <w:top w:val="nil"/>
              <w:left w:val="single" w:sz="4" w:space="0" w:color="auto"/>
              <w:bottom w:val="single" w:sz="4" w:space="0" w:color="auto"/>
              <w:right w:val="single" w:sz="4" w:space="0" w:color="auto"/>
            </w:tcBorders>
            <w:shd w:val="clear" w:color="000000" w:fill="D9E2F3"/>
            <w:vAlign w:val="center"/>
            <w:hideMark/>
          </w:tcPr>
          <w:p w14:paraId="54F9358A" w14:textId="77777777" w:rsidR="006B677E" w:rsidRPr="00F72F1D" w:rsidRDefault="006B677E" w:rsidP="006B677E">
            <w:pPr>
              <w:spacing w:after="0" w:line="240" w:lineRule="auto"/>
              <w:jc w:val="right"/>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TOTALI [Leke]</w:t>
            </w:r>
          </w:p>
        </w:tc>
        <w:tc>
          <w:tcPr>
            <w:tcW w:w="1091" w:type="dxa"/>
            <w:tcBorders>
              <w:top w:val="nil"/>
              <w:left w:val="nil"/>
              <w:bottom w:val="single" w:sz="4" w:space="0" w:color="auto"/>
              <w:right w:val="single" w:sz="4" w:space="0" w:color="auto"/>
            </w:tcBorders>
            <w:shd w:val="clear" w:color="000000" w:fill="D9E2F3"/>
            <w:vAlign w:val="center"/>
            <w:hideMark/>
          </w:tcPr>
          <w:p w14:paraId="7787CA3E" w14:textId="77777777" w:rsidR="006B677E" w:rsidRPr="00F72F1D" w:rsidRDefault="006B677E" w:rsidP="006B677E">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 </w:t>
            </w:r>
          </w:p>
        </w:tc>
        <w:tc>
          <w:tcPr>
            <w:tcW w:w="1355" w:type="dxa"/>
            <w:tcBorders>
              <w:top w:val="nil"/>
              <w:left w:val="nil"/>
              <w:bottom w:val="single" w:sz="4" w:space="0" w:color="auto"/>
              <w:right w:val="single" w:sz="4" w:space="0" w:color="auto"/>
            </w:tcBorders>
            <w:shd w:val="clear" w:color="000000" w:fill="D9E2F3"/>
            <w:vAlign w:val="center"/>
            <w:hideMark/>
          </w:tcPr>
          <w:p w14:paraId="2F66A7EF" w14:textId="77777777" w:rsidR="006B677E" w:rsidRPr="00F72F1D" w:rsidRDefault="006B677E" w:rsidP="006B677E">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4,467,848,970</w:t>
            </w:r>
          </w:p>
        </w:tc>
        <w:tc>
          <w:tcPr>
            <w:tcW w:w="1426" w:type="dxa"/>
            <w:tcBorders>
              <w:top w:val="nil"/>
              <w:left w:val="nil"/>
              <w:bottom w:val="single" w:sz="4" w:space="0" w:color="auto"/>
              <w:right w:val="single" w:sz="4" w:space="0" w:color="auto"/>
            </w:tcBorders>
            <w:shd w:val="clear" w:color="000000" w:fill="D9E2F3"/>
            <w:vAlign w:val="center"/>
            <w:hideMark/>
          </w:tcPr>
          <w:p w14:paraId="10453599" w14:textId="77777777" w:rsidR="006B677E" w:rsidRPr="00F72F1D" w:rsidRDefault="006B677E" w:rsidP="006B677E">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2,853,162,589</w:t>
            </w:r>
          </w:p>
        </w:tc>
        <w:tc>
          <w:tcPr>
            <w:tcW w:w="1355" w:type="dxa"/>
            <w:tcBorders>
              <w:top w:val="nil"/>
              <w:left w:val="nil"/>
              <w:bottom w:val="single" w:sz="4" w:space="0" w:color="auto"/>
              <w:right w:val="single" w:sz="4" w:space="0" w:color="auto"/>
            </w:tcBorders>
            <w:shd w:val="clear" w:color="000000" w:fill="D9E2F3"/>
            <w:vAlign w:val="center"/>
            <w:hideMark/>
          </w:tcPr>
          <w:p w14:paraId="4A25E3C8" w14:textId="77777777" w:rsidR="006B677E" w:rsidRPr="00F72F1D" w:rsidRDefault="006B677E" w:rsidP="006B677E">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1,138,394,541</w:t>
            </w:r>
          </w:p>
        </w:tc>
        <w:tc>
          <w:tcPr>
            <w:tcW w:w="1308" w:type="dxa"/>
            <w:tcBorders>
              <w:top w:val="nil"/>
              <w:left w:val="nil"/>
              <w:bottom w:val="single" w:sz="8" w:space="0" w:color="8EAADB"/>
              <w:right w:val="single" w:sz="8" w:space="0" w:color="auto"/>
            </w:tcBorders>
            <w:shd w:val="clear" w:color="000000" w:fill="D9E2F3"/>
            <w:vAlign w:val="center"/>
            <w:hideMark/>
          </w:tcPr>
          <w:p w14:paraId="2AA04826" w14:textId="77777777" w:rsidR="006B677E" w:rsidRPr="00F72F1D" w:rsidRDefault="006B677E" w:rsidP="006B677E">
            <w:pPr>
              <w:spacing w:after="0" w:line="240" w:lineRule="auto"/>
              <w:jc w:val="center"/>
              <w:rPr>
                <w:rFonts w:ascii="Times New Roman" w:eastAsia="Times New Roman" w:hAnsi="Times New Roman"/>
                <w:b/>
                <w:bCs/>
                <w:i/>
                <w:iCs/>
                <w:color w:val="000000" w:themeColor="text1"/>
                <w:sz w:val="18"/>
                <w:szCs w:val="18"/>
              </w:rPr>
            </w:pPr>
            <w:r w:rsidRPr="00F72F1D">
              <w:rPr>
                <w:rFonts w:ascii="Times New Roman" w:eastAsia="Times New Roman" w:hAnsi="Times New Roman"/>
                <w:b/>
                <w:bCs/>
                <w:i/>
                <w:iCs/>
                <w:color w:val="000000" w:themeColor="text1"/>
                <w:sz w:val="18"/>
                <w:szCs w:val="18"/>
              </w:rPr>
              <w:t>476,291,840</w:t>
            </w:r>
          </w:p>
        </w:tc>
      </w:tr>
      <w:tr w:rsidR="006B677E" w:rsidRPr="00F72F1D" w14:paraId="327AFCF0" w14:textId="77777777" w:rsidTr="006B677E">
        <w:trPr>
          <w:trHeight w:val="194"/>
        </w:trPr>
        <w:tc>
          <w:tcPr>
            <w:tcW w:w="4234" w:type="dxa"/>
            <w:tcBorders>
              <w:top w:val="nil"/>
              <w:left w:val="single" w:sz="8" w:space="0" w:color="auto"/>
              <w:bottom w:val="nil"/>
              <w:right w:val="single" w:sz="8" w:space="0" w:color="8EAADB"/>
            </w:tcBorders>
            <w:shd w:val="clear" w:color="auto" w:fill="auto"/>
            <w:vAlign w:val="center"/>
            <w:hideMark/>
          </w:tcPr>
          <w:p w14:paraId="33BE928F" w14:textId="77777777" w:rsidR="006B677E" w:rsidRPr="00F72F1D" w:rsidRDefault="006B677E" w:rsidP="006B677E">
            <w:pPr>
              <w:spacing w:after="0" w:line="240" w:lineRule="auto"/>
              <w:jc w:val="right"/>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TOTALI [Euro]</w:t>
            </w:r>
          </w:p>
        </w:tc>
        <w:tc>
          <w:tcPr>
            <w:tcW w:w="1091" w:type="dxa"/>
            <w:vMerge w:val="restart"/>
            <w:tcBorders>
              <w:top w:val="nil"/>
              <w:left w:val="single" w:sz="8" w:space="0" w:color="8EAADB"/>
              <w:bottom w:val="single" w:sz="8" w:space="0" w:color="000000"/>
              <w:right w:val="single" w:sz="8" w:space="0" w:color="8EAADB"/>
            </w:tcBorders>
            <w:shd w:val="clear" w:color="auto" w:fill="auto"/>
            <w:vAlign w:val="center"/>
            <w:hideMark/>
          </w:tcPr>
          <w:p w14:paraId="31093F6F" w14:textId="77777777" w:rsidR="006B677E" w:rsidRPr="00F72F1D" w:rsidRDefault="006B677E" w:rsidP="006B677E">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 </w:t>
            </w:r>
          </w:p>
        </w:tc>
        <w:tc>
          <w:tcPr>
            <w:tcW w:w="1355" w:type="dxa"/>
            <w:vMerge w:val="restart"/>
            <w:tcBorders>
              <w:top w:val="nil"/>
              <w:left w:val="single" w:sz="8" w:space="0" w:color="8EAADB"/>
              <w:bottom w:val="single" w:sz="8" w:space="0" w:color="000000"/>
              <w:right w:val="single" w:sz="8" w:space="0" w:color="8EAADB"/>
            </w:tcBorders>
            <w:shd w:val="clear" w:color="auto" w:fill="auto"/>
            <w:vAlign w:val="center"/>
            <w:hideMark/>
          </w:tcPr>
          <w:p w14:paraId="4AD343BD" w14:textId="77777777" w:rsidR="006B677E" w:rsidRPr="00F72F1D" w:rsidRDefault="006B677E" w:rsidP="006B677E">
            <w:pPr>
              <w:spacing w:after="0" w:line="240" w:lineRule="auto"/>
              <w:jc w:val="center"/>
              <w:rPr>
                <w:rFonts w:ascii="Times New Roman" w:eastAsia="Times New Roman" w:hAnsi="Times New Roman"/>
                <w:b/>
                <w:bCs/>
                <w:color w:val="000000" w:themeColor="text1"/>
                <w:sz w:val="18"/>
                <w:szCs w:val="18"/>
              </w:rPr>
            </w:pPr>
            <w:bookmarkStart w:id="23" w:name="RANGE!C16"/>
            <w:r w:rsidRPr="00F72F1D">
              <w:rPr>
                <w:rFonts w:ascii="Times New Roman" w:eastAsia="Times New Roman" w:hAnsi="Times New Roman"/>
                <w:b/>
                <w:bCs/>
                <w:color w:val="000000" w:themeColor="text1"/>
                <w:sz w:val="18"/>
                <w:szCs w:val="18"/>
              </w:rPr>
              <w:t>42,550,943</w:t>
            </w:r>
            <w:bookmarkEnd w:id="23"/>
          </w:p>
        </w:tc>
        <w:tc>
          <w:tcPr>
            <w:tcW w:w="1426" w:type="dxa"/>
            <w:vMerge w:val="restart"/>
            <w:tcBorders>
              <w:top w:val="nil"/>
              <w:left w:val="single" w:sz="8" w:space="0" w:color="8EAADB"/>
              <w:bottom w:val="single" w:sz="8" w:space="0" w:color="000000"/>
              <w:right w:val="single" w:sz="8" w:space="0" w:color="8EAADB"/>
            </w:tcBorders>
            <w:shd w:val="clear" w:color="auto" w:fill="auto"/>
            <w:vAlign w:val="center"/>
            <w:hideMark/>
          </w:tcPr>
          <w:p w14:paraId="25DA8F44" w14:textId="77777777" w:rsidR="006B677E" w:rsidRPr="00F72F1D" w:rsidRDefault="006B677E" w:rsidP="006B677E">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27,172,977</w:t>
            </w:r>
          </w:p>
        </w:tc>
        <w:tc>
          <w:tcPr>
            <w:tcW w:w="1355" w:type="dxa"/>
            <w:vMerge w:val="restart"/>
            <w:tcBorders>
              <w:top w:val="nil"/>
              <w:left w:val="single" w:sz="8" w:space="0" w:color="8EAADB"/>
              <w:bottom w:val="single" w:sz="8" w:space="0" w:color="000000"/>
              <w:right w:val="single" w:sz="8" w:space="0" w:color="8EAADB"/>
            </w:tcBorders>
            <w:shd w:val="clear" w:color="auto" w:fill="auto"/>
            <w:vAlign w:val="center"/>
            <w:hideMark/>
          </w:tcPr>
          <w:p w14:paraId="4CB6E2DE" w14:textId="77777777" w:rsidR="006B677E" w:rsidRPr="00F72F1D" w:rsidRDefault="006B677E" w:rsidP="006B677E">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10,841,853</w:t>
            </w:r>
          </w:p>
        </w:tc>
        <w:tc>
          <w:tcPr>
            <w:tcW w:w="1308" w:type="dxa"/>
            <w:vMerge w:val="restart"/>
            <w:tcBorders>
              <w:top w:val="nil"/>
              <w:left w:val="single" w:sz="8" w:space="0" w:color="8EAADB"/>
              <w:bottom w:val="single" w:sz="8" w:space="0" w:color="000000"/>
              <w:right w:val="single" w:sz="8" w:space="0" w:color="auto"/>
            </w:tcBorders>
            <w:shd w:val="clear" w:color="auto" w:fill="auto"/>
            <w:vAlign w:val="center"/>
            <w:hideMark/>
          </w:tcPr>
          <w:p w14:paraId="1F2A3D36" w14:textId="77777777" w:rsidR="006B677E" w:rsidRPr="00F72F1D" w:rsidRDefault="006B677E" w:rsidP="006B677E">
            <w:pPr>
              <w:spacing w:after="0" w:line="240" w:lineRule="auto"/>
              <w:jc w:val="center"/>
              <w:rPr>
                <w:rFonts w:ascii="Times New Roman" w:eastAsia="Times New Roman" w:hAnsi="Times New Roman"/>
                <w:b/>
                <w:bCs/>
                <w:i/>
                <w:iCs/>
                <w:color w:val="000000" w:themeColor="text1"/>
                <w:sz w:val="18"/>
                <w:szCs w:val="18"/>
              </w:rPr>
            </w:pPr>
            <w:r w:rsidRPr="00F72F1D">
              <w:rPr>
                <w:rFonts w:ascii="Times New Roman" w:eastAsia="Times New Roman" w:hAnsi="Times New Roman"/>
                <w:b/>
                <w:bCs/>
                <w:i/>
                <w:iCs/>
                <w:color w:val="000000" w:themeColor="text1"/>
                <w:sz w:val="18"/>
                <w:szCs w:val="18"/>
              </w:rPr>
              <w:t>4,536,113</w:t>
            </w:r>
          </w:p>
        </w:tc>
      </w:tr>
      <w:tr w:rsidR="006B677E" w:rsidRPr="00F72F1D" w14:paraId="6C93504C" w14:textId="77777777" w:rsidTr="006B677E">
        <w:trPr>
          <w:trHeight w:val="201"/>
        </w:trPr>
        <w:tc>
          <w:tcPr>
            <w:tcW w:w="4234" w:type="dxa"/>
            <w:tcBorders>
              <w:top w:val="nil"/>
              <w:left w:val="single" w:sz="8" w:space="0" w:color="auto"/>
              <w:bottom w:val="single" w:sz="8" w:space="0" w:color="auto"/>
              <w:right w:val="single" w:sz="8" w:space="0" w:color="8EAADB"/>
            </w:tcBorders>
            <w:shd w:val="clear" w:color="auto" w:fill="auto"/>
            <w:vAlign w:val="center"/>
            <w:hideMark/>
          </w:tcPr>
          <w:p w14:paraId="33463F22" w14:textId="77777777" w:rsidR="006B677E" w:rsidRPr="00F72F1D" w:rsidRDefault="006B677E" w:rsidP="006B677E">
            <w:pPr>
              <w:spacing w:after="0" w:line="240" w:lineRule="auto"/>
              <w:jc w:val="right"/>
              <w:rPr>
                <w:rFonts w:ascii="Times New Roman" w:eastAsia="Times New Roman" w:hAnsi="Times New Roman"/>
                <w:b/>
                <w:bCs/>
                <w:i/>
                <w:iCs/>
                <w:color w:val="000000" w:themeColor="text1"/>
                <w:sz w:val="18"/>
                <w:szCs w:val="18"/>
              </w:rPr>
            </w:pPr>
            <w:r w:rsidRPr="00F72F1D">
              <w:rPr>
                <w:rFonts w:ascii="Times New Roman" w:eastAsia="Times New Roman" w:hAnsi="Times New Roman"/>
                <w:b/>
                <w:bCs/>
                <w:i/>
                <w:iCs/>
                <w:color w:val="000000" w:themeColor="text1"/>
                <w:sz w:val="18"/>
                <w:szCs w:val="18"/>
              </w:rPr>
              <w:t>1 euro 105 Leke</w:t>
            </w:r>
          </w:p>
        </w:tc>
        <w:tc>
          <w:tcPr>
            <w:tcW w:w="1091" w:type="dxa"/>
            <w:vMerge/>
            <w:tcBorders>
              <w:top w:val="nil"/>
              <w:left w:val="single" w:sz="8" w:space="0" w:color="8EAADB"/>
              <w:bottom w:val="single" w:sz="8" w:space="0" w:color="000000"/>
              <w:right w:val="single" w:sz="8" w:space="0" w:color="8EAADB"/>
            </w:tcBorders>
            <w:vAlign w:val="center"/>
            <w:hideMark/>
          </w:tcPr>
          <w:p w14:paraId="28F0BAD1" w14:textId="77777777" w:rsidR="006B677E" w:rsidRPr="00F72F1D" w:rsidRDefault="006B677E" w:rsidP="006B677E">
            <w:pPr>
              <w:spacing w:after="0" w:line="240" w:lineRule="auto"/>
              <w:rPr>
                <w:rFonts w:ascii="Times New Roman" w:eastAsia="Times New Roman" w:hAnsi="Times New Roman"/>
                <w:b/>
                <w:bCs/>
                <w:color w:val="000000" w:themeColor="text1"/>
                <w:sz w:val="18"/>
                <w:szCs w:val="18"/>
              </w:rPr>
            </w:pPr>
          </w:p>
        </w:tc>
        <w:tc>
          <w:tcPr>
            <w:tcW w:w="1355" w:type="dxa"/>
            <w:vMerge/>
            <w:tcBorders>
              <w:top w:val="nil"/>
              <w:left w:val="single" w:sz="8" w:space="0" w:color="8EAADB"/>
              <w:bottom w:val="single" w:sz="8" w:space="0" w:color="000000"/>
              <w:right w:val="single" w:sz="8" w:space="0" w:color="8EAADB"/>
            </w:tcBorders>
            <w:vAlign w:val="center"/>
            <w:hideMark/>
          </w:tcPr>
          <w:p w14:paraId="363BB7FF" w14:textId="77777777" w:rsidR="006B677E" w:rsidRPr="00F72F1D" w:rsidRDefault="006B677E" w:rsidP="006B677E">
            <w:pPr>
              <w:spacing w:after="0" w:line="240" w:lineRule="auto"/>
              <w:rPr>
                <w:rFonts w:ascii="Times New Roman" w:eastAsia="Times New Roman" w:hAnsi="Times New Roman"/>
                <w:b/>
                <w:bCs/>
                <w:color w:val="000000" w:themeColor="text1"/>
                <w:sz w:val="18"/>
                <w:szCs w:val="18"/>
              </w:rPr>
            </w:pPr>
          </w:p>
        </w:tc>
        <w:tc>
          <w:tcPr>
            <w:tcW w:w="1426" w:type="dxa"/>
            <w:vMerge/>
            <w:tcBorders>
              <w:top w:val="nil"/>
              <w:left w:val="single" w:sz="8" w:space="0" w:color="8EAADB"/>
              <w:bottom w:val="single" w:sz="8" w:space="0" w:color="000000"/>
              <w:right w:val="single" w:sz="8" w:space="0" w:color="8EAADB"/>
            </w:tcBorders>
            <w:vAlign w:val="center"/>
            <w:hideMark/>
          </w:tcPr>
          <w:p w14:paraId="2C0E83D6" w14:textId="77777777" w:rsidR="006B677E" w:rsidRPr="00F72F1D" w:rsidRDefault="006B677E" w:rsidP="006B677E">
            <w:pPr>
              <w:spacing w:after="0" w:line="240" w:lineRule="auto"/>
              <w:rPr>
                <w:rFonts w:ascii="Times New Roman" w:eastAsia="Times New Roman" w:hAnsi="Times New Roman"/>
                <w:b/>
                <w:bCs/>
                <w:color w:val="000000" w:themeColor="text1"/>
                <w:sz w:val="18"/>
                <w:szCs w:val="18"/>
              </w:rPr>
            </w:pPr>
          </w:p>
        </w:tc>
        <w:tc>
          <w:tcPr>
            <w:tcW w:w="1355" w:type="dxa"/>
            <w:vMerge/>
            <w:tcBorders>
              <w:top w:val="nil"/>
              <w:left w:val="single" w:sz="8" w:space="0" w:color="8EAADB"/>
              <w:bottom w:val="single" w:sz="8" w:space="0" w:color="000000"/>
              <w:right w:val="single" w:sz="8" w:space="0" w:color="8EAADB"/>
            </w:tcBorders>
            <w:vAlign w:val="center"/>
            <w:hideMark/>
          </w:tcPr>
          <w:p w14:paraId="43E4662F" w14:textId="77777777" w:rsidR="006B677E" w:rsidRPr="00F72F1D" w:rsidRDefault="006B677E" w:rsidP="006B677E">
            <w:pPr>
              <w:spacing w:after="0" w:line="240" w:lineRule="auto"/>
              <w:rPr>
                <w:rFonts w:ascii="Times New Roman" w:eastAsia="Times New Roman" w:hAnsi="Times New Roman"/>
                <w:b/>
                <w:bCs/>
                <w:color w:val="000000" w:themeColor="text1"/>
                <w:sz w:val="18"/>
                <w:szCs w:val="18"/>
              </w:rPr>
            </w:pPr>
          </w:p>
        </w:tc>
        <w:tc>
          <w:tcPr>
            <w:tcW w:w="1308" w:type="dxa"/>
            <w:vMerge/>
            <w:tcBorders>
              <w:top w:val="nil"/>
              <w:left w:val="single" w:sz="8" w:space="0" w:color="8EAADB"/>
              <w:bottom w:val="single" w:sz="8" w:space="0" w:color="000000"/>
              <w:right w:val="single" w:sz="8" w:space="0" w:color="auto"/>
            </w:tcBorders>
            <w:vAlign w:val="center"/>
            <w:hideMark/>
          </w:tcPr>
          <w:p w14:paraId="2C30F0D1" w14:textId="77777777" w:rsidR="006B677E" w:rsidRPr="00F72F1D" w:rsidRDefault="006B677E" w:rsidP="006B677E">
            <w:pPr>
              <w:spacing w:after="0" w:line="240" w:lineRule="auto"/>
              <w:rPr>
                <w:rFonts w:ascii="Times New Roman" w:eastAsia="Times New Roman" w:hAnsi="Times New Roman"/>
                <w:b/>
                <w:bCs/>
                <w:i/>
                <w:iCs/>
                <w:color w:val="000000" w:themeColor="text1"/>
                <w:sz w:val="18"/>
                <w:szCs w:val="18"/>
              </w:rPr>
            </w:pPr>
          </w:p>
        </w:tc>
      </w:tr>
    </w:tbl>
    <w:p w14:paraId="6A7C73A9" w14:textId="77777777" w:rsidR="006B677E" w:rsidRPr="00F72F1D" w:rsidRDefault="006B677E" w:rsidP="006B677E">
      <w:pPr>
        <w:spacing w:after="0"/>
        <w:jc w:val="both"/>
        <w:rPr>
          <w:rFonts w:ascii="Times New Roman" w:hAnsi="Times New Roman"/>
          <w:color w:val="000000" w:themeColor="text1"/>
          <w:sz w:val="24"/>
          <w:szCs w:val="24"/>
          <w:lang w:val="it-IT"/>
        </w:rPr>
      </w:pPr>
    </w:p>
    <w:p w14:paraId="436E0491" w14:textId="77777777" w:rsidR="006B677E" w:rsidRPr="00F72F1D" w:rsidRDefault="006B677E" w:rsidP="006B677E">
      <w:pPr>
        <w:spacing w:after="0"/>
        <w:jc w:val="both"/>
        <w:rPr>
          <w:rFonts w:ascii="Times New Roman" w:hAnsi="Times New Roman"/>
          <w:color w:val="000000" w:themeColor="text1"/>
          <w:sz w:val="24"/>
          <w:szCs w:val="24"/>
          <w:lang w:val="it-IT"/>
        </w:rPr>
      </w:pPr>
      <w:r w:rsidRPr="00F72F1D">
        <w:rPr>
          <w:rFonts w:ascii="Times New Roman" w:hAnsi="Times New Roman"/>
          <w:color w:val="000000" w:themeColor="text1"/>
          <w:sz w:val="24"/>
          <w:szCs w:val="24"/>
          <w:lang w:val="it-IT"/>
        </w:rPr>
        <w:t>Tabela e mëposhtme, pasqyron kostot indikative, burimet e financimit dhe hendekun financiar përgjatë 7 viteve të zbatimit të Planit të veprimit 2024 - 2030.</w:t>
      </w:r>
    </w:p>
    <w:p w14:paraId="6EB21746" w14:textId="77777777" w:rsidR="006B677E" w:rsidRPr="00F72F1D" w:rsidRDefault="006B677E" w:rsidP="006B677E">
      <w:pPr>
        <w:spacing w:after="0"/>
        <w:jc w:val="both"/>
        <w:rPr>
          <w:rFonts w:ascii="Times New Roman" w:hAnsi="Times New Roman"/>
          <w:color w:val="000000" w:themeColor="text1"/>
          <w:sz w:val="24"/>
          <w:szCs w:val="24"/>
          <w:lang w:val="it-IT"/>
        </w:rPr>
      </w:pPr>
    </w:p>
    <w:p w14:paraId="4133C826" w14:textId="77777777" w:rsidR="006B677E" w:rsidRPr="00F72F1D" w:rsidRDefault="006B677E" w:rsidP="006B677E">
      <w:pPr>
        <w:spacing w:after="0"/>
        <w:jc w:val="both"/>
        <w:rPr>
          <w:rFonts w:ascii="Times New Roman" w:hAnsi="Times New Roman"/>
          <w:i/>
          <w:iCs/>
          <w:color w:val="000000" w:themeColor="text1"/>
          <w:sz w:val="24"/>
          <w:szCs w:val="24"/>
          <w:lang w:val="it-IT"/>
        </w:rPr>
      </w:pPr>
    </w:p>
    <w:p w14:paraId="7A922D0C" w14:textId="77777777" w:rsidR="006B677E" w:rsidRPr="00F72F1D" w:rsidRDefault="006B677E" w:rsidP="006B677E">
      <w:pPr>
        <w:spacing w:after="0"/>
        <w:jc w:val="center"/>
        <w:rPr>
          <w:rFonts w:ascii="Times New Roman" w:hAnsi="Times New Roman"/>
          <w:i/>
          <w:iCs/>
          <w:color w:val="000000" w:themeColor="text1"/>
          <w:sz w:val="24"/>
          <w:szCs w:val="24"/>
          <w:lang w:val="it-IT"/>
        </w:rPr>
      </w:pPr>
      <w:r w:rsidRPr="00F72F1D">
        <w:rPr>
          <w:rFonts w:ascii="Times New Roman" w:hAnsi="Times New Roman"/>
          <w:i/>
          <w:iCs/>
          <w:color w:val="000000" w:themeColor="text1"/>
          <w:sz w:val="24"/>
          <w:szCs w:val="24"/>
          <w:lang w:val="it-IT"/>
        </w:rPr>
        <w:t>Tabela: Kostot indikative të SND 2024 - 2030</w:t>
      </w:r>
    </w:p>
    <w:p w14:paraId="54D71DFE" w14:textId="77777777" w:rsidR="006B677E" w:rsidRPr="00F72F1D" w:rsidRDefault="006B677E" w:rsidP="006B677E">
      <w:pPr>
        <w:spacing w:after="0"/>
        <w:jc w:val="both"/>
        <w:rPr>
          <w:rFonts w:ascii="Times New Roman" w:hAnsi="Times New Roman"/>
          <w:color w:val="000000" w:themeColor="text1"/>
          <w:sz w:val="24"/>
          <w:szCs w:val="24"/>
          <w:lang w:val="it-IT"/>
        </w:rPr>
      </w:pPr>
    </w:p>
    <w:p w14:paraId="5BA68432" w14:textId="77777777" w:rsidR="006B677E" w:rsidRPr="00F72F1D" w:rsidRDefault="006B677E" w:rsidP="006B677E">
      <w:pPr>
        <w:spacing w:after="0"/>
        <w:jc w:val="both"/>
        <w:rPr>
          <w:rFonts w:ascii="Times New Roman" w:hAnsi="Times New Roman"/>
          <w:color w:val="000000" w:themeColor="text1"/>
          <w:sz w:val="24"/>
          <w:szCs w:val="24"/>
          <w:lang w:val="it-IT"/>
        </w:rPr>
      </w:pPr>
      <w:r w:rsidRPr="00F72F1D">
        <w:rPr>
          <w:rFonts w:ascii="Times New Roman" w:hAnsi="Times New Roman"/>
          <w:color w:val="000000" w:themeColor="text1"/>
          <w:sz w:val="24"/>
          <w:szCs w:val="24"/>
          <w:lang w:val="it-IT"/>
        </w:rPr>
        <w:t>Për periudhën afatmesme 2024-2026, kostoja është vlerësuar rreth 2.85 miliardë lekë, të cilat janë planifikuar në buxhetin vjetor dhe Programin Buxhetor Afatmesëm 2024-2026, të institucioneve përgjegjëse për realizimin e masave.</w:t>
      </w:r>
    </w:p>
    <w:p w14:paraId="1E2A53B9" w14:textId="77777777" w:rsidR="006B677E" w:rsidRPr="00F72F1D" w:rsidRDefault="006B677E" w:rsidP="006B677E">
      <w:pPr>
        <w:spacing w:after="0"/>
        <w:jc w:val="both"/>
        <w:rPr>
          <w:rFonts w:ascii="Times New Roman" w:hAnsi="Times New Roman"/>
          <w:color w:val="000000" w:themeColor="text1"/>
          <w:sz w:val="24"/>
          <w:szCs w:val="24"/>
          <w:lang w:val="it-IT"/>
        </w:rPr>
      </w:pPr>
    </w:p>
    <w:p w14:paraId="58DAA6B7" w14:textId="77777777" w:rsidR="006B677E" w:rsidRPr="00F72F1D" w:rsidRDefault="006B677E" w:rsidP="006B677E">
      <w:pPr>
        <w:spacing w:after="0"/>
        <w:jc w:val="both"/>
        <w:rPr>
          <w:rFonts w:ascii="Times New Roman" w:hAnsi="Times New Roman"/>
          <w:color w:val="000000" w:themeColor="text1"/>
          <w:sz w:val="24"/>
          <w:szCs w:val="24"/>
          <w:lang w:val="it-IT"/>
        </w:rPr>
      </w:pPr>
      <w:r w:rsidRPr="00F72F1D">
        <w:rPr>
          <w:rFonts w:ascii="Times New Roman" w:hAnsi="Times New Roman"/>
          <w:color w:val="000000" w:themeColor="text1"/>
          <w:sz w:val="24"/>
          <w:szCs w:val="24"/>
          <w:lang w:val="it-IT"/>
        </w:rPr>
        <w:t xml:space="preserve">Për periudhën 2027-2030, kostoja indikative për zbatimin e Strategjisë është rreth 1.14 miliardë lekë. Për këtë periudhë është supozuar që për aktivitete të caktuara në Planin e Veprimit do të jenë në dispozicion fondet nga Buxheti i Shtetit për shpenzime korente dhe investime. </w:t>
      </w:r>
    </w:p>
    <w:p w14:paraId="573A9165" w14:textId="77777777" w:rsidR="006B677E" w:rsidRPr="00F72F1D" w:rsidRDefault="006B677E" w:rsidP="006B677E">
      <w:pPr>
        <w:spacing w:after="0"/>
        <w:jc w:val="both"/>
        <w:rPr>
          <w:rFonts w:ascii="Times New Roman" w:hAnsi="Times New Roman"/>
          <w:color w:val="000000" w:themeColor="text1"/>
          <w:sz w:val="24"/>
          <w:szCs w:val="24"/>
          <w:lang w:val="it-IT"/>
        </w:rPr>
      </w:pPr>
    </w:p>
    <w:p w14:paraId="7CE8C480" w14:textId="77777777" w:rsidR="006B677E" w:rsidRPr="00F72F1D" w:rsidRDefault="006B677E" w:rsidP="006B677E">
      <w:pPr>
        <w:spacing w:after="0"/>
        <w:jc w:val="both"/>
        <w:rPr>
          <w:rFonts w:ascii="Times New Roman" w:hAnsi="Times New Roman"/>
          <w:color w:val="000000" w:themeColor="text1"/>
          <w:sz w:val="24"/>
          <w:szCs w:val="24"/>
          <w:lang w:val="it-IT"/>
        </w:rPr>
      </w:pPr>
      <w:r w:rsidRPr="00F72F1D">
        <w:rPr>
          <w:rFonts w:ascii="Times New Roman" w:hAnsi="Times New Roman"/>
          <w:color w:val="000000" w:themeColor="text1"/>
          <w:sz w:val="24"/>
          <w:szCs w:val="24"/>
          <w:lang w:val="it-IT"/>
        </w:rPr>
        <w:t>Hendeku financiar për të gjithë periudhën 2024-2030 është 476.3 milionë lekë ose 10.7% e kostove indikative. Për periudhën 2024-2026, buxheti i shtetit pritet të financojë 63.9% të kostove indikative  totale të zbatimit të planit, ndërsa 25.5% janë shpenzimet e planifikuara për periudhën 2027-2030</w:t>
      </w:r>
      <w:r w:rsidRPr="00F72F1D">
        <w:rPr>
          <w:rFonts w:ascii="Times New Roman" w:eastAsia="Times New Roman" w:hAnsi="Times New Roman"/>
          <w:bCs/>
          <w:color w:val="000000" w:themeColor="text1"/>
          <w:sz w:val="24"/>
          <w:szCs w:val="24"/>
          <w:lang w:val="sq-AL" w:eastAsia="en-CA" w:bidi="sq-AL"/>
        </w:rPr>
        <w:t>.</w:t>
      </w:r>
    </w:p>
    <w:p w14:paraId="08C76986" w14:textId="77777777" w:rsidR="006B677E" w:rsidRPr="00F72F1D" w:rsidRDefault="006B677E" w:rsidP="006B677E">
      <w:pPr>
        <w:spacing w:after="120"/>
        <w:jc w:val="both"/>
        <w:rPr>
          <w:rFonts w:ascii="Times New Roman" w:hAnsi="Times New Roman"/>
          <w:color w:val="000000" w:themeColor="text1"/>
          <w:sz w:val="24"/>
          <w:szCs w:val="24"/>
          <w:lang w:val="it-IT"/>
        </w:rPr>
      </w:pPr>
    </w:p>
    <w:p w14:paraId="6527F971" w14:textId="77777777" w:rsidR="006B677E" w:rsidRPr="00F72F1D" w:rsidRDefault="006B677E" w:rsidP="006B677E">
      <w:pPr>
        <w:spacing w:after="120"/>
        <w:jc w:val="center"/>
        <w:rPr>
          <w:rFonts w:ascii="Times New Roman" w:hAnsi="Times New Roman"/>
          <w:color w:val="000000" w:themeColor="text1"/>
          <w:sz w:val="24"/>
          <w:szCs w:val="24"/>
          <w:lang w:val="it-IT"/>
        </w:rPr>
      </w:pPr>
      <w:r w:rsidRPr="00F72F1D">
        <w:rPr>
          <w:noProof/>
          <w:color w:val="000000" w:themeColor="text1"/>
        </w:rPr>
        <w:drawing>
          <wp:inline distT="0" distB="0" distL="0" distR="0" wp14:anchorId="28E751FE" wp14:editId="4D414D99">
            <wp:extent cx="5943600" cy="4306570"/>
            <wp:effectExtent l="0" t="0" r="0" b="17780"/>
            <wp:docPr id="60415987" name="Chart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9953FE" w14:textId="77777777" w:rsidR="006B677E" w:rsidRPr="00F72F1D" w:rsidRDefault="006B677E" w:rsidP="006B677E">
      <w:pPr>
        <w:spacing w:after="0"/>
        <w:jc w:val="both"/>
        <w:rPr>
          <w:rFonts w:ascii="Times New Roman" w:hAnsi="Times New Roman"/>
          <w:color w:val="000000" w:themeColor="text1"/>
          <w:sz w:val="24"/>
          <w:szCs w:val="24"/>
          <w:lang w:val="it-IT"/>
        </w:rPr>
      </w:pPr>
      <w:r w:rsidRPr="00F72F1D">
        <w:rPr>
          <w:rFonts w:ascii="Times New Roman" w:hAnsi="Times New Roman"/>
          <w:color w:val="000000" w:themeColor="text1"/>
          <w:sz w:val="24"/>
          <w:szCs w:val="24"/>
          <w:lang w:val="it-IT"/>
        </w:rPr>
        <w:t>Shpenzimet kapitale përbëjnë 44.0% të kostove indikative, ndërsa kostot korente 56.0%.</w:t>
      </w:r>
    </w:p>
    <w:p w14:paraId="1A381F5A" w14:textId="77777777" w:rsidR="006B677E" w:rsidRPr="00F72F1D" w:rsidRDefault="006B677E" w:rsidP="006B677E">
      <w:pPr>
        <w:spacing w:after="120"/>
        <w:rPr>
          <w:rFonts w:ascii="Times New Roman" w:hAnsi="Times New Roman"/>
          <w:b/>
          <w:color w:val="000000" w:themeColor="text1"/>
          <w:sz w:val="24"/>
          <w:szCs w:val="24"/>
          <w:lang w:val="it-IT"/>
        </w:rPr>
      </w:pPr>
    </w:p>
    <w:p w14:paraId="76177EA2" w14:textId="77777777" w:rsidR="006B677E" w:rsidRPr="00F72F1D" w:rsidRDefault="006B677E" w:rsidP="006B677E">
      <w:pPr>
        <w:spacing w:after="120"/>
        <w:jc w:val="center"/>
        <w:rPr>
          <w:rFonts w:ascii="Times New Roman" w:hAnsi="Times New Roman"/>
          <w:b/>
          <w:color w:val="000000" w:themeColor="text1"/>
          <w:sz w:val="24"/>
          <w:szCs w:val="24"/>
        </w:rPr>
      </w:pPr>
      <w:r w:rsidRPr="00F72F1D">
        <w:rPr>
          <w:noProof/>
          <w:color w:val="000000" w:themeColor="text1"/>
        </w:rPr>
        <w:lastRenderedPageBreak/>
        <w:drawing>
          <wp:inline distT="0" distB="0" distL="0" distR="0" wp14:anchorId="5D4AB5A1" wp14:editId="1626D388">
            <wp:extent cx="5943600" cy="4312920"/>
            <wp:effectExtent l="0" t="0" r="0" b="11430"/>
            <wp:docPr id="1770504672"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61FCDE" w14:textId="77777777" w:rsidR="006B677E" w:rsidRPr="00F72F1D" w:rsidRDefault="006B677E" w:rsidP="006B677E">
      <w:pPr>
        <w:spacing w:after="120"/>
        <w:jc w:val="both"/>
        <w:rPr>
          <w:rFonts w:ascii="Times New Roman" w:hAnsi="Times New Roman"/>
          <w:color w:val="000000" w:themeColor="text1"/>
          <w:sz w:val="24"/>
          <w:szCs w:val="24"/>
        </w:rPr>
      </w:pPr>
    </w:p>
    <w:p w14:paraId="102EBFC5" w14:textId="77777777" w:rsidR="006B677E" w:rsidRPr="00F72F1D" w:rsidRDefault="006B677E" w:rsidP="006B677E">
      <w:pPr>
        <w:spacing w:after="0"/>
        <w:jc w:val="both"/>
        <w:rPr>
          <w:rFonts w:ascii="Times New Roman" w:hAnsi="Times New Roman"/>
          <w:color w:val="000000" w:themeColor="text1"/>
          <w:sz w:val="24"/>
          <w:szCs w:val="24"/>
        </w:rPr>
      </w:pPr>
      <w:r w:rsidRPr="00F72F1D">
        <w:rPr>
          <w:rFonts w:ascii="Times New Roman" w:hAnsi="Times New Roman"/>
          <w:color w:val="000000" w:themeColor="text1"/>
          <w:sz w:val="24"/>
          <w:szCs w:val="24"/>
        </w:rPr>
        <w:t>Të ndara sipas qëllimeve të politikave, kostot pasqyrohen në grafikun më poshtë. Qëllimi i Politikës III, pritet të ketë në terma financiare peshën më të madhe në zbatimin e PV, përkatësisht 65.2 %. Qëllimi i Politikës II arrin në vlerën 10.1%, Qëllimi e Politikës I 9.6%, ndërsa qëllimi IV dhe V respektivisht 7.5% dhe 7.6% të kostos së përgjithshme të planit.</w:t>
      </w:r>
    </w:p>
    <w:p w14:paraId="6C7FAA6D" w14:textId="77777777" w:rsidR="006B677E" w:rsidRPr="00F72F1D" w:rsidRDefault="006B677E" w:rsidP="006B677E">
      <w:pPr>
        <w:spacing w:after="0"/>
        <w:jc w:val="both"/>
        <w:rPr>
          <w:rFonts w:ascii="Times New Roman" w:hAnsi="Times New Roman"/>
          <w:color w:val="000000" w:themeColor="text1"/>
          <w:sz w:val="24"/>
          <w:szCs w:val="24"/>
        </w:rPr>
      </w:pPr>
    </w:p>
    <w:p w14:paraId="78BA0AD6" w14:textId="77777777" w:rsidR="006B677E" w:rsidRPr="00F72F1D" w:rsidRDefault="006B677E" w:rsidP="006B677E">
      <w:pPr>
        <w:spacing w:after="0"/>
        <w:jc w:val="both"/>
        <w:rPr>
          <w:rFonts w:ascii="Times New Roman" w:hAnsi="Times New Roman"/>
          <w:color w:val="000000" w:themeColor="text1"/>
          <w:sz w:val="24"/>
          <w:szCs w:val="24"/>
        </w:rPr>
      </w:pPr>
      <w:r w:rsidRPr="00F72F1D">
        <w:rPr>
          <w:noProof/>
          <w:color w:val="000000" w:themeColor="text1"/>
        </w:rPr>
        <w:lastRenderedPageBreak/>
        <w:drawing>
          <wp:inline distT="0" distB="0" distL="0" distR="0" wp14:anchorId="6A8DCD6A" wp14:editId="5D0E4082">
            <wp:extent cx="5943600" cy="4314825"/>
            <wp:effectExtent l="0" t="0" r="0" b="9525"/>
            <wp:docPr id="1312578730" name="Chart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3E9BAC" w14:textId="77777777" w:rsidR="006B677E" w:rsidRPr="00F72F1D" w:rsidRDefault="006B677E" w:rsidP="006B677E">
      <w:pPr>
        <w:spacing w:after="120"/>
        <w:jc w:val="both"/>
        <w:rPr>
          <w:rFonts w:ascii="Times New Roman" w:hAnsi="Times New Roman"/>
          <w:color w:val="000000" w:themeColor="text1"/>
          <w:sz w:val="24"/>
          <w:szCs w:val="24"/>
        </w:rPr>
      </w:pPr>
    </w:p>
    <w:p w14:paraId="40E6C690" w14:textId="77777777" w:rsidR="006B677E" w:rsidRPr="00F72F1D" w:rsidRDefault="006B677E" w:rsidP="006B677E">
      <w:pPr>
        <w:spacing w:after="0"/>
        <w:jc w:val="both"/>
        <w:rPr>
          <w:rFonts w:ascii="Times New Roman" w:hAnsi="Times New Roman"/>
          <w:color w:val="000000" w:themeColor="text1"/>
          <w:sz w:val="24"/>
          <w:szCs w:val="24"/>
        </w:rPr>
      </w:pPr>
      <w:r w:rsidRPr="00F72F1D">
        <w:rPr>
          <w:rFonts w:ascii="Times New Roman" w:hAnsi="Times New Roman"/>
          <w:color w:val="000000" w:themeColor="text1"/>
          <w:sz w:val="24"/>
          <w:szCs w:val="24"/>
        </w:rPr>
        <w:t>Plani i veprimit do të rishikohet pas 3 vitesh (në vitin 2027) për ta përshtatur me progresin në zbatimin e masave, por edhe për ta azhornuar atë konform nevojave dhe shpenzimeve buxhetore afatmesme. Për masat e planit që janë të pambuluara financiarisht, MD dhe institucionet e tjera përgjegjëse do të planifikojnë nevojat për financime buxhetore nëpërmjet programeve buxhetore përkatëse, si pjesë e procesit të planifikimit të programit afatmesëm buxhetor dhe buxhetit vjetor, si dhe do të negocioj me donatorë të ndryshëm për t'i bashkëfinancuar disa aktivitete.</w:t>
      </w:r>
    </w:p>
    <w:p w14:paraId="705C5B2D" w14:textId="77777777" w:rsidR="006B677E" w:rsidRPr="00F72F1D" w:rsidRDefault="006B677E" w:rsidP="006B677E">
      <w:pPr>
        <w:spacing w:after="120"/>
        <w:rPr>
          <w:rFonts w:ascii="Times New Roman" w:hAnsi="Times New Roman"/>
          <w:color w:val="000000" w:themeColor="text1"/>
          <w:sz w:val="24"/>
          <w:szCs w:val="24"/>
        </w:rPr>
      </w:pPr>
    </w:p>
    <w:p w14:paraId="2222B786" w14:textId="77777777" w:rsidR="006B677E" w:rsidRPr="00F72F1D" w:rsidRDefault="006B677E" w:rsidP="006B677E">
      <w:pPr>
        <w:rPr>
          <w:color w:val="000000" w:themeColor="text1"/>
        </w:rPr>
      </w:pPr>
    </w:p>
    <w:p w14:paraId="42B94660" w14:textId="77777777" w:rsidR="00A22005" w:rsidRPr="007440A2" w:rsidRDefault="00A22005" w:rsidP="00A22005">
      <w:pPr>
        <w:rPr>
          <w:rFonts w:ascii="Times New Roman" w:eastAsia="Calibri" w:hAnsi="Times New Roman" w:cs="Times New Roman"/>
          <w:sz w:val="24"/>
          <w:szCs w:val="24"/>
        </w:rPr>
      </w:pPr>
    </w:p>
    <w:p w14:paraId="4B1BA1BF" w14:textId="77777777" w:rsidR="00A22005" w:rsidRPr="007440A2" w:rsidRDefault="00A22005" w:rsidP="00B9791B">
      <w:pPr>
        <w:spacing w:line="276" w:lineRule="auto"/>
        <w:jc w:val="both"/>
        <w:rPr>
          <w:rFonts w:ascii="Times New Roman" w:hAnsi="Times New Roman" w:cs="Times New Roman"/>
          <w:b/>
          <w:sz w:val="24"/>
          <w:szCs w:val="24"/>
        </w:rPr>
      </w:pPr>
    </w:p>
    <w:p w14:paraId="2A74D3EA" w14:textId="77777777" w:rsidR="00267713" w:rsidRPr="007440A2" w:rsidRDefault="00267713" w:rsidP="00B9791B">
      <w:pPr>
        <w:spacing w:line="276" w:lineRule="auto"/>
        <w:jc w:val="both"/>
        <w:rPr>
          <w:rFonts w:ascii="Times New Roman" w:hAnsi="Times New Roman" w:cs="Times New Roman"/>
          <w:b/>
          <w:sz w:val="24"/>
          <w:szCs w:val="24"/>
        </w:rPr>
      </w:pPr>
    </w:p>
    <w:p w14:paraId="17F2249D" w14:textId="77777777" w:rsidR="00267713" w:rsidRPr="007440A2" w:rsidRDefault="00267713" w:rsidP="00B9791B">
      <w:pPr>
        <w:spacing w:line="276" w:lineRule="auto"/>
        <w:jc w:val="both"/>
        <w:rPr>
          <w:rFonts w:ascii="Times New Roman" w:hAnsi="Times New Roman" w:cs="Times New Roman"/>
          <w:b/>
          <w:sz w:val="24"/>
          <w:szCs w:val="24"/>
        </w:rPr>
      </w:pPr>
    </w:p>
    <w:p w14:paraId="486668EE" w14:textId="77777777" w:rsidR="00267713" w:rsidRPr="007440A2" w:rsidRDefault="00267713" w:rsidP="00B9791B">
      <w:pPr>
        <w:spacing w:line="276" w:lineRule="auto"/>
        <w:jc w:val="both"/>
        <w:rPr>
          <w:rFonts w:ascii="Times New Roman" w:hAnsi="Times New Roman" w:cs="Times New Roman"/>
          <w:b/>
          <w:sz w:val="24"/>
          <w:szCs w:val="24"/>
        </w:rPr>
      </w:pPr>
    </w:p>
    <w:p w14:paraId="3B436EDA" w14:textId="77777777" w:rsidR="00267713" w:rsidRPr="007440A2" w:rsidRDefault="00267713" w:rsidP="00B9791B">
      <w:pPr>
        <w:spacing w:line="276" w:lineRule="auto"/>
        <w:jc w:val="both"/>
        <w:rPr>
          <w:rFonts w:ascii="Times New Roman" w:hAnsi="Times New Roman" w:cs="Times New Roman"/>
          <w:b/>
          <w:sz w:val="24"/>
          <w:szCs w:val="24"/>
        </w:rPr>
      </w:pPr>
    </w:p>
    <w:p w14:paraId="1CAB2EE5" w14:textId="77777777" w:rsidR="00267713" w:rsidRPr="007440A2" w:rsidRDefault="00267713" w:rsidP="00B9791B">
      <w:pPr>
        <w:spacing w:line="276" w:lineRule="auto"/>
        <w:jc w:val="both"/>
        <w:rPr>
          <w:rFonts w:ascii="Times New Roman" w:hAnsi="Times New Roman" w:cs="Times New Roman"/>
          <w:b/>
          <w:sz w:val="24"/>
          <w:szCs w:val="24"/>
        </w:rPr>
      </w:pPr>
    </w:p>
    <w:p w14:paraId="1E57FE97" w14:textId="30CE9D68" w:rsidR="00BB0221" w:rsidRPr="007440A2" w:rsidRDefault="00BB0221" w:rsidP="00B9791B">
      <w:pPr>
        <w:spacing w:line="276" w:lineRule="auto"/>
        <w:jc w:val="both"/>
        <w:rPr>
          <w:rFonts w:ascii="Times New Roman" w:hAnsi="Times New Roman" w:cs="Times New Roman"/>
          <w:b/>
          <w:sz w:val="24"/>
          <w:szCs w:val="24"/>
        </w:rPr>
      </w:pPr>
    </w:p>
    <w:p w14:paraId="76DAE633" w14:textId="77777777" w:rsidR="00F7329F" w:rsidRPr="007440A2" w:rsidRDefault="00F7329F" w:rsidP="00F7329F">
      <w:pPr>
        <w:pBdr>
          <w:bottom w:val="single" w:sz="24" w:space="1" w:color="F0CDA1"/>
        </w:pBdr>
        <w:spacing w:before="120" w:after="120" w:line="288" w:lineRule="auto"/>
        <w:jc w:val="right"/>
        <w:rPr>
          <w:rFonts w:ascii="Times New Roman" w:eastAsia="Arial" w:hAnsi="Times New Roman" w:cs="Times New Roman"/>
          <w:b/>
          <w:sz w:val="28"/>
          <w:szCs w:val="28"/>
        </w:rPr>
      </w:pPr>
      <w:r w:rsidRPr="007440A2">
        <w:rPr>
          <w:rFonts w:ascii="Times New Roman" w:eastAsia="Arial" w:hAnsi="Times New Roman" w:cs="Times New Roman"/>
          <w:b/>
          <w:sz w:val="28"/>
          <w:szCs w:val="28"/>
        </w:rPr>
        <w:t>ANEX 1</w:t>
      </w:r>
    </w:p>
    <w:p w14:paraId="46BE3341" w14:textId="77777777" w:rsidR="00F7329F" w:rsidRPr="007440A2" w:rsidRDefault="00F7329F" w:rsidP="00F7329F">
      <w:pPr>
        <w:spacing w:line="276" w:lineRule="auto"/>
        <w:jc w:val="both"/>
        <w:rPr>
          <w:rFonts w:ascii="Times New Roman" w:hAnsi="Times New Roman" w:cs="Times New Roman"/>
          <w:b/>
          <w:sz w:val="24"/>
          <w:szCs w:val="24"/>
        </w:rPr>
      </w:pPr>
    </w:p>
    <w:p w14:paraId="09C120DB" w14:textId="22B9D963" w:rsidR="00F7329F" w:rsidRPr="007440A2" w:rsidRDefault="00F7329F" w:rsidP="00F7329F">
      <w:pPr>
        <w:spacing w:line="276" w:lineRule="auto"/>
        <w:jc w:val="center"/>
        <w:rPr>
          <w:rFonts w:ascii="Times New Roman" w:eastAsia="Times New Roman" w:hAnsi="Times New Roman" w:cs="Times New Roman"/>
          <w:b/>
          <w:bCs/>
          <w:kern w:val="32"/>
          <w:sz w:val="24"/>
          <w:szCs w:val="24"/>
        </w:rPr>
      </w:pPr>
      <w:r w:rsidRPr="007440A2">
        <w:rPr>
          <w:rFonts w:ascii="Times New Roman" w:eastAsia="Times New Roman" w:hAnsi="Times New Roman" w:cs="Times New Roman"/>
          <w:b/>
          <w:bCs/>
          <w:kern w:val="32"/>
          <w:sz w:val="24"/>
          <w:szCs w:val="24"/>
        </w:rPr>
        <w:t xml:space="preserve">MATRICA E MASAVE DHE AKTIVITETEVE TË STRATEGJISË NDËRSEKTORIALE </w:t>
      </w:r>
      <w:r w:rsidR="00607B7E" w:rsidRPr="007440A2">
        <w:rPr>
          <w:rFonts w:ascii="Times New Roman" w:eastAsia="Times New Roman" w:hAnsi="Times New Roman" w:cs="Times New Roman"/>
          <w:b/>
          <w:bCs/>
          <w:kern w:val="32"/>
          <w:sz w:val="24"/>
          <w:szCs w:val="24"/>
        </w:rPr>
        <w:t>TË DREJTËSISË</w:t>
      </w:r>
    </w:p>
    <w:p w14:paraId="511615AC" w14:textId="77777777" w:rsidR="00F7329F" w:rsidRPr="007440A2" w:rsidRDefault="00F7329F" w:rsidP="00F7329F">
      <w:pPr>
        <w:spacing w:line="276" w:lineRule="auto"/>
        <w:jc w:val="center"/>
        <w:rPr>
          <w:rFonts w:ascii="Times New Roman" w:eastAsia="Times New Roman" w:hAnsi="Times New Roman" w:cs="Times New Roman"/>
          <w:b/>
          <w:bCs/>
          <w:kern w:val="32"/>
          <w:sz w:val="24"/>
          <w:szCs w:val="24"/>
        </w:rPr>
      </w:pPr>
      <w:r w:rsidRPr="007440A2">
        <w:rPr>
          <w:rFonts w:ascii="Times New Roman" w:eastAsia="Times New Roman" w:hAnsi="Times New Roman" w:cs="Times New Roman"/>
          <w:b/>
          <w:bCs/>
          <w:kern w:val="32"/>
          <w:sz w:val="24"/>
          <w:szCs w:val="24"/>
        </w:rPr>
        <w:t>2024-2030</w:t>
      </w:r>
    </w:p>
    <w:p w14:paraId="574A5674" w14:textId="77777777" w:rsidR="00F7329F" w:rsidRPr="007440A2" w:rsidRDefault="00F7329F" w:rsidP="00F7329F">
      <w:pPr>
        <w:spacing w:after="0" w:line="240" w:lineRule="auto"/>
        <w:jc w:val="center"/>
        <w:rPr>
          <w:rFonts w:ascii="Times New Roman" w:eastAsia="Times New Roman" w:hAnsi="Times New Roman" w:cs="Times New Roman"/>
          <w:sz w:val="24"/>
          <w:szCs w:val="24"/>
          <w:lang w:val="sq-AL" w:bidi="sq-AL"/>
        </w:rPr>
      </w:pPr>
      <w:bookmarkStart w:id="24" w:name="_Toc68774301"/>
    </w:p>
    <w:bookmarkEnd w:id="24"/>
    <w:p w14:paraId="59E37A5A" w14:textId="77777777" w:rsidR="00F7329F" w:rsidRPr="007440A2" w:rsidRDefault="00F7329F" w:rsidP="00F7329F">
      <w:pPr>
        <w:jc w:val="center"/>
        <w:rPr>
          <w:rFonts w:ascii="Times New Roman" w:eastAsia="Times New Roman" w:hAnsi="Times New Roman" w:cs="Times New Roman"/>
          <w:b/>
          <w:bCs/>
          <w:kern w:val="32"/>
          <w:sz w:val="24"/>
          <w:szCs w:val="24"/>
          <w:lang w:val="sq-AL" w:eastAsia="zh-CN"/>
        </w:rPr>
      </w:pPr>
      <w:r w:rsidRPr="007440A2">
        <w:rPr>
          <w:rFonts w:ascii="Times New Roman" w:eastAsia="Times New Roman" w:hAnsi="Times New Roman" w:cs="Times New Roman"/>
          <w:b/>
          <w:bCs/>
          <w:kern w:val="32"/>
          <w:sz w:val="24"/>
          <w:szCs w:val="24"/>
          <w:lang w:val="sq-AL" w:eastAsia="zh-CN"/>
        </w:rPr>
        <w:t>LOGJIKA E NDËRHYRJES, INSTITUCIONET PËRGJEGJËSE, AFATET KOHORE</w:t>
      </w:r>
    </w:p>
    <w:p w14:paraId="01795B41" w14:textId="27AE7022" w:rsidR="00BB0221" w:rsidRPr="007440A2" w:rsidRDefault="00BB0221" w:rsidP="00B9791B">
      <w:pPr>
        <w:spacing w:line="276" w:lineRule="auto"/>
        <w:jc w:val="both"/>
        <w:rPr>
          <w:rFonts w:ascii="Times New Roman" w:hAnsi="Times New Roman" w:cs="Times New Roman"/>
          <w:b/>
          <w:sz w:val="24"/>
          <w:szCs w:val="24"/>
        </w:rPr>
      </w:pPr>
    </w:p>
    <w:tbl>
      <w:tblPr>
        <w:tblW w:w="10790" w:type="dxa"/>
        <w:tblLayout w:type="fixed"/>
        <w:tblLook w:val="04A0" w:firstRow="1" w:lastRow="0" w:firstColumn="1" w:lastColumn="0" w:noHBand="0" w:noVBand="1"/>
      </w:tblPr>
      <w:tblGrid>
        <w:gridCol w:w="1790"/>
        <w:gridCol w:w="2520"/>
        <w:gridCol w:w="1890"/>
        <w:gridCol w:w="1620"/>
        <w:gridCol w:w="1710"/>
        <w:gridCol w:w="1260"/>
      </w:tblGrid>
      <w:tr w:rsidR="007440A2" w:rsidRPr="007440A2" w14:paraId="2BA959FA" w14:textId="77777777" w:rsidTr="0018109D">
        <w:trPr>
          <w:trHeight w:val="276"/>
        </w:trPr>
        <w:tc>
          <w:tcPr>
            <w:tcW w:w="10790" w:type="dxa"/>
            <w:gridSpan w:val="6"/>
            <w:tcBorders>
              <w:top w:val="single" w:sz="8" w:space="0" w:color="auto"/>
              <w:left w:val="single" w:sz="8" w:space="0" w:color="auto"/>
              <w:bottom w:val="single" w:sz="8" w:space="0" w:color="auto"/>
              <w:right w:val="single" w:sz="4" w:space="0" w:color="auto"/>
            </w:tcBorders>
            <w:shd w:val="clear" w:color="000000" w:fill="9CC2E5"/>
            <w:vAlign w:val="center"/>
            <w:hideMark/>
          </w:tcPr>
          <w:p w14:paraId="0A6A50C5" w14:textId="55542C43" w:rsidR="0018109D" w:rsidRPr="007440A2" w:rsidRDefault="00A26C45"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Plani Veprimit  “</w:t>
            </w:r>
            <w:r w:rsidR="0018109D" w:rsidRPr="007440A2">
              <w:rPr>
                <w:rFonts w:ascii="Times New Roman" w:eastAsia="Times New Roman" w:hAnsi="Times New Roman" w:cs="Times New Roman"/>
                <w:b/>
                <w:bCs/>
                <w:sz w:val="20"/>
                <w:szCs w:val="20"/>
              </w:rPr>
              <w:t xml:space="preserve">Strategjia </w:t>
            </w:r>
            <w:r w:rsidR="00C240D7" w:rsidRPr="007440A2">
              <w:rPr>
                <w:rFonts w:ascii="Times New Roman" w:eastAsia="Times New Roman" w:hAnsi="Times New Roman" w:cs="Times New Roman"/>
                <w:b/>
                <w:bCs/>
                <w:sz w:val="20"/>
                <w:szCs w:val="20"/>
              </w:rPr>
              <w:t>Ndërsektoriale e Drejtësisë</w:t>
            </w:r>
            <w:r w:rsidRPr="007440A2">
              <w:rPr>
                <w:rFonts w:ascii="Times New Roman" w:eastAsia="Times New Roman" w:hAnsi="Times New Roman" w:cs="Times New Roman"/>
                <w:b/>
                <w:bCs/>
                <w:sz w:val="20"/>
                <w:szCs w:val="20"/>
              </w:rPr>
              <w:t>”</w:t>
            </w:r>
            <w:r w:rsidR="0018109D" w:rsidRPr="007440A2">
              <w:rPr>
                <w:rFonts w:ascii="Times New Roman" w:eastAsia="Times New Roman" w:hAnsi="Times New Roman" w:cs="Times New Roman"/>
                <w:b/>
                <w:bCs/>
                <w:sz w:val="20"/>
                <w:szCs w:val="20"/>
              </w:rPr>
              <w:br/>
              <w:t xml:space="preserve"> 2024-2030</w:t>
            </w:r>
          </w:p>
        </w:tc>
      </w:tr>
      <w:tr w:rsidR="007440A2" w:rsidRPr="007440A2" w14:paraId="290A80CD" w14:textId="77777777" w:rsidTr="0018109D">
        <w:trPr>
          <w:trHeight w:val="276"/>
        </w:trPr>
        <w:tc>
          <w:tcPr>
            <w:tcW w:w="10790" w:type="dxa"/>
            <w:gridSpan w:val="6"/>
            <w:tcBorders>
              <w:top w:val="single" w:sz="8" w:space="0" w:color="auto"/>
              <w:left w:val="single" w:sz="8" w:space="0" w:color="auto"/>
              <w:bottom w:val="single" w:sz="8" w:space="0" w:color="auto"/>
              <w:right w:val="single" w:sz="4" w:space="0" w:color="auto"/>
            </w:tcBorders>
            <w:shd w:val="clear" w:color="000000" w:fill="9CC2E5"/>
            <w:vAlign w:val="center"/>
            <w:hideMark/>
          </w:tcPr>
          <w:p w14:paraId="1AED9F71"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Qellimi i Politikës 1 - Konsolidimi dhe qëndrueshmëria e arritjeve të reformës në drejtësi në përputhje me standartet Evropiane.</w:t>
            </w:r>
          </w:p>
        </w:tc>
      </w:tr>
      <w:tr w:rsidR="007440A2" w:rsidRPr="007440A2" w14:paraId="7579B90A" w14:textId="77777777" w:rsidTr="0018109D">
        <w:trPr>
          <w:trHeight w:val="276"/>
        </w:trPr>
        <w:tc>
          <w:tcPr>
            <w:tcW w:w="4310" w:type="dxa"/>
            <w:gridSpan w:val="2"/>
            <w:tcBorders>
              <w:top w:val="single" w:sz="4" w:space="0" w:color="auto"/>
              <w:left w:val="single" w:sz="8" w:space="0" w:color="auto"/>
              <w:bottom w:val="single" w:sz="8" w:space="0" w:color="auto"/>
              <w:right w:val="nil"/>
            </w:tcBorders>
            <w:shd w:val="clear" w:color="000000" w:fill="9CC2E5"/>
            <w:vAlign w:val="center"/>
            <w:hideMark/>
          </w:tcPr>
          <w:p w14:paraId="12FC0EA5"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1.1:</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6ACA7F12"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Përditësimi i legjislacionit të reformës në drejtësi në përputhje me parimet e pavarësisë, llogaridhënies, efikasitetit, cilësisë dhe sigurimi i harmonizimit të legjislacionit shqiptar me </w:t>
            </w:r>
            <w:r w:rsidRPr="007440A2">
              <w:rPr>
                <w:rFonts w:ascii="Times New Roman" w:eastAsia="Times New Roman" w:hAnsi="Times New Roman" w:cs="Times New Roman"/>
                <w:b/>
                <w:bCs/>
                <w:i/>
                <w:iCs/>
                <w:sz w:val="20"/>
                <w:szCs w:val="20"/>
              </w:rPr>
              <w:t>acquis</w:t>
            </w:r>
            <w:r w:rsidRPr="007440A2">
              <w:rPr>
                <w:rFonts w:ascii="Times New Roman" w:eastAsia="Times New Roman" w:hAnsi="Times New Roman" w:cs="Times New Roman"/>
                <w:b/>
                <w:bCs/>
                <w:sz w:val="20"/>
                <w:szCs w:val="20"/>
              </w:rPr>
              <w:t xml:space="preserve"> të BE-së.</w:t>
            </w:r>
          </w:p>
        </w:tc>
      </w:tr>
      <w:tr w:rsidR="007440A2" w:rsidRPr="007440A2" w14:paraId="74FBBA85" w14:textId="77777777" w:rsidTr="0018109D">
        <w:trPr>
          <w:trHeight w:val="1464"/>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59BCBD3A"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38B4390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Deri ne fund te vitit 2030 jane zbatuar 100% e rekomandimeve të raporteve analitike të institucioneve mbi problematikat e zbatimit të ligjeve të reformës në drejtësi </w:t>
            </w:r>
            <w:r w:rsidRPr="007440A2">
              <w:rPr>
                <w:rFonts w:ascii="Times New Roman" w:eastAsia="Times New Roman" w:hAnsi="Times New Roman" w:cs="Times New Roman"/>
                <w:sz w:val="20"/>
                <w:szCs w:val="20"/>
              </w:rPr>
              <w:br/>
            </w:r>
            <w:r w:rsidRPr="007440A2">
              <w:rPr>
                <w:rFonts w:ascii="Times New Roman" w:eastAsia="Times New Roman" w:hAnsi="Times New Roman" w:cs="Times New Roman"/>
                <w:sz w:val="20"/>
                <w:szCs w:val="20"/>
              </w:rPr>
              <w:br/>
              <w:t xml:space="preserve">Deri ne fund te vitit 2030 ligji vendas eshte perafruar te pakten "pjeserisht" me 40 akte ligjore te BE-se. </w:t>
            </w:r>
          </w:p>
        </w:tc>
      </w:tr>
      <w:tr w:rsidR="007440A2" w:rsidRPr="007440A2" w14:paraId="2DE1267D" w14:textId="77777777" w:rsidTr="0018109D">
        <w:trPr>
          <w:trHeight w:val="540"/>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782F7461"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4F909503"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78B183F4"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4D202F1C"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66BC2E98"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5C546CDC"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6F5A6406" w14:textId="77777777" w:rsidTr="0018109D">
        <w:trPr>
          <w:trHeight w:val="1464"/>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318E58D6"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1.1.1 Koordinimi i zhvillimit dhe zbatimit të politikave shtetërore në lidhje me rritjen e pavarësisë, përgjegjëshmërisë, cilësisë dhe efikasitetin e drejtësisë.</w:t>
            </w:r>
          </w:p>
        </w:tc>
        <w:tc>
          <w:tcPr>
            <w:tcW w:w="2520" w:type="dxa"/>
            <w:tcBorders>
              <w:top w:val="nil"/>
              <w:left w:val="nil"/>
              <w:bottom w:val="single" w:sz="4" w:space="0" w:color="auto"/>
              <w:right w:val="single" w:sz="4" w:space="0" w:color="auto"/>
            </w:tcBorders>
            <w:shd w:val="clear" w:color="auto" w:fill="auto"/>
            <w:vAlign w:val="center"/>
            <w:hideMark/>
          </w:tcPr>
          <w:p w14:paraId="3CF2D1E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1.1.1.1 Zbatimi i angazhimeve te ndermarra ne SND 2024-2030, Udherrefyesin e Shtetit te se Drejtes nga institucionet zbatuese dhe hartimi i Raporteve periodike te monitorimit sipas percaktimeve ligjore</w:t>
            </w:r>
          </w:p>
        </w:tc>
        <w:tc>
          <w:tcPr>
            <w:tcW w:w="1890" w:type="dxa"/>
            <w:tcBorders>
              <w:top w:val="nil"/>
              <w:left w:val="nil"/>
              <w:bottom w:val="single" w:sz="4" w:space="0" w:color="auto"/>
              <w:right w:val="single" w:sz="4" w:space="0" w:color="auto"/>
            </w:tcBorders>
            <w:shd w:val="clear" w:color="auto" w:fill="auto"/>
            <w:vAlign w:val="center"/>
            <w:hideMark/>
          </w:tcPr>
          <w:p w14:paraId="4A6B3B52"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MD,  Institucionet zbatuese të SND 2024-2030 dhe Udhërrëfyesit të Shtetit të së Drejtës</w:t>
            </w:r>
          </w:p>
        </w:tc>
        <w:tc>
          <w:tcPr>
            <w:tcW w:w="1620" w:type="dxa"/>
            <w:tcBorders>
              <w:top w:val="nil"/>
              <w:left w:val="nil"/>
              <w:bottom w:val="single" w:sz="4" w:space="0" w:color="auto"/>
              <w:right w:val="single" w:sz="8" w:space="0" w:color="auto"/>
            </w:tcBorders>
            <w:shd w:val="clear" w:color="auto" w:fill="auto"/>
            <w:vAlign w:val="center"/>
            <w:hideMark/>
          </w:tcPr>
          <w:p w14:paraId="0ECF9FA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4E2D25A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50A834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27ADB38" w14:textId="77777777" w:rsidTr="0018109D">
        <w:trPr>
          <w:trHeight w:val="1368"/>
        </w:trPr>
        <w:tc>
          <w:tcPr>
            <w:tcW w:w="1790" w:type="dxa"/>
            <w:vMerge/>
            <w:tcBorders>
              <w:top w:val="nil"/>
              <w:left w:val="single" w:sz="8" w:space="0" w:color="auto"/>
              <w:bottom w:val="single" w:sz="8" w:space="0" w:color="000000"/>
              <w:right w:val="single" w:sz="4" w:space="0" w:color="auto"/>
            </w:tcBorders>
            <w:vAlign w:val="center"/>
            <w:hideMark/>
          </w:tcPr>
          <w:p w14:paraId="79BC2D57"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32469D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1.1.1.2 Zhvillimi i takimeve periodike nga ana e MD lidhur me pasqyrimin e gjetjeve te raporteve te monitorimit dhe hapave që do te ndiqen në të ardhmen </w:t>
            </w:r>
          </w:p>
        </w:tc>
        <w:tc>
          <w:tcPr>
            <w:tcW w:w="1890" w:type="dxa"/>
            <w:tcBorders>
              <w:top w:val="nil"/>
              <w:left w:val="nil"/>
              <w:bottom w:val="single" w:sz="4" w:space="0" w:color="auto"/>
              <w:right w:val="single" w:sz="4" w:space="0" w:color="auto"/>
            </w:tcBorders>
            <w:shd w:val="clear" w:color="auto" w:fill="auto"/>
            <w:vAlign w:val="center"/>
            <w:hideMark/>
          </w:tcPr>
          <w:p w14:paraId="66FDA4CA"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2BA7B5F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Institucionet zbatuese të SND 2024-2030 dhe Udhërrëfyesit të Shtetit të së Drejtës</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BFDBE9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085A79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6CEC571" w14:textId="77777777" w:rsidTr="0018109D">
        <w:trPr>
          <w:trHeight w:val="1104"/>
        </w:trPr>
        <w:tc>
          <w:tcPr>
            <w:tcW w:w="1790" w:type="dxa"/>
            <w:vMerge/>
            <w:tcBorders>
              <w:top w:val="nil"/>
              <w:left w:val="single" w:sz="8" w:space="0" w:color="auto"/>
              <w:bottom w:val="single" w:sz="8" w:space="0" w:color="000000"/>
              <w:right w:val="single" w:sz="4" w:space="0" w:color="auto"/>
            </w:tcBorders>
            <w:vAlign w:val="center"/>
            <w:hideMark/>
          </w:tcPr>
          <w:p w14:paraId="0E38AFE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FC06850"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1.1.1.3 Mbledhja dhe analizimi i të dhënave statistikore me qëllim marrjen e vendimeve mbi politikat e përgjithshme në sektorin e drejtësisë</w:t>
            </w:r>
          </w:p>
        </w:tc>
        <w:tc>
          <w:tcPr>
            <w:tcW w:w="1890" w:type="dxa"/>
            <w:tcBorders>
              <w:top w:val="nil"/>
              <w:left w:val="nil"/>
              <w:bottom w:val="single" w:sz="4" w:space="0" w:color="auto"/>
              <w:right w:val="single" w:sz="4" w:space="0" w:color="auto"/>
            </w:tcBorders>
            <w:shd w:val="clear" w:color="auto" w:fill="auto"/>
            <w:vAlign w:val="center"/>
            <w:hideMark/>
          </w:tcPr>
          <w:p w14:paraId="036E9E88"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45C4763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Institucionet zbatuese të SND 2024-2030 dhe Udhërrëfyesit të Shtetit të së Drejtës</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1CF8C9C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F623D1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09EA928" w14:textId="77777777" w:rsidTr="0018109D">
        <w:trPr>
          <w:trHeight w:val="1608"/>
        </w:trPr>
        <w:tc>
          <w:tcPr>
            <w:tcW w:w="1790" w:type="dxa"/>
            <w:vMerge/>
            <w:tcBorders>
              <w:top w:val="nil"/>
              <w:left w:val="single" w:sz="8" w:space="0" w:color="auto"/>
              <w:bottom w:val="single" w:sz="8" w:space="0" w:color="000000"/>
              <w:right w:val="single" w:sz="4" w:space="0" w:color="auto"/>
            </w:tcBorders>
            <w:vAlign w:val="center"/>
            <w:hideMark/>
          </w:tcPr>
          <w:p w14:paraId="0579665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1D577C0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1.1.1.4 Bashkëpunimi me KLGJ dhe KLP për hartimin, miratimin dhe zbatimin prej këtyre të fundit të një planeve strategjike për sistemin gjyqësor dhe për sistemin e prokurorisë, në përputhje me </w:t>
            </w:r>
            <w:r w:rsidRPr="007440A2">
              <w:rPr>
                <w:rFonts w:ascii="Times New Roman" w:eastAsia="Times New Roman" w:hAnsi="Times New Roman" w:cs="Times New Roman"/>
                <w:i/>
                <w:iCs/>
                <w:sz w:val="20"/>
                <w:szCs w:val="20"/>
              </w:rPr>
              <w:t>acquis</w:t>
            </w:r>
            <w:r w:rsidRPr="007440A2">
              <w:rPr>
                <w:rFonts w:ascii="Times New Roman" w:eastAsia="Times New Roman" w:hAnsi="Times New Roman" w:cs="Times New Roman"/>
                <w:sz w:val="20"/>
                <w:szCs w:val="20"/>
              </w:rPr>
              <w:t xml:space="preserve"> të BE-së dhe standardet evropiane dhe që forcojnë më tej parimet e reformës në drejtësi të vitit 2016</w:t>
            </w:r>
          </w:p>
        </w:tc>
        <w:tc>
          <w:tcPr>
            <w:tcW w:w="1890" w:type="dxa"/>
            <w:tcBorders>
              <w:top w:val="nil"/>
              <w:left w:val="nil"/>
              <w:bottom w:val="single" w:sz="8" w:space="0" w:color="auto"/>
              <w:right w:val="single" w:sz="4" w:space="0" w:color="auto"/>
            </w:tcBorders>
            <w:shd w:val="clear" w:color="auto" w:fill="auto"/>
            <w:vAlign w:val="center"/>
            <w:hideMark/>
          </w:tcPr>
          <w:p w14:paraId="403E1EBD"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 KLGJ, KLP</w:t>
            </w:r>
          </w:p>
        </w:tc>
        <w:tc>
          <w:tcPr>
            <w:tcW w:w="1620" w:type="dxa"/>
            <w:tcBorders>
              <w:top w:val="nil"/>
              <w:left w:val="nil"/>
              <w:bottom w:val="single" w:sz="8" w:space="0" w:color="auto"/>
              <w:right w:val="single" w:sz="8" w:space="0" w:color="auto"/>
            </w:tcBorders>
            <w:shd w:val="clear" w:color="auto" w:fill="auto"/>
            <w:vAlign w:val="center"/>
            <w:hideMark/>
          </w:tcPr>
          <w:p w14:paraId="2A2E1EB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465D151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7BFEFF8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E98255A" w14:textId="77777777" w:rsidTr="0018109D">
        <w:trPr>
          <w:trHeight w:val="1392"/>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61CC0A6B"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1.1.2 Përditësimi i Kodit Penal në përputhje me acquis të BE.</w:t>
            </w:r>
          </w:p>
        </w:tc>
        <w:tc>
          <w:tcPr>
            <w:tcW w:w="2520" w:type="dxa"/>
            <w:tcBorders>
              <w:top w:val="nil"/>
              <w:left w:val="nil"/>
              <w:bottom w:val="single" w:sz="4" w:space="0" w:color="auto"/>
              <w:right w:val="single" w:sz="4" w:space="0" w:color="auto"/>
            </w:tcBorders>
            <w:shd w:val="clear" w:color="auto" w:fill="auto"/>
            <w:vAlign w:val="center"/>
            <w:hideMark/>
          </w:tcPr>
          <w:p w14:paraId="6BB88F20"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1.1.2.1 Identifikimi i </w:t>
            </w:r>
            <w:r w:rsidRPr="007440A2">
              <w:rPr>
                <w:rFonts w:ascii="Times New Roman" w:eastAsia="Times New Roman" w:hAnsi="Times New Roman" w:cs="Times New Roman"/>
                <w:i/>
                <w:iCs/>
                <w:sz w:val="20"/>
                <w:szCs w:val="20"/>
              </w:rPr>
              <w:t>acquis</w:t>
            </w:r>
            <w:r w:rsidRPr="007440A2">
              <w:rPr>
                <w:rFonts w:ascii="Times New Roman" w:eastAsia="Times New Roman" w:hAnsi="Times New Roman" w:cs="Times New Roman"/>
                <w:sz w:val="20"/>
                <w:szCs w:val="20"/>
              </w:rPr>
              <w:t xml:space="preserve"> të Bashkimit Evropian për ndryshimet në Kodin Penal me synim ofrimin e ndryshimeve për garantimin e efikasitetit të drejtësisë, në përputhje me acquis dhe praktikat më të mira të BE-së.</w:t>
            </w:r>
          </w:p>
        </w:tc>
        <w:tc>
          <w:tcPr>
            <w:tcW w:w="1890" w:type="dxa"/>
            <w:tcBorders>
              <w:top w:val="nil"/>
              <w:left w:val="nil"/>
              <w:bottom w:val="single" w:sz="4" w:space="0" w:color="auto"/>
              <w:right w:val="single" w:sz="4" w:space="0" w:color="auto"/>
            </w:tcBorders>
            <w:shd w:val="clear" w:color="auto" w:fill="auto"/>
            <w:vAlign w:val="center"/>
            <w:hideMark/>
          </w:tcPr>
          <w:p w14:paraId="2257A54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MD, Drejtoria e Kodifikimit, </w:t>
            </w:r>
          </w:p>
        </w:tc>
        <w:tc>
          <w:tcPr>
            <w:tcW w:w="1620" w:type="dxa"/>
            <w:tcBorders>
              <w:top w:val="nil"/>
              <w:left w:val="nil"/>
              <w:bottom w:val="single" w:sz="4" w:space="0" w:color="auto"/>
              <w:right w:val="single" w:sz="4" w:space="0" w:color="auto"/>
            </w:tcBorders>
            <w:shd w:val="clear" w:color="auto" w:fill="auto"/>
            <w:vAlign w:val="center"/>
            <w:hideMark/>
          </w:tcPr>
          <w:p w14:paraId="176C68F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Institucionet e sistemit të drejtësisë</w:t>
            </w:r>
          </w:p>
        </w:tc>
        <w:tc>
          <w:tcPr>
            <w:tcW w:w="1710" w:type="dxa"/>
            <w:tcBorders>
              <w:top w:val="nil"/>
              <w:left w:val="nil"/>
              <w:bottom w:val="single" w:sz="4" w:space="0" w:color="auto"/>
              <w:right w:val="single" w:sz="4" w:space="0" w:color="auto"/>
            </w:tcBorders>
            <w:shd w:val="clear" w:color="000000" w:fill="DDEBF7"/>
            <w:vAlign w:val="center"/>
            <w:hideMark/>
          </w:tcPr>
          <w:p w14:paraId="3502985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F9B946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401204F7" w14:textId="77777777" w:rsidTr="0018109D">
        <w:trPr>
          <w:trHeight w:val="768"/>
        </w:trPr>
        <w:tc>
          <w:tcPr>
            <w:tcW w:w="1790" w:type="dxa"/>
            <w:vMerge/>
            <w:tcBorders>
              <w:top w:val="nil"/>
              <w:left w:val="single" w:sz="8" w:space="0" w:color="auto"/>
              <w:bottom w:val="single" w:sz="8" w:space="0" w:color="000000"/>
              <w:right w:val="single" w:sz="4" w:space="0" w:color="auto"/>
            </w:tcBorders>
            <w:vAlign w:val="center"/>
            <w:hideMark/>
          </w:tcPr>
          <w:p w14:paraId="3DDDDEE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3BD7C1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1.1.2.2 Kryerja e analizës dhe përgatitja e tabelave të përputhshmërisë </w:t>
            </w:r>
          </w:p>
        </w:tc>
        <w:tc>
          <w:tcPr>
            <w:tcW w:w="1890" w:type="dxa"/>
            <w:tcBorders>
              <w:top w:val="nil"/>
              <w:left w:val="nil"/>
              <w:bottom w:val="single" w:sz="4" w:space="0" w:color="auto"/>
              <w:right w:val="single" w:sz="4" w:space="0" w:color="auto"/>
            </w:tcBorders>
            <w:shd w:val="clear" w:color="auto" w:fill="auto"/>
            <w:vAlign w:val="center"/>
            <w:hideMark/>
          </w:tcPr>
          <w:p w14:paraId="174E6A5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4" w:space="0" w:color="auto"/>
            </w:tcBorders>
            <w:shd w:val="clear" w:color="auto" w:fill="auto"/>
            <w:vAlign w:val="center"/>
            <w:hideMark/>
          </w:tcPr>
          <w:p w14:paraId="3651E88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7F52CFA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6F5D5A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6732A0F1" w14:textId="77777777" w:rsidTr="0018109D">
        <w:trPr>
          <w:trHeight w:val="888"/>
        </w:trPr>
        <w:tc>
          <w:tcPr>
            <w:tcW w:w="1790" w:type="dxa"/>
            <w:vMerge/>
            <w:tcBorders>
              <w:top w:val="nil"/>
              <w:left w:val="single" w:sz="8" w:space="0" w:color="auto"/>
              <w:bottom w:val="single" w:sz="8" w:space="0" w:color="000000"/>
              <w:right w:val="single" w:sz="4" w:space="0" w:color="auto"/>
            </w:tcBorders>
            <w:vAlign w:val="center"/>
            <w:hideMark/>
          </w:tcPr>
          <w:p w14:paraId="0E55526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A46BE4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1.1.2.3 Hartimi i metodologjisë për vlerësimin ex post të akteve</w:t>
            </w:r>
          </w:p>
        </w:tc>
        <w:tc>
          <w:tcPr>
            <w:tcW w:w="1890" w:type="dxa"/>
            <w:tcBorders>
              <w:top w:val="nil"/>
              <w:left w:val="nil"/>
              <w:bottom w:val="single" w:sz="4" w:space="0" w:color="auto"/>
              <w:right w:val="single" w:sz="4" w:space="0" w:color="auto"/>
            </w:tcBorders>
            <w:shd w:val="clear" w:color="auto" w:fill="auto"/>
            <w:vAlign w:val="center"/>
            <w:hideMark/>
          </w:tcPr>
          <w:p w14:paraId="06FEEF4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4" w:space="0" w:color="auto"/>
            </w:tcBorders>
            <w:shd w:val="clear" w:color="auto" w:fill="auto"/>
            <w:vAlign w:val="center"/>
            <w:hideMark/>
          </w:tcPr>
          <w:p w14:paraId="7D2F55A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nil"/>
            </w:tcBorders>
            <w:shd w:val="clear" w:color="000000" w:fill="DDEBF7"/>
            <w:vAlign w:val="center"/>
            <w:hideMark/>
          </w:tcPr>
          <w:p w14:paraId="1BF6E5F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single" w:sz="4" w:space="0" w:color="auto"/>
              <w:bottom w:val="single" w:sz="4" w:space="0" w:color="auto"/>
              <w:right w:val="single" w:sz="8" w:space="0" w:color="auto"/>
            </w:tcBorders>
            <w:shd w:val="clear" w:color="000000" w:fill="DDEBF7"/>
            <w:vAlign w:val="center"/>
            <w:hideMark/>
          </w:tcPr>
          <w:p w14:paraId="69E0914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08E54047" w14:textId="77777777" w:rsidTr="0018109D">
        <w:trPr>
          <w:trHeight w:val="888"/>
        </w:trPr>
        <w:tc>
          <w:tcPr>
            <w:tcW w:w="1790" w:type="dxa"/>
            <w:vMerge/>
            <w:tcBorders>
              <w:top w:val="nil"/>
              <w:left w:val="single" w:sz="8" w:space="0" w:color="auto"/>
              <w:bottom w:val="single" w:sz="8" w:space="0" w:color="000000"/>
              <w:right w:val="single" w:sz="4" w:space="0" w:color="auto"/>
            </w:tcBorders>
            <w:vAlign w:val="center"/>
            <w:hideMark/>
          </w:tcPr>
          <w:p w14:paraId="1C552E5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nil"/>
              <w:right w:val="single" w:sz="4" w:space="0" w:color="auto"/>
            </w:tcBorders>
            <w:shd w:val="clear" w:color="auto" w:fill="auto"/>
            <w:vAlign w:val="center"/>
            <w:hideMark/>
          </w:tcPr>
          <w:p w14:paraId="0ADEC16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1.1.2.4 Vleresime periodike te shkalles se zbatimit te legjislacionit te miratuar (ex-post)</w:t>
            </w:r>
          </w:p>
        </w:tc>
        <w:tc>
          <w:tcPr>
            <w:tcW w:w="1890" w:type="dxa"/>
            <w:tcBorders>
              <w:top w:val="nil"/>
              <w:left w:val="nil"/>
              <w:bottom w:val="nil"/>
              <w:right w:val="single" w:sz="4" w:space="0" w:color="auto"/>
            </w:tcBorders>
            <w:shd w:val="clear" w:color="auto" w:fill="auto"/>
            <w:vAlign w:val="center"/>
            <w:hideMark/>
          </w:tcPr>
          <w:p w14:paraId="1EAF50E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4" w:space="0" w:color="auto"/>
            </w:tcBorders>
            <w:shd w:val="clear" w:color="auto" w:fill="auto"/>
            <w:vAlign w:val="center"/>
            <w:hideMark/>
          </w:tcPr>
          <w:p w14:paraId="46C0AE9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nil"/>
            </w:tcBorders>
            <w:shd w:val="clear" w:color="000000" w:fill="DDEBF7"/>
            <w:vAlign w:val="center"/>
            <w:hideMark/>
          </w:tcPr>
          <w:p w14:paraId="68F7124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single" w:sz="4" w:space="0" w:color="auto"/>
              <w:bottom w:val="single" w:sz="4" w:space="0" w:color="auto"/>
              <w:right w:val="single" w:sz="8" w:space="0" w:color="auto"/>
            </w:tcBorders>
            <w:shd w:val="clear" w:color="000000" w:fill="DDEBF7"/>
            <w:vAlign w:val="center"/>
            <w:hideMark/>
          </w:tcPr>
          <w:p w14:paraId="698405F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0689FE52" w14:textId="77777777" w:rsidTr="0018109D">
        <w:trPr>
          <w:trHeight w:val="624"/>
        </w:trPr>
        <w:tc>
          <w:tcPr>
            <w:tcW w:w="1790" w:type="dxa"/>
            <w:vMerge/>
            <w:tcBorders>
              <w:top w:val="nil"/>
              <w:left w:val="single" w:sz="8" w:space="0" w:color="auto"/>
              <w:bottom w:val="single" w:sz="8" w:space="0" w:color="000000"/>
              <w:right w:val="single" w:sz="4" w:space="0" w:color="auto"/>
            </w:tcBorders>
            <w:vAlign w:val="center"/>
            <w:hideMark/>
          </w:tcPr>
          <w:p w14:paraId="5DDFA71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819887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1.1.2.5 Konsultimi dhe organizimi i tryezave me grupet e interesit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69489F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4" w:space="0" w:color="auto"/>
            </w:tcBorders>
            <w:shd w:val="clear" w:color="auto" w:fill="auto"/>
            <w:vAlign w:val="center"/>
            <w:hideMark/>
          </w:tcPr>
          <w:p w14:paraId="7B7E32B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36D13E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7AA0D14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7B39792D" w14:textId="77777777" w:rsidTr="0018109D">
        <w:trPr>
          <w:trHeight w:val="576"/>
        </w:trPr>
        <w:tc>
          <w:tcPr>
            <w:tcW w:w="1790" w:type="dxa"/>
            <w:vMerge/>
            <w:tcBorders>
              <w:top w:val="nil"/>
              <w:left w:val="single" w:sz="8" w:space="0" w:color="auto"/>
              <w:bottom w:val="single" w:sz="8" w:space="0" w:color="000000"/>
              <w:right w:val="single" w:sz="4" w:space="0" w:color="auto"/>
            </w:tcBorders>
            <w:vAlign w:val="center"/>
            <w:hideMark/>
          </w:tcPr>
          <w:p w14:paraId="76EE3BC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C77E64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1.1.2.6 Miratimi i ndryshimeve ligjore</w:t>
            </w:r>
          </w:p>
        </w:tc>
        <w:tc>
          <w:tcPr>
            <w:tcW w:w="1890" w:type="dxa"/>
            <w:tcBorders>
              <w:top w:val="nil"/>
              <w:left w:val="nil"/>
              <w:bottom w:val="single" w:sz="4" w:space="0" w:color="auto"/>
              <w:right w:val="single" w:sz="4" w:space="0" w:color="auto"/>
            </w:tcBorders>
            <w:shd w:val="clear" w:color="auto" w:fill="auto"/>
            <w:vAlign w:val="center"/>
            <w:hideMark/>
          </w:tcPr>
          <w:p w14:paraId="0ECB345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Kuvendi</w:t>
            </w:r>
          </w:p>
        </w:tc>
        <w:tc>
          <w:tcPr>
            <w:tcW w:w="1620" w:type="dxa"/>
            <w:tcBorders>
              <w:top w:val="nil"/>
              <w:left w:val="nil"/>
              <w:bottom w:val="single" w:sz="4" w:space="0" w:color="auto"/>
              <w:right w:val="single" w:sz="4" w:space="0" w:color="auto"/>
            </w:tcBorders>
            <w:shd w:val="clear" w:color="auto" w:fill="auto"/>
            <w:vAlign w:val="center"/>
            <w:hideMark/>
          </w:tcPr>
          <w:p w14:paraId="24A4176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4622481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2C34A8B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37A1CDF6" w14:textId="77777777" w:rsidTr="0018109D">
        <w:trPr>
          <w:trHeight w:val="576"/>
        </w:trPr>
        <w:tc>
          <w:tcPr>
            <w:tcW w:w="1790" w:type="dxa"/>
            <w:vMerge/>
            <w:tcBorders>
              <w:top w:val="nil"/>
              <w:left w:val="single" w:sz="8" w:space="0" w:color="auto"/>
              <w:bottom w:val="single" w:sz="8" w:space="0" w:color="000000"/>
              <w:right w:val="single" w:sz="4" w:space="0" w:color="auto"/>
            </w:tcBorders>
            <w:vAlign w:val="center"/>
            <w:hideMark/>
          </w:tcPr>
          <w:p w14:paraId="66EAA77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3282ED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1.1.2.7 Hartimi i metodologjisë për vlerësimin ex post të akteve</w:t>
            </w:r>
          </w:p>
        </w:tc>
        <w:tc>
          <w:tcPr>
            <w:tcW w:w="1890" w:type="dxa"/>
            <w:tcBorders>
              <w:top w:val="nil"/>
              <w:left w:val="nil"/>
              <w:bottom w:val="single" w:sz="4" w:space="0" w:color="auto"/>
              <w:right w:val="single" w:sz="4" w:space="0" w:color="auto"/>
            </w:tcBorders>
            <w:shd w:val="clear" w:color="auto" w:fill="auto"/>
            <w:vAlign w:val="center"/>
            <w:hideMark/>
          </w:tcPr>
          <w:p w14:paraId="479AC6E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4" w:space="0" w:color="auto"/>
            </w:tcBorders>
            <w:shd w:val="clear" w:color="auto" w:fill="auto"/>
            <w:vAlign w:val="center"/>
            <w:hideMark/>
          </w:tcPr>
          <w:p w14:paraId="17CE487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FBFCDC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5C47555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52DC557C" w14:textId="77777777" w:rsidTr="0018109D">
        <w:trPr>
          <w:trHeight w:val="1344"/>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1EE057D1" w14:textId="3844CA7C"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1.1.3 Përditësimi i Kodit të Procedurës Pena</w:t>
            </w:r>
            <w:r w:rsidR="00A26C45" w:rsidRPr="007440A2">
              <w:rPr>
                <w:rFonts w:ascii="Times New Roman" w:eastAsia="Times New Roman" w:hAnsi="Times New Roman" w:cs="Times New Roman"/>
                <w:b/>
                <w:bCs/>
                <w:sz w:val="20"/>
                <w:szCs w:val="20"/>
              </w:rPr>
              <w:t>le në përputhje me acquis të BE</w:t>
            </w:r>
            <w:r w:rsidRPr="007440A2">
              <w:rPr>
                <w:rFonts w:ascii="Times New Roman" w:eastAsia="Times New Roman" w:hAnsi="Times New Roman" w:cs="Times New Roman"/>
                <w:b/>
                <w:bCs/>
                <w:sz w:val="20"/>
                <w:szCs w:val="20"/>
              </w:rPr>
              <w:t xml:space="preserve">. </w:t>
            </w:r>
          </w:p>
        </w:tc>
        <w:tc>
          <w:tcPr>
            <w:tcW w:w="2520" w:type="dxa"/>
            <w:tcBorders>
              <w:top w:val="nil"/>
              <w:left w:val="nil"/>
              <w:bottom w:val="single" w:sz="4" w:space="0" w:color="auto"/>
              <w:right w:val="single" w:sz="4" w:space="0" w:color="auto"/>
            </w:tcBorders>
            <w:shd w:val="clear" w:color="auto" w:fill="auto"/>
            <w:vAlign w:val="center"/>
            <w:hideMark/>
          </w:tcPr>
          <w:p w14:paraId="1F95A3A0" w14:textId="2B35AE9C"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1.1.3.1 </w:t>
            </w:r>
            <w:r w:rsidR="000A3232" w:rsidRPr="000A3232">
              <w:rPr>
                <w:rFonts w:ascii="Times New Roman" w:eastAsia="Times New Roman" w:hAnsi="Times New Roman" w:cs="Times New Roman"/>
                <w:sz w:val="20"/>
                <w:szCs w:val="20"/>
              </w:rPr>
              <w:t xml:space="preserve">Identifikimi i </w:t>
            </w:r>
            <w:r w:rsidR="000A3232" w:rsidRPr="000A3232">
              <w:rPr>
                <w:rFonts w:ascii="Times New Roman" w:eastAsia="Times New Roman" w:hAnsi="Times New Roman" w:cs="Times New Roman"/>
                <w:i/>
                <w:iCs/>
                <w:sz w:val="20"/>
                <w:szCs w:val="20"/>
              </w:rPr>
              <w:t xml:space="preserve">acquis </w:t>
            </w:r>
            <w:r w:rsidR="000A3232" w:rsidRPr="000A3232">
              <w:rPr>
                <w:rFonts w:ascii="Times New Roman" w:eastAsia="Times New Roman" w:hAnsi="Times New Roman" w:cs="Times New Roman"/>
                <w:sz w:val="20"/>
                <w:szCs w:val="20"/>
              </w:rPr>
              <w:t>të Bashkimit Evropian për ndryshimet e Kodit të Procedurës Penale me synim përafrimin  me acquis dhe praktikat më të mira të BE-së, në lidhje me të drejtat procedurale</w:t>
            </w:r>
          </w:p>
        </w:tc>
        <w:tc>
          <w:tcPr>
            <w:tcW w:w="1890" w:type="dxa"/>
            <w:tcBorders>
              <w:top w:val="nil"/>
              <w:left w:val="nil"/>
              <w:bottom w:val="single" w:sz="4" w:space="0" w:color="auto"/>
              <w:right w:val="single" w:sz="4" w:space="0" w:color="auto"/>
            </w:tcBorders>
            <w:shd w:val="clear" w:color="auto" w:fill="auto"/>
            <w:vAlign w:val="center"/>
            <w:hideMark/>
          </w:tcPr>
          <w:p w14:paraId="4AB2FB8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 Institucionet e sistemit të drejtësisë</w:t>
            </w:r>
          </w:p>
        </w:tc>
        <w:tc>
          <w:tcPr>
            <w:tcW w:w="1620" w:type="dxa"/>
            <w:tcBorders>
              <w:top w:val="nil"/>
              <w:left w:val="nil"/>
              <w:bottom w:val="single" w:sz="4" w:space="0" w:color="auto"/>
              <w:right w:val="single" w:sz="4" w:space="0" w:color="auto"/>
            </w:tcBorders>
            <w:shd w:val="clear" w:color="auto" w:fill="auto"/>
            <w:vAlign w:val="center"/>
            <w:hideMark/>
          </w:tcPr>
          <w:p w14:paraId="4F68520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Institucionet e sistemit të drejtësisë</w:t>
            </w:r>
          </w:p>
        </w:tc>
        <w:tc>
          <w:tcPr>
            <w:tcW w:w="1710" w:type="dxa"/>
            <w:tcBorders>
              <w:top w:val="nil"/>
              <w:left w:val="nil"/>
              <w:bottom w:val="single" w:sz="4" w:space="0" w:color="auto"/>
              <w:right w:val="single" w:sz="4" w:space="0" w:color="auto"/>
            </w:tcBorders>
            <w:shd w:val="clear" w:color="000000" w:fill="DDEBF7"/>
            <w:vAlign w:val="center"/>
            <w:hideMark/>
          </w:tcPr>
          <w:p w14:paraId="70204E5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269E0A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4A0EB88A" w14:textId="77777777" w:rsidTr="0018109D">
        <w:trPr>
          <w:trHeight w:val="792"/>
        </w:trPr>
        <w:tc>
          <w:tcPr>
            <w:tcW w:w="1790" w:type="dxa"/>
            <w:vMerge/>
            <w:tcBorders>
              <w:top w:val="nil"/>
              <w:left w:val="single" w:sz="8" w:space="0" w:color="auto"/>
              <w:bottom w:val="single" w:sz="8" w:space="0" w:color="000000"/>
              <w:right w:val="single" w:sz="4" w:space="0" w:color="auto"/>
            </w:tcBorders>
            <w:vAlign w:val="center"/>
            <w:hideMark/>
          </w:tcPr>
          <w:p w14:paraId="69C868A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864FE5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1.1.3.2 Kryerja e analizës dhe përgatitja e tabelave të përputhshmërisë </w:t>
            </w:r>
          </w:p>
        </w:tc>
        <w:tc>
          <w:tcPr>
            <w:tcW w:w="1890" w:type="dxa"/>
            <w:tcBorders>
              <w:top w:val="nil"/>
              <w:left w:val="nil"/>
              <w:bottom w:val="single" w:sz="4" w:space="0" w:color="auto"/>
              <w:right w:val="single" w:sz="4" w:space="0" w:color="auto"/>
            </w:tcBorders>
            <w:shd w:val="clear" w:color="auto" w:fill="auto"/>
            <w:vAlign w:val="center"/>
            <w:hideMark/>
          </w:tcPr>
          <w:p w14:paraId="657DC6E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4" w:space="0" w:color="auto"/>
            </w:tcBorders>
            <w:shd w:val="clear" w:color="auto" w:fill="auto"/>
            <w:vAlign w:val="center"/>
            <w:hideMark/>
          </w:tcPr>
          <w:p w14:paraId="2544D62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CD8532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1FB203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5C55B29E" w14:textId="77777777" w:rsidTr="0018109D">
        <w:trPr>
          <w:trHeight w:val="576"/>
        </w:trPr>
        <w:tc>
          <w:tcPr>
            <w:tcW w:w="1790" w:type="dxa"/>
            <w:vMerge/>
            <w:tcBorders>
              <w:top w:val="nil"/>
              <w:left w:val="single" w:sz="8" w:space="0" w:color="auto"/>
              <w:bottom w:val="single" w:sz="8" w:space="0" w:color="000000"/>
              <w:right w:val="single" w:sz="4" w:space="0" w:color="auto"/>
            </w:tcBorders>
            <w:vAlign w:val="center"/>
            <w:hideMark/>
          </w:tcPr>
          <w:p w14:paraId="31CA5D9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B74A94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1.1.3.3 Identifikimi i boshllëqeve ligjore</w:t>
            </w:r>
          </w:p>
        </w:tc>
        <w:tc>
          <w:tcPr>
            <w:tcW w:w="1890" w:type="dxa"/>
            <w:tcBorders>
              <w:top w:val="nil"/>
              <w:left w:val="nil"/>
              <w:bottom w:val="single" w:sz="4" w:space="0" w:color="auto"/>
              <w:right w:val="single" w:sz="4" w:space="0" w:color="auto"/>
            </w:tcBorders>
            <w:shd w:val="clear" w:color="auto" w:fill="auto"/>
            <w:vAlign w:val="center"/>
            <w:hideMark/>
          </w:tcPr>
          <w:p w14:paraId="058E7FE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4" w:space="0" w:color="auto"/>
            </w:tcBorders>
            <w:shd w:val="clear" w:color="auto" w:fill="auto"/>
            <w:vAlign w:val="center"/>
            <w:hideMark/>
          </w:tcPr>
          <w:p w14:paraId="46CC9CF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2AEEC2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BA74D8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7C1A22C6" w14:textId="77777777" w:rsidTr="0018109D">
        <w:trPr>
          <w:trHeight w:val="816"/>
        </w:trPr>
        <w:tc>
          <w:tcPr>
            <w:tcW w:w="1790" w:type="dxa"/>
            <w:vMerge/>
            <w:tcBorders>
              <w:top w:val="nil"/>
              <w:left w:val="single" w:sz="8" w:space="0" w:color="auto"/>
              <w:bottom w:val="single" w:sz="8" w:space="0" w:color="000000"/>
              <w:right w:val="single" w:sz="4" w:space="0" w:color="auto"/>
            </w:tcBorders>
            <w:vAlign w:val="center"/>
            <w:hideMark/>
          </w:tcPr>
          <w:p w14:paraId="5EB2465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8425E5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1.1.3.4 Hartimi i projektligjit për ndryshimet përkatëse </w:t>
            </w:r>
          </w:p>
        </w:tc>
        <w:tc>
          <w:tcPr>
            <w:tcW w:w="1890" w:type="dxa"/>
            <w:tcBorders>
              <w:top w:val="nil"/>
              <w:left w:val="nil"/>
              <w:bottom w:val="single" w:sz="4" w:space="0" w:color="auto"/>
              <w:right w:val="single" w:sz="4" w:space="0" w:color="auto"/>
            </w:tcBorders>
            <w:shd w:val="clear" w:color="auto" w:fill="auto"/>
            <w:vAlign w:val="center"/>
            <w:hideMark/>
          </w:tcPr>
          <w:p w14:paraId="252AE3F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4" w:space="0" w:color="auto"/>
            </w:tcBorders>
            <w:shd w:val="clear" w:color="auto" w:fill="auto"/>
            <w:vAlign w:val="center"/>
            <w:hideMark/>
          </w:tcPr>
          <w:p w14:paraId="7977330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6CEE2A6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07DE742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59831F65" w14:textId="77777777" w:rsidTr="0018109D">
        <w:trPr>
          <w:trHeight w:val="840"/>
        </w:trPr>
        <w:tc>
          <w:tcPr>
            <w:tcW w:w="1790" w:type="dxa"/>
            <w:vMerge/>
            <w:tcBorders>
              <w:top w:val="nil"/>
              <w:left w:val="single" w:sz="8" w:space="0" w:color="auto"/>
              <w:bottom w:val="single" w:sz="8" w:space="0" w:color="000000"/>
              <w:right w:val="single" w:sz="4" w:space="0" w:color="auto"/>
            </w:tcBorders>
            <w:vAlign w:val="center"/>
            <w:hideMark/>
          </w:tcPr>
          <w:p w14:paraId="11B511C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A76A420"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1.1.3.5 Konsultimi dhe organizimi i tryezave me grupet e interesit   </w:t>
            </w:r>
          </w:p>
        </w:tc>
        <w:tc>
          <w:tcPr>
            <w:tcW w:w="1890" w:type="dxa"/>
            <w:tcBorders>
              <w:top w:val="nil"/>
              <w:left w:val="nil"/>
              <w:bottom w:val="single" w:sz="4" w:space="0" w:color="auto"/>
              <w:right w:val="single" w:sz="4" w:space="0" w:color="auto"/>
            </w:tcBorders>
            <w:shd w:val="clear" w:color="auto" w:fill="auto"/>
            <w:vAlign w:val="center"/>
            <w:hideMark/>
          </w:tcPr>
          <w:p w14:paraId="6483545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4" w:space="0" w:color="auto"/>
            </w:tcBorders>
            <w:shd w:val="clear" w:color="auto" w:fill="auto"/>
            <w:vAlign w:val="center"/>
            <w:hideMark/>
          </w:tcPr>
          <w:p w14:paraId="1D484D7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79D1050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2BBCBB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74A8BC1C" w14:textId="77777777" w:rsidTr="0018109D">
        <w:trPr>
          <w:trHeight w:val="708"/>
        </w:trPr>
        <w:tc>
          <w:tcPr>
            <w:tcW w:w="1790" w:type="dxa"/>
            <w:vMerge/>
            <w:tcBorders>
              <w:top w:val="nil"/>
              <w:left w:val="single" w:sz="8" w:space="0" w:color="auto"/>
              <w:bottom w:val="single" w:sz="8" w:space="0" w:color="000000"/>
              <w:right w:val="single" w:sz="4" w:space="0" w:color="auto"/>
            </w:tcBorders>
            <w:vAlign w:val="center"/>
            <w:hideMark/>
          </w:tcPr>
          <w:p w14:paraId="16583F7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287363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1.1.3.6 Miratimi i ndryshimeve ligjore</w:t>
            </w:r>
          </w:p>
        </w:tc>
        <w:tc>
          <w:tcPr>
            <w:tcW w:w="1890" w:type="dxa"/>
            <w:tcBorders>
              <w:top w:val="nil"/>
              <w:left w:val="nil"/>
              <w:bottom w:val="single" w:sz="4" w:space="0" w:color="auto"/>
              <w:right w:val="single" w:sz="4" w:space="0" w:color="auto"/>
            </w:tcBorders>
            <w:shd w:val="clear" w:color="auto" w:fill="auto"/>
            <w:vAlign w:val="center"/>
            <w:hideMark/>
          </w:tcPr>
          <w:p w14:paraId="28376CC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Kuvendi</w:t>
            </w:r>
          </w:p>
        </w:tc>
        <w:tc>
          <w:tcPr>
            <w:tcW w:w="1620" w:type="dxa"/>
            <w:tcBorders>
              <w:top w:val="nil"/>
              <w:left w:val="nil"/>
              <w:bottom w:val="single" w:sz="4" w:space="0" w:color="auto"/>
              <w:right w:val="single" w:sz="4" w:space="0" w:color="auto"/>
            </w:tcBorders>
            <w:shd w:val="clear" w:color="auto" w:fill="auto"/>
            <w:vAlign w:val="center"/>
            <w:hideMark/>
          </w:tcPr>
          <w:p w14:paraId="7154690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4E4F0D5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49C0632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57F12ADE" w14:textId="77777777" w:rsidTr="0018109D">
        <w:trPr>
          <w:trHeight w:val="816"/>
        </w:trPr>
        <w:tc>
          <w:tcPr>
            <w:tcW w:w="1790" w:type="dxa"/>
            <w:vMerge/>
            <w:tcBorders>
              <w:top w:val="nil"/>
              <w:left w:val="single" w:sz="8" w:space="0" w:color="auto"/>
              <w:bottom w:val="single" w:sz="8" w:space="0" w:color="000000"/>
              <w:right w:val="single" w:sz="4" w:space="0" w:color="auto"/>
            </w:tcBorders>
            <w:vAlign w:val="center"/>
            <w:hideMark/>
          </w:tcPr>
          <w:p w14:paraId="0845826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DA933A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1.1.3.7 Hartimi i metodologjisë për vlerësimin ex post të akteve</w:t>
            </w:r>
          </w:p>
        </w:tc>
        <w:tc>
          <w:tcPr>
            <w:tcW w:w="1890" w:type="dxa"/>
            <w:tcBorders>
              <w:top w:val="nil"/>
              <w:left w:val="nil"/>
              <w:bottom w:val="single" w:sz="4" w:space="0" w:color="auto"/>
              <w:right w:val="single" w:sz="4" w:space="0" w:color="auto"/>
            </w:tcBorders>
            <w:shd w:val="clear" w:color="auto" w:fill="auto"/>
            <w:vAlign w:val="center"/>
            <w:hideMark/>
          </w:tcPr>
          <w:p w14:paraId="0F2EDC3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4" w:space="0" w:color="auto"/>
            </w:tcBorders>
            <w:shd w:val="clear" w:color="auto" w:fill="auto"/>
            <w:vAlign w:val="center"/>
            <w:hideMark/>
          </w:tcPr>
          <w:p w14:paraId="13C3085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C22D93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1FF3683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77CF9BC1" w14:textId="77777777" w:rsidTr="0018109D">
        <w:trPr>
          <w:trHeight w:val="1344"/>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3BA7E5BD"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1.1.4 Përditësimi i Kodit Civil në përputhje me acquis të BE</w:t>
            </w:r>
          </w:p>
        </w:tc>
        <w:tc>
          <w:tcPr>
            <w:tcW w:w="2520" w:type="dxa"/>
            <w:tcBorders>
              <w:top w:val="nil"/>
              <w:left w:val="nil"/>
              <w:bottom w:val="single" w:sz="4" w:space="0" w:color="auto"/>
              <w:right w:val="single" w:sz="4" w:space="0" w:color="auto"/>
            </w:tcBorders>
            <w:shd w:val="clear" w:color="auto" w:fill="auto"/>
            <w:vAlign w:val="center"/>
            <w:hideMark/>
          </w:tcPr>
          <w:p w14:paraId="33255E1A" w14:textId="331D921D"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1.1.4.1 </w:t>
            </w:r>
            <w:r w:rsidR="000A3232" w:rsidRPr="000A3232">
              <w:rPr>
                <w:rFonts w:ascii="Times New Roman" w:eastAsia="Times New Roman" w:hAnsi="Times New Roman" w:cs="Times New Roman"/>
                <w:sz w:val="20"/>
                <w:szCs w:val="20"/>
              </w:rPr>
              <w:t xml:space="preserve">Identifikimi i </w:t>
            </w:r>
            <w:r w:rsidR="000A3232" w:rsidRPr="000A3232">
              <w:rPr>
                <w:rFonts w:ascii="Times New Roman" w:eastAsia="Times New Roman" w:hAnsi="Times New Roman" w:cs="Times New Roman"/>
                <w:i/>
                <w:iCs/>
                <w:sz w:val="20"/>
                <w:szCs w:val="20"/>
              </w:rPr>
              <w:t>acquis</w:t>
            </w:r>
            <w:r w:rsidR="000A3232" w:rsidRPr="000A3232">
              <w:rPr>
                <w:rFonts w:ascii="Times New Roman" w:eastAsia="Times New Roman" w:hAnsi="Times New Roman" w:cs="Times New Roman"/>
                <w:sz w:val="20"/>
                <w:szCs w:val="20"/>
              </w:rPr>
              <w:t xml:space="preserve"> të Bashkimit Evropian për ndryshimet në Kodin Civil  me synim përafrimin e legjislacionit  me acquis dhe praktikat më të mira të BE-së.</w:t>
            </w:r>
          </w:p>
        </w:tc>
        <w:tc>
          <w:tcPr>
            <w:tcW w:w="1890" w:type="dxa"/>
            <w:tcBorders>
              <w:top w:val="nil"/>
              <w:left w:val="nil"/>
              <w:bottom w:val="single" w:sz="4" w:space="0" w:color="auto"/>
              <w:right w:val="single" w:sz="4" w:space="0" w:color="auto"/>
            </w:tcBorders>
            <w:shd w:val="clear" w:color="auto" w:fill="auto"/>
            <w:vAlign w:val="center"/>
            <w:hideMark/>
          </w:tcPr>
          <w:p w14:paraId="3B97C82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 Institucionet e sistemit të drejtësisë</w:t>
            </w:r>
          </w:p>
        </w:tc>
        <w:tc>
          <w:tcPr>
            <w:tcW w:w="1620" w:type="dxa"/>
            <w:tcBorders>
              <w:top w:val="nil"/>
              <w:left w:val="nil"/>
              <w:bottom w:val="single" w:sz="4" w:space="0" w:color="auto"/>
              <w:right w:val="single" w:sz="4" w:space="0" w:color="auto"/>
            </w:tcBorders>
            <w:shd w:val="clear" w:color="auto" w:fill="auto"/>
            <w:vAlign w:val="center"/>
            <w:hideMark/>
          </w:tcPr>
          <w:p w14:paraId="48E5C58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Institucionet e sistemit të drejtësisë</w:t>
            </w:r>
          </w:p>
        </w:tc>
        <w:tc>
          <w:tcPr>
            <w:tcW w:w="1710" w:type="dxa"/>
            <w:tcBorders>
              <w:top w:val="nil"/>
              <w:left w:val="nil"/>
              <w:bottom w:val="single" w:sz="4" w:space="0" w:color="auto"/>
              <w:right w:val="single" w:sz="4" w:space="0" w:color="auto"/>
            </w:tcBorders>
            <w:shd w:val="clear" w:color="000000" w:fill="DDEBF7"/>
            <w:vAlign w:val="center"/>
            <w:hideMark/>
          </w:tcPr>
          <w:p w14:paraId="31D690B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0F7ADF2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193A1BE9" w14:textId="77777777" w:rsidTr="0018109D">
        <w:trPr>
          <w:trHeight w:val="888"/>
        </w:trPr>
        <w:tc>
          <w:tcPr>
            <w:tcW w:w="1790" w:type="dxa"/>
            <w:vMerge/>
            <w:tcBorders>
              <w:top w:val="nil"/>
              <w:left w:val="single" w:sz="8" w:space="0" w:color="auto"/>
              <w:bottom w:val="single" w:sz="8" w:space="0" w:color="000000"/>
              <w:right w:val="single" w:sz="4" w:space="0" w:color="auto"/>
            </w:tcBorders>
            <w:vAlign w:val="center"/>
            <w:hideMark/>
          </w:tcPr>
          <w:p w14:paraId="72972AF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C58C05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1.1.4.2 Kryerja e analizës dhe përgatitja e tabelave të përputhshmërisë </w:t>
            </w:r>
          </w:p>
        </w:tc>
        <w:tc>
          <w:tcPr>
            <w:tcW w:w="1890" w:type="dxa"/>
            <w:tcBorders>
              <w:top w:val="nil"/>
              <w:left w:val="nil"/>
              <w:bottom w:val="single" w:sz="4" w:space="0" w:color="auto"/>
              <w:right w:val="single" w:sz="4" w:space="0" w:color="auto"/>
            </w:tcBorders>
            <w:shd w:val="clear" w:color="auto" w:fill="auto"/>
            <w:vAlign w:val="center"/>
            <w:hideMark/>
          </w:tcPr>
          <w:p w14:paraId="63D8A04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4" w:space="0" w:color="auto"/>
            </w:tcBorders>
            <w:shd w:val="clear" w:color="auto" w:fill="auto"/>
            <w:vAlign w:val="center"/>
            <w:hideMark/>
          </w:tcPr>
          <w:p w14:paraId="0888A9B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7DE4A67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47D388F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0C2A1EE2" w14:textId="77777777" w:rsidTr="0018109D">
        <w:trPr>
          <w:trHeight w:val="636"/>
        </w:trPr>
        <w:tc>
          <w:tcPr>
            <w:tcW w:w="1790" w:type="dxa"/>
            <w:vMerge/>
            <w:tcBorders>
              <w:top w:val="nil"/>
              <w:left w:val="single" w:sz="8" w:space="0" w:color="auto"/>
              <w:bottom w:val="single" w:sz="8" w:space="0" w:color="000000"/>
              <w:right w:val="single" w:sz="4" w:space="0" w:color="auto"/>
            </w:tcBorders>
            <w:vAlign w:val="center"/>
            <w:hideMark/>
          </w:tcPr>
          <w:p w14:paraId="654D8B9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AF1FB4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1.1.4.3 Identifikimi i boshllëqeve ligjore</w:t>
            </w:r>
          </w:p>
        </w:tc>
        <w:tc>
          <w:tcPr>
            <w:tcW w:w="1890" w:type="dxa"/>
            <w:tcBorders>
              <w:top w:val="nil"/>
              <w:left w:val="nil"/>
              <w:bottom w:val="single" w:sz="4" w:space="0" w:color="auto"/>
              <w:right w:val="single" w:sz="4" w:space="0" w:color="auto"/>
            </w:tcBorders>
            <w:shd w:val="clear" w:color="auto" w:fill="auto"/>
            <w:vAlign w:val="center"/>
            <w:hideMark/>
          </w:tcPr>
          <w:p w14:paraId="604276B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4" w:space="0" w:color="auto"/>
            </w:tcBorders>
            <w:shd w:val="clear" w:color="auto" w:fill="auto"/>
            <w:vAlign w:val="center"/>
            <w:hideMark/>
          </w:tcPr>
          <w:p w14:paraId="70D117B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2088453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26D31DC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50E8B93C" w14:textId="77777777" w:rsidTr="0018109D">
        <w:trPr>
          <w:trHeight w:val="636"/>
        </w:trPr>
        <w:tc>
          <w:tcPr>
            <w:tcW w:w="1790" w:type="dxa"/>
            <w:vMerge/>
            <w:tcBorders>
              <w:top w:val="nil"/>
              <w:left w:val="single" w:sz="8" w:space="0" w:color="auto"/>
              <w:bottom w:val="single" w:sz="8" w:space="0" w:color="000000"/>
              <w:right w:val="single" w:sz="4" w:space="0" w:color="auto"/>
            </w:tcBorders>
            <w:vAlign w:val="center"/>
            <w:hideMark/>
          </w:tcPr>
          <w:p w14:paraId="46EF716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ADF850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1.1.4.4 Hartimi i projektligjit për ndryshimet përkatëse </w:t>
            </w:r>
          </w:p>
        </w:tc>
        <w:tc>
          <w:tcPr>
            <w:tcW w:w="1890" w:type="dxa"/>
            <w:tcBorders>
              <w:top w:val="nil"/>
              <w:left w:val="nil"/>
              <w:bottom w:val="single" w:sz="4" w:space="0" w:color="auto"/>
              <w:right w:val="single" w:sz="4" w:space="0" w:color="auto"/>
            </w:tcBorders>
            <w:shd w:val="clear" w:color="auto" w:fill="auto"/>
            <w:vAlign w:val="center"/>
            <w:hideMark/>
          </w:tcPr>
          <w:p w14:paraId="1BFFC90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4" w:space="0" w:color="auto"/>
            </w:tcBorders>
            <w:shd w:val="clear" w:color="auto" w:fill="auto"/>
            <w:vAlign w:val="center"/>
            <w:hideMark/>
          </w:tcPr>
          <w:p w14:paraId="3ED080F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FEF5E2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c>
          <w:tcPr>
            <w:tcW w:w="1260" w:type="dxa"/>
            <w:tcBorders>
              <w:top w:val="nil"/>
              <w:left w:val="nil"/>
              <w:bottom w:val="single" w:sz="4" w:space="0" w:color="auto"/>
              <w:right w:val="single" w:sz="8" w:space="0" w:color="auto"/>
            </w:tcBorders>
            <w:shd w:val="clear" w:color="000000" w:fill="DDEBF7"/>
            <w:vAlign w:val="center"/>
            <w:hideMark/>
          </w:tcPr>
          <w:p w14:paraId="7CFB549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r>
      <w:tr w:rsidR="007440A2" w:rsidRPr="007440A2" w14:paraId="70E2D44A" w14:textId="77777777" w:rsidTr="0018109D">
        <w:trPr>
          <w:trHeight w:val="732"/>
        </w:trPr>
        <w:tc>
          <w:tcPr>
            <w:tcW w:w="1790" w:type="dxa"/>
            <w:vMerge/>
            <w:tcBorders>
              <w:top w:val="nil"/>
              <w:left w:val="single" w:sz="8" w:space="0" w:color="auto"/>
              <w:bottom w:val="single" w:sz="8" w:space="0" w:color="000000"/>
              <w:right w:val="single" w:sz="4" w:space="0" w:color="auto"/>
            </w:tcBorders>
            <w:vAlign w:val="center"/>
            <w:hideMark/>
          </w:tcPr>
          <w:p w14:paraId="0B171C39"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0A27FF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1.1.4.5 Konsultimi dhe organizimi i tryezave me grupet e interesit   </w:t>
            </w:r>
          </w:p>
        </w:tc>
        <w:tc>
          <w:tcPr>
            <w:tcW w:w="1890" w:type="dxa"/>
            <w:tcBorders>
              <w:top w:val="nil"/>
              <w:left w:val="nil"/>
              <w:bottom w:val="single" w:sz="4" w:space="0" w:color="auto"/>
              <w:right w:val="single" w:sz="4" w:space="0" w:color="auto"/>
            </w:tcBorders>
            <w:shd w:val="clear" w:color="auto" w:fill="auto"/>
            <w:vAlign w:val="center"/>
            <w:hideMark/>
          </w:tcPr>
          <w:p w14:paraId="4514D91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4" w:space="0" w:color="auto"/>
            </w:tcBorders>
            <w:shd w:val="clear" w:color="auto" w:fill="auto"/>
            <w:vAlign w:val="center"/>
            <w:hideMark/>
          </w:tcPr>
          <w:p w14:paraId="4BD9FCF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04CA318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c>
          <w:tcPr>
            <w:tcW w:w="1260" w:type="dxa"/>
            <w:tcBorders>
              <w:top w:val="nil"/>
              <w:left w:val="nil"/>
              <w:bottom w:val="single" w:sz="4" w:space="0" w:color="auto"/>
              <w:right w:val="single" w:sz="8" w:space="0" w:color="auto"/>
            </w:tcBorders>
            <w:shd w:val="clear" w:color="000000" w:fill="DDEBF7"/>
            <w:vAlign w:val="center"/>
            <w:hideMark/>
          </w:tcPr>
          <w:p w14:paraId="5BDAB87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r>
      <w:tr w:rsidR="007440A2" w:rsidRPr="007440A2" w14:paraId="262F1D5C" w14:textId="77777777" w:rsidTr="0018109D">
        <w:trPr>
          <w:trHeight w:val="768"/>
        </w:trPr>
        <w:tc>
          <w:tcPr>
            <w:tcW w:w="1790" w:type="dxa"/>
            <w:vMerge/>
            <w:tcBorders>
              <w:top w:val="nil"/>
              <w:left w:val="single" w:sz="8" w:space="0" w:color="auto"/>
              <w:bottom w:val="single" w:sz="8" w:space="0" w:color="000000"/>
              <w:right w:val="single" w:sz="4" w:space="0" w:color="auto"/>
            </w:tcBorders>
            <w:vAlign w:val="center"/>
            <w:hideMark/>
          </w:tcPr>
          <w:p w14:paraId="48F703C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758F4E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1.1.4.6 Miratimi i ndryshimeve ligjore</w:t>
            </w:r>
          </w:p>
        </w:tc>
        <w:tc>
          <w:tcPr>
            <w:tcW w:w="1890" w:type="dxa"/>
            <w:tcBorders>
              <w:top w:val="nil"/>
              <w:left w:val="nil"/>
              <w:bottom w:val="single" w:sz="4" w:space="0" w:color="auto"/>
              <w:right w:val="single" w:sz="4" w:space="0" w:color="auto"/>
            </w:tcBorders>
            <w:shd w:val="clear" w:color="auto" w:fill="auto"/>
            <w:vAlign w:val="center"/>
            <w:hideMark/>
          </w:tcPr>
          <w:p w14:paraId="3AB76B2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Kuvendi</w:t>
            </w:r>
          </w:p>
        </w:tc>
        <w:tc>
          <w:tcPr>
            <w:tcW w:w="1620" w:type="dxa"/>
            <w:tcBorders>
              <w:top w:val="nil"/>
              <w:left w:val="nil"/>
              <w:bottom w:val="single" w:sz="4" w:space="0" w:color="auto"/>
              <w:right w:val="single" w:sz="4" w:space="0" w:color="auto"/>
            </w:tcBorders>
            <w:shd w:val="clear" w:color="auto" w:fill="auto"/>
            <w:vAlign w:val="center"/>
            <w:hideMark/>
          </w:tcPr>
          <w:p w14:paraId="299683F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0E51A1E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2029</w:t>
            </w:r>
          </w:p>
        </w:tc>
        <w:tc>
          <w:tcPr>
            <w:tcW w:w="1260" w:type="dxa"/>
            <w:tcBorders>
              <w:top w:val="nil"/>
              <w:left w:val="nil"/>
              <w:bottom w:val="single" w:sz="4" w:space="0" w:color="auto"/>
              <w:right w:val="single" w:sz="8" w:space="0" w:color="auto"/>
            </w:tcBorders>
            <w:shd w:val="clear" w:color="000000" w:fill="DDEBF7"/>
            <w:vAlign w:val="center"/>
            <w:hideMark/>
          </w:tcPr>
          <w:p w14:paraId="6CBCE87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2029</w:t>
            </w:r>
          </w:p>
        </w:tc>
      </w:tr>
      <w:tr w:rsidR="007440A2" w:rsidRPr="007440A2" w14:paraId="3CBE5AA3" w14:textId="77777777" w:rsidTr="0018109D">
        <w:trPr>
          <w:trHeight w:val="804"/>
        </w:trPr>
        <w:tc>
          <w:tcPr>
            <w:tcW w:w="1790" w:type="dxa"/>
            <w:vMerge/>
            <w:tcBorders>
              <w:top w:val="nil"/>
              <w:left w:val="single" w:sz="8" w:space="0" w:color="auto"/>
              <w:bottom w:val="single" w:sz="8" w:space="0" w:color="000000"/>
              <w:right w:val="single" w:sz="4" w:space="0" w:color="auto"/>
            </w:tcBorders>
            <w:vAlign w:val="center"/>
            <w:hideMark/>
          </w:tcPr>
          <w:p w14:paraId="78861D4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C1DF1E0"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1.1.4.7 Hartimi i metodologjisë për vlerësimin ex post të akteve</w:t>
            </w:r>
          </w:p>
        </w:tc>
        <w:tc>
          <w:tcPr>
            <w:tcW w:w="1890" w:type="dxa"/>
            <w:tcBorders>
              <w:top w:val="nil"/>
              <w:left w:val="nil"/>
              <w:bottom w:val="single" w:sz="4" w:space="0" w:color="auto"/>
              <w:right w:val="single" w:sz="4" w:space="0" w:color="auto"/>
            </w:tcBorders>
            <w:shd w:val="clear" w:color="auto" w:fill="auto"/>
            <w:vAlign w:val="center"/>
            <w:hideMark/>
          </w:tcPr>
          <w:p w14:paraId="33D50A7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4" w:space="0" w:color="auto"/>
            </w:tcBorders>
            <w:shd w:val="clear" w:color="auto" w:fill="auto"/>
            <w:vAlign w:val="center"/>
            <w:hideMark/>
          </w:tcPr>
          <w:p w14:paraId="0F00881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2271F86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09527E2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4D37C6FD" w14:textId="77777777" w:rsidTr="0018109D">
        <w:trPr>
          <w:trHeight w:val="180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47EE4FD7" w14:textId="7AA467BF"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1.1.5 Përditësimi i Kodit të Procedurës Civile në përputhje me acquis të BE</w:t>
            </w:r>
          </w:p>
        </w:tc>
        <w:tc>
          <w:tcPr>
            <w:tcW w:w="2520" w:type="dxa"/>
            <w:tcBorders>
              <w:top w:val="nil"/>
              <w:left w:val="nil"/>
              <w:bottom w:val="single" w:sz="4" w:space="0" w:color="auto"/>
              <w:right w:val="single" w:sz="4" w:space="0" w:color="auto"/>
            </w:tcBorders>
            <w:shd w:val="clear" w:color="auto" w:fill="auto"/>
            <w:vAlign w:val="center"/>
            <w:hideMark/>
          </w:tcPr>
          <w:p w14:paraId="1C79C373" w14:textId="52E01D29"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1.1.5.1 </w:t>
            </w:r>
            <w:r w:rsidR="000A3232" w:rsidRPr="000A3232">
              <w:rPr>
                <w:rFonts w:ascii="Times New Roman" w:eastAsia="Times New Roman" w:hAnsi="Times New Roman" w:cs="Times New Roman"/>
                <w:sz w:val="20"/>
                <w:szCs w:val="20"/>
              </w:rPr>
              <w:t>Identifikimi i acquis të Bashkimit Evropian për ndryshimet e Kodit të Procedurës Civile me synim përafrimin e legjislacionit me acquis dhe praktikat më të mira të BE-së, në lidhje me të drejtat procedurale</w:t>
            </w:r>
          </w:p>
        </w:tc>
        <w:tc>
          <w:tcPr>
            <w:tcW w:w="1890" w:type="dxa"/>
            <w:tcBorders>
              <w:top w:val="nil"/>
              <w:left w:val="nil"/>
              <w:bottom w:val="single" w:sz="4" w:space="0" w:color="auto"/>
              <w:right w:val="single" w:sz="4" w:space="0" w:color="auto"/>
            </w:tcBorders>
            <w:shd w:val="clear" w:color="auto" w:fill="auto"/>
            <w:vAlign w:val="center"/>
            <w:hideMark/>
          </w:tcPr>
          <w:p w14:paraId="064BCC2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 Institucionet e sistemit të drejtësisë</w:t>
            </w:r>
          </w:p>
        </w:tc>
        <w:tc>
          <w:tcPr>
            <w:tcW w:w="1620" w:type="dxa"/>
            <w:tcBorders>
              <w:top w:val="nil"/>
              <w:left w:val="nil"/>
              <w:bottom w:val="single" w:sz="4" w:space="0" w:color="auto"/>
              <w:right w:val="single" w:sz="4" w:space="0" w:color="auto"/>
            </w:tcBorders>
            <w:shd w:val="clear" w:color="auto" w:fill="auto"/>
            <w:vAlign w:val="center"/>
            <w:hideMark/>
          </w:tcPr>
          <w:p w14:paraId="24E4931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Institucionet e sistemit të drejtësisë</w:t>
            </w:r>
          </w:p>
        </w:tc>
        <w:tc>
          <w:tcPr>
            <w:tcW w:w="1710" w:type="dxa"/>
            <w:tcBorders>
              <w:top w:val="nil"/>
              <w:left w:val="nil"/>
              <w:bottom w:val="single" w:sz="4" w:space="0" w:color="auto"/>
              <w:right w:val="single" w:sz="4" w:space="0" w:color="auto"/>
            </w:tcBorders>
            <w:shd w:val="clear" w:color="000000" w:fill="DDEBF7"/>
            <w:vAlign w:val="center"/>
            <w:hideMark/>
          </w:tcPr>
          <w:p w14:paraId="6FEAE04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20AAA2E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05039A1B" w14:textId="77777777" w:rsidTr="0018109D">
        <w:trPr>
          <w:trHeight w:val="816"/>
        </w:trPr>
        <w:tc>
          <w:tcPr>
            <w:tcW w:w="1790" w:type="dxa"/>
            <w:vMerge/>
            <w:tcBorders>
              <w:top w:val="nil"/>
              <w:left w:val="single" w:sz="8" w:space="0" w:color="auto"/>
              <w:bottom w:val="single" w:sz="8" w:space="0" w:color="000000"/>
              <w:right w:val="single" w:sz="4" w:space="0" w:color="auto"/>
            </w:tcBorders>
            <w:vAlign w:val="center"/>
            <w:hideMark/>
          </w:tcPr>
          <w:p w14:paraId="6FD9C0A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FC0EAB0"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1.1.5.2 Kryerja e analizës dhe përgatitja e tabelave të përputhshmërisë </w:t>
            </w:r>
          </w:p>
        </w:tc>
        <w:tc>
          <w:tcPr>
            <w:tcW w:w="1890" w:type="dxa"/>
            <w:tcBorders>
              <w:top w:val="nil"/>
              <w:left w:val="nil"/>
              <w:bottom w:val="single" w:sz="4" w:space="0" w:color="auto"/>
              <w:right w:val="single" w:sz="4" w:space="0" w:color="auto"/>
            </w:tcBorders>
            <w:shd w:val="clear" w:color="auto" w:fill="auto"/>
            <w:vAlign w:val="center"/>
            <w:hideMark/>
          </w:tcPr>
          <w:p w14:paraId="76F82CF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4" w:space="0" w:color="auto"/>
            </w:tcBorders>
            <w:shd w:val="clear" w:color="auto" w:fill="auto"/>
            <w:vAlign w:val="center"/>
            <w:hideMark/>
          </w:tcPr>
          <w:p w14:paraId="29E0EC9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4E080C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23B8D65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1941F8C2" w14:textId="77777777" w:rsidTr="0018109D">
        <w:trPr>
          <w:trHeight w:val="864"/>
        </w:trPr>
        <w:tc>
          <w:tcPr>
            <w:tcW w:w="1790" w:type="dxa"/>
            <w:vMerge/>
            <w:tcBorders>
              <w:top w:val="nil"/>
              <w:left w:val="single" w:sz="8" w:space="0" w:color="auto"/>
              <w:bottom w:val="single" w:sz="8" w:space="0" w:color="000000"/>
              <w:right w:val="single" w:sz="4" w:space="0" w:color="auto"/>
            </w:tcBorders>
            <w:vAlign w:val="center"/>
            <w:hideMark/>
          </w:tcPr>
          <w:p w14:paraId="763BB0C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AF8F01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1.1.5.3 Identifikimi i boshllëqeve ligjore</w:t>
            </w:r>
          </w:p>
        </w:tc>
        <w:tc>
          <w:tcPr>
            <w:tcW w:w="1890" w:type="dxa"/>
            <w:tcBorders>
              <w:top w:val="nil"/>
              <w:left w:val="nil"/>
              <w:bottom w:val="single" w:sz="4" w:space="0" w:color="auto"/>
              <w:right w:val="single" w:sz="4" w:space="0" w:color="auto"/>
            </w:tcBorders>
            <w:shd w:val="clear" w:color="auto" w:fill="auto"/>
            <w:vAlign w:val="center"/>
            <w:hideMark/>
          </w:tcPr>
          <w:p w14:paraId="6B1FBF0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4" w:space="0" w:color="auto"/>
            </w:tcBorders>
            <w:shd w:val="clear" w:color="auto" w:fill="auto"/>
            <w:vAlign w:val="center"/>
            <w:hideMark/>
          </w:tcPr>
          <w:p w14:paraId="3BF0688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0E7D08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2838773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7F55D90F" w14:textId="77777777" w:rsidTr="0018109D">
        <w:trPr>
          <w:trHeight w:val="912"/>
        </w:trPr>
        <w:tc>
          <w:tcPr>
            <w:tcW w:w="1790" w:type="dxa"/>
            <w:vMerge/>
            <w:tcBorders>
              <w:top w:val="nil"/>
              <w:left w:val="single" w:sz="8" w:space="0" w:color="auto"/>
              <w:bottom w:val="single" w:sz="8" w:space="0" w:color="000000"/>
              <w:right w:val="single" w:sz="4" w:space="0" w:color="auto"/>
            </w:tcBorders>
            <w:vAlign w:val="center"/>
            <w:hideMark/>
          </w:tcPr>
          <w:p w14:paraId="12F0EF6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01D6D2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1.1.5.4 Hartimi i projektligjit për ndryshimet përkatëse </w:t>
            </w:r>
          </w:p>
        </w:tc>
        <w:tc>
          <w:tcPr>
            <w:tcW w:w="1890" w:type="dxa"/>
            <w:tcBorders>
              <w:top w:val="nil"/>
              <w:left w:val="nil"/>
              <w:bottom w:val="single" w:sz="4" w:space="0" w:color="auto"/>
              <w:right w:val="single" w:sz="4" w:space="0" w:color="auto"/>
            </w:tcBorders>
            <w:shd w:val="clear" w:color="auto" w:fill="auto"/>
            <w:vAlign w:val="center"/>
            <w:hideMark/>
          </w:tcPr>
          <w:p w14:paraId="43F255F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4" w:space="0" w:color="auto"/>
            </w:tcBorders>
            <w:shd w:val="clear" w:color="auto" w:fill="auto"/>
            <w:vAlign w:val="center"/>
            <w:hideMark/>
          </w:tcPr>
          <w:p w14:paraId="42D9309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212AB3E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c>
          <w:tcPr>
            <w:tcW w:w="1260" w:type="dxa"/>
            <w:tcBorders>
              <w:top w:val="nil"/>
              <w:left w:val="nil"/>
              <w:bottom w:val="single" w:sz="4" w:space="0" w:color="auto"/>
              <w:right w:val="single" w:sz="8" w:space="0" w:color="auto"/>
            </w:tcBorders>
            <w:shd w:val="clear" w:color="000000" w:fill="DDEBF7"/>
            <w:vAlign w:val="center"/>
            <w:hideMark/>
          </w:tcPr>
          <w:p w14:paraId="7E43851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r>
      <w:tr w:rsidR="007440A2" w:rsidRPr="007440A2" w14:paraId="5D8D99B0" w14:textId="77777777" w:rsidTr="0018109D">
        <w:trPr>
          <w:trHeight w:val="732"/>
        </w:trPr>
        <w:tc>
          <w:tcPr>
            <w:tcW w:w="1790" w:type="dxa"/>
            <w:vMerge/>
            <w:tcBorders>
              <w:top w:val="nil"/>
              <w:left w:val="single" w:sz="8" w:space="0" w:color="auto"/>
              <w:bottom w:val="single" w:sz="8" w:space="0" w:color="000000"/>
              <w:right w:val="single" w:sz="4" w:space="0" w:color="auto"/>
            </w:tcBorders>
            <w:vAlign w:val="center"/>
            <w:hideMark/>
          </w:tcPr>
          <w:p w14:paraId="1B7511A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533219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1.1.5.5 Konsultimi dhe organizimi i tryezave me grupet e interesit   </w:t>
            </w:r>
          </w:p>
        </w:tc>
        <w:tc>
          <w:tcPr>
            <w:tcW w:w="1890" w:type="dxa"/>
            <w:tcBorders>
              <w:top w:val="nil"/>
              <w:left w:val="nil"/>
              <w:bottom w:val="single" w:sz="4" w:space="0" w:color="auto"/>
              <w:right w:val="single" w:sz="4" w:space="0" w:color="auto"/>
            </w:tcBorders>
            <w:shd w:val="clear" w:color="auto" w:fill="auto"/>
            <w:vAlign w:val="center"/>
            <w:hideMark/>
          </w:tcPr>
          <w:p w14:paraId="459C633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4" w:space="0" w:color="auto"/>
            </w:tcBorders>
            <w:shd w:val="clear" w:color="auto" w:fill="auto"/>
            <w:vAlign w:val="center"/>
            <w:hideMark/>
          </w:tcPr>
          <w:p w14:paraId="1B97FCC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0C9C53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c>
          <w:tcPr>
            <w:tcW w:w="1260" w:type="dxa"/>
            <w:tcBorders>
              <w:top w:val="nil"/>
              <w:left w:val="nil"/>
              <w:bottom w:val="single" w:sz="4" w:space="0" w:color="auto"/>
              <w:right w:val="single" w:sz="8" w:space="0" w:color="auto"/>
            </w:tcBorders>
            <w:shd w:val="clear" w:color="000000" w:fill="DDEBF7"/>
            <w:vAlign w:val="center"/>
            <w:hideMark/>
          </w:tcPr>
          <w:p w14:paraId="479FEE8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r>
      <w:tr w:rsidR="007440A2" w:rsidRPr="007440A2" w14:paraId="53AE4F0B" w14:textId="77777777" w:rsidTr="0018109D">
        <w:trPr>
          <w:trHeight w:val="936"/>
        </w:trPr>
        <w:tc>
          <w:tcPr>
            <w:tcW w:w="1790" w:type="dxa"/>
            <w:vMerge/>
            <w:tcBorders>
              <w:top w:val="nil"/>
              <w:left w:val="single" w:sz="8" w:space="0" w:color="auto"/>
              <w:bottom w:val="single" w:sz="8" w:space="0" w:color="000000"/>
              <w:right w:val="single" w:sz="4" w:space="0" w:color="auto"/>
            </w:tcBorders>
            <w:vAlign w:val="center"/>
            <w:hideMark/>
          </w:tcPr>
          <w:p w14:paraId="1C4DD21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080F44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1.1.5.6 Miratimi i ndryshimeve ligjore</w:t>
            </w:r>
          </w:p>
        </w:tc>
        <w:tc>
          <w:tcPr>
            <w:tcW w:w="1890" w:type="dxa"/>
            <w:tcBorders>
              <w:top w:val="nil"/>
              <w:left w:val="nil"/>
              <w:bottom w:val="single" w:sz="4" w:space="0" w:color="auto"/>
              <w:right w:val="single" w:sz="4" w:space="0" w:color="auto"/>
            </w:tcBorders>
            <w:shd w:val="clear" w:color="auto" w:fill="auto"/>
            <w:vAlign w:val="center"/>
            <w:hideMark/>
          </w:tcPr>
          <w:p w14:paraId="1E28055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Kuvendi</w:t>
            </w:r>
          </w:p>
        </w:tc>
        <w:tc>
          <w:tcPr>
            <w:tcW w:w="1620" w:type="dxa"/>
            <w:tcBorders>
              <w:top w:val="nil"/>
              <w:left w:val="nil"/>
              <w:bottom w:val="single" w:sz="4" w:space="0" w:color="auto"/>
              <w:right w:val="single" w:sz="4" w:space="0" w:color="auto"/>
            </w:tcBorders>
            <w:shd w:val="clear" w:color="auto" w:fill="auto"/>
            <w:vAlign w:val="center"/>
            <w:hideMark/>
          </w:tcPr>
          <w:p w14:paraId="0060867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214144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2029</w:t>
            </w:r>
          </w:p>
        </w:tc>
        <w:tc>
          <w:tcPr>
            <w:tcW w:w="1260" w:type="dxa"/>
            <w:tcBorders>
              <w:top w:val="nil"/>
              <w:left w:val="nil"/>
              <w:bottom w:val="single" w:sz="4" w:space="0" w:color="auto"/>
              <w:right w:val="single" w:sz="8" w:space="0" w:color="auto"/>
            </w:tcBorders>
            <w:shd w:val="clear" w:color="000000" w:fill="DDEBF7"/>
            <w:vAlign w:val="center"/>
            <w:hideMark/>
          </w:tcPr>
          <w:p w14:paraId="275A710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2029</w:t>
            </w:r>
          </w:p>
        </w:tc>
      </w:tr>
      <w:tr w:rsidR="007440A2" w:rsidRPr="007440A2" w14:paraId="421E52E3" w14:textId="77777777" w:rsidTr="0018109D">
        <w:trPr>
          <w:trHeight w:val="708"/>
        </w:trPr>
        <w:tc>
          <w:tcPr>
            <w:tcW w:w="1790" w:type="dxa"/>
            <w:vMerge/>
            <w:tcBorders>
              <w:top w:val="nil"/>
              <w:left w:val="single" w:sz="8" w:space="0" w:color="auto"/>
              <w:bottom w:val="single" w:sz="8" w:space="0" w:color="000000"/>
              <w:right w:val="single" w:sz="4" w:space="0" w:color="auto"/>
            </w:tcBorders>
            <w:vAlign w:val="center"/>
            <w:hideMark/>
          </w:tcPr>
          <w:p w14:paraId="611B4BE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F3D021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1.1.5.7 Hartimi i metodologjisë për vlerësimin ex post të akteve</w:t>
            </w:r>
          </w:p>
        </w:tc>
        <w:tc>
          <w:tcPr>
            <w:tcW w:w="1890" w:type="dxa"/>
            <w:tcBorders>
              <w:top w:val="nil"/>
              <w:left w:val="nil"/>
              <w:bottom w:val="single" w:sz="4" w:space="0" w:color="auto"/>
              <w:right w:val="single" w:sz="4" w:space="0" w:color="auto"/>
            </w:tcBorders>
            <w:shd w:val="clear" w:color="auto" w:fill="auto"/>
            <w:vAlign w:val="center"/>
            <w:hideMark/>
          </w:tcPr>
          <w:p w14:paraId="1286064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4" w:space="0" w:color="auto"/>
            </w:tcBorders>
            <w:shd w:val="clear" w:color="auto" w:fill="auto"/>
            <w:vAlign w:val="center"/>
            <w:hideMark/>
          </w:tcPr>
          <w:p w14:paraId="3AAB5DB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B36BE0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5E24BAC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440B8C3C" w14:textId="77777777" w:rsidTr="0018109D">
        <w:trPr>
          <w:trHeight w:val="180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2276E50C" w14:textId="449EEF2C"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1.1.6 Përditësimi i Kodit Familjar në përputhje me acquis të BE për sistemin e drejtësisë</w:t>
            </w:r>
          </w:p>
        </w:tc>
        <w:tc>
          <w:tcPr>
            <w:tcW w:w="2520" w:type="dxa"/>
            <w:tcBorders>
              <w:top w:val="nil"/>
              <w:left w:val="nil"/>
              <w:bottom w:val="single" w:sz="4" w:space="0" w:color="auto"/>
              <w:right w:val="single" w:sz="4" w:space="0" w:color="auto"/>
            </w:tcBorders>
            <w:shd w:val="clear" w:color="auto" w:fill="auto"/>
            <w:vAlign w:val="center"/>
            <w:hideMark/>
          </w:tcPr>
          <w:p w14:paraId="463DC7C3" w14:textId="021C023B"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1.1.6.1 Identifikimi i </w:t>
            </w:r>
            <w:r w:rsidRPr="007440A2">
              <w:rPr>
                <w:rFonts w:ascii="Times New Roman" w:eastAsia="Times New Roman" w:hAnsi="Times New Roman" w:cs="Times New Roman"/>
                <w:i/>
                <w:iCs/>
                <w:sz w:val="20"/>
                <w:szCs w:val="20"/>
              </w:rPr>
              <w:t>acquis</w:t>
            </w:r>
            <w:r w:rsidRPr="007440A2">
              <w:rPr>
                <w:rFonts w:ascii="Times New Roman" w:eastAsia="Times New Roman" w:hAnsi="Times New Roman" w:cs="Times New Roman"/>
                <w:sz w:val="20"/>
                <w:szCs w:val="20"/>
              </w:rPr>
              <w:t xml:space="preserve"> të Bas</w:t>
            </w:r>
            <w:r w:rsidR="00A26C45" w:rsidRPr="007440A2">
              <w:rPr>
                <w:rFonts w:ascii="Times New Roman" w:eastAsia="Times New Roman" w:hAnsi="Times New Roman" w:cs="Times New Roman"/>
                <w:sz w:val="20"/>
                <w:szCs w:val="20"/>
              </w:rPr>
              <w:t xml:space="preserve">hkimit Evropian për ndryshimet </w:t>
            </w:r>
            <w:r w:rsidRPr="007440A2">
              <w:rPr>
                <w:rFonts w:ascii="Times New Roman" w:eastAsia="Times New Roman" w:hAnsi="Times New Roman" w:cs="Times New Roman"/>
                <w:sz w:val="20"/>
                <w:szCs w:val="20"/>
              </w:rPr>
              <w:t>e Kodit të Familjes me synim ofrimin e ndryshimeve për garantimin e efikasitetit të drejtësisë, në përputhje me acquis dhe praktikat më të mira të BE-së.</w:t>
            </w:r>
          </w:p>
        </w:tc>
        <w:tc>
          <w:tcPr>
            <w:tcW w:w="1890" w:type="dxa"/>
            <w:tcBorders>
              <w:top w:val="nil"/>
              <w:left w:val="nil"/>
              <w:bottom w:val="single" w:sz="4" w:space="0" w:color="auto"/>
              <w:right w:val="single" w:sz="4" w:space="0" w:color="auto"/>
            </w:tcBorders>
            <w:shd w:val="clear" w:color="auto" w:fill="auto"/>
            <w:vAlign w:val="center"/>
            <w:hideMark/>
          </w:tcPr>
          <w:p w14:paraId="4B256BD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 Institucionet e sistemit të drejtësisë</w:t>
            </w:r>
          </w:p>
        </w:tc>
        <w:tc>
          <w:tcPr>
            <w:tcW w:w="1620" w:type="dxa"/>
            <w:tcBorders>
              <w:top w:val="nil"/>
              <w:left w:val="nil"/>
              <w:bottom w:val="single" w:sz="4" w:space="0" w:color="auto"/>
              <w:right w:val="single" w:sz="8" w:space="0" w:color="auto"/>
            </w:tcBorders>
            <w:shd w:val="clear" w:color="auto" w:fill="auto"/>
            <w:vAlign w:val="center"/>
            <w:hideMark/>
          </w:tcPr>
          <w:p w14:paraId="75A6F57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Institucionet e sistemit të drejtësisë</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2122BDD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CD9367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03447C10" w14:textId="77777777" w:rsidTr="0018109D">
        <w:trPr>
          <w:trHeight w:val="864"/>
        </w:trPr>
        <w:tc>
          <w:tcPr>
            <w:tcW w:w="1790" w:type="dxa"/>
            <w:vMerge/>
            <w:tcBorders>
              <w:top w:val="nil"/>
              <w:left w:val="single" w:sz="8" w:space="0" w:color="auto"/>
              <w:bottom w:val="single" w:sz="8" w:space="0" w:color="000000"/>
              <w:right w:val="single" w:sz="4" w:space="0" w:color="auto"/>
            </w:tcBorders>
            <w:vAlign w:val="center"/>
            <w:hideMark/>
          </w:tcPr>
          <w:p w14:paraId="0A0FB03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6E70BD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1.1.6.2 Kryerja e analizës dhe përgatitja e tabelave të përputhshmërisë </w:t>
            </w:r>
          </w:p>
        </w:tc>
        <w:tc>
          <w:tcPr>
            <w:tcW w:w="1890" w:type="dxa"/>
            <w:tcBorders>
              <w:top w:val="nil"/>
              <w:left w:val="nil"/>
              <w:bottom w:val="single" w:sz="4" w:space="0" w:color="auto"/>
              <w:right w:val="single" w:sz="4" w:space="0" w:color="auto"/>
            </w:tcBorders>
            <w:shd w:val="clear" w:color="auto" w:fill="auto"/>
            <w:vAlign w:val="center"/>
            <w:hideMark/>
          </w:tcPr>
          <w:p w14:paraId="38BDE7E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8" w:space="0" w:color="auto"/>
            </w:tcBorders>
            <w:shd w:val="clear" w:color="auto" w:fill="auto"/>
            <w:vAlign w:val="center"/>
            <w:hideMark/>
          </w:tcPr>
          <w:p w14:paraId="6875AC7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0565D8C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2F3AF13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4A0150BF" w14:textId="77777777" w:rsidTr="0018109D">
        <w:trPr>
          <w:trHeight w:val="576"/>
        </w:trPr>
        <w:tc>
          <w:tcPr>
            <w:tcW w:w="1790" w:type="dxa"/>
            <w:vMerge/>
            <w:tcBorders>
              <w:top w:val="nil"/>
              <w:left w:val="single" w:sz="8" w:space="0" w:color="auto"/>
              <w:bottom w:val="single" w:sz="8" w:space="0" w:color="000000"/>
              <w:right w:val="single" w:sz="4" w:space="0" w:color="auto"/>
            </w:tcBorders>
            <w:vAlign w:val="center"/>
            <w:hideMark/>
          </w:tcPr>
          <w:p w14:paraId="7558245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175FB3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1.1.6.3 Identifikimi i boshllëqeve ligjore</w:t>
            </w:r>
          </w:p>
        </w:tc>
        <w:tc>
          <w:tcPr>
            <w:tcW w:w="1890" w:type="dxa"/>
            <w:tcBorders>
              <w:top w:val="nil"/>
              <w:left w:val="nil"/>
              <w:bottom w:val="single" w:sz="4" w:space="0" w:color="auto"/>
              <w:right w:val="single" w:sz="4" w:space="0" w:color="auto"/>
            </w:tcBorders>
            <w:shd w:val="clear" w:color="auto" w:fill="auto"/>
            <w:vAlign w:val="center"/>
            <w:hideMark/>
          </w:tcPr>
          <w:p w14:paraId="36342C6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8" w:space="0" w:color="auto"/>
            </w:tcBorders>
            <w:shd w:val="clear" w:color="auto" w:fill="auto"/>
            <w:vAlign w:val="center"/>
            <w:hideMark/>
          </w:tcPr>
          <w:p w14:paraId="0A982BB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0AD192C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24F79AF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54A5898E" w14:textId="77777777" w:rsidTr="0018109D">
        <w:trPr>
          <w:trHeight w:val="876"/>
        </w:trPr>
        <w:tc>
          <w:tcPr>
            <w:tcW w:w="1790" w:type="dxa"/>
            <w:vMerge/>
            <w:tcBorders>
              <w:top w:val="nil"/>
              <w:left w:val="single" w:sz="8" w:space="0" w:color="auto"/>
              <w:bottom w:val="single" w:sz="8" w:space="0" w:color="000000"/>
              <w:right w:val="single" w:sz="4" w:space="0" w:color="auto"/>
            </w:tcBorders>
            <w:vAlign w:val="center"/>
            <w:hideMark/>
          </w:tcPr>
          <w:p w14:paraId="2F8386C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3D56C0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1.1.6.4 Hartimi i projektligjit për ndryshimet përkatëse </w:t>
            </w:r>
          </w:p>
        </w:tc>
        <w:tc>
          <w:tcPr>
            <w:tcW w:w="1890" w:type="dxa"/>
            <w:tcBorders>
              <w:top w:val="nil"/>
              <w:left w:val="nil"/>
              <w:bottom w:val="single" w:sz="4" w:space="0" w:color="auto"/>
              <w:right w:val="single" w:sz="4" w:space="0" w:color="auto"/>
            </w:tcBorders>
            <w:shd w:val="clear" w:color="auto" w:fill="auto"/>
            <w:vAlign w:val="center"/>
            <w:hideMark/>
          </w:tcPr>
          <w:p w14:paraId="0D9D770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8" w:space="0" w:color="auto"/>
            </w:tcBorders>
            <w:shd w:val="clear" w:color="auto" w:fill="auto"/>
            <w:vAlign w:val="center"/>
            <w:hideMark/>
          </w:tcPr>
          <w:p w14:paraId="6CEBE30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3071E9E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1D25F7F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57358884" w14:textId="77777777" w:rsidTr="0018109D">
        <w:trPr>
          <w:trHeight w:val="744"/>
        </w:trPr>
        <w:tc>
          <w:tcPr>
            <w:tcW w:w="1790" w:type="dxa"/>
            <w:vMerge/>
            <w:tcBorders>
              <w:top w:val="nil"/>
              <w:left w:val="single" w:sz="8" w:space="0" w:color="auto"/>
              <w:bottom w:val="single" w:sz="8" w:space="0" w:color="000000"/>
              <w:right w:val="single" w:sz="4" w:space="0" w:color="auto"/>
            </w:tcBorders>
            <w:vAlign w:val="center"/>
            <w:hideMark/>
          </w:tcPr>
          <w:p w14:paraId="6D9ADE7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95602F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1.1.6.5 Konsultimi dhe organizimi i tryezave me grupet e interesit   </w:t>
            </w:r>
          </w:p>
        </w:tc>
        <w:tc>
          <w:tcPr>
            <w:tcW w:w="1890" w:type="dxa"/>
            <w:tcBorders>
              <w:top w:val="nil"/>
              <w:left w:val="nil"/>
              <w:bottom w:val="single" w:sz="4" w:space="0" w:color="auto"/>
              <w:right w:val="single" w:sz="4" w:space="0" w:color="auto"/>
            </w:tcBorders>
            <w:shd w:val="clear" w:color="auto" w:fill="auto"/>
            <w:vAlign w:val="center"/>
            <w:hideMark/>
          </w:tcPr>
          <w:p w14:paraId="23BD190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8" w:space="0" w:color="auto"/>
            </w:tcBorders>
            <w:shd w:val="clear" w:color="auto" w:fill="auto"/>
            <w:vAlign w:val="center"/>
            <w:hideMark/>
          </w:tcPr>
          <w:p w14:paraId="2876AE3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6C071B9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7B99FD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469C55B1" w14:textId="77777777" w:rsidTr="0018109D">
        <w:trPr>
          <w:trHeight w:val="972"/>
        </w:trPr>
        <w:tc>
          <w:tcPr>
            <w:tcW w:w="1790" w:type="dxa"/>
            <w:vMerge/>
            <w:tcBorders>
              <w:top w:val="nil"/>
              <w:left w:val="single" w:sz="8" w:space="0" w:color="auto"/>
              <w:bottom w:val="single" w:sz="8" w:space="0" w:color="000000"/>
              <w:right w:val="single" w:sz="4" w:space="0" w:color="auto"/>
            </w:tcBorders>
            <w:vAlign w:val="center"/>
            <w:hideMark/>
          </w:tcPr>
          <w:p w14:paraId="3BC31D8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74F806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1.1.6.6 Miratimi i ndryshimeve ligjore</w:t>
            </w:r>
          </w:p>
        </w:tc>
        <w:tc>
          <w:tcPr>
            <w:tcW w:w="1890" w:type="dxa"/>
            <w:tcBorders>
              <w:top w:val="nil"/>
              <w:left w:val="nil"/>
              <w:bottom w:val="single" w:sz="4" w:space="0" w:color="auto"/>
              <w:right w:val="single" w:sz="4" w:space="0" w:color="auto"/>
            </w:tcBorders>
            <w:shd w:val="clear" w:color="auto" w:fill="auto"/>
            <w:vAlign w:val="center"/>
            <w:hideMark/>
          </w:tcPr>
          <w:p w14:paraId="4FFDE58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Kuvendi</w:t>
            </w:r>
          </w:p>
        </w:tc>
        <w:tc>
          <w:tcPr>
            <w:tcW w:w="1620" w:type="dxa"/>
            <w:tcBorders>
              <w:top w:val="nil"/>
              <w:left w:val="nil"/>
              <w:bottom w:val="single" w:sz="4" w:space="0" w:color="auto"/>
              <w:right w:val="single" w:sz="8" w:space="0" w:color="auto"/>
            </w:tcBorders>
            <w:shd w:val="clear" w:color="auto" w:fill="auto"/>
            <w:vAlign w:val="center"/>
            <w:hideMark/>
          </w:tcPr>
          <w:p w14:paraId="5A5A69E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99D3C7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c>
          <w:tcPr>
            <w:tcW w:w="1260" w:type="dxa"/>
            <w:tcBorders>
              <w:top w:val="nil"/>
              <w:left w:val="nil"/>
              <w:bottom w:val="single" w:sz="4" w:space="0" w:color="auto"/>
              <w:right w:val="single" w:sz="8" w:space="0" w:color="auto"/>
            </w:tcBorders>
            <w:shd w:val="clear" w:color="000000" w:fill="DDEBF7"/>
            <w:vAlign w:val="center"/>
            <w:hideMark/>
          </w:tcPr>
          <w:p w14:paraId="0025D65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r>
      <w:tr w:rsidR="007440A2" w:rsidRPr="007440A2" w14:paraId="3D34610E" w14:textId="77777777" w:rsidTr="0018109D">
        <w:trPr>
          <w:trHeight w:val="984"/>
        </w:trPr>
        <w:tc>
          <w:tcPr>
            <w:tcW w:w="1790" w:type="dxa"/>
            <w:vMerge/>
            <w:tcBorders>
              <w:top w:val="nil"/>
              <w:left w:val="single" w:sz="8" w:space="0" w:color="auto"/>
              <w:bottom w:val="single" w:sz="8" w:space="0" w:color="000000"/>
              <w:right w:val="single" w:sz="4" w:space="0" w:color="auto"/>
            </w:tcBorders>
            <w:vAlign w:val="center"/>
            <w:hideMark/>
          </w:tcPr>
          <w:p w14:paraId="769046D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7FA584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1.1.6.7 Hartimi i metodologjisë për vlerësimin ex post të akteve</w:t>
            </w:r>
          </w:p>
        </w:tc>
        <w:tc>
          <w:tcPr>
            <w:tcW w:w="1890" w:type="dxa"/>
            <w:tcBorders>
              <w:top w:val="nil"/>
              <w:left w:val="nil"/>
              <w:bottom w:val="single" w:sz="4" w:space="0" w:color="auto"/>
              <w:right w:val="single" w:sz="4" w:space="0" w:color="auto"/>
            </w:tcBorders>
            <w:shd w:val="clear" w:color="auto" w:fill="auto"/>
            <w:vAlign w:val="center"/>
            <w:hideMark/>
          </w:tcPr>
          <w:p w14:paraId="7A1A9D2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8" w:space="0" w:color="auto"/>
            </w:tcBorders>
            <w:shd w:val="clear" w:color="auto" w:fill="auto"/>
            <w:vAlign w:val="center"/>
            <w:hideMark/>
          </w:tcPr>
          <w:p w14:paraId="6A0B9B7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A57E3F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78D2773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5CC868FD" w14:textId="77777777" w:rsidTr="0018109D">
        <w:trPr>
          <w:trHeight w:val="1596"/>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2AD84502" w14:textId="5577961B" w:rsidR="0018109D" w:rsidRPr="007440A2" w:rsidRDefault="00A26C45"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1.1.7 </w:t>
            </w:r>
            <w:r w:rsidR="000A3232" w:rsidRPr="000A3232">
              <w:rPr>
                <w:rFonts w:ascii="Times New Roman" w:eastAsia="Times New Roman" w:hAnsi="Times New Roman" w:cs="Times New Roman"/>
                <w:b/>
                <w:bCs/>
                <w:sz w:val="20"/>
                <w:szCs w:val="20"/>
              </w:rPr>
              <w:t>Përditësimi i ligji</w:t>
            </w:r>
            <w:r w:rsidR="000A3232">
              <w:rPr>
                <w:rFonts w:ascii="Times New Roman" w:eastAsia="Times New Roman" w:hAnsi="Times New Roman" w:cs="Times New Roman"/>
                <w:b/>
                <w:bCs/>
                <w:sz w:val="20"/>
                <w:szCs w:val="20"/>
              </w:rPr>
              <w:t>t</w:t>
            </w:r>
            <w:r w:rsidR="000A3232" w:rsidRPr="000A3232">
              <w:rPr>
                <w:rFonts w:ascii="Times New Roman" w:eastAsia="Times New Roman" w:hAnsi="Times New Roman" w:cs="Times New Roman"/>
                <w:b/>
                <w:bCs/>
                <w:sz w:val="20"/>
                <w:szCs w:val="20"/>
              </w:rPr>
              <w:t xml:space="preserve"> nr.  49/2012,  “Për  organizimin  dhe  funksionimin  e  gjykatave  administrative  dhe  gjykimin e mosmarrëveshjeve administrative", të ndryshuar, në përputhje me acquis të BE për </w:t>
            </w:r>
            <w:r w:rsidR="000A3232" w:rsidRPr="000A3232">
              <w:rPr>
                <w:rFonts w:ascii="Times New Roman" w:eastAsia="Times New Roman" w:hAnsi="Times New Roman" w:cs="Times New Roman"/>
                <w:b/>
                <w:bCs/>
                <w:sz w:val="20"/>
                <w:szCs w:val="20"/>
              </w:rPr>
              <w:lastRenderedPageBreak/>
              <w:t>sistemin e drejtësisë.</w:t>
            </w:r>
            <w:r w:rsidR="0018109D" w:rsidRPr="007440A2">
              <w:rPr>
                <w:rFonts w:ascii="Times New Roman" w:eastAsia="Times New Roman" w:hAnsi="Times New Roman" w:cs="Times New Roman"/>
                <w:b/>
                <w:bCs/>
                <w:sz w:val="20"/>
                <w:szCs w:val="20"/>
              </w:rPr>
              <w:t>.</w:t>
            </w:r>
          </w:p>
        </w:tc>
        <w:tc>
          <w:tcPr>
            <w:tcW w:w="2520" w:type="dxa"/>
            <w:tcBorders>
              <w:top w:val="nil"/>
              <w:left w:val="nil"/>
              <w:bottom w:val="single" w:sz="4" w:space="0" w:color="auto"/>
              <w:right w:val="single" w:sz="4" w:space="0" w:color="auto"/>
            </w:tcBorders>
            <w:shd w:val="clear" w:color="auto" w:fill="auto"/>
            <w:vAlign w:val="center"/>
            <w:hideMark/>
          </w:tcPr>
          <w:p w14:paraId="45DC1D57" w14:textId="67D2FBDC"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lastRenderedPageBreak/>
              <w:t xml:space="preserve">1.1.7.1 </w:t>
            </w:r>
            <w:r w:rsidR="000A3232" w:rsidRPr="000A3232">
              <w:rPr>
                <w:rFonts w:ascii="Times New Roman" w:eastAsia="Times New Roman" w:hAnsi="Times New Roman" w:cs="Times New Roman"/>
                <w:sz w:val="20"/>
                <w:szCs w:val="20"/>
              </w:rPr>
              <w:t xml:space="preserve">Identifikimi i acquis të Bashkimit Evropian për ndryshimet  e  ligjin  nr.  49/2012,  “Për  organizimin  dhe  funksionimin  e  gjykatave  administrative  dhe  gjykimin e mosmarrëveshjeve administrative", të ndryshuar,  me synim përafrimin e legjislacionit  me acquis dhe praktikat më </w:t>
            </w:r>
            <w:r w:rsidR="000A3232" w:rsidRPr="000A3232">
              <w:rPr>
                <w:rFonts w:ascii="Times New Roman" w:eastAsia="Times New Roman" w:hAnsi="Times New Roman" w:cs="Times New Roman"/>
                <w:sz w:val="20"/>
                <w:szCs w:val="20"/>
              </w:rPr>
              <w:lastRenderedPageBreak/>
              <w:t>të mira të BE-së, në lidhje me të drejtat procedurale</w:t>
            </w:r>
          </w:p>
        </w:tc>
        <w:tc>
          <w:tcPr>
            <w:tcW w:w="1890" w:type="dxa"/>
            <w:tcBorders>
              <w:top w:val="nil"/>
              <w:left w:val="nil"/>
              <w:bottom w:val="single" w:sz="4" w:space="0" w:color="auto"/>
              <w:right w:val="single" w:sz="4" w:space="0" w:color="auto"/>
            </w:tcBorders>
            <w:shd w:val="clear" w:color="auto" w:fill="auto"/>
            <w:vAlign w:val="center"/>
            <w:hideMark/>
          </w:tcPr>
          <w:p w14:paraId="285E749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lastRenderedPageBreak/>
              <w:t>MD, Drejtoria e Kodifikimit, Institucionet e sistemit të drejtësisë</w:t>
            </w:r>
          </w:p>
        </w:tc>
        <w:tc>
          <w:tcPr>
            <w:tcW w:w="1620" w:type="dxa"/>
            <w:tcBorders>
              <w:top w:val="nil"/>
              <w:left w:val="nil"/>
              <w:bottom w:val="single" w:sz="4" w:space="0" w:color="auto"/>
              <w:right w:val="single" w:sz="8" w:space="0" w:color="auto"/>
            </w:tcBorders>
            <w:shd w:val="clear" w:color="auto" w:fill="auto"/>
            <w:vAlign w:val="center"/>
            <w:hideMark/>
          </w:tcPr>
          <w:p w14:paraId="4AAC74F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Institucionet e sistemit të drejtësisë</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510F27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06328FE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514D059D" w14:textId="77777777" w:rsidTr="0018109D">
        <w:trPr>
          <w:trHeight w:val="1008"/>
        </w:trPr>
        <w:tc>
          <w:tcPr>
            <w:tcW w:w="1790" w:type="dxa"/>
            <w:vMerge/>
            <w:tcBorders>
              <w:top w:val="nil"/>
              <w:left w:val="single" w:sz="8" w:space="0" w:color="auto"/>
              <w:bottom w:val="single" w:sz="8" w:space="0" w:color="000000"/>
              <w:right w:val="single" w:sz="4" w:space="0" w:color="auto"/>
            </w:tcBorders>
            <w:vAlign w:val="center"/>
            <w:hideMark/>
          </w:tcPr>
          <w:p w14:paraId="0F708F59"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C38103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1.1.7.2 Kryerja e analizës dhe përgatitja e tabelave të përputhshmërisë </w:t>
            </w:r>
          </w:p>
        </w:tc>
        <w:tc>
          <w:tcPr>
            <w:tcW w:w="1890" w:type="dxa"/>
            <w:tcBorders>
              <w:top w:val="nil"/>
              <w:left w:val="nil"/>
              <w:bottom w:val="single" w:sz="4" w:space="0" w:color="auto"/>
              <w:right w:val="single" w:sz="4" w:space="0" w:color="auto"/>
            </w:tcBorders>
            <w:shd w:val="clear" w:color="auto" w:fill="auto"/>
            <w:vAlign w:val="center"/>
            <w:hideMark/>
          </w:tcPr>
          <w:p w14:paraId="3DD2E16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8" w:space="0" w:color="auto"/>
            </w:tcBorders>
            <w:shd w:val="clear" w:color="auto" w:fill="auto"/>
            <w:vAlign w:val="center"/>
            <w:hideMark/>
          </w:tcPr>
          <w:p w14:paraId="5E1D002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199BE80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0D214B2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3876526D" w14:textId="77777777" w:rsidTr="0018109D">
        <w:trPr>
          <w:trHeight w:val="804"/>
        </w:trPr>
        <w:tc>
          <w:tcPr>
            <w:tcW w:w="1790" w:type="dxa"/>
            <w:vMerge/>
            <w:tcBorders>
              <w:top w:val="nil"/>
              <w:left w:val="single" w:sz="8" w:space="0" w:color="auto"/>
              <w:bottom w:val="single" w:sz="8" w:space="0" w:color="000000"/>
              <w:right w:val="single" w:sz="4" w:space="0" w:color="auto"/>
            </w:tcBorders>
            <w:vAlign w:val="center"/>
            <w:hideMark/>
          </w:tcPr>
          <w:p w14:paraId="12DD27D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94E0160"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1.1.7.3 Identifikimi i boshllëqeve ligjore</w:t>
            </w:r>
          </w:p>
        </w:tc>
        <w:tc>
          <w:tcPr>
            <w:tcW w:w="1890" w:type="dxa"/>
            <w:tcBorders>
              <w:top w:val="nil"/>
              <w:left w:val="nil"/>
              <w:bottom w:val="single" w:sz="4" w:space="0" w:color="auto"/>
              <w:right w:val="single" w:sz="4" w:space="0" w:color="auto"/>
            </w:tcBorders>
            <w:shd w:val="clear" w:color="auto" w:fill="auto"/>
            <w:vAlign w:val="center"/>
            <w:hideMark/>
          </w:tcPr>
          <w:p w14:paraId="5097A86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8" w:space="0" w:color="auto"/>
            </w:tcBorders>
            <w:shd w:val="clear" w:color="auto" w:fill="auto"/>
            <w:vAlign w:val="center"/>
            <w:hideMark/>
          </w:tcPr>
          <w:p w14:paraId="652439C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39CA6B2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257C9BE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511271FC" w14:textId="77777777" w:rsidTr="0018109D">
        <w:trPr>
          <w:trHeight w:val="864"/>
        </w:trPr>
        <w:tc>
          <w:tcPr>
            <w:tcW w:w="1790" w:type="dxa"/>
            <w:vMerge/>
            <w:tcBorders>
              <w:top w:val="nil"/>
              <w:left w:val="single" w:sz="8" w:space="0" w:color="auto"/>
              <w:bottom w:val="single" w:sz="8" w:space="0" w:color="000000"/>
              <w:right w:val="single" w:sz="4" w:space="0" w:color="auto"/>
            </w:tcBorders>
            <w:vAlign w:val="center"/>
            <w:hideMark/>
          </w:tcPr>
          <w:p w14:paraId="2E44E11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37BD96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1.1.7.4 Hartimi i projektligjit për ndryshimet përkatëse </w:t>
            </w:r>
          </w:p>
        </w:tc>
        <w:tc>
          <w:tcPr>
            <w:tcW w:w="1890" w:type="dxa"/>
            <w:tcBorders>
              <w:top w:val="nil"/>
              <w:left w:val="nil"/>
              <w:bottom w:val="single" w:sz="4" w:space="0" w:color="auto"/>
              <w:right w:val="single" w:sz="4" w:space="0" w:color="auto"/>
            </w:tcBorders>
            <w:shd w:val="clear" w:color="auto" w:fill="auto"/>
            <w:vAlign w:val="center"/>
            <w:hideMark/>
          </w:tcPr>
          <w:p w14:paraId="614FA75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8" w:space="0" w:color="auto"/>
            </w:tcBorders>
            <w:shd w:val="clear" w:color="auto" w:fill="auto"/>
            <w:vAlign w:val="center"/>
            <w:hideMark/>
          </w:tcPr>
          <w:p w14:paraId="47D3C8E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22CE983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6AB2311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24C21E63" w14:textId="77777777" w:rsidTr="0018109D">
        <w:trPr>
          <w:trHeight w:val="708"/>
        </w:trPr>
        <w:tc>
          <w:tcPr>
            <w:tcW w:w="1790" w:type="dxa"/>
            <w:vMerge/>
            <w:tcBorders>
              <w:top w:val="nil"/>
              <w:left w:val="single" w:sz="8" w:space="0" w:color="auto"/>
              <w:bottom w:val="single" w:sz="8" w:space="0" w:color="000000"/>
              <w:right w:val="single" w:sz="4" w:space="0" w:color="auto"/>
            </w:tcBorders>
            <w:vAlign w:val="center"/>
            <w:hideMark/>
          </w:tcPr>
          <w:p w14:paraId="4BABAB9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3E2679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1.1.7.5 Konsultimi dhe organizimi i tryezave me grupet e interesit   </w:t>
            </w:r>
          </w:p>
        </w:tc>
        <w:tc>
          <w:tcPr>
            <w:tcW w:w="1890" w:type="dxa"/>
            <w:tcBorders>
              <w:top w:val="nil"/>
              <w:left w:val="nil"/>
              <w:bottom w:val="single" w:sz="4" w:space="0" w:color="auto"/>
              <w:right w:val="single" w:sz="4" w:space="0" w:color="auto"/>
            </w:tcBorders>
            <w:shd w:val="clear" w:color="auto" w:fill="auto"/>
            <w:vAlign w:val="center"/>
            <w:hideMark/>
          </w:tcPr>
          <w:p w14:paraId="6FAC09D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8" w:space="0" w:color="auto"/>
            </w:tcBorders>
            <w:shd w:val="clear" w:color="auto" w:fill="auto"/>
            <w:vAlign w:val="center"/>
            <w:hideMark/>
          </w:tcPr>
          <w:p w14:paraId="3602EAC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28F5B46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7517952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73A2635D" w14:textId="77777777" w:rsidTr="0018109D">
        <w:trPr>
          <w:trHeight w:val="624"/>
        </w:trPr>
        <w:tc>
          <w:tcPr>
            <w:tcW w:w="1790" w:type="dxa"/>
            <w:vMerge/>
            <w:tcBorders>
              <w:top w:val="nil"/>
              <w:left w:val="single" w:sz="8" w:space="0" w:color="auto"/>
              <w:bottom w:val="single" w:sz="8" w:space="0" w:color="000000"/>
              <w:right w:val="single" w:sz="4" w:space="0" w:color="auto"/>
            </w:tcBorders>
            <w:vAlign w:val="center"/>
            <w:hideMark/>
          </w:tcPr>
          <w:p w14:paraId="4614835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C00B15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1.1.7.6 Miratimi i ndryshimeve ligjore</w:t>
            </w:r>
          </w:p>
        </w:tc>
        <w:tc>
          <w:tcPr>
            <w:tcW w:w="1890" w:type="dxa"/>
            <w:tcBorders>
              <w:top w:val="nil"/>
              <w:left w:val="nil"/>
              <w:bottom w:val="single" w:sz="4" w:space="0" w:color="auto"/>
              <w:right w:val="single" w:sz="4" w:space="0" w:color="auto"/>
            </w:tcBorders>
            <w:shd w:val="clear" w:color="auto" w:fill="auto"/>
            <w:vAlign w:val="center"/>
            <w:hideMark/>
          </w:tcPr>
          <w:p w14:paraId="619F808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Kuvendi</w:t>
            </w:r>
          </w:p>
        </w:tc>
        <w:tc>
          <w:tcPr>
            <w:tcW w:w="1620" w:type="dxa"/>
            <w:tcBorders>
              <w:top w:val="nil"/>
              <w:left w:val="nil"/>
              <w:bottom w:val="single" w:sz="4" w:space="0" w:color="auto"/>
              <w:right w:val="single" w:sz="8" w:space="0" w:color="auto"/>
            </w:tcBorders>
            <w:shd w:val="clear" w:color="auto" w:fill="auto"/>
            <w:vAlign w:val="center"/>
            <w:hideMark/>
          </w:tcPr>
          <w:p w14:paraId="3F1206B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3199891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2028</w:t>
            </w:r>
          </w:p>
        </w:tc>
        <w:tc>
          <w:tcPr>
            <w:tcW w:w="1260" w:type="dxa"/>
            <w:tcBorders>
              <w:top w:val="nil"/>
              <w:left w:val="nil"/>
              <w:bottom w:val="single" w:sz="4" w:space="0" w:color="auto"/>
              <w:right w:val="single" w:sz="8" w:space="0" w:color="auto"/>
            </w:tcBorders>
            <w:shd w:val="clear" w:color="000000" w:fill="DDEBF7"/>
            <w:vAlign w:val="center"/>
            <w:hideMark/>
          </w:tcPr>
          <w:p w14:paraId="6A2DA1B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2028</w:t>
            </w:r>
          </w:p>
        </w:tc>
      </w:tr>
      <w:tr w:rsidR="007440A2" w:rsidRPr="007440A2" w14:paraId="6EAB7B19" w14:textId="77777777" w:rsidTr="0018109D">
        <w:trPr>
          <w:trHeight w:val="732"/>
        </w:trPr>
        <w:tc>
          <w:tcPr>
            <w:tcW w:w="1790" w:type="dxa"/>
            <w:vMerge/>
            <w:tcBorders>
              <w:top w:val="nil"/>
              <w:left w:val="single" w:sz="8" w:space="0" w:color="auto"/>
              <w:bottom w:val="single" w:sz="8" w:space="0" w:color="000000"/>
              <w:right w:val="single" w:sz="4" w:space="0" w:color="auto"/>
            </w:tcBorders>
            <w:vAlign w:val="center"/>
            <w:hideMark/>
          </w:tcPr>
          <w:p w14:paraId="37CADE39"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CBBF8D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1.1.7.7 Hartimi i metodologjisë për vlerësimin ex post të akteve</w:t>
            </w:r>
          </w:p>
        </w:tc>
        <w:tc>
          <w:tcPr>
            <w:tcW w:w="1890" w:type="dxa"/>
            <w:tcBorders>
              <w:top w:val="nil"/>
              <w:left w:val="nil"/>
              <w:bottom w:val="single" w:sz="4" w:space="0" w:color="auto"/>
              <w:right w:val="single" w:sz="4" w:space="0" w:color="auto"/>
            </w:tcBorders>
            <w:shd w:val="clear" w:color="auto" w:fill="auto"/>
            <w:vAlign w:val="center"/>
            <w:hideMark/>
          </w:tcPr>
          <w:p w14:paraId="52470D0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Kodifikimit</w:t>
            </w:r>
          </w:p>
        </w:tc>
        <w:tc>
          <w:tcPr>
            <w:tcW w:w="1620" w:type="dxa"/>
            <w:tcBorders>
              <w:top w:val="nil"/>
              <w:left w:val="nil"/>
              <w:bottom w:val="single" w:sz="4" w:space="0" w:color="auto"/>
              <w:right w:val="single" w:sz="8" w:space="0" w:color="auto"/>
            </w:tcBorders>
            <w:shd w:val="clear" w:color="auto" w:fill="auto"/>
            <w:vAlign w:val="center"/>
            <w:hideMark/>
          </w:tcPr>
          <w:p w14:paraId="0ACC92C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6526A03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15DD87B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7077B24C" w14:textId="77777777" w:rsidTr="0018109D">
        <w:trPr>
          <w:trHeight w:val="180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06265908"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1.1.8 . Kontrollet e rregullta të përshtatshmërisë ligjore dhe miratimi i ndryshimeve ligjore të nevojshme për konsolidimin, pavarësinë, integritetin, efikasitetin dhe rritjen e besimit të publikut, ndërmerren në përputhje me acquis të BE-së dhe standardet evropiane dhe forcojnë më tej parimet e reformës në drejtësi të vitit 2016</w:t>
            </w:r>
          </w:p>
        </w:tc>
        <w:tc>
          <w:tcPr>
            <w:tcW w:w="2520" w:type="dxa"/>
            <w:tcBorders>
              <w:top w:val="nil"/>
              <w:left w:val="nil"/>
              <w:bottom w:val="single" w:sz="4" w:space="0" w:color="auto"/>
              <w:right w:val="single" w:sz="4" w:space="0" w:color="auto"/>
            </w:tcBorders>
            <w:shd w:val="clear" w:color="auto" w:fill="auto"/>
            <w:vAlign w:val="center"/>
            <w:hideMark/>
          </w:tcPr>
          <w:p w14:paraId="08323D55" w14:textId="52FB29C3"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1.1.8.1 Ngritja e Grupeve të Punës nga MD-ja me pjesëmarrjen e institucioneve përkatëse të drejtësisë në lidhje me ndryshimet ligjore që rregulloj</w:t>
            </w:r>
            <w:r w:rsidR="00A26C45" w:rsidRPr="007440A2">
              <w:rPr>
                <w:rFonts w:ascii="Times New Roman" w:eastAsia="Times New Roman" w:hAnsi="Times New Roman" w:cs="Times New Roman"/>
                <w:sz w:val="20"/>
                <w:szCs w:val="20"/>
              </w:rPr>
              <w:t xml:space="preserve">në pavarësinë, paanshmërinë, </w:t>
            </w:r>
            <w:r w:rsidRPr="007440A2">
              <w:rPr>
                <w:rFonts w:ascii="Times New Roman" w:eastAsia="Times New Roman" w:hAnsi="Times New Roman" w:cs="Times New Roman"/>
                <w:sz w:val="20"/>
                <w:szCs w:val="20"/>
              </w:rPr>
              <w:t>integritetin, transparencën dhe besimin e publikut.</w:t>
            </w:r>
          </w:p>
        </w:tc>
        <w:tc>
          <w:tcPr>
            <w:tcW w:w="1890" w:type="dxa"/>
            <w:tcBorders>
              <w:top w:val="nil"/>
              <w:left w:val="nil"/>
              <w:bottom w:val="single" w:sz="4" w:space="0" w:color="auto"/>
              <w:right w:val="single" w:sz="4" w:space="0" w:color="auto"/>
            </w:tcBorders>
            <w:shd w:val="clear" w:color="auto" w:fill="auto"/>
            <w:vAlign w:val="center"/>
            <w:hideMark/>
          </w:tcPr>
          <w:p w14:paraId="0A67ACEA" w14:textId="1F960A06" w:rsidR="0018109D" w:rsidRPr="007440A2" w:rsidRDefault="001B1A4D" w:rsidP="0018109D">
            <w:pPr>
              <w:spacing w:after="0" w:line="240" w:lineRule="auto"/>
              <w:jc w:val="center"/>
              <w:rPr>
                <w:rFonts w:ascii="Times New Roman" w:eastAsia="Times New Roman" w:hAnsi="Times New Roman" w:cs="Times New Roman"/>
                <w:sz w:val="20"/>
                <w:szCs w:val="20"/>
              </w:rPr>
            </w:pPr>
            <w:r w:rsidRPr="001B1A4D">
              <w:rPr>
                <w:rFonts w:ascii="Times New Roman" w:eastAsia="Times New Roman" w:hAnsi="Times New Roman" w:cs="Times New Roman"/>
                <w:sz w:val="20"/>
                <w:szCs w:val="20"/>
              </w:rPr>
              <w:t>Institucionet e sistemit të drejtësisë MD, Kuvendi</w:t>
            </w:r>
          </w:p>
        </w:tc>
        <w:tc>
          <w:tcPr>
            <w:tcW w:w="1620" w:type="dxa"/>
            <w:tcBorders>
              <w:top w:val="nil"/>
              <w:left w:val="nil"/>
              <w:bottom w:val="single" w:sz="4" w:space="0" w:color="auto"/>
              <w:right w:val="nil"/>
            </w:tcBorders>
            <w:shd w:val="clear" w:color="auto" w:fill="auto"/>
            <w:vAlign w:val="center"/>
            <w:hideMark/>
          </w:tcPr>
          <w:p w14:paraId="466147FA" w14:textId="155451B8" w:rsidR="0018109D" w:rsidRPr="007440A2" w:rsidRDefault="0018109D" w:rsidP="0018109D">
            <w:pPr>
              <w:spacing w:after="0" w:line="240" w:lineRule="auto"/>
              <w:jc w:val="center"/>
              <w:rPr>
                <w:rFonts w:ascii="Times New Roman" w:eastAsia="Times New Roman" w:hAnsi="Times New Roman" w:cs="Times New Roman"/>
                <w:sz w:val="20"/>
                <w:szCs w:val="20"/>
              </w:rPr>
            </w:pP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1D1319C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00D1174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C9C22B4" w14:textId="77777777" w:rsidTr="0018109D">
        <w:trPr>
          <w:trHeight w:val="1800"/>
        </w:trPr>
        <w:tc>
          <w:tcPr>
            <w:tcW w:w="1790" w:type="dxa"/>
            <w:vMerge/>
            <w:tcBorders>
              <w:top w:val="nil"/>
              <w:left w:val="single" w:sz="8" w:space="0" w:color="auto"/>
              <w:bottom w:val="single" w:sz="8" w:space="0" w:color="000000"/>
              <w:right w:val="single" w:sz="4" w:space="0" w:color="auto"/>
            </w:tcBorders>
            <w:vAlign w:val="center"/>
            <w:hideMark/>
          </w:tcPr>
          <w:p w14:paraId="3AFFF8D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8F9E610" w14:textId="112DE18D"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1.1.8.2 Të kryhen analiza të ligjeve të reformës mbi bazën e gjetjeve dhe shqetësimeve të institucioneve të drejtësisë dhe MD-së në lidhje me dispozitat ligjore që rregull</w:t>
            </w:r>
            <w:r w:rsidR="00A26C45" w:rsidRPr="007440A2">
              <w:rPr>
                <w:rFonts w:ascii="Times New Roman" w:eastAsia="Times New Roman" w:hAnsi="Times New Roman" w:cs="Times New Roman"/>
                <w:sz w:val="20"/>
                <w:szCs w:val="20"/>
              </w:rPr>
              <w:t xml:space="preserve">ojnë pavarësinë, paanshmërinë, </w:t>
            </w:r>
            <w:r w:rsidRPr="007440A2">
              <w:rPr>
                <w:rFonts w:ascii="Times New Roman" w:eastAsia="Times New Roman" w:hAnsi="Times New Roman" w:cs="Times New Roman"/>
                <w:sz w:val="20"/>
                <w:szCs w:val="20"/>
              </w:rPr>
              <w:t xml:space="preserve">integritetin, transparencën dhe besimin e publikut </w:t>
            </w:r>
          </w:p>
        </w:tc>
        <w:tc>
          <w:tcPr>
            <w:tcW w:w="1890" w:type="dxa"/>
            <w:tcBorders>
              <w:top w:val="nil"/>
              <w:left w:val="nil"/>
              <w:bottom w:val="single" w:sz="4" w:space="0" w:color="auto"/>
              <w:right w:val="single" w:sz="4" w:space="0" w:color="auto"/>
            </w:tcBorders>
            <w:shd w:val="clear" w:color="auto" w:fill="auto"/>
            <w:vAlign w:val="center"/>
            <w:hideMark/>
          </w:tcPr>
          <w:p w14:paraId="75FBAFC1" w14:textId="3D0A11AB" w:rsidR="0018109D" w:rsidRPr="007440A2" w:rsidRDefault="001B1A4D" w:rsidP="0018109D">
            <w:pPr>
              <w:spacing w:after="0" w:line="240" w:lineRule="auto"/>
              <w:jc w:val="center"/>
              <w:rPr>
                <w:rFonts w:ascii="Times New Roman" w:eastAsia="Times New Roman" w:hAnsi="Times New Roman" w:cs="Times New Roman"/>
                <w:sz w:val="20"/>
                <w:szCs w:val="20"/>
              </w:rPr>
            </w:pPr>
            <w:r w:rsidRPr="001B1A4D">
              <w:rPr>
                <w:rFonts w:ascii="Times New Roman" w:eastAsia="Times New Roman" w:hAnsi="Times New Roman" w:cs="Times New Roman"/>
                <w:sz w:val="20"/>
                <w:szCs w:val="20"/>
              </w:rPr>
              <w:t>Institucionet e sistemit të drejtësisë</w:t>
            </w:r>
            <w:r>
              <w:rPr>
                <w:rFonts w:ascii="Times New Roman" w:eastAsia="Times New Roman" w:hAnsi="Times New Roman" w:cs="Times New Roman"/>
                <w:sz w:val="20"/>
                <w:szCs w:val="20"/>
              </w:rPr>
              <w:t xml:space="preserve">, </w:t>
            </w:r>
            <w:r w:rsidRPr="001B1A4D">
              <w:rPr>
                <w:rFonts w:ascii="Times New Roman" w:eastAsia="Times New Roman" w:hAnsi="Times New Roman" w:cs="Times New Roman"/>
                <w:sz w:val="20"/>
                <w:szCs w:val="20"/>
              </w:rPr>
              <w:t>MD</w:t>
            </w:r>
          </w:p>
        </w:tc>
        <w:tc>
          <w:tcPr>
            <w:tcW w:w="1620" w:type="dxa"/>
            <w:tcBorders>
              <w:top w:val="nil"/>
              <w:left w:val="nil"/>
              <w:bottom w:val="single" w:sz="4" w:space="0" w:color="auto"/>
              <w:right w:val="nil"/>
            </w:tcBorders>
            <w:shd w:val="clear" w:color="auto" w:fill="auto"/>
            <w:vAlign w:val="center"/>
            <w:hideMark/>
          </w:tcPr>
          <w:p w14:paraId="539264F1" w14:textId="5788FACB" w:rsidR="0018109D" w:rsidRPr="007440A2" w:rsidRDefault="0018109D" w:rsidP="0018109D">
            <w:pPr>
              <w:spacing w:after="0" w:line="240" w:lineRule="auto"/>
              <w:jc w:val="center"/>
              <w:rPr>
                <w:rFonts w:ascii="Times New Roman" w:eastAsia="Times New Roman" w:hAnsi="Times New Roman" w:cs="Times New Roman"/>
                <w:sz w:val="20"/>
                <w:szCs w:val="20"/>
              </w:rPr>
            </w:pP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323745B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0D7996D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EECD072" w14:textId="77777777" w:rsidTr="0018109D">
        <w:trPr>
          <w:trHeight w:val="1800"/>
        </w:trPr>
        <w:tc>
          <w:tcPr>
            <w:tcW w:w="1790" w:type="dxa"/>
            <w:vMerge/>
            <w:tcBorders>
              <w:top w:val="nil"/>
              <w:left w:val="single" w:sz="8" w:space="0" w:color="auto"/>
              <w:bottom w:val="single" w:sz="8" w:space="0" w:color="000000"/>
              <w:right w:val="single" w:sz="4" w:space="0" w:color="auto"/>
            </w:tcBorders>
            <w:vAlign w:val="center"/>
            <w:hideMark/>
          </w:tcPr>
          <w:p w14:paraId="5CEC052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58E274B" w14:textId="5AB26391"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1.1.8.3 Identifikimi i ligjeve të reformës që duhet të ndryshohen për të siguruar konsol</w:t>
            </w:r>
            <w:r w:rsidR="00A26C45" w:rsidRPr="007440A2">
              <w:rPr>
                <w:rFonts w:ascii="Times New Roman" w:eastAsia="Times New Roman" w:hAnsi="Times New Roman" w:cs="Times New Roman"/>
                <w:sz w:val="20"/>
                <w:szCs w:val="20"/>
              </w:rPr>
              <w:t xml:space="preserve">idimin e procesit të reformës, </w:t>
            </w:r>
            <w:r w:rsidRPr="007440A2">
              <w:rPr>
                <w:rFonts w:ascii="Times New Roman" w:eastAsia="Times New Roman" w:hAnsi="Times New Roman" w:cs="Times New Roman"/>
                <w:sz w:val="20"/>
                <w:szCs w:val="20"/>
              </w:rPr>
              <w:t>për garantimin e pavarësisë dhe paanshmërisë së gjyqtarëve, duke rritur integritetin e tyre dhe besimin e publikut në gjyqësor.</w:t>
            </w:r>
          </w:p>
        </w:tc>
        <w:tc>
          <w:tcPr>
            <w:tcW w:w="1890" w:type="dxa"/>
            <w:tcBorders>
              <w:top w:val="nil"/>
              <w:left w:val="nil"/>
              <w:bottom w:val="single" w:sz="4" w:space="0" w:color="auto"/>
              <w:right w:val="single" w:sz="4" w:space="0" w:color="auto"/>
            </w:tcBorders>
            <w:shd w:val="clear" w:color="auto" w:fill="auto"/>
            <w:vAlign w:val="center"/>
            <w:hideMark/>
          </w:tcPr>
          <w:p w14:paraId="198653B2" w14:textId="46549161" w:rsidR="0018109D" w:rsidRPr="007440A2" w:rsidRDefault="001B1A4D" w:rsidP="0018109D">
            <w:pPr>
              <w:spacing w:after="0" w:line="240" w:lineRule="auto"/>
              <w:jc w:val="center"/>
              <w:rPr>
                <w:rFonts w:ascii="Times New Roman" w:eastAsia="Times New Roman" w:hAnsi="Times New Roman" w:cs="Times New Roman"/>
                <w:sz w:val="20"/>
                <w:szCs w:val="20"/>
              </w:rPr>
            </w:pPr>
            <w:r w:rsidRPr="001B1A4D">
              <w:rPr>
                <w:rFonts w:ascii="Times New Roman" w:eastAsia="Times New Roman" w:hAnsi="Times New Roman" w:cs="Times New Roman"/>
                <w:sz w:val="20"/>
                <w:szCs w:val="20"/>
              </w:rPr>
              <w:t>Institucionet e sistemit të drejtësisë</w:t>
            </w:r>
            <w:r>
              <w:rPr>
                <w:rFonts w:ascii="Times New Roman" w:eastAsia="Times New Roman" w:hAnsi="Times New Roman" w:cs="Times New Roman"/>
                <w:sz w:val="20"/>
                <w:szCs w:val="20"/>
              </w:rPr>
              <w:t>,</w:t>
            </w:r>
            <w:r w:rsidRPr="001B1A4D">
              <w:rPr>
                <w:rFonts w:ascii="Times New Roman" w:eastAsia="Times New Roman" w:hAnsi="Times New Roman" w:cs="Times New Roman"/>
                <w:sz w:val="20"/>
                <w:szCs w:val="20"/>
              </w:rPr>
              <w:t xml:space="preserve"> MD</w:t>
            </w:r>
          </w:p>
        </w:tc>
        <w:tc>
          <w:tcPr>
            <w:tcW w:w="1620" w:type="dxa"/>
            <w:tcBorders>
              <w:top w:val="nil"/>
              <w:left w:val="nil"/>
              <w:bottom w:val="single" w:sz="4" w:space="0" w:color="auto"/>
              <w:right w:val="nil"/>
            </w:tcBorders>
            <w:shd w:val="clear" w:color="auto" w:fill="auto"/>
            <w:vAlign w:val="center"/>
            <w:hideMark/>
          </w:tcPr>
          <w:p w14:paraId="5145994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7615E27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409D55A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5353AD4" w14:textId="77777777" w:rsidTr="0018109D">
        <w:trPr>
          <w:trHeight w:val="732"/>
        </w:trPr>
        <w:tc>
          <w:tcPr>
            <w:tcW w:w="1790" w:type="dxa"/>
            <w:vMerge/>
            <w:tcBorders>
              <w:top w:val="nil"/>
              <w:left w:val="single" w:sz="8" w:space="0" w:color="auto"/>
              <w:bottom w:val="single" w:sz="8" w:space="0" w:color="000000"/>
              <w:right w:val="single" w:sz="4" w:space="0" w:color="auto"/>
            </w:tcBorders>
            <w:vAlign w:val="center"/>
            <w:hideMark/>
          </w:tcPr>
          <w:p w14:paraId="0E05964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7622AB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1.1.8.4 Hartimi i propozimeve për amendamentet e ligjit:</w:t>
            </w:r>
          </w:p>
        </w:tc>
        <w:tc>
          <w:tcPr>
            <w:tcW w:w="1890" w:type="dxa"/>
            <w:tcBorders>
              <w:top w:val="nil"/>
              <w:left w:val="nil"/>
              <w:bottom w:val="single" w:sz="4" w:space="0" w:color="auto"/>
              <w:right w:val="single" w:sz="4" w:space="0" w:color="auto"/>
            </w:tcBorders>
            <w:shd w:val="clear" w:color="auto" w:fill="auto"/>
            <w:vAlign w:val="center"/>
            <w:hideMark/>
          </w:tcPr>
          <w:p w14:paraId="5C0E3015" w14:textId="0F6B4D44" w:rsidR="0018109D" w:rsidRPr="007440A2" w:rsidRDefault="001B1A4D" w:rsidP="0018109D">
            <w:pPr>
              <w:spacing w:after="0" w:line="240" w:lineRule="auto"/>
              <w:jc w:val="center"/>
              <w:rPr>
                <w:rFonts w:ascii="Times New Roman" w:eastAsia="Times New Roman" w:hAnsi="Times New Roman" w:cs="Times New Roman"/>
                <w:sz w:val="20"/>
                <w:szCs w:val="20"/>
              </w:rPr>
            </w:pPr>
            <w:r w:rsidRPr="001B1A4D">
              <w:rPr>
                <w:rFonts w:ascii="Times New Roman" w:eastAsia="Times New Roman" w:hAnsi="Times New Roman" w:cs="Times New Roman"/>
                <w:sz w:val="20"/>
                <w:szCs w:val="20"/>
              </w:rPr>
              <w:t>Institucionet e sistemit të drejtësisë, MD, Kuvendi</w:t>
            </w:r>
          </w:p>
        </w:tc>
        <w:tc>
          <w:tcPr>
            <w:tcW w:w="1620" w:type="dxa"/>
            <w:tcBorders>
              <w:top w:val="nil"/>
              <w:left w:val="nil"/>
              <w:bottom w:val="single" w:sz="4" w:space="0" w:color="auto"/>
              <w:right w:val="nil"/>
            </w:tcBorders>
            <w:shd w:val="clear" w:color="auto" w:fill="auto"/>
            <w:vAlign w:val="center"/>
            <w:hideMark/>
          </w:tcPr>
          <w:p w14:paraId="275781E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631F407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40F86B3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0E67291" w14:textId="77777777" w:rsidTr="0018109D">
        <w:trPr>
          <w:trHeight w:val="1800"/>
        </w:trPr>
        <w:tc>
          <w:tcPr>
            <w:tcW w:w="1790" w:type="dxa"/>
            <w:vMerge/>
            <w:tcBorders>
              <w:top w:val="nil"/>
              <w:left w:val="single" w:sz="8" w:space="0" w:color="auto"/>
              <w:bottom w:val="single" w:sz="8" w:space="0" w:color="000000"/>
              <w:right w:val="single" w:sz="4" w:space="0" w:color="auto"/>
            </w:tcBorders>
            <w:vAlign w:val="center"/>
            <w:hideMark/>
          </w:tcPr>
          <w:p w14:paraId="361E8C7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CFE921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1.1.8.5 Sigurimi i amendamenteve të propozuara dhe amendamenteve të miratuara të ligjeve të reformës forcon më tej parimet e reformës në drejtësi të vitit 2016.</w:t>
            </w:r>
          </w:p>
        </w:tc>
        <w:tc>
          <w:tcPr>
            <w:tcW w:w="1890" w:type="dxa"/>
            <w:tcBorders>
              <w:top w:val="nil"/>
              <w:left w:val="nil"/>
              <w:bottom w:val="single" w:sz="4" w:space="0" w:color="auto"/>
              <w:right w:val="single" w:sz="4" w:space="0" w:color="auto"/>
            </w:tcBorders>
            <w:shd w:val="clear" w:color="auto" w:fill="auto"/>
            <w:vAlign w:val="center"/>
            <w:hideMark/>
          </w:tcPr>
          <w:p w14:paraId="5D3710F6" w14:textId="032ACF5D" w:rsidR="0018109D" w:rsidRPr="007440A2" w:rsidRDefault="001B1A4D" w:rsidP="0018109D">
            <w:pPr>
              <w:spacing w:after="0" w:line="240" w:lineRule="auto"/>
              <w:jc w:val="center"/>
              <w:rPr>
                <w:rFonts w:ascii="Times New Roman" w:eastAsia="Times New Roman" w:hAnsi="Times New Roman" w:cs="Times New Roman"/>
                <w:sz w:val="20"/>
                <w:szCs w:val="20"/>
              </w:rPr>
            </w:pPr>
            <w:r w:rsidRPr="001B1A4D">
              <w:rPr>
                <w:rFonts w:ascii="Times New Roman" w:eastAsia="Times New Roman" w:hAnsi="Times New Roman" w:cs="Times New Roman"/>
                <w:sz w:val="20"/>
                <w:szCs w:val="20"/>
              </w:rPr>
              <w:t>Institucionet e sistemit të drejtësisë, MD, Kuvendi</w:t>
            </w:r>
          </w:p>
        </w:tc>
        <w:tc>
          <w:tcPr>
            <w:tcW w:w="1620" w:type="dxa"/>
            <w:tcBorders>
              <w:top w:val="nil"/>
              <w:left w:val="nil"/>
              <w:bottom w:val="single" w:sz="4" w:space="0" w:color="auto"/>
              <w:right w:val="nil"/>
            </w:tcBorders>
            <w:shd w:val="clear" w:color="auto" w:fill="auto"/>
            <w:vAlign w:val="center"/>
            <w:hideMark/>
          </w:tcPr>
          <w:p w14:paraId="2492855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2411F12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5F5D7F3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9885D6C" w14:textId="77777777" w:rsidTr="0018109D">
        <w:trPr>
          <w:trHeight w:val="1800"/>
        </w:trPr>
        <w:tc>
          <w:tcPr>
            <w:tcW w:w="1790" w:type="dxa"/>
            <w:vMerge/>
            <w:tcBorders>
              <w:top w:val="nil"/>
              <w:left w:val="single" w:sz="8" w:space="0" w:color="auto"/>
              <w:bottom w:val="single" w:sz="8" w:space="0" w:color="000000"/>
              <w:right w:val="single" w:sz="4" w:space="0" w:color="auto"/>
            </w:tcBorders>
            <w:vAlign w:val="center"/>
            <w:hideMark/>
          </w:tcPr>
          <w:p w14:paraId="43C5FBB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D57846A" w14:textId="2C593A02"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1.1.8.6 Sigurimi i harmonizimit të ndryshimeve të ligjeve të reformës në drejtësi me </w:t>
            </w:r>
            <w:r w:rsidRPr="007440A2">
              <w:rPr>
                <w:rFonts w:ascii="Times New Roman" w:eastAsia="Times New Roman" w:hAnsi="Times New Roman" w:cs="Times New Roman"/>
                <w:i/>
                <w:iCs/>
                <w:sz w:val="20"/>
                <w:szCs w:val="20"/>
              </w:rPr>
              <w:t>acquis</w:t>
            </w:r>
            <w:r w:rsidRPr="007440A2">
              <w:rPr>
                <w:rFonts w:ascii="Times New Roman" w:eastAsia="Times New Roman" w:hAnsi="Times New Roman" w:cs="Times New Roman"/>
                <w:sz w:val="20"/>
                <w:szCs w:val="20"/>
              </w:rPr>
              <w:t xml:space="preserve"> të BE-së nëpërmjet analizave krahasuese të amendamenteve të propozuara dhe acquis përkatëse të BE-së </w:t>
            </w:r>
          </w:p>
        </w:tc>
        <w:tc>
          <w:tcPr>
            <w:tcW w:w="1890" w:type="dxa"/>
            <w:tcBorders>
              <w:top w:val="nil"/>
              <w:left w:val="nil"/>
              <w:bottom w:val="single" w:sz="4" w:space="0" w:color="auto"/>
              <w:right w:val="single" w:sz="4" w:space="0" w:color="auto"/>
            </w:tcBorders>
            <w:shd w:val="clear" w:color="auto" w:fill="auto"/>
            <w:vAlign w:val="center"/>
            <w:hideMark/>
          </w:tcPr>
          <w:p w14:paraId="417F888F" w14:textId="135ACAB6" w:rsidR="0018109D" w:rsidRPr="007440A2" w:rsidRDefault="001B1A4D" w:rsidP="0018109D">
            <w:pPr>
              <w:spacing w:after="0" w:line="240" w:lineRule="auto"/>
              <w:jc w:val="center"/>
              <w:rPr>
                <w:rFonts w:ascii="Times New Roman" w:eastAsia="Times New Roman" w:hAnsi="Times New Roman" w:cs="Times New Roman"/>
                <w:sz w:val="20"/>
                <w:szCs w:val="20"/>
              </w:rPr>
            </w:pPr>
            <w:r w:rsidRPr="001B1A4D">
              <w:rPr>
                <w:rFonts w:ascii="Times New Roman" w:eastAsia="Times New Roman" w:hAnsi="Times New Roman" w:cs="Times New Roman"/>
                <w:sz w:val="20"/>
                <w:szCs w:val="20"/>
              </w:rPr>
              <w:t>Institucionet e sistemit të drejtësisë, MD, Kuvendi</w:t>
            </w:r>
          </w:p>
        </w:tc>
        <w:tc>
          <w:tcPr>
            <w:tcW w:w="1620" w:type="dxa"/>
            <w:tcBorders>
              <w:top w:val="nil"/>
              <w:left w:val="nil"/>
              <w:bottom w:val="single" w:sz="4" w:space="0" w:color="auto"/>
              <w:right w:val="nil"/>
            </w:tcBorders>
            <w:shd w:val="clear" w:color="auto" w:fill="auto"/>
            <w:vAlign w:val="center"/>
            <w:hideMark/>
          </w:tcPr>
          <w:p w14:paraId="54A6BCA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1BA113D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0D81D9A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A4DEFBE" w14:textId="77777777" w:rsidTr="0018109D">
        <w:trPr>
          <w:trHeight w:val="828"/>
        </w:trPr>
        <w:tc>
          <w:tcPr>
            <w:tcW w:w="1790" w:type="dxa"/>
            <w:vMerge/>
            <w:tcBorders>
              <w:top w:val="nil"/>
              <w:left w:val="single" w:sz="8" w:space="0" w:color="auto"/>
              <w:bottom w:val="single" w:sz="8" w:space="0" w:color="000000"/>
              <w:right w:val="single" w:sz="4" w:space="0" w:color="auto"/>
            </w:tcBorders>
            <w:vAlign w:val="center"/>
            <w:hideMark/>
          </w:tcPr>
          <w:p w14:paraId="0F74CC1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EC5FEEC" w14:textId="15FD2AA2"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1.1.8.7 </w:t>
            </w:r>
            <w:r w:rsidR="001B1A4D" w:rsidRPr="001B1A4D">
              <w:rPr>
                <w:rFonts w:ascii="Times New Roman" w:eastAsia="Times New Roman" w:hAnsi="Times New Roman" w:cs="Times New Roman"/>
                <w:sz w:val="20"/>
                <w:szCs w:val="20"/>
              </w:rPr>
              <w:t>Konsultime publik dhe miratimi i ndryshimeve ligjore.</w:t>
            </w:r>
          </w:p>
        </w:tc>
        <w:tc>
          <w:tcPr>
            <w:tcW w:w="1890" w:type="dxa"/>
            <w:tcBorders>
              <w:top w:val="nil"/>
              <w:left w:val="nil"/>
              <w:bottom w:val="single" w:sz="4" w:space="0" w:color="auto"/>
              <w:right w:val="single" w:sz="4" w:space="0" w:color="auto"/>
            </w:tcBorders>
            <w:shd w:val="clear" w:color="auto" w:fill="auto"/>
            <w:vAlign w:val="center"/>
            <w:hideMark/>
          </w:tcPr>
          <w:p w14:paraId="5CD16D8A" w14:textId="075634A2" w:rsidR="0018109D" w:rsidRPr="007440A2" w:rsidRDefault="001B1A4D" w:rsidP="0018109D">
            <w:pPr>
              <w:spacing w:after="0" w:line="240" w:lineRule="auto"/>
              <w:jc w:val="center"/>
              <w:rPr>
                <w:rFonts w:ascii="Times New Roman" w:eastAsia="Times New Roman" w:hAnsi="Times New Roman" w:cs="Times New Roman"/>
                <w:sz w:val="20"/>
                <w:szCs w:val="20"/>
              </w:rPr>
            </w:pPr>
            <w:r w:rsidRPr="001B1A4D">
              <w:rPr>
                <w:rFonts w:ascii="Times New Roman" w:eastAsia="Times New Roman" w:hAnsi="Times New Roman" w:cs="Times New Roman"/>
                <w:sz w:val="20"/>
                <w:szCs w:val="20"/>
              </w:rPr>
              <w:t>Institucionet e sistemit të drejtësisë, MD, Kuvendi</w:t>
            </w:r>
          </w:p>
        </w:tc>
        <w:tc>
          <w:tcPr>
            <w:tcW w:w="1620" w:type="dxa"/>
            <w:tcBorders>
              <w:top w:val="nil"/>
              <w:left w:val="nil"/>
              <w:bottom w:val="single" w:sz="4" w:space="0" w:color="auto"/>
              <w:right w:val="nil"/>
            </w:tcBorders>
            <w:shd w:val="clear" w:color="auto" w:fill="auto"/>
            <w:vAlign w:val="center"/>
            <w:hideMark/>
          </w:tcPr>
          <w:p w14:paraId="69641DB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40D627B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72BD7C1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E269CDB" w14:textId="77777777" w:rsidTr="0018109D">
        <w:trPr>
          <w:trHeight w:val="1164"/>
        </w:trPr>
        <w:tc>
          <w:tcPr>
            <w:tcW w:w="1790" w:type="dxa"/>
            <w:vMerge/>
            <w:tcBorders>
              <w:top w:val="nil"/>
              <w:left w:val="single" w:sz="8" w:space="0" w:color="auto"/>
              <w:bottom w:val="single" w:sz="8" w:space="0" w:color="000000"/>
              <w:right w:val="single" w:sz="4" w:space="0" w:color="auto"/>
            </w:tcBorders>
            <w:vAlign w:val="center"/>
            <w:hideMark/>
          </w:tcPr>
          <w:p w14:paraId="42F19DF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A46CF12" w14:textId="7A2BC79C"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1.1.8.</w:t>
            </w:r>
            <w:r w:rsidR="008A7A14">
              <w:rPr>
                <w:rFonts w:ascii="Times New Roman" w:eastAsia="Times New Roman" w:hAnsi="Times New Roman" w:cs="Times New Roman"/>
                <w:sz w:val="20"/>
                <w:szCs w:val="20"/>
              </w:rPr>
              <w:t>8</w:t>
            </w:r>
            <w:r w:rsidRPr="007440A2">
              <w:rPr>
                <w:rFonts w:ascii="Times New Roman" w:eastAsia="Times New Roman" w:hAnsi="Times New Roman" w:cs="Times New Roman"/>
                <w:sz w:val="20"/>
                <w:szCs w:val="20"/>
              </w:rPr>
              <w:t xml:space="preserve"> </w:t>
            </w:r>
            <w:r w:rsidR="000A3232" w:rsidRPr="000A3232">
              <w:rPr>
                <w:rFonts w:ascii="Times New Roman" w:eastAsia="Times New Roman" w:hAnsi="Times New Roman" w:cs="Times New Roman"/>
                <w:sz w:val="20"/>
                <w:szCs w:val="20"/>
              </w:rPr>
              <w:t>Hartimi i analizes mbi nevojen e ndryshimeve ligjore me qellim rishikimin  e efikasitetit,  rritjen e besimit te publikut dhe  forcimin e transparences për profesionet e lira</w:t>
            </w:r>
            <w:r w:rsidR="000A3232">
              <w:rPr>
                <w:rFonts w:ascii="Times New Roman" w:eastAsia="Times New Roman" w:hAnsi="Times New Roman" w:cs="Times New Roman"/>
                <w:sz w:val="20"/>
                <w:szCs w:val="20"/>
              </w:rPr>
              <w:t>.</w:t>
            </w:r>
          </w:p>
        </w:tc>
        <w:tc>
          <w:tcPr>
            <w:tcW w:w="1890" w:type="dxa"/>
            <w:tcBorders>
              <w:top w:val="nil"/>
              <w:left w:val="nil"/>
              <w:bottom w:val="single" w:sz="4" w:space="0" w:color="auto"/>
              <w:right w:val="single" w:sz="4" w:space="0" w:color="auto"/>
            </w:tcBorders>
            <w:shd w:val="clear" w:color="auto" w:fill="auto"/>
            <w:vAlign w:val="center"/>
            <w:hideMark/>
          </w:tcPr>
          <w:p w14:paraId="1982CF6A" w14:textId="11B14A4A" w:rsidR="0018109D" w:rsidRPr="007440A2" w:rsidRDefault="000A3232" w:rsidP="0018109D">
            <w:pPr>
              <w:spacing w:after="0" w:line="240" w:lineRule="auto"/>
              <w:jc w:val="center"/>
              <w:rPr>
                <w:rFonts w:ascii="Times New Roman" w:eastAsia="Times New Roman" w:hAnsi="Times New Roman" w:cs="Times New Roman"/>
                <w:sz w:val="20"/>
                <w:szCs w:val="20"/>
              </w:rPr>
            </w:pPr>
            <w:r w:rsidRPr="000A3232">
              <w:rPr>
                <w:rFonts w:ascii="Times New Roman" w:eastAsia="Times New Roman" w:hAnsi="Times New Roman" w:cs="Times New Roman"/>
                <w:sz w:val="20"/>
                <w:szCs w:val="20"/>
              </w:rPr>
              <w:t>DHKN, DHKPGJP, DHKND, MD, DPP</w:t>
            </w:r>
          </w:p>
        </w:tc>
        <w:tc>
          <w:tcPr>
            <w:tcW w:w="1620" w:type="dxa"/>
            <w:tcBorders>
              <w:top w:val="nil"/>
              <w:left w:val="nil"/>
              <w:bottom w:val="single" w:sz="4" w:space="0" w:color="auto"/>
              <w:right w:val="nil"/>
            </w:tcBorders>
            <w:shd w:val="clear" w:color="auto" w:fill="auto"/>
            <w:vAlign w:val="center"/>
            <w:hideMark/>
          </w:tcPr>
          <w:p w14:paraId="4A5BE23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4202F1A3" w14:textId="7BE8B08D"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w:t>
            </w:r>
            <w:r w:rsidR="000A3232">
              <w:rPr>
                <w:rFonts w:ascii="Times New Roman" w:eastAsia="Times New Roman" w:hAnsi="Times New Roman" w:cs="Times New Roman"/>
                <w:sz w:val="20"/>
                <w:szCs w:val="20"/>
              </w:rPr>
              <w:t>6</w:t>
            </w:r>
          </w:p>
        </w:tc>
        <w:tc>
          <w:tcPr>
            <w:tcW w:w="1260" w:type="dxa"/>
            <w:tcBorders>
              <w:top w:val="nil"/>
              <w:left w:val="nil"/>
              <w:bottom w:val="single" w:sz="4" w:space="0" w:color="auto"/>
              <w:right w:val="single" w:sz="8" w:space="0" w:color="auto"/>
            </w:tcBorders>
            <w:shd w:val="clear" w:color="000000" w:fill="DDEBF7"/>
            <w:vAlign w:val="center"/>
            <w:hideMark/>
          </w:tcPr>
          <w:p w14:paraId="05FCCBE4" w14:textId="6AE8D5E5"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w:t>
            </w:r>
            <w:r w:rsidR="000A3232">
              <w:rPr>
                <w:rFonts w:ascii="Times New Roman" w:eastAsia="Times New Roman" w:hAnsi="Times New Roman" w:cs="Times New Roman"/>
                <w:sz w:val="20"/>
                <w:szCs w:val="20"/>
              </w:rPr>
              <w:t>6</w:t>
            </w:r>
          </w:p>
        </w:tc>
      </w:tr>
      <w:tr w:rsidR="005D79F1" w:rsidRPr="007440A2" w14:paraId="6C5651E7" w14:textId="77777777" w:rsidTr="0018109D">
        <w:trPr>
          <w:trHeight w:val="1164"/>
        </w:trPr>
        <w:tc>
          <w:tcPr>
            <w:tcW w:w="1790" w:type="dxa"/>
            <w:vMerge/>
            <w:tcBorders>
              <w:top w:val="nil"/>
              <w:left w:val="single" w:sz="8" w:space="0" w:color="auto"/>
              <w:bottom w:val="single" w:sz="8" w:space="0" w:color="000000"/>
              <w:right w:val="single" w:sz="4" w:space="0" w:color="auto"/>
            </w:tcBorders>
            <w:vAlign w:val="center"/>
          </w:tcPr>
          <w:p w14:paraId="5501A11B" w14:textId="77777777" w:rsidR="005D79F1" w:rsidRPr="007440A2" w:rsidRDefault="005D79F1"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tcPr>
          <w:p w14:paraId="3A8E5D1B" w14:textId="772F4E56" w:rsidR="005D79F1" w:rsidRPr="007440A2" w:rsidRDefault="008A7A14" w:rsidP="0018109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1.1.8.9 </w:t>
            </w:r>
            <w:r w:rsidR="005D79F1" w:rsidRPr="005D79F1">
              <w:rPr>
                <w:rFonts w:ascii="Times New Roman" w:eastAsia="Times New Roman" w:hAnsi="Times New Roman" w:cs="Times New Roman"/>
                <w:sz w:val="20"/>
                <w:szCs w:val="20"/>
              </w:rPr>
              <w:t>Hartimi i projektligjeve për ndryshimet përkatëse</w:t>
            </w:r>
          </w:p>
        </w:tc>
        <w:tc>
          <w:tcPr>
            <w:tcW w:w="1890" w:type="dxa"/>
            <w:tcBorders>
              <w:top w:val="nil"/>
              <w:left w:val="nil"/>
              <w:bottom w:val="single" w:sz="4" w:space="0" w:color="auto"/>
              <w:right w:val="single" w:sz="4" w:space="0" w:color="auto"/>
            </w:tcBorders>
            <w:shd w:val="clear" w:color="auto" w:fill="auto"/>
            <w:vAlign w:val="center"/>
          </w:tcPr>
          <w:p w14:paraId="0296958D" w14:textId="10E50B11" w:rsidR="005D79F1" w:rsidRPr="000A3232" w:rsidRDefault="0047597E" w:rsidP="0018109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MD</w:t>
            </w:r>
          </w:p>
        </w:tc>
        <w:tc>
          <w:tcPr>
            <w:tcW w:w="1620" w:type="dxa"/>
            <w:tcBorders>
              <w:top w:val="nil"/>
              <w:left w:val="nil"/>
              <w:bottom w:val="single" w:sz="4" w:space="0" w:color="auto"/>
              <w:right w:val="nil"/>
            </w:tcBorders>
            <w:shd w:val="clear" w:color="auto" w:fill="auto"/>
            <w:vAlign w:val="center"/>
          </w:tcPr>
          <w:p w14:paraId="65F3F34C" w14:textId="4B7C2A30" w:rsidR="005D79F1" w:rsidRPr="007440A2" w:rsidRDefault="0047597E" w:rsidP="0018109D">
            <w:pPr>
              <w:spacing w:after="0" w:line="240" w:lineRule="auto"/>
              <w:jc w:val="center"/>
              <w:rPr>
                <w:rFonts w:ascii="Times New Roman" w:eastAsia="Times New Roman" w:hAnsi="Times New Roman" w:cs="Times New Roman"/>
                <w:sz w:val="20"/>
                <w:szCs w:val="20"/>
              </w:rPr>
            </w:pPr>
            <w:r w:rsidRPr="0047597E">
              <w:rPr>
                <w:rFonts w:ascii="Times New Roman" w:eastAsia="Times New Roman" w:hAnsi="Times New Roman" w:cs="Times New Roman"/>
                <w:sz w:val="20"/>
                <w:szCs w:val="20"/>
              </w:rPr>
              <w:t>DHKN, DHKPGJP, DHKND, DPP</w:t>
            </w:r>
          </w:p>
        </w:tc>
        <w:tc>
          <w:tcPr>
            <w:tcW w:w="1710" w:type="dxa"/>
            <w:tcBorders>
              <w:top w:val="nil"/>
              <w:left w:val="single" w:sz="4" w:space="0" w:color="auto"/>
              <w:bottom w:val="single" w:sz="4" w:space="0" w:color="auto"/>
              <w:right w:val="single" w:sz="4" w:space="0" w:color="auto"/>
            </w:tcBorders>
            <w:shd w:val="clear" w:color="000000" w:fill="DDEBF7"/>
            <w:vAlign w:val="center"/>
          </w:tcPr>
          <w:p w14:paraId="5AC9A9D7" w14:textId="48C29244" w:rsidR="005D79F1" w:rsidRPr="007440A2" w:rsidRDefault="001B1A4D" w:rsidP="0018109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tcPr>
          <w:p w14:paraId="058577EC" w14:textId="64C1BA11" w:rsidR="005D79F1" w:rsidRPr="007440A2" w:rsidRDefault="001B1A4D" w:rsidP="0018109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2026</w:t>
            </w:r>
          </w:p>
        </w:tc>
      </w:tr>
      <w:tr w:rsidR="007440A2" w:rsidRPr="007440A2" w14:paraId="1EB611F4" w14:textId="77777777" w:rsidTr="0018109D">
        <w:trPr>
          <w:trHeight w:val="840"/>
        </w:trPr>
        <w:tc>
          <w:tcPr>
            <w:tcW w:w="1790" w:type="dxa"/>
            <w:vMerge/>
            <w:tcBorders>
              <w:top w:val="nil"/>
              <w:left w:val="single" w:sz="8" w:space="0" w:color="auto"/>
              <w:bottom w:val="single" w:sz="8" w:space="0" w:color="000000"/>
              <w:right w:val="single" w:sz="4" w:space="0" w:color="auto"/>
            </w:tcBorders>
            <w:vAlign w:val="center"/>
            <w:hideMark/>
          </w:tcPr>
          <w:p w14:paraId="3E34636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AD58ED3" w14:textId="27CF7B41"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1.1.8.1</w:t>
            </w:r>
            <w:r w:rsidR="008A7A14">
              <w:rPr>
                <w:rFonts w:ascii="Times New Roman" w:eastAsia="Times New Roman" w:hAnsi="Times New Roman" w:cs="Times New Roman"/>
                <w:sz w:val="20"/>
                <w:szCs w:val="20"/>
              </w:rPr>
              <w:t>0</w:t>
            </w:r>
            <w:r w:rsidRPr="007440A2">
              <w:rPr>
                <w:rFonts w:ascii="Times New Roman" w:eastAsia="Times New Roman" w:hAnsi="Times New Roman" w:cs="Times New Roman"/>
                <w:sz w:val="20"/>
                <w:szCs w:val="20"/>
              </w:rPr>
              <w:t xml:space="preserve"> </w:t>
            </w:r>
            <w:r w:rsidR="008A7A14" w:rsidRPr="008A7A14">
              <w:rPr>
                <w:rFonts w:ascii="Times New Roman" w:eastAsia="Times New Roman" w:hAnsi="Times New Roman" w:cs="Times New Roman"/>
                <w:sz w:val="20"/>
                <w:szCs w:val="20"/>
              </w:rPr>
              <w:t xml:space="preserve">Konsultimi dhe organizimi i tryezave me grupet e interesit   </w:t>
            </w:r>
          </w:p>
        </w:tc>
        <w:tc>
          <w:tcPr>
            <w:tcW w:w="1890" w:type="dxa"/>
            <w:tcBorders>
              <w:top w:val="nil"/>
              <w:left w:val="nil"/>
              <w:bottom w:val="single" w:sz="4" w:space="0" w:color="auto"/>
              <w:right w:val="single" w:sz="4" w:space="0" w:color="auto"/>
            </w:tcBorders>
            <w:shd w:val="clear" w:color="auto" w:fill="auto"/>
            <w:vAlign w:val="center"/>
            <w:hideMark/>
          </w:tcPr>
          <w:p w14:paraId="6DD527E4" w14:textId="6981CEA5" w:rsidR="0018109D" w:rsidRPr="0047597E" w:rsidRDefault="0047597E" w:rsidP="0018109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MD</w:t>
            </w:r>
          </w:p>
        </w:tc>
        <w:tc>
          <w:tcPr>
            <w:tcW w:w="1620" w:type="dxa"/>
            <w:tcBorders>
              <w:top w:val="nil"/>
              <w:left w:val="nil"/>
              <w:bottom w:val="single" w:sz="4" w:space="0" w:color="auto"/>
              <w:right w:val="nil"/>
            </w:tcBorders>
            <w:shd w:val="clear" w:color="auto" w:fill="auto"/>
            <w:vAlign w:val="center"/>
            <w:hideMark/>
          </w:tcPr>
          <w:p w14:paraId="25683DC1" w14:textId="72FC1345" w:rsidR="0018109D" w:rsidRPr="007440A2" w:rsidRDefault="0047597E" w:rsidP="0018109D">
            <w:pPr>
              <w:spacing w:after="0" w:line="240" w:lineRule="auto"/>
              <w:jc w:val="center"/>
              <w:rPr>
                <w:rFonts w:ascii="Times New Roman" w:eastAsia="Times New Roman" w:hAnsi="Times New Roman" w:cs="Times New Roman"/>
                <w:i/>
                <w:iCs/>
                <w:sz w:val="20"/>
                <w:szCs w:val="20"/>
              </w:rPr>
            </w:pPr>
            <w:r w:rsidRPr="0047597E">
              <w:rPr>
                <w:rFonts w:ascii="Times New Roman" w:eastAsia="Times New Roman" w:hAnsi="Times New Roman" w:cs="Times New Roman"/>
                <w:sz w:val="20"/>
                <w:szCs w:val="20"/>
              </w:rPr>
              <w:t>DHKN, DHKPGJP, DHKND, DPP</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2B15EC8E" w14:textId="5F2B065F"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w:t>
            </w:r>
            <w:r w:rsidR="001B1A4D">
              <w:rPr>
                <w:rFonts w:ascii="Times New Roman" w:eastAsia="Times New Roman" w:hAnsi="Times New Roman" w:cs="Times New Roman"/>
                <w:sz w:val="20"/>
                <w:szCs w:val="20"/>
              </w:rPr>
              <w:t>6</w:t>
            </w:r>
          </w:p>
        </w:tc>
        <w:tc>
          <w:tcPr>
            <w:tcW w:w="1260" w:type="dxa"/>
            <w:tcBorders>
              <w:top w:val="nil"/>
              <w:left w:val="nil"/>
              <w:bottom w:val="single" w:sz="4" w:space="0" w:color="auto"/>
              <w:right w:val="single" w:sz="8" w:space="0" w:color="auto"/>
            </w:tcBorders>
            <w:shd w:val="clear" w:color="000000" w:fill="DDEBF7"/>
            <w:vAlign w:val="center"/>
            <w:hideMark/>
          </w:tcPr>
          <w:p w14:paraId="0320DC74" w14:textId="7328374D"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w:t>
            </w:r>
            <w:r w:rsidR="001B1A4D">
              <w:rPr>
                <w:rFonts w:ascii="Times New Roman" w:eastAsia="Times New Roman" w:hAnsi="Times New Roman" w:cs="Times New Roman"/>
                <w:sz w:val="20"/>
                <w:szCs w:val="20"/>
              </w:rPr>
              <w:t>6</w:t>
            </w:r>
          </w:p>
        </w:tc>
      </w:tr>
      <w:tr w:rsidR="007440A2" w:rsidRPr="007440A2" w14:paraId="64598EE1" w14:textId="77777777" w:rsidTr="0018109D">
        <w:trPr>
          <w:trHeight w:val="1800"/>
        </w:trPr>
        <w:tc>
          <w:tcPr>
            <w:tcW w:w="1790" w:type="dxa"/>
            <w:vMerge/>
            <w:tcBorders>
              <w:top w:val="nil"/>
              <w:left w:val="single" w:sz="8" w:space="0" w:color="auto"/>
              <w:bottom w:val="single" w:sz="8" w:space="0" w:color="000000"/>
              <w:right w:val="single" w:sz="4" w:space="0" w:color="auto"/>
            </w:tcBorders>
            <w:vAlign w:val="center"/>
            <w:hideMark/>
          </w:tcPr>
          <w:p w14:paraId="49DB7FE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4C5BB1A" w14:textId="1AD3A4DC"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1.1.8.1</w:t>
            </w:r>
            <w:r w:rsidR="008A7A14">
              <w:rPr>
                <w:rFonts w:ascii="Times New Roman" w:eastAsia="Times New Roman" w:hAnsi="Times New Roman" w:cs="Times New Roman"/>
                <w:sz w:val="20"/>
                <w:szCs w:val="20"/>
              </w:rPr>
              <w:t>1</w:t>
            </w:r>
            <w:r w:rsidRPr="007440A2">
              <w:rPr>
                <w:rFonts w:ascii="Times New Roman" w:eastAsia="Times New Roman" w:hAnsi="Times New Roman" w:cs="Times New Roman"/>
                <w:sz w:val="20"/>
                <w:szCs w:val="20"/>
              </w:rPr>
              <w:t xml:space="preserve"> </w:t>
            </w:r>
            <w:r w:rsidR="008A7A14" w:rsidRPr="008A7A14">
              <w:rPr>
                <w:rFonts w:ascii="Times New Roman" w:eastAsia="Times New Roman" w:hAnsi="Times New Roman" w:cs="Times New Roman"/>
                <w:sz w:val="20"/>
                <w:szCs w:val="20"/>
              </w:rPr>
              <w:t>Miratimi i ndryshimeve ligjore</w:t>
            </w:r>
          </w:p>
        </w:tc>
        <w:tc>
          <w:tcPr>
            <w:tcW w:w="1890" w:type="dxa"/>
            <w:tcBorders>
              <w:top w:val="nil"/>
              <w:left w:val="nil"/>
              <w:bottom w:val="single" w:sz="4" w:space="0" w:color="auto"/>
              <w:right w:val="single" w:sz="4" w:space="0" w:color="auto"/>
            </w:tcBorders>
            <w:shd w:val="clear" w:color="auto" w:fill="auto"/>
            <w:vAlign w:val="center"/>
            <w:hideMark/>
          </w:tcPr>
          <w:p w14:paraId="30A77830" w14:textId="2F8C2A6A" w:rsidR="0018109D" w:rsidRPr="0047597E" w:rsidRDefault="001B1A4D" w:rsidP="0018109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Kuvendi</w:t>
            </w:r>
          </w:p>
        </w:tc>
        <w:tc>
          <w:tcPr>
            <w:tcW w:w="1620" w:type="dxa"/>
            <w:tcBorders>
              <w:top w:val="nil"/>
              <w:left w:val="nil"/>
              <w:bottom w:val="single" w:sz="4" w:space="0" w:color="auto"/>
              <w:right w:val="nil"/>
            </w:tcBorders>
            <w:shd w:val="clear" w:color="auto" w:fill="auto"/>
            <w:vAlign w:val="center"/>
            <w:hideMark/>
          </w:tcPr>
          <w:p w14:paraId="23BA9591" w14:textId="63FF1D05" w:rsidR="0018109D" w:rsidRPr="007440A2" w:rsidRDefault="0018109D" w:rsidP="0047597E">
            <w:pPr>
              <w:spacing w:after="0" w:line="240" w:lineRule="auto"/>
              <w:rPr>
                <w:rFonts w:ascii="Times New Roman" w:eastAsia="Times New Roman" w:hAnsi="Times New Roman" w:cs="Times New Roman"/>
                <w:i/>
                <w:iCs/>
                <w:sz w:val="20"/>
                <w:szCs w:val="20"/>
              </w:rPr>
            </w:pP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4808A42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0E8D78A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4709D32B" w14:textId="77777777" w:rsidTr="0018109D">
        <w:trPr>
          <w:trHeight w:val="1392"/>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4859608D"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1.1.9 . Avancimi i reformës duke përfshirë ndryshimet ligjore dhe vijueshmërinë e rezultateve pozitive të procesit të verifikimit duke forcuar rregullat për kontrollin e pasurive dhe të figurës për aktorët kryesorë të sistemit të drejtësisë.</w:t>
            </w:r>
          </w:p>
        </w:tc>
        <w:tc>
          <w:tcPr>
            <w:tcW w:w="2520" w:type="dxa"/>
            <w:tcBorders>
              <w:top w:val="nil"/>
              <w:left w:val="nil"/>
              <w:bottom w:val="single" w:sz="4" w:space="0" w:color="auto"/>
              <w:right w:val="single" w:sz="4" w:space="0" w:color="auto"/>
            </w:tcBorders>
            <w:shd w:val="clear" w:color="auto" w:fill="auto"/>
            <w:vAlign w:val="center"/>
            <w:hideMark/>
          </w:tcPr>
          <w:p w14:paraId="27D9E9D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1.1.9.1 Hartimi dhe botimi i Raportit final të vendimmarrjes dhe të veprimtarisë së Komisionit të Pavarur të Kualifikimit 2017-2024</w:t>
            </w:r>
          </w:p>
        </w:tc>
        <w:tc>
          <w:tcPr>
            <w:tcW w:w="1890" w:type="dxa"/>
            <w:tcBorders>
              <w:top w:val="nil"/>
              <w:left w:val="nil"/>
              <w:bottom w:val="single" w:sz="4" w:space="0" w:color="auto"/>
              <w:right w:val="single" w:sz="4" w:space="0" w:color="auto"/>
            </w:tcBorders>
            <w:shd w:val="clear" w:color="auto" w:fill="auto"/>
            <w:vAlign w:val="center"/>
            <w:hideMark/>
          </w:tcPr>
          <w:p w14:paraId="6DEC0D0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KPK  </w:t>
            </w:r>
          </w:p>
        </w:tc>
        <w:tc>
          <w:tcPr>
            <w:tcW w:w="1620" w:type="dxa"/>
            <w:tcBorders>
              <w:top w:val="nil"/>
              <w:left w:val="nil"/>
              <w:bottom w:val="single" w:sz="4" w:space="0" w:color="auto"/>
              <w:right w:val="single" w:sz="8" w:space="0" w:color="auto"/>
            </w:tcBorders>
            <w:shd w:val="clear" w:color="auto" w:fill="auto"/>
            <w:vAlign w:val="center"/>
            <w:hideMark/>
          </w:tcPr>
          <w:p w14:paraId="13BBD8E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287CBB0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541F123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55DE47B6" w14:textId="77777777" w:rsidTr="0018109D">
        <w:trPr>
          <w:trHeight w:val="1800"/>
        </w:trPr>
        <w:tc>
          <w:tcPr>
            <w:tcW w:w="1790" w:type="dxa"/>
            <w:vMerge/>
            <w:tcBorders>
              <w:top w:val="nil"/>
              <w:left w:val="single" w:sz="8" w:space="0" w:color="auto"/>
              <w:bottom w:val="single" w:sz="8" w:space="0" w:color="000000"/>
              <w:right w:val="single" w:sz="4" w:space="0" w:color="auto"/>
            </w:tcBorders>
            <w:vAlign w:val="center"/>
            <w:hideMark/>
          </w:tcPr>
          <w:p w14:paraId="5EF6EBA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1BAD64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1.1.9.2 Studim krahasues i Ligjit të Vetting-ut, Ligjit për Statusin, Ligjit per Institucionet e Antikorrupsionit (nr.95 2016) dhe ligjit për ILDKPKI-në,duke përfshirë aty ku është e nevojshme hartimin e propozimeve për identifikimin e dispozitave ligjore duke siguruar ne vijimësi efikasitetin e rregullave për kontrollet e pasurisë dhe të figurës së magjistratëve dhe anëtarëve të tjerë  jo-magjistratë të organeve të sistemit të drejtësisë (studim i përgatitur bashkërisht nga një grup pune: KLGJ, KLP, SPAK, BKH, ILDKPKI dhe ILD).</w:t>
            </w:r>
          </w:p>
        </w:tc>
        <w:tc>
          <w:tcPr>
            <w:tcW w:w="1890" w:type="dxa"/>
            <w:tcBorders>
              <w:top w:val="nil"/>
              <w:left w:val="nil"/>
              <w:bottom w:val="single" w:sz="4" w:space="0" w:color="auto"/>
              <w:right w:val="single" w:sz="4" w:space="0" w:color="auto"/>
            </w:tcBorders>
            <w:shd w:val="clear" w:color="auto" w:fill="auto"/>
            <w:vAlign w:val="center"/>
            <w:hideMark/>
          </w:tcPr>
          <w:p w14:paraId="37BC657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ILD, KLP, ILDKPKI, SPAK, BKH</w:t>
            </w:r>
          </w:p>
        </w:tc>
        <w:tc>
          <w:tcPr>
            <w:tcW w:w="1620" w:type="dxa"/>
            <w:tcBorders>
              <w:top w:val="nil"/>
              <w:left w:val="nil"/>
              <w:bottom w:val="single" w:sz="4" w:space="0" w:color="auto"/>
              <w:right w:val="single" w:sz="8" w:space="0" w:color="auto"/>
            </w:tcBorders>
            <w:shd w:val="clear" w:color="auto" w:fill="auto"/>
            <w:vAlign w:val="center"/>
            <w:hideMark/>
          </w:tcPr>
          <w:p w14:paraId="518DA57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Kuvendi,  MD</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42112C7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27E34BC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27CF7600" w14:textId="77777777" w:rsidTr="0018109D">
        <w:trPr>
          <w:trHeight w:val="1044"/>
        </w:trPr>
        <w:tc>
          <w:tcPr>
            <w:tcW w:w="1790" w:type="dxa"/>
            <w:vMerge/>
            <w:tcBorders>
              <w:top w:val="nil"/>
              <w:left w:val="single" w:sz="8" w:space="0" w:color="auto"/>
              <w:bottom w:val="single" w:sz="8" w:space="0" w:color="000000"/>
              <w:right w:val="single" w:sz="4" w:space="0" w:color="auto"/>
            </w:tcBorders>
            <w:vAlign w:val="center"/>
            <w:hideMark/>
          </w:tcPr>
          <w:p w14:paraId="4B72031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FED2108" w14:textId="76131832"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1.1.9.3 Hartimi i propozimeve ligjore dhe kryerja e procesit të konsultimit. </w:t>
            </w:r>
          </w:p>
        </w:tc>
        <w:tc>
          <w:tcPr>
            <w:tcW w:w="1890" w:type="dxa"/>
            <w:tcBorders>
              <w:top w:val="nil"/>
              <w:left w:val="nil"/>
              <w:bottom w:val="single" w:sz="4" w:space="0" w:color="auto"/>
              <w:right w:val="single" w:sz="4" w:space="0" w:color="auto"/>
            </w:tcBorders>
            <w:shd w:val="clear" w:color="auto" w:fill="auto"/>
            <w:vAlign w:val="center"/>
            <w:hideMark/>
          </w:tcPr>
          <w:p w14:paraId="77191907" w14:textId="5062BA40" w:rsidR="0018109D" w:rsidRPr="007440A2" w:rsidRDefault="001B1A4D" w:rsidP="0018109D">
            <w:pPr>
              <w:spacing w:after="0" w:line="240" w:lineRule="auto"/>
              <w:jc w:val="center"/>
              <w:rPr>
                <w:rFonts w:ascii="Times New Roman" w:eastAsia="Times New Roman" w:hAnsi="Times New Roman" w:cs="Times New Roman"/>
                <w:sz w:val="20"/>
                <w:szCs w:val="20"/>
              </w:rPr>
            </w:pPr>
            <w:r w:rsidRPr="001B1A4D">
              <w:rPr>
                <w:rFonts w:ascii="Times New Roman" w:eastAsia="Times New Roman" w:hAnsi="Times New Roman" w:cs="Times New Roman"/>
                <w:sz w:val="20"/>
                <w:szCs w:val="20"/>
              </w:rPr>
              <w:t>Institucionet e sistemit të drejtësisë, MD, Kuvendi</w:t>
            </w:r>
          </w:p>
        </w:tc>
        <w:tc>
          <w:tcPr>
            <w:tcW w:w="1620" w:type="dxa"/>
            <w:tcBorders>
              <w:top w:val="nil"/>
              <w:left w:val="nil"/>
              <w:bottom w:val="single" w:sz="4" w:space="0" w:color="auto"/>
              <w:right w:val="single" w:sz="8" w:space="0" w:color="auto"/>
            </w:tcBorders>
            <w:shd w:val="clear" w:color="auto" w:fill="auto"/>
            <w:vAlign w:val="center"/>
            <w:hideMark/>
          </w:tcPr>
          <w:p w14:paraId="18E21BC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354F787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44CDD77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2DA36B3D" w14:textId="77777777" w:rsidTr="0018109D">
        <w:trPr>
          <w:trHeight w:val="1008"/>
        </w:trPr>
        <w:tc>
          <w:tcPr>
            <w:tcW w:w="1790" w:type="dxa"/>
            <w:vMerge/>
            <w:tcBorders>
              <w:top w:val="nil"/>
              <w:left w:val="single" w:sz="8" w:space="0" w:color="auto"/>
              <w:bottom w:val="single" w:sz="8" w:space="0" w:color="000000"/>
              <w:right w:val="single" w:sz="4" w:space="0" w:color="auto"/>
            </w:tcBorders>
            <w:vAlign w:val="center"/>
            <w:hideMark/>
          </w:tcPr>
          <w:p w14:paraId="5CEEB75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CFB65A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1.1.9.4 Miratimi i amendamenteve nga Kuvendi. </w:t>
            </w:r>
          </w:p>
        </w:tc>
        <w:tc>
          <w:tcPr>
            <w:tcW w:w="1890" w:type="dxa"/>
            <w:tcBorders>
              <w:top w:val="nil"/>
              <w:left w:val="nil"/>
              <w:bottom w:val="single" w:sz="4" w:space="0" w:color="auto"/>
              <w:right w:val="single" w:sz="4" w:space="0" w:color="auto"/>
            </w:tcBorders>
            <w:shd w:val="clear" w:color="auto" w:fill="auto"/>
            <w:vAlign w:val="center"/>
            <w:hideMark/>
          </w:tcPr>
          <w:p w14:paraId="6378BA7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Kuvendi</w:t>
            </w:r>
          </w:p>
        </w:tc>
        <w:tc>
          <w:tcPr>
            <w:tcW w:w="1620" w:type="dxa"/>
            <w:tcBorders>
              <w:top w:val="nil"/>
              <w:left w:val="nil"/>
              <w:bottom w:val="single" w:sz="4" w:space="0" w:color="auto"/>
              <w:right w:val="single" w:sz="8" w:space="0" w:color="auto"/>
            </w:tcBorders>
            <w:shd w:val="clear" w:color="auto" w:fill="auto"/>
            <w:vAlign w:val="center"/>
            <w:hideMark/>
          </w:tcPr>
          <w:p w14:paraId="2995996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6B2A02A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45B436B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573BE017" w14:textId="77777777" w:rsidTr="0018109D">
        <w:trPr>
          <w:trHeight w:val="1272"/>
        </w:trPr>
        <w:tc>
          <w:tcPr>
            <w:tcW w:w="1790" w:type="dxa"/>
            <w:vMerge/>
            <w:tcBorders>
              <w:top w:val="nil"/>
              <w:left w:val="single" w:sz="8" w:space="0" w:color="auto"/>
              <w:bottom w:val="single" w:sz="8" w:space="0" w:color="000000"/>
              <w:right w:val="single" w:sz="4" w:space="0" w:color="auto"/>
            </w:tcBorders>
            <w:vAlign w:val="center"/>
            <w:hideMark/>
          </w:tcPr>
          <w:p w14:paraId="7155C07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01C4EBF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1.1.9.5 Vleresimi i zbatueshmerise se amendamenteve te miratuara (Raportime vleresimi per permiresimin e implementimit te amendamenteve te ligjit)</w:t>
            </w:r>
          </w:p>
        </w:tc>
        <w:tc>
          <w:tcPr>
            <w:tcW w:w="1890" w:type="dxa"/>
            <w:tcBorders>
              <w:top w:val="nil"/>
              <w:left w:val="nil"/>
              <w:bottom w:val="single" w:sz="8" w:space="0" w:color="auto"/>
              <w:right w:val="single" w:sz="4" w:space="0" w:color="auto"/>
            </w:tcBorders>
            <w:shd w:val="clear" w:color="auto" w:fill="auto"/>
            <w:vAlign w:val="center"/>
            <w:hideMark/>
          </w:tcPr>
          <w:p w14:paraId="7A9C799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ILD, KLP, ILDKPKI, SPAK, BKH</w:t>
            </w:r>
          </w:p>
        </w:tc>
        <w:tc>
          <w:tcPr>
            <w:tcW w:w="1620" w:type="dxa"/>
            <w:tcBorders>
              <w:top w:val="nil"/>
              <w:left w:val="nil"/>
              <w:bottom w:val="single" w:sz="8" w:space="0" w:color="auto"/>
              <w:right w:val="nil"/>
            </w:tcBorders>
            <w:shd w:val="clear" w:color="auto" w:fill="auto"/>
            <w:vAlign w:val="center"/>
            <w:hideMark/>
          </w:tcPr>
          <w:p w14:paraId="5FF20F3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643EB51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2028</w:t>
            </w:r>
          </w:p>
        </w:tc>
        <w:tc>
          <w:tcPr>
            <w:tcW w:w="1260" w:type="dxa"/>
            <w:tcBorders>
              <w:top w:val="nil"/>
              <w:left w:val="nil"/>
              <w:bottom w:val="single" w:sz="8" w:space="0" w:color="auto"/>
              <w:right w:val="single" w:sz="8" w:space="0" w:color="auto"/>
            </w:tcBorders>
            <w:shd w:val="clear" w:color="000000" w:fill="DDEBF7"/>
            <w:vAlign w:val="center"/>
            <w:hideMark/>
          </w:tcPr>
          <w:p w14:paraId="54B5A30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9D94959" w14:textId="77777777" w:rsidTr="0018109D">
        <w:trPr>
          <w:trHeight w:val="1044"/>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2F10B410"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1.1.10 . Kryerja e ndryshimeve ligjore për masat që sigurojnë efikasitet lidhur me kapacitetet njerëzore.</w:t>
            </w:r>
          </w:p>
        </w:tc>
        <w:tc>
          <w:tcPr>
            <w:tcW w:w="2520" w:type="dxa"/>
            <w:tcBorders>
              <w:top w:val="nil"/>
              <w:left w:val="nil"/>
              <w:bottom w:val="single" w:sz="4" w:space="0" w:color="auto"/>
              <w:right w:val="single" w:sz="4" w:space="0" w:color="auto"/>
            </w:tcBorders>
            <w:shd w:val="clear" w:color="auto" w:fill="auto"/>
            <w:vAlign w:val="center"/>
            <w:hideMark/>
          </w:tcPr>
          <w:p w14:paraId="2ED89E4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1.1.10.1 Ngritja e një Grupi Pune nga KLGJ-ja për analizimin e gjendjes aktuale të efikasitetit në drejtësi dhe sugjerimin e masave. </w:t>
            </w:r>
          </w:p>
        </w:tc>
        <w:tc>
          <w:tcPr>
            <w:tcW w:w="1890" w:type="dxa"/>
            <w:tcBorders>
              <w:top w:val="nil"/>
              <w:left w:val="nil"/>
              <w:bottom w:val="single" w:sz="4" w:space="0" w:color="auto"/>
              <w:right w:val="single" w:sz="4" w:space="0" w:color="auto"/>
            </w:tcBorders>
            <w:shd w:val="clear" w:color="auto" w:fill="auto"/>
            <w:vAlign w:val="center"/>
            <w:hideMark/>
          </w:tcPr>
          <w:p w14:paraId="473C18A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8" w:space="0" w:color="auto"/>
            </w:tcBorders>
            <w:shd w:val="clear" w:color="auto" w:fill="auto"/>
            <w:vAlign w:val="center"/>
            <w:hideMark/>
          </w:tcPr>
          <w:p w14:paraId="678A8DD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4971574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C2D887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4CAB459C" w14:textId="77777777" w:rsidTr="0018109D">
        <w:trPr>
          <w:trHeight w:val="972"/>
        </w:trPr>
        <w:tc>
          <w:tcPr>
            <w:tcW w:w="1790" w:type="dxa"/>
            <w:vMerge/>
            <w:tcBorders>
              <w:top w:val="nil"/>
              <w:left w:val="single" w:sz="8" w:space="0" w:color="auto"/>
              <w:bottom w:val="single" w:sz="8" w:space="0" w:color="000000"/>
              <w:right w:val="single" w:sz="4" w:space="0" w:color="auto"/>
            </w:tcBorders>
            <w:vAlign w:val="center"/>
            <w:hideMark/>
          </w:tcPr>
          <w:p w14:paraId="3FDFA86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24D80A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1.1.10.2 Kryerja e analizave dhe adresimit të gjetjeve të tyre për rritjen e efikasitetit të institucionit përgjegjës </w:t>
            </w:r>
          </w:p>
        </w:tc>
        <w:tc>
          <w:tcPr>
            <w:tcW w:w="1890" w:type="dxa"/>
            <w:tcBorders>
              <w:top w:val="nil"/>
              <w:left w:val="nil"/>
              <w:bottom w:val="single" w:sz="4" w:space="0" w:color="auto"/>
              <w:right w:val="single" w:sz="4" w:space="0" w:color="auto"/>
            </w:tcBorders>
            <w:shd w:val="clear" w:color="auto" w:fill="auto"/>
            <w:vAlign w:val="center"/>
            <w:hideMark/>
          </w:tcPr>
          <w:p w14:paraId="724CF70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8" w:space="0" w:color="auto"/>
            </w:tcBorders>
            <w:shd w:val="clear" w:color="auto" w:fill="auto"/>
            <w:vAlign w:val="center"/>
            <w:hideMark/>
          </w:tcPr>
          <w:p w14:paraId="0DACE2F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3C8CFDF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7F7E8D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234B59B1" w14:textId="77777777" w:rsidTr="0018109D">
        <w:trPr>
          <w:trHeight w:val="1092"/>
        </w:trPr>
        <w:tc>
          <w:tcPr>
            <w:tcW w:w="1790" w:type="dxa"/>
            <w:vMerge/>
            <w:tcBorders>
              <w:top w:val="nil"/>
              <w:left w:val="single" w:sz="8" w:space="0" w:color="auto"/>
              <w:bottom w:val="single" w:sz="8" w:space="0" w:color="000000"/>
              <w:right w:val="single" w:sz="4" w:space="0" w:color="auto"/>
            </w:tcBorders>
            <w:vAlign w:val="center"/>
            <w:hideMark/>
          </w:tcPr>
          <w:p w14:paraId="619A478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6B7591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1.1.10.3 Kryerja e analizave dhe adresimit të gjetjeve të tyre për rritjen e efikasitetit të institucionit përgjegjës </w:t>
            </w:r>
          </w:p>
        </w:tc>
        <w:tc>
          <w:tcPr>
            <w:tcW w:w="1890" w:type="dxa"/>
            <w:tcBorders>
              <w:top w:val="nil"/>
              <w:left w:val="nil"/>
              <w:bottom w:val="single" w:sz="4" w:space="0" w:color="auto"/>
              <w:right w:val="single" w:sz="4" w:space="0" w:color="auto"/>
            </w:tcBorders>
            <w:shd w:val="clear" w:color="auto" w:fill="auto"/>
            <w:vAlign w:val="center"/>
            <w:hideMark/>
          </w:tcPr>
          <w:p w14:paraId="72E2A18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w:t>
            </w:r>
          </w:p>
        </w:tc>
        <w:tc>
          <w:tcPr>
            <w:tcW w:w="1620" w:type="dxa"/>
            <w:tcBorders>
              <w:top w:val="nil"/>
              <w:left w:val="nil"/>
              <w:bottom w:val="single" w:sz="4" w:space="0" w:color="auto"/>
              <w:right w:val="single" w:sz="8" w:space="0" w:color="auto"/>
            </w:tcBorders>
            <w:shd w:val="clear" w:color="auto" w:fill="auto"/>
            <w:vAlign w:val="center"/>
            <w:hideMark/>
          </w:tcPr>
          <w:p w14:paraId="7B5B726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7E41132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189173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43E61627" w14:textId="77777777" w:rsidTr="0018109D">
        <w:trPr>
          <w:trHeight w:val="1044"/>
        </w:trPr>
        <w:tc>
          <w:tcPr>
            <w:tcW w:w="1790" w:type="dxa"/>
            <w:vMerge/>
            <w:tcBorders>
              <w:top w:val="nil"/>
              <w:left w:val="single" w:sz="8" w:space="0" w:color="auto"/>
              <w:bottom w:val="single" w:sz="8" w:space="0" w:color="000000"/>
              <w:right w:val="single" w:sz="4" w:space="0" w:color="auto"/>
            </w:tcBorders>
            <w:vAlign w:val="center"/>
            <w:hideMark/>
          </w:tcPr>
          <w:p w14:paraId="1CBC993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A4DC7F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1.1.10.4 Analizë dhe propozime për amendimin e ligjit për hapjen e vakancave për ndihmës ligjore pranë GJKKO </w:t>
            </w:r>
          </w:p>
        </w:tc>
        <w:tc>
          <w:tcPr>
            <w:tcW w:w="1890" w:type="dxa"/>
            <w:tcBorders>
              <w:top w:val="nil"/>
              <w:left w:val="nil"/>
              <w:bottom w:val="single" w:sz="4" w:space="0" w:color="auto"/>
              <w:right w:val="single" w:sz="4" w:space="0" w:color="auto"/>
            </w:tcBorders>
            <w:shd w:val="clear" w:color="auto" w:fill="auto"/>
            <w:vAlign w:val="center"/>
            <w:hideMark/>
          </w:tcPr>
          <w:p w14:paraId="64FE10E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GJKKO</w:t>
            </w:r>
          </w:p>
        </w:tc>
        <w:tc>
          <w:tcPr>
            <w:tcW w:w="1620" w:type="dxa"/>
            <w:tcBorders>
              <w:top w:val="nil"/>
              <w:left w:val="nil"/>
              <w:bottom w:val="single" w:sz="4" w:space="0" w:color="auto"/>
              <w:right w:val="single" w:sz="8" w:space="0" w:color="auto"/>
            </w:tcBorders>
            <w:shd w:val="clear" w:color="auto" w:fill="auto"/>
            <w:vAlign w:val="center"/>
            <w:hideMark/>
          </w:tcPr>
          <w:p w14:paraId="01DC09A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716BE07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528E9B3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6365E210" w14:textId="77777777" w:rsidTr="0018109D">
        <w:trPr>
          <w:trHeight w:val="1800"/>
        </w:trPr>
        <w:tc>
          <w:tcPr>
            <w:tcW w:w="1790" w:type="dxa"/>
            <w:vMerge/>
            <w:tcBorders>
              <w:top w:val="nil"/>
              <w:left w:val="single" w:sz="8" w:space="0" w:color="auto"/>
              <w:bottom w:val="single" w:sz="8" w:space="0" w:color="000000"/>
              <w:right w:val="single" w:sz="4" w:space="0" w:color="auto"/>
            </w:tcBorders>
            <w:vAlign w:val="center"/>
            <w:hideMark/>
          </w:tcPr>
          <w:p w14:paraId="6CECA95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E2939E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1.1.10.5 Miratimi i ndryshimeve ligjore/nenligjore dhe akteve të tjera rregulluese per hapjen, shpalljen dhe plotësimin e vendeve vakante për ndihmës ligjore pranë GJKKO.</w:t>
            </w:r>
          </w:p>
        </w:tc>
        <w:tc>
          <w:tcPr>
            <w:tcW w:w="1890" w:type="dxa"/>
            <w:tcBorders>
              <w:top w:val="nil"/>
              <w:left w:val="nil"/>
              <w:bottom w:val="single" w:sz="4" w:space="0" w:color="auto"/>
              <w:right w:val="single" w:sz="4" w:space="0" w:color="auto"/>
            </w:tcBorders>
            <w:shd w:val="clear" w:color="auto" w:fill="auto"/>
            <w:vAlign w:val="center"/>
            <w:hideMark/>
          </w:tcPr>
          <w:p w14:paraId="1E9F684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GJKKO</w:t>
            </w:r>
          </w:p>
        </w:tc>
        <w:tc>
          <w:tcPr>
            <w:tcW w:w="1620" w:type="dxa"/>
            <w:tcBorders>
              <w:top w:val="nil"/>
              <w:left w:val="nil"/>
              <w:bottom w:val="single" w:sz="4" w:space="0" w:color="auto"/>
              <w:right w:val="single" w:sz="8" w:space="0" w:color="auto"/>
            </w:tcBorders>
            <w:shd w:val="clear" w:color="auto" w:fill="auto"/>
            <w:vAlign w:val="center"/>
            <w:hideMark/>
          </w:tcPr>
          <w:p w14:paraId="646F397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19FC586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00D76C6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013943FE" w14:textId="77777777" w:rsidTr="0018109D">
        <w:trPr>
          <w:trHeight w:val="1800"/>
        </w:trPr>
        <w:tc>
          <w:tcPr>
            <w:tcW w:w="1790" w:type="dxa"/>
            <w:vMerge/>
            <w:tcBorders>
              <w:top w:val="nil"/>
              <w:left w:val="single" w:sz="8" w:space="0" w:color="auto"/>
              <w:bottom w:val="single" w:sz="8" w:space="0" w:color="000000"/>
              <w:right w:val="single" w:sz="4" w:space="0" w:color="auto"/>
            </w:tcBorders>
            <w:vAlign w:val="center"/>
            <w:hideMark/>
          </w:tcPr>
          <w:p w14:paraId="569E605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4E20D4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1.1.10.6 Vleresimi mbi implementimin e ndryshimeve ligjore/nenligjore dhe akteve te tjera rregulluese per hapjen, shpalljen dhe plotesimin e vendeve vakante per ndihmes ligjore prane GJKKO dhe ndikimit ne efektivitetin e tyre </w:t>
            </w:r>
          </w:p>
        </w:tc>
        <w:tc>
          <w:tcPr>
            <w:tcW w:w="1890" w:type="dxa"/>
            <w:tcBorders>
              <w:top w:val="nil"/>
              <w:left w:val="nil"/>
              <w:bottom w:val="single" w:sz="4" w:space="0" w:color="auto"/>
              <w:right w:val="single" w:sz="4" w:space="0" w:color="auto"/>
            </w:tcBorders>
            <w:shd w:val="clear" w:color="auto" w:fill="auto"/>
            <w:vAlign w:val="center"/>
            <w:hideMark/>
          </w:tcPr>
          <w:p w14:paraId="3F24D87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GJKKO</w:t>
            </w:r>
          </w:p>
        </w:tc>
        <w:tc>
          <w:tcPr>
            <w:tcW w:w="1620" w:type="dxa"/>
            <w:tcBorders>
              <w:top w:val="nil"/>
              <w:left w:val="nil"/>
              <w:bottom w:val="single" w:sz="4" w:space="0" w:color="auto"/>
              <w:right w:val="single" w:sz="8" w:space="0" w:color="auto"/>
            </w:tcBorders>
            <w:shd w:val="clear" w:color="auto" w:fill="auto"/>
            <w:vAlign w:val="center"/>
            <w:hideMark/>
          </w:tcPr>
          <w:p w14:paraId="03919F2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04947FE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c>
          <w:tcPr>
            <w:tcW w:w="1260" w:type="dxa"/>
            <w:tcBorders>
              <w:top w:val="nil"/>
              <w:left w:val="nil"/>
              <w:bottom w:val="single" w:sz="4" w:space="0" w:color="auto"/>
              <w:right w:val="single" w:sz="8" w:space="0" w:color="auto"/>
            </w:tcBorders>
            <w:shd w:val="clear" w:color="000000" w:fill="DDEBF7"/>
            <w:vAlign w:val="center"/>
            <w:hideMark/>
          </w:tcPr>
          <w:p w14:paraId="4FFB92B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r>
      <w:tr w:rsidR="007440A2" w:rsidRPr="007440A2" w14:paraId="5A43B71A" w14:textId="77777777" w:rsidTr="0018109D">
        <w:trPr>
          <w:trHeight w:val="912"/>
        </w:trPr>
        <w:tc>
          <w:tcPr>
            <w:tcW w:w="1790" w:type="dxa"/>
            <w:vMerge/>
            <w:tcBorders>
              <w:top w:val="nil"/>
              <w:left w:val="single" w:sz="8" w:space="0" w:color="auto"/>
              <w:bottom w:val="single" w:sz="8" w:space="0" w:color="000000"/>
              <w:right w:val="single" w:sz="4" w:space="0" w:color="auto"/>
            </w:tcBorders>
            <w:vAlign w:val="center"/>
            <w:hideMark/>
          </w:tcPr>
          <w:p w14:paraId="0CF206E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BFF4BB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1.1.10.7 Analize dhe propozime per ndryshimin e ligjit per hapjen e vakancave për keshilltar ligjor prane Prokurorise se Posacme</w:t>
            </w:r>
          </w:p>
        </w:tc>
        <w:tc>
          <w:tcPr>
            <w:tcW w:w="1890" w:type="dxa"/>
            <w:tcBorders>
              <w:top w:val="nil"/>
              <w:left w:val="nil"/>
              <w:bottom w:val="single" w:sz="4" w:space="0" w:color="auto"/>
              <w:right w:val="single" w:sz="4" w:space="0" w:color="auto"/>
            </w:tcBorders>
            <w:shd w:val="clear" w:color="auto" w:fill="auto"/>
            <w:vAlign w:val="center"/>
            <w:hideMark/>
          </w:tcPr>
          <w:p w14:paraId="4C07BC1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w:t>
            </w:r>
          </w:p>
        </w:tc>
        <w:tc>
          <w:tcPr>
            <w:tcW w:w="1620" w:type="dxa"/>
            <w:tcBorders>
              <w:top w:val="nil"/>
              <w:left w:val="nil"/>
              <w:bottom w:val="single" w:sz="4" w:space="0" w:color="auto"/>
              <w:right w:val="single" w:sz="8" w:space="0" w:color="auto"/>
            </w:tcBorders>
            <w:shd w:val="clear" w:color="auto" w:fill="auto"/>
            <w:vAlign w:val="center"/>
            <w:hideMark/>
          </w:tcPr>
          <w:p w14:paraId="5FC7F7B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157782F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4E758B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7A054F8A" w14:textId="77777777" w:rsidTr="0018109D">
        <w:trPr>
          <w:trHeight w:val="1800"/>
        </w:trPr>
        <w:tc>
          <w:tcPr>
            <w:tcW w:w="1790" w:type="dxa"/>
            <w:vMerge/>
            <w:tcBorders>
              <w:top w:val="nil"/>
              <w:left w:val="single" w:sz="8" w:space="0" w:color="auto"/>
              <w:bottom w:val="single" w:sz="8" w:space="0" w:color="000000"/>
              <w:right w:val="single" w:sz="4" w:space="0" w:color="auto"/>
            </w:tcBorders>
            <w:vAlign w:val="center"/>
            <w:hideMark/>
          </w:tcPr>
          <w:p w14:paraId="72D450F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633CD0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1.1.10.8 Miratimi i ndryshimeve ligjore/nenligjore dhe akteve te tjera rregulluese per hapjen, shpalljen dhe plotesimin e vendeve vakante per keshilltar ligjore prane Prokurorise se Posacme </w:t>
            </w:r>
          </w:p>
        </w:tc>
        <w:tc>
          <w:tcPr>
            <w:tcW w:w="1890" w:type="dxa"/>
            <w:tcBorders>
              <w:top w:val="nil"/>
              <w:left w:val="nil"/>
              <w:bottom w:val="single" w:sz="4" w:space="0" w:color="auto"/>
              <w:right w:val="single" w:sz="4" w:space="0" w:color="auto"/>
            </w:tcBorders>
            <w:shd w:val="clear" w:color="auto" w:fill="auto"/>
            <w:vAlign w:val="center"/>
            <w:hideMark/>
          </w:tcPr>
          <w:p w14:paraId="1C4C8A2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w:t>
            </w:r>
          </w:p>
        </w:tc>
        <w:tc>
          <w:tcPr>
            <w:tcW w:w="1620" w:type="dxa"/>
            <w:tcBorders>
              <w:top w:val="nil"/>
              <w:left w:val="nil"/>
              <w:bottom w:val="single" w:sz="4" w:space="0" w:color="auto"/>
              <w:right w:val="single" w:sz="8" w:space="0" w:color="auto"/>
            </w:tcBorders>
            <w:shd w:val="clear" w:color="auto" w:fill="auto"/>
            <w:vAlign w:val="center"/>
            <w:hideMark/>
          </w:tcPr>
          <w:p w14:paraId="3F5C345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4F5095F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197077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63FCA775" w14:textId="77777777" w:rsidTr="0018109D">
        <w:trPr>
          <w:trHeight w:val="1800"/>
        </w:trPr>
        <w:tc>
          <w:tcPr>
            <w:tcW w:w="1790" w:type="dxa"/>
            <w:vMerge/>
            <w:tcBorders>
              <w:top w:val="nil"/>
              <w:left w:val="single" w:sz="8" w:space="0" w:color="auto"/>
              <w:bottom w:val="single" w:sz="8" w:space="0" w:color="000000"/>
              <w:right w:val="single" w:sz="4" w:space="0" w:color="auto"/>
            </w:tcBorders>
            <w:vAlign w:val="center"/>
            <w:hideMark/>
          </w:tcPr>
          <w:p w14:paraId="38C96B0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221AC13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1.1.10.9 Vleresimi mbi implementimin e ndryshimeve ligjore/nenligjore dhe akteve te tjera rregulluese per hapjen, shpalljen dhe plotesimin e vendeve vakante per keshilltar ligjore prane Prokurorise se Posacme dhe ndikimit ne efektivitetin e tyre. Ky vleresim do te jete subjekt i emerimit te keshilltareve ligjor. </w:t>
            </w:r>
          </w:p>
        </w:tc>
        <w:tc>
          <w:tcPr>
            <w:tcW w:w="1890" w:type="dxa"/>
            <w:tcBorders>
              <w:top w:val="nil"/>
              <w:left w:val="nil"/>
              <w:bottom w:val="single" w:sz="8" w:space="0" w:color="auto"/>
              <w:right w:val="single" w:sz="4" w:space="0" w:color="auto"/>
            </w:tcBorders>
            <w:shd w:val="clear" w:color="auto" w:fill="auto"/>
            <w:vAlign w:val="center"/>
            <w:hideMark/>
          </w:tcPr>
          <w:p w14:paraId="7773D34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w:t>
            </w:r>
          </w:p>
        </w:tc>
        <w:tc>
          <w:tcPr>
            <w:tcW w:w="1620" w:type="dxa"/>
            <w:tcBorders>
              <w:top w:val="nil"/>
              <w:left w:val="nil"/>
              <w:bottom w:val="single" w:sz="8" w:space="0" w:color="auto"/>
              <w:right w:val="single" w:sz="8" w:space="0" w:color="auto"/>
            </w:tcBorders>
            <w:shd w:val="clear" w:color="auto" w:fill="auto"/>
            <w:vAlign w:val="center"/>
            <w:hideMark/>
          </w:tcPr>
          <w:p w14:paraId="317DBC7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3FB2E69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8" w:space="0" w:color="auto"/>
              <w:right w:val="single" w:sz="8" w:space="0" w:color="auto"/>
            </w:tcBorders>
            <w:shd w:val="clear" w:color="000000" w:fill="DDEBF7"/>
            <w:vAlign w:val="center"/>
            <w:hideMark/>
          </w:tcPr>
          <w:p w14:paraId="4D44D06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67C82191" w14:textId="77777777" w:rsidTr="0018109D">
        <w:trPr>
          <w:trHeight w:val="180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6EB126BE"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1.1.11 . Marrja e masave për mospërfshirjen e ish-magjistratëve të shkarkuar/dorëhequr gjatë vetting-ut në veprimtaritë e institucioneve të sistemit të drejtësisë</w:t>
            </w:r>
          </w:p>
        </w:tc>
        <w:tc>
          <w:tcPr>
            <w:tcW w:w="2520" w:type="dxa"/>
            <w:tcBorders>
              <w:top w:val="nil"/>
              <w:left w:val="nil"/>
              <w:bottom w:val="single" w:sz="4" w:space="0" w:color="auto"/>
              <w:right w:val="single" w:sz="4" w:space="0" w:color="auto"/>
            </w:tcBorders>
            <w:shd w:val="clear" w:color="auto" w:fill="auto"/>
            <w:vAlign w:val="center"/>
            <w:hideMark/>
          </w:tcPr>
          <w:p w14:paraId="1D282EC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1.1.11.1 Ngritja e një grupi pune për analizën e kuadrit ligjor ekzistues që rregullon pasojat e shkarkimit/dorëheqjes së magjistratëve gjatë vetting-ut. </w:t>
            </w:r>
          </w:p>
        </w:tc>
        <w:tc>
          <w:tcPr>
            <w:tcW w:w="1890" w:type="dxa"/>
            <w:tcBorders>
              <w:top w:val="nil"/>
              <w:left w:val="nil"/>
              <w:bottom w:val="single" w:sz="4" w:space="0" w:color="auto"/>
              <w:right w:val="single" w:sz="4" w:space="0" w:color="auto"/>
            </w:tcBorders>
            <w:shd w:val="clear" w:color="auto" w:fill="auto"/>
            <w:vAlign w:val="center"/>
            <w:hideMark/>
          </w:tcPr>
          <w:p w14:paraId="299837FB" w14:textId="3EA49965"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ShM, KLGJ, KLP, ILD</w:t>
            </w:r>
          </w:p>
        </w:tc>
        <w:tc>
          <w:tcPr>
            <w:tcW w:w="1620" w:type="dxa"/>
            <w:tcBorders>
              <w:top w:val="nil"/>
              <w:left w:val="nil"/>
              <w:bottom w:val="nil"/>
              <w:right w:val="nil"/>
            </w:tcBorders>
            <w:shd w:val="clear" w:color="auto" w:fill="auto"/>
            <w:vAlign w:val="center"/>
            <w:hideMark/>
          </w:tcPr>
          <w:p w14:paraId="4FA852E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0782378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998D8F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64E11827" w14:textId="77777777" w:rsidTr="0018109D">
        <w:trPr>
          <w:trHeight w:val="1800"/>
        </w:trPr>
        <w:tc>
          <w:tcPr>
            <w:tcW w:w="1790" w:type="dxa"/>
            <w:vMerge/>
            <w:tcBorders>
              <w:top w:val="nil"/>
              <w:left w:val="single" w:sz="8" w:space="0" w:color="auto"/>
              <w:bottom w:val="single" w:sz="8" w:space="0" w:color="000000"/>
              <w:right w:val="single" w:sz="4" w:space="0" w:color="auto"/>
            </w:tcBorders>
            <w:vAlign w:val="center"/>
            <w:hideMark/>
          </w:tcPr>
          <w:p w14:paraId="03BCAD7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857766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1.1.11.2 Projektpropozimet për ndryshimet në ligjin per qeverisjen e organeve te drejtesise me qëllim vendosjen e dispozitave te qarta ligjore mbi perjashtimet e ish-magjistrateve te shkarkuar/dorëhequr gjatë procesit të vetting-ut nga ushtrimi i detyrave dhe aktiviteteve ne institucionet e qeverisjes së drejtësisë (KLGJ, KLP, ILD, SHM).</w:t>
            </w:r>
          </w:p>
        </w:tc>
        <w:tc>
          <w:tcPr>
            <w:tcW w:w="1890" w:type="dxa"/>
            <w:tcBorders>
              <w:top w:val="nil"/>
              <w:left w:val="nil"/>
              <w:bottom w:val="single" w:sz="4" w:space="0" w:color="auto"/>
              <w:right w:val="single" w:sz="4" w:space="0" w:color="auto"/>
            </w:tcBorders>
            <w:shd w:val="clear" w:color="auto" w:fill="auto"/>
            <w:vAlign w:val="center"/>
            <w:hideMark/>
          </w:tcPr>
          <w:p w14:paraId="4E658AB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MD/Kodifikimi, ShM, KLGJ, KLP, ILD</w:t>
            </w:r>
          </w:p>
        </w:tc>
        <w:tc>
          <w:tcPr>
            <w:tcW w:w="1620" w:type="dxa"/>
            <w:tcBorders>
              <w:top w:val="single" w:sz="4" w:space="0" w:color="auto"/>
              <w:left w:val="nil"/>
              <w:bottom w:val="nil"/>
              <w:right w:val="nil"/>
            </w:tcBorders>
            <w:shd w:val="clear" w:color="auto" w:fill="auto"/>
            <w:vAlign w:val="center"/>
            <w:hideMark/>
          </w:tcPr>
          <w:p w14:paraId="28880EF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06B2C3D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130FEC1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20F82821" w14:textId="77777777" w:rsidTr="0018109D">
        <w:trPr>
          <w:trHeight w:val="840"/>
        </w:trPr>
        <w:tc>
          <w:tcPr>
            <w:tcW w:w="1790" w:type="dxa"/>
            <w:vMerge/>
            <w:tcBorders>
              <w:top w:val="nil"/>
              <w:left w:val="single" w:sz="8" w:space="0" w:color="auto"/>
              <w:bottom w:val="single" w:sz="8" w:space="0" w:color="000000"/>
              <w:right w:val="single" w:sz="4" w:space="0" w:color="auto"/>
            </w:tcBorders>
            <w:vAlign w:val="center"/>
            <w:hideMark/>
          </w:tcPr>
          <w:p w14:paraId="2A687C4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57500D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1.1.11.3 Konsultime publike të organizuara nga MD-ja. </w:t>
            </w:r>
          </w:p>
        </w:tc>
        <w:tc>
          <w:tcPr>
            <w:tcW w:w="1890" w:type="dxa"/>
            <w:tcBorders>
              <w:top w:val="nil"/>
              <w:left w:val="nil"/>
              <w:bottom w:val="single" w:sz="4" w:space="0" w:color="auto"/>
              <w:right w:val="single" w:sz="4" w:space="0" w:color="auto"/>
            </w:tcBorders>
            <w:shd w:val="clear" w:color="auto" w:fill="auto"/>
            <w:vAlign w:val="center"/>
            <w:hideMark/>
          </w:tcPr>
          <w:p w14:paraId="74AE2FC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single" w:sz="4" w:space="0" w:color="auto"/>
              <w:left w:val="nil"/>
              <w:bottom w:val="nil"/>
              <w:right w:val="nil"/>
            </w:tcBorders>
            <w:shd w:val="clear" w:color="auto" w:fill="auto"/>
            <w:vAlign w:val="center"/>
            <w:hideMark/>
          </w:tcPr>
          <w:p w14:paraId="596B4F1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04C6EE5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5EB3560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343604F8" w14:textId="77777777" w:rsidTr="0018109D">
        <w:trPr>
          <w:trHeight w:val="1212"/>
        </w:trPr>
        <w:tc>
          <w:tcPr>
            <w:tcW w:w="1790" w:type="dxa"/>
            <w:vMerge/>
            <w:tcBorders>
              <w:top w:val="nil"/>
              <w:left w:val="single" w:sz="8" w:space="0" w:color="auto"/>
              <w:bottom w:val="single" w:sz="8" w:space="0" w:color="000000"/>
              <w:right w:val="single" w:sz="4" w:space="0" w:color="auto"/>
            </w:tcBorders>
            <w:vAlign w:val="center"/>
            <w:hideMark/>
          </w:tcPr>
          <w:p w14:paraId="6B284EC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0464265B"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1.1.11.4 Amendamentet e ligjit per qeverisjen e organeve te drejtesise të miratuara nga Kuvendi. </w:t>
            </w:r>
          </w:p>
        </w:tc>
        <w:tc>
          <w:tcPr>
            <w:tcW w:w="1890" w:type="dxa"/>
            <w:tcBorders>
              <w:top w:val="nil"/>
              <w:left w:val="nil"/>
              <w:bottom w:val="single" w:sz="8" w:space="0" w:color="auto"/>
              <w:right w:val="single" w:sz="4" w:space="0" w:color="auto"/>
            </w:tcBorders>
            <w:shd w:val="clear" w:color="auto" w:fill="auto"/>
            <w:vAlign w:val="center"/>
            <w:hideMark/>
          </w:tcPr>
          <w:p w14:paraId="11202BB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KUVENDI</w:t>
            </w:r>
          </w:p>
        </w:tc>
        <w:tc>
          <w:tcPr>
            <w:tcW w:w="1620" w:type="dxa"/>
            <w:tcBorders>
              <w:top w:val="single" w:sz="4" w:space="0" w:color="auto"/>
              <w:left w:val="nil"/>
              <w:bottom w:val="single" w:sz="8" w:space="0" w:color="auto"/>
              <w:right w:val="nil"/>
            </w:tcBorders>
            <w:shd w:val="clear" w:color="auto" w:fill="auto"/>
            <w:vAlign w:val="center"/>
            <w:hideMark/>
          </w:tcPr>
          <w:p w14:paraId="1A3A610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4CA916F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0DE20DB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29E6349C" w14:textId="77777777" w:rsidTr="0018109D">
        <w:trPr>
          <w:trHeight w:val="180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17697ADC"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1.1.12. Forcimi i kapaciteteve të Shkollës së Magjistraturës </w:t>
            </w:r>
          </w:p>
        </w:tc>
        <w:tc>
          <w:tcPr>
            <w:tcW w:w="2520" w:type="dxa"/>
            <w:tcBorders>
              <w:top w:val="nil"/>
              <w:left w:val="nil"/>
              <w:bottom w:val="single" w:sz="4" w:space="0" w:color="auto"/>
              <w:right w:val="single" w:sz="4" w:space="0" w:color="auto"/>
            </w:tcBorders>
            <w:shd w:val="clear" w:color="auto" w:fill="auto"/>
            <w:vAlign w:val="center"/>
            <w:hideMark/>
          </w:tcPr>
          <w:p w14:paraId="449AF87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1.1.12.1 ShM-ja kryen një analizë në lidhje me ndryshimet ligjore të nevojshme për të forcuar kapacitetet e saj, duke përfshirë: </w:t>
            </w:r>
            <w:r w:rsidRPr="007440A2">
              <w:rPr>
                <w:rFonts w:ascii="Times New Roman" w:eastAsia="Times New Roman" w:hAnsi="Times New Roman" w:cs="Times New Roman"/>
                <w:sz w:val="20"/>
                <w:szCs w:val="20"/>
              </w:rPr>
              <w:br/>
            </w:r>
            <w:r w:rsidRPr="007440A2">
              <w:rPr>
                <w:rFonts w:ascii="Times New Roman" w:eastAsia="Times New Roman" w:hAnsi="Times New Roman" w:cs="Times New Roman"/>
                <w:sz w:val="20"/>
                <w:szCs w:val="20"/>
              </w:rPr>
              <w:br/>
              <w:t>-        hulumtimet mbi praktikat dhe standardet më të mira evropiane në lidhje me kapacitetin e shkollave të magjistraturës në Evropë;</w:t>
            </w:r>
            <w:r w:rsidRPr="007440A2">
              <w:rPr>
                <w:rFonts w:ascii="Times New Roman" w:eastAsia="Times New Roman" w:hAnsi="Times New Roman" w:cs="Times New Roman"/>
                <w:sz w:val="20"/>
                <w:szCs w:val="20"/>
              </w:rPr>
              <w:br/>
              <w:t>-        dallimet e qarta ndërmjet aspekteve që mund të rregullohen me akte nënligjore dhe atyre që kërkojnë ndryshime ligjore.</w:t>
            </w:r>
          </w:p>
        </w:tc>
        <w:tc>
          <w:tcPr>
            <w:tcW w:w="1890" w:type="dxa"/>
            <w:tcBorders>
              <w:top w:val="nil"/>
              <w:left w:val="nil"/>
              <w:bottom w:val="single" w:sz="4" w:space="0" w:color="auto"/>
              <w:right w:val="single" w:sz="4" w:space="0" w:color="auto"/>
            </w:tcBorders>
            <w:shd w:val="clear" w:color="auto" w:fill="auto"/>
            <w:vAlign w:val="center"/>
            <w:hideMark/>
          </w:tcPr>
          <w:p w14:paraId="083A4C4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nil"/>
              <w:right w:val="nil"/>
            </w:tcBorders>
            <w:shd w:val="clear" w:color="auto" w:fill="auto"/>
            <w:vAlign w:val="center"/>
            <w:hideMark/>
          </w:tcPr>
          <w:p w14:paraId="3F8C832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0C91313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3919B29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78D36EE3" w14:textId="77777777" w:rsidTr="0018109D">
        <w:trPr>
          <w:trHeight w:val="1800"/>
        </w:trPr>
        <w:tc>
          <w:tcPr>
            <w:tcW w:w="1790" w:type="dxa"/>
            <w:vMerge/>
            <w:tcBorders>
              <w:top w:val="nil"/>
              <w:left w:val="single" w:sz="8" w:space="0" w:color="auto"/>
              <w:bottom w:val="single" w:sz="8" w:space="0" w:color="000000"/>
              <w:right w:val="single" w:sz="4" w:space="0" w:color="auto"/>
            </w:tcBorders>
            <w:vAlign w:val="center"/>
            <w:hideMark/>
          </w:tcPr>
          <w:p w14:paraId="7F7D1D0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DCEDBD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1.1.12.2 Bashkëpunim i ngushtë ndërmjet Drejtorisë së Kodifikimit të MD-së dhe SHM-së në hartimin e një propozimi për ndryshimet e nevojshme të Ligjit të Qeverisjes, në përputhje me </w:t>
            </w:r>
            <w:r w:rsidRPr="007440A2">
              <w:rPr>
                <w:rFonts w:ascii="Times New Roman" w:eastAsia="Times New Roman" w:hAnsi="Times New Roman" w:cs="Times New Roman"/>
                <w:i/>
                <w:iCs/>
                <w:sz w:val="20"/>
                <w:szCs w:val="20"/>
              </w:rPr>
              <w:t>acquis</w:t>
            </w:r>
            <w:r w:rsidRPr="007440A2">
              <w:rPr>
                <w:rFonts w:ascii="Times New Roman" w:eastAsia="Times New Roman" w:hAnsi="Times New Roman" w:cs="Times New Roman"/>
                <w:sz w:val="20"/>
                <w:szCs w:val="20"/>
              </w:rPr>
              <w:t xml:space="preserve"> të BE-së.</w:t>
            </w:r>
          </w:p>
        </w:tc>
        <w:tc>
          <w:tcPr>
            <w:tcW w:w="1890" w:type="dxa"/>
            <w:tcBorders>
              <w:top w:val="nil"/>
              <w:left w:val="nil"/>
              <w:bottom w:val="single" w:sz="4" w:space="0" w:color="auto"/>
              <w:right w:val="single" w:sz="4" w:space="0" w:color="auto"/>
            </w:tcBorders>
            <w:shd w:val="clear" w:color="auto" w:fill="auto"/>
            <w:vAlign w:val="center"/>
            <w:hideMark/>
          </w:tcPr>
          <w:p w14:paraId="03D4F31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MD/Kodifikimi, SHM</w:t>
            </w:r>
          </w:p>
        </w:tc>
        <w:tc>
          <w:tcPr>
            <w:tcW w:w="1620" w:type="dxa"/>
            <w:tcBorders>
              <w:top w:val="single" w:sz="4" w:space="0" w:color="auto"/>
              <w:left w:val="nil"/>
              <w:bottom w:val="nil"/>
              <w:right w:val="nil"/>
            </w:tcBorders>
            <w:shd w:val="clear" w:color="auto" w:fill="auto"/>
            <w:vAlign w:val="center"/>
            <w:hideMark/>
          </w:tcPr>
          <w:p w14:paraId="1B7DA7E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3E9FCCE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1385387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6A254C72" w14:textId="77777777" w:rsidTr="0018109D">
        <w:trPr>
          <w:trHeight w:val="840"/>
        </w:trPr>
        <w:tc>
          <w:tcPr>
            <w:tcW w:w="1790" w:type="dxa"/>
            <w:vMerge/>
            <w:tcBorders>
              <w:top w:val="nil"/>
              <w:left w:val="single" w:sz="8" w:space="0" w:color="auto"/>
              <w:bottom w:val="single" w:sz="8" w:space="0" w:color="000000"/>
              <w:right w:val="single" w:sz="4" w:space="0" w:color="auto"/>
            </w:tcBorders>
            <w:vAlign w:val="center"/>
            <w:hideMark/>
          </w:tcPr>
          <w:p w14:paraId="6251F5D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D524C2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1.1.12.3 Konsultime publike të organizuara nga MD-ja. </w:t>
            </w:r>
          </w:p>
        </w:tc>
        <w:tc>
          <w:tcPr>
            <w:tcW w:w="1890" w:type="dxa"/>
            <w:tcBorders>
              <w:top w:val="nil"/>
              <w:left w:val="nil"/>
              <w:bottom w:val="single" w:sz="4" w:space="0" w:color="auto"/>
              <w:right w:val="single" w:sz="4" w:space="0" w:color="auto"/>
            </w:tcBorders>
            <w:shd w:val="clear" w:color="auto" w:fill="auto"/>
            <w:vAlign w:val="center"/>
            <w:hideMark/>
          </w:tcPr>
          <w:p w14:paraId="5940030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single" w:sz="4" w:space="0" w:color="auto"/>
              <w:left w:val="nil"/>
              <w:bottom w:val="nil"/>
              <w:right w:val="nil"/>
            </w:tcBorders>
            <w:shd w:val="clear" w:color="auto" w:fill="auto"/>
            <w:vAlign w:val="center"/>
            <w:hideMark/>
          </w:tcPr>
          <w:p w14:paraId="07C0160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6F18F9A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2C2D8A7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31C5E866" w14:textId="77777777" w:rsidTr="0018109D">
        <w:trPr>
          <w:trHeight w:val="1092"/>
        </w:trPr>
        <w:tc>
          <w:tcPr>
            <w:tcW w:w="1790" w:type="dxa"/>
            <w:vMerge/>
            <w:tcBorders>
              <w:top w:val="nil"/>
              <w:left w:val="single" w:sz="8" w:space="0" w:color="auto"/>
              <w:bottom w:val="single" w:sz="8" w:space="0" w:color="000000"/>
              <w:right w:val="single" w:sz="4" w:space="0" w:color="auto"/>
            </w:tcBorders>
            <w:vAlign w:val="center"/>
            <w:hideMark/>
          </w:tcPr>
          <w:p w14:paraId="33F2961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7C75DB8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1.1.12.4 Amendamentet e Ligjit të miratuara nga Kuvendi </w:t>
            </w:r>
          </w:p>
        </w:tc>
        <w:tc>
          <w:tcPr>
            <w:tcW w:w="1890" w:type="dxa"/>
            <w:tcBorders>
              <w:top w:val="nil"/>
              <w:left w:val="nil"/>
              <w:bottom w:val="single" w:sz="8" w:space="0" w:color="auto"/>
              <w:right w:val="single" w:sz="4" w:space="0" w:color="auto"/>
            </w:tcBorders>
            <w:shd w:val="clear" w:color="auto" w:fill="auto"/>
            <w:vAlign w:val="center"/>
            <w:hideMark/>
          </w:tcPr>
          <w:p w14:paraId="5073DA0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Kuvendi</w:t>
            </w:r>
          </w:p>
        </w:tc>
        <w:tc>
          <w:tcPr>
            <w:tcW w:w="1620" w:type="dxa"/>
            <w:tcBorders>
              <w:top w:val="single" w:sz="4" w:space="0" w:color="auto"/>
              <w:left w:val="nil"/>
              <w:bottom w:val="single" w:sz="8" w:space="0" w:color="auto"/>
              <w:right w:val="nil"/>
            </w:tcBorders>
            <w:shd w:val="clear" w:color="auto" w:fill="auto"/>
            <w:vAlign w:val="center"/>
            <w:hideMark/>
          </w:tcPr>
          <w:p w14:paraId="0781296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011EE20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8" w:space="0" w:color="auto"/>
              <w:right w:val="single" w:sz="8" w:space="0" w:color="auto"/>
            </w:tcBorders>
            <w:shd w:val="clear" w:color="000000" w:fill="DDEBF7"/>
            <w:vAlign w:val="center"/>
            <w:hideMark/>
          </w:tcPr>
          <w:p w14:paraId="18D1556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1D00A33A" w14:textId="77777777" w:rsidTr="0018109D">
        <w:trPr>
          <w:trHeight w:val="180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107154D5"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1.1.13. Rritja e mëtejshme e kapaciteteve të organeve të specializuara për korrupsionin dhe krimin e organizuar në mënyrë që ato të mund të kryejnë në mënyrë efikase hetimin dhe gjykimin.</w:t>
            </w:r>
          </w:p>
        </w:tc>
        <w:tc>
          <w:tcPr>
            <w:tcW w:w="2520" w:type="dxa"/>
            <w:tcBorders>
              <w:top w:val="nil"/>
              <w:left w:val="nil"/>
              <w:bottom w:val="single" w:sz="4" w:space="0" w:color="auto"/>
              <w:right w:val="single" w:sz="4" w:space="0" w:color="auto"/>
            </w:tcBorders>
            <w:shd w:val="clear" w:color="auto" w:fill="auto"/>
            <w:vAlign w:val="center"/>
            <w:hideMark/>
          </w:tcPr>
          <w:p w14:paraId="66D01AF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1.1.13.1 Hartimi i një plani për plotësimin e vendeve vakante pranë Gjykatave Speciale, SPAK-ut dhe BKH-së dhe hartimi i një kërkese arsyetuese për pozicione shtesë, sipas nevojës. </w:t>
            </w:r>
          </w:p>
        </w:tc>
        <w:tc>
          <w:tcPr>
            <w:tcW w:w="1890" w:type="dxa"/>
            <w:tcBorders>
              <w:top w:val="nil"/>
              <w:left w:val="nil"/>
              <w:bottom w:val="single" w:sz="4" w:space="0" w:color="auto"/>
              <w:right w:val="single" w:sz="4" w:space="0" w:color="auto"/>
            </w:tcBorders>
            <w:shd w:val="clear" w:color="auto" w:fill="auto"/>
            <w:vAlign w:val="center"/>
            <w:hideMark/>
          </w:tcPr>
          <w:p w14:paraId="58A6BAE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SPAK, BKH, KLGJ </w:t>
            </w:r>
          </w:p>
        </w:tc>
        <w:tc>
          <w:tcPr>
            <w:tcW w:w="1620" w:type="dxa"/>
            <w:tcBorders>
              <w:top w:val="nil"/>
              <w:left w:val="nil"/>
              <w:bottom w:val="single" w:sz="4" w:space="0" w:color="auto"/>
              <w:right w:val="single" w:sz="8" w:space="0" w:color="auto"/>
            </w:tcBorders>
            <w:shd w:val="clear" w:color="auto" w:fill="auto"/>
            <w:vAlign w:val="center"/>
            <w:hideMark/>
          </w:tcPr>
          <w:p w14:paraId="0F5BF66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GJKKO</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608646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B01540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3BB9583E" w14:textId="77777777" w:rsidTr="0018109D">
        <w:trPr>
          <w:trHeight w:val="924"/>
        </w:trPr>
        <w:tc>
          <w:tcPr>
            <w:tcW w:w="1790" w:type="dxa"/>
            <w:vMerge/>
            <w:tcBorders>
              <w:top w:val="nil"/>
              <w:left w:val="single" w:sz="8" w:space="0" w:color="auto"/>
              <w:bottom w:val="single" w:sz="8" w:space="0" w:color="000000"/>
              <w:right w:val="single" w:sz="4" w:space="0" w:color="auto"/>
            </w:tcBorders>
            <w:vAlign w:val="center"/>
            <w:hideMark/>
          </w:tcPr>
          <w:p w14:paraId="3C829B0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981FC6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1.1.13.2 Plotesimi i vakancave per ekspert financiar, staf administrativ, hetues financiar nga SPAK</w:t>
            </w:r>
          </w:p>
        </w:tc>
        <w:tc>
          <w:tcPr>
            <w:tcW w:w="1890" w:type="dxa"/>
            <w:tcBorders>
              <w:top w:val="nil"/>
              <w:left w:val="nil"/>
              <w:bottom w:val="single" w:sz="4" w:space="0" w:color="auto"/>
              <w:right w:val="single" w:sz="4" w:space="0" w:color="auto"/>
            </w:tcBorders>
            <w:shd w:val="clear" w:color="auto" w:fill="auto"/>
            <w:vAlign w:val="center"/>
            <w:hideMark/>
          </w:tcPr>
          <w:p w14:paraId="0ABE249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w:t>
            </w:r>
          </w:p>
        </w:tc>
        <w:tc>
          <w:tcPr>
            <w:tcW w:w="1620" w:type="dxa"/>
            <w:tcBorders>
              <w:top w:val="nil"/>
              <w:left w:val="nil"/>
              <w:bottom w:val="single" w:sz="4" w:space="0" w:color="auto"/>
              <w:right w:val="single" w:sz="8" w:space="0" w:color="auto"/>
            </w:tcBorders>
            <w:shd w:val="clear" w:color="auto" w:fill="auto"/>
            <w:vAlign w:val="center"/>
            <w:hideMark/>
          </w:tcPr>
          <w:p w14:paraId="3B8D741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3CAA7C2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369C50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7AAB54AD" w14:textId="77777777" w:rsidTr="0018109D">
        <w:trPr>
          <w:trHeight w:val="852"/>
        </w:trPr>
        <w:tc>
          <w:tcPr>
            <w:tcW w:w="1790" w:type="dxa"/>
            <w:vMerge/>
            <w:tcBorders>
              <w:top w:val="nil"/>
              <w:left w:val="single" w:sz="8" w:space="0" w:color="auto"/>
              <w:bottom w:val="single" w:sz="8" w:space="0" w:color="000000"/>
              <w:right w:val="single" w:sz="4" w:space="0" w:color="auto"/>
            </w:tcBorders>
            <w:vAlign w:val="center"/>
            <w:hideMark/>
          </w:tcPr>
          <w:p w14:paraId="507B182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D5AF4B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1.1.13.3 Plotesimi i 2 vakancave per prokuror per SPAK brenda 2024.</w:t>
            </w:r>
          </w:p>
        </w:tc>
        <w:tc>
          <w:tcPr>
            <w:tcW w:w="1890" w:type="dxa"/>
            <w:tcBorders>
              <w:top w:val="nil"/>
              <w:left w:val="nil"/>
              <w:bottom w:val="single" w:sz="4" w:space="0" w:color="auto"/>
              <w:right w:val="single" w:sz="4" w:space="0" w:color="auto"/>
            </w:tcBorders>
            <w:shd w:val="clear" w:color="auto" w:fill="auto"/>
            <w:vAlign w:val="center"/>
            <w:hideMark/>
          </w:tcPr>
          <w:p w14:paraId="456A510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w:t>
            </w:r>
          </w:p>
        </w:tc>
        <w:tc>
          <w:tcPr>
            <w:tcW w:w="1620" w:type="dxa"/>
            <w:tcBorders>
              <w:top w:val="nil"/>
              <w:left w:val="nil"/>
              <w:bottom w:val="single" w:sz="4" w:space="0" w:color="auto"/>
              <w:right w:val="single" w:sz="8" w:space="0" w:color="auto"/>
            </w:tcBorders>
            <w:shd w:val="clear" w:color="auto" w:fill="auto"/>
            <w:vAlign w:val="center"/>
            <w:hideMark/>
          </w:tcPr>
          <w:p w14:paraId="1AB2E61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C30C4F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5600E05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1D2B89D6" w14:textId="77777777" w:rsidTr="0018109D">
        <w:trPr>
          <w:trHeight w:val="1800"/>
        </w:trPr>
        <w:tc>
          <w:tcPr>
            <w:tcW w:w="1790" w:type="dxa"/>
            <w:vMerge/>
            <w:tcBorders>
              <w:top w:val="nil"/>
              <w:left w:val="single" w:sz="8" w:space="0" w:color="auto"/>
              <w:bottom w:val="single" w:sz="8" w:space="0" w:color="000000"/>
              <w:right w:val="single" w:sz="4" w:space="0" w:color="auto"/>
            </w:tcBorders>
            <w:vAlign w:val="center"/>
            <w:hideMark/>
          </w:tcPr>
          <w:p w14:paraId="19DC605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668CE3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1.1.13.4 Kryerja e aktiviteteve përkatëse si publikimi i thirrjeve, caktimi i komisioneve, intervistat dhe provimet etj., duke ndjekur rregullat dhe procedurat e parashikuara me ligj dhe akte nënligjore, duke synuar plotësimin e të gjitha pozicioneve vakante në SPAK, Gjykatë të Posaçme dhe BKH(me urdher te brendshem). </w:t>
            </w:r>
          </w:p>
        </w:tc>
        <w:tc>
          <w:tcPr>
            <w:tcW w:w="1890" w:type="dxa"/>
            <w:tcBorders>
              <w:top w:val="nil"/>
              <w:left w:val="nil"/>
              <w:bottom w:val="single" w:sz="4" w:space="0" w:color="auto"/>
              <w:right w:val="single" w:sz="4" w:space="0" w:color="auto"/>
            </w:tcBorders>
            <w:shd w:val="clear" w:color="auto" w:fill="auto"/>
            <w:vAlign w:val="center"/>
            <w:hideMark/>
          </w:tcPr>
          <w:p w14:paraId="6DBCAB7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BKH, KLGJ</w:t>
            </w:r>
          </w:p>
        </w:tc>
        <w:tc>
          <w:tcPr>
            <w:tcW w:w="1620" w:type="dxa"/>
            <w:tcBorders>
              <w:top w:val="nil"/>
              <w:left w:val="nil"/>
              <w:bottom w:val="single" w:sz="4" w:space="0" w:color="auto"/>
              <w:right w:val="single" w:sz="8" w:space="0" w:color="auto"/>
            </w:tcBorders>
            <w:shd w:val="clear" w:color="auto" w:fill="auto"/>
            <w:vAlign w:val="center"/>
            <w:hideMark/>
          </w:tcPr>
          <w:p w14:paraId="7A0ABBA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08CD3A1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443AC1D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763E1121" w14:textId="77777777" w:rsidTr="0018109D">
        <w:trPr>
          <w:trHeight w:val="852"/>
        </w:trPr>
        <w:tc>
          <w:tcPr>
            <w:tcW w:w="1790" w:type="dxa"/>
            <w:vMerge/>
            <w:tcBorders>
              <w:top w:val="nil"/>
              <w:left w:val="single" w:sz="8" w:space="0" w:color="auto"/>
              <w:bottom w:val="single" w:sz="8" w:space="0" w:color="000000"/>
              <w:right w:val="single" w:sz="4" w:space="0" w:color="auto"/>
            </w:tcBorders>
            <w:vAlign w:val="center"/>
            <w:hideMark/>
          </w:tcPr>
          <w:p w14:paraId="2A538EB7"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296D04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1.1.13.5 Riorganizimi i strukturës së GJKKO me qëllim rritjen e eficences </w:t>
            </w:r>
          </w:p>
        </w:tc>
        <w:tc>
          <w:tcPr>
            <w:tcW w:w="1890" w:type="dxa"/>
            <w:tcBorders>
              <w:top w:val="nil"/>
              <w:left w:val="nil"/>
              <w:bottom w:val="single" w:sz="4" w:space="0" w:color="auto"/>
              <w:right w:val="single" w:sz="4" w:space="0" w:color="auto"/>
            </w:tcBorders>
            <w:shd w:val="clear" w:color="auto" w:fill="auto"/>
            <w:vAlign w:val="center"/>
            <w:hideMark/>
          </w:tcPr>
          <w:p w14:paraId="4EC03C4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GJKKO, KLGJ</w:t>
            </w:r>
          </w:p>
        </w:tc>
        <w:tc>
          <w:tcPr>
            <w:tcW w:w="1620" w:type="dxa"/>
            <w:tcBorders>
              <w:top w:val="nil"/>
              <w:left w:val="nil"/>
              <w:bottom w:val="single" w:sz="4" w:space="0" w:color="auto"/>
              <w:right w:val="single" w:sz="8" w:space="0" w:color="auto"/>
            </w:tcBorders>
            <w:shd w:val="clear" w:color="auto" w:fill="auto"/>
            <w:vAlign w:val="center"/>
            <w:hideMark/>
          </w:tcPr>
          <w:p w14:paraId="3FD57AD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7BD7288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83BB93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3CC59B46" w14:textId="77777777" w:rsidTr="0018109D">
        <w:trPr>
          <w:trHeight w:val="948"/>
        </w:trPr>
        <w:tc>
          <w:tcPr>
            <w:tcW w:w="1790" w:type="dxa"/>
            <w:vMerge/>
            <w:tcBorders>
              <w:top w:val="nil"/>
              <w:left w:val="single" w:sz="8" w:space="0" w:color="auto"/>
              <w:bottom w:val="single" w:sz="8" w:space="0" w:color="000000"/>
              <w:right w:val="single" w:sz="4" w:space="0" w:color="auto"/>
            </w:tcBorders>
            <w:vAlign w:val="center"/>
            <w:hideMark/>
          </w:tcPr>
          <w:p w14:paraId="4624132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0FEA17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1.1.13.6 Plotësimi i 5 vendeve vakante për gjykatës nga GJKKO </w:t>
            </w:r>
          </w:p>
        </w:tc>
        <w:tc>
          <w:tcPr>
            <w:tcW w:w="1890" w:type="dxa"/>
            <w:tcBorders>
              <w:top w:val="nil"/>
              <w:left w:val="nil"/>
              <w:bottom w:val="single" w:sz="4" w:space="0" w:color="auto"/>
              <w:right w:val="single" w:sz="4" w:space="0" w:color="auto"/>
            </w:tcBorders>
            <w:shd w:val="clear" w:color="auto" w:fill="auto"/>
            <w:vAlign w:val="center"/>
            <w:hideMark/>
          </w:tcPr>
          <w:p w14:paraId="73845EB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GJKKO, KLGJ</w:t>
            </w:r>
          </w:p>
        </w:tc>
        <w:tc>
          <w:tcPr>
            <w:tcW w:w="1620" w:type="dxa"/>
            <w:tcBorders>
              <w:top w:val="nil"/>
              <w:left w:val="nil"/>
              <w:bottom w:val="single" w:sz="4" w:space="0" w:color="auto"/>
              <w:right w:val="single" w:sz="8" w:space="0" w:color="auto"/>
            </w:tcBorders>
            <w:shd w:val="clear" w:color="auto" w:fill="auto"/>
            <w:vAlign w:val="center"/>
            <w:hideMark/>
          </w:tcPr>
          <w:p w14:paraId="383182D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E756A8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59841FD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33AFFBCF" w14:textId="77777777" w:rsidTr="0018109D">
        <w:trPr>
          <w:trHeight w:val="1056"/>
        </w:trPr>
        <w:tc>
          <w:tcPr>
            <w:tcW w:w="1790" w:type="dxa"/>
            <w:vMerge/>
            <w:tcBorders>
              <w:top w:val="nil"/>
              <w:left w:val="single" w:sz="8" w:space="0" w:color="auto"/>
              <w:bottom w:val="single" w:sz="8" w:space="0" w:color="000000"/>
              <w:right w:val="single" w:sz="4" w:space="0" w:color="auto"/>
            </w:tcBorders>
            <w:vAlign w:val="center"/>
            <w:hideMark/>
          </w:tcPr>
          <w:p w14:paraId="03E29A0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73CEBD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1.1.13.7 GJKKO mbushja e vende e te reja te sapokrijuara per ndihmesa ligjorë deri ne fund 2027</w:t>
            </w:r>
          </w:p>
        </w:tc>
        <w:tc>
          <w:tcPr>
            <w:tcW w:w="1890" w:type="dxa"/>
            <w:tcBorders>
              <w:top w:val="nil"/>
              <w:left w:val="nil"/>
              <w:bottom w:val="single" w:sz="4" w:space="0" w:color="auto"/>
              <w:right w:val="single" w:sz="4" w:space="0" w:color="auto"/>
            </w:tcBorders>
            <w:shd w:val="clear" w:color="auto" w:fill="auto"/>
            <w:vAlign w:val="center"/>
            <w:hideMark/>
          </w:tcPr>
          <w:p w14:paraId="672F9DD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GJKKO, KLGJ</w:t>
            </w:r>
          </w:p>
        </w:tc>
        <w:tc>
          <w:tcPr>
            <w:tcW w:w="1620" w:type="dxa"/>
            <w:tcBorders>
              <w:top w:val="nil"/>
              <w:left w:val="nil"/>
              <w:bottom w:val="single" w:sz="4" w:space="0" w:color="auto"/>
              <w:right w:val="single" w:sz="8" w:space="0" w:color="auto"/>
            </w:tcBorders>
            <w:shd w:val="clear" w:color="auto" w:fill="auto"/>
            <w:vAlign w:val="center"/>
            <w:hideMark/>
          </w:tcPr>
          <w:p w14:paraId="28C851E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27FAAEE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c>
          <w:tcPr>
            <w:tcW w:w="1260" w:type="dxa"/>
            <w:tcBorders>
              <w:top w:val="nil"/>
              <w:left w:val="nil"/>
              <w:bottom w:val="single" w:sz="4" w:space="0" w:color="auto"/>
              <w:right w:val="single" w:sz="8" w:space="0" w:color="auto"/>
            </w:tcBorders>
            <w:shd w:val="clear" w:color="000000" w:fill="DDEBF7"/>
            <w:vAlign w:val="center"/>
            <w:hideMark/>
          </w:tcPr>
          <w:p w14:paraId="5713F52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r>
      <w:tr w:rsidR="007440A2" w:rsidRPr="007440A2" w14:paraId="0591DC9C" w14:textId="77777777" w:rsidTr="0018109D">
        <w:trPr>
          <w:trHeight w:val="1800"/>
        </w:trPr>
        <w:tc>
          <w:tcPr>
            <w:tcW w:w="1790" w:type="dxa"/>
            <w:vMerge/>
            <w:tcBorders>
              <w:top w:val="nil"/>
              <w:left w:val="single" w:sz="8" w:space="0" w:color="auto"/>
              <w:bottom w:val="single" w:sz="8" w:space="0" w:color="000000"/>
              <w:right w:val="single" w:sz="4" w:space="0" w:color="auto"/>
            </w:tcBorders>
            <w:vAlign w:val="center"/>
            <w:hideMark/>
          </w:tcPr>
          <w:p w14:paraId="015C019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1B63CC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1.1.13.8 Hartimi i një analize të nevojave për trajnim (ANT) dhe Planit të Ngritjes së Kapaciteteve (PNK) nepermjet trajnimeve çdo vit, të ndarë sipas nevojave të grupeve përkatëse të magjistratëve dhe personelit administrativ në SPAK, Gjykatë të Posaçme dhe BKH. </w:t>
            </w:r>
          </w:p>
        </w:tc>
        <w:tc>
          <w:tcPr>
            <w:tcW w:w="1890" w:type="dxa"/>
            <w:tcBorders>
              <w:top w:val="nil"/>
              <w:left w:val="nil"/>
              <w:bottom w:val="single" w:sz="4" w:space="0" w:color="auto"/>
              <w:right w:val="single" w:sz="4" w:space="0" w:color="auto"/>
            </w:tcBorders>
            <w:shd w:val="clear" w:color="auto" w:fill="auto"/>
            <w:vAlign w:val="center"/>
            <w:hideMark/>
          </w:tcPr>
          <w:p w14:paraId="07464AE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BKH, KLGJ, GJKKO</w:t>
            </w:r>
          </w:p>
        </w:tc>
        <w:tc>
          <w:tcPr>
            <w:tcW w:w="1620" w:type="dxa"/>
            <w:tcBorders>
              <w:top w:val="nil"/>
              <w:left w:val="nil"/>
              <w:bottom w:val="single" w:sz="4" w:space="0" w:color="auto"/>
              <w:right w:val="single" w:sz="8" w:space="0" w:color="auto"/>
            </w:tcBorders>
            <w:shd w:val="clear" w:color="auto" w:fill="auto"/>
            <w:vAlign w:val="center"/>
            <w:hideMark/>
          </w:tcPr>
          <w:p w14:paraId="2EB35B9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31CDEFD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476331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6A3EC93" w14:textId="77777777" w:rsidTr="0018109D">
        <w:trPr>
          <w:trHeight w:val="780"/>
        </w:trPr>
        <w:tc>
          <w:tcPr>
            <w:tcW w:w="1790" w:type="dxa"/>
            <w:vMerge/>
            <w:tcBorders>
              <w:top w:val="nil"/>
              <w:left w:val="single" w:sz="8" w:space="0" w:color="auto"/>
              <w:bottom w:val="single" w:sz="8" w:space="0" w:color="000000"/>
              <w:right w:val="single" w:sz="4" w:space="0" w:color="auto"/>
            </w:tcBorders>
            <w:vAlign w:val="center"/>
            <w:hideMark/>
          </w:tcPr>
          <w:p w14:paraId="47C9007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52302F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1.1.13.9 Sigurimi i trajnimit te posacem dhe vazhdues per ndihmesat ligjore </w:t>
            </w:r>
          </w:p>
        </w:tc>
        <w:tc>
          <w:tcPr>
            <w:tcW w:w="1890" w:type="dxa"/>
            <w:tcBorders>
              <w:top w:val="nil"/>
              <w:left w:val="nil"/>
              <w:bottom w:val="single" w:sz="4" w:space="0" w:color="auto"/>
              <w:right w:val="single" w:sz="4" w:space="0" w:color="auto"/>
            </w:tcBorders>
            <w:shd w:val="clear" w:color="auto" w:fill="auto"/>
            <w:vAlign w:val="center"/>
            <w:hideMark/>
          </w:tcPr>
          <w:p w14:paraId="2B35604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GJKKO, KLGJ</w:t>
            </w:r>
          </w:p>
        </w:tc>
        <w:tc>
          <w:tcPr>
            <w:tcW w:w="1620" w:type="dxa"/>
            <w:tcBorders>
              <w:top w:val="nil"/>
              <w:left w:val="nil"/>
              <w:bottom w:val="single" w:sz="4" w:space="0" w:color="auto"/>
              <w:right w:val="single" w:sz="8" w:space="0" w:color="auto"/>
            </w:tcBorders>
            <w:shd w:val="clear" w:color="auto" w:fill="auto"/>
            <w:vAlign w:val="center"/>
            <w:hideMark/>
          </w:tcPr>
          <w:p w14:paraId="39BB2D2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CC0153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4FFA0BC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7C78562" w14:textId="77777777" w:rsidTr="0018109D">
        <w:trPr>
          <w:trHeight w:val="1008"/>
        </w:trPr>
        <w:tc>
          <w:tcPr>
            <w:tcW w:w="1790" w:type="dxa"/>
            <w:vMerge/>
            <w:tcBorders>
              <w:top w:val="nil"/>
              <w:left w:val="single" w:sz="8" w:space="0" w:color="auto"/>
              <w:bottom w:val="single" w:sz="8" w:space="0" w:color="000000"/>
              <w:right w:val="single" w:sz="4" w:space="0" w:color="auto"/>
            </w:tcBorders>
            <w:vAlign w:val="center"/>
            <w:hideMark/>
          </w:tcPr>
          <w:p w14:paraId="19B79E3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343D838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1.1.13.10 Zbatimi i PNK-së vleresohet nga vete institucionet rregullisht.</w:t>
            </w:r>
          </w:p>
        </w:tc>
        <w:tc>
          <w:tcPr>
            <w:tcW w:w="1890" w:type="dxa"/>
            <w:tcBorders>
              <w:top w:val="nil"/>
              <w:left w:val="nil"/>
              <w:bottom w:val="single" w:sz="8" w:space="0" w:color="auto"/>
              <w:right w:val="single" w:sz="4" w:space="0" w:color="auto"/>
            </w:tcBorders>
            <w:shd w:val="clear" w:color="auto" w:fill="auto"/>
            <w:vAlign w:val="center"/>
            <w:hideMark/>
          </w:tcPr>
          <w:p w14:paraId="36EB292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BKH, KLGJ, GJKKO</w:t>
            </w:r>
          </w:p>
        </w:tc>
        <w:tc>
          <w:tcPr>
            <w:tcW w:w="1620" w:type="dxa"/>
            <w:tcBorders>
              <w:top w:val="nil"/>
              <w:left w:val="nil"/>
              <w:bottom w:val="single" w:sz="8" w:space="0" w:color="auto"/>
              <w:right w:val="single" w:sz="8" w:space="0" w:color="auto"/>
            </w:tcBorders>
            <w:shd w:val="clear" w:color="auto" w:fill="auto"/>
            <w:vAlign w:val="center"/>
            <w:hideMark/>
          </w:tcPr>
          <w:p w14:paraId="7695D07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6C6A901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4F27753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5C29E69" w14:textId="77777777" w:rsidTr="0018109D">
        <w:trPr>
          <w:trHeight w:val="1008"/>
        </w:trPr>
        <w:tc>
          <w:tcPr>
            <w:tcW w:w="4310" w:type="dxa"/>
            <w:gridSpan w:val="2"/>
            <w:tcBorders>
              <w:top w:val="nil"/>
              <w:left w:val="single" w:sz="8" w:space="0" w:color="auto"/>
              <w:bottom w:val="single" w:sz="8" w:space="0" w:color="auto"/>
              <w:right w:val="nil"/>
            </w:tcBorders>
            <w:shd w:val="clear" w:color="000000" w:fill="9CC2E5"/>
            <w:vAlign w:val="center"/>
            <w:hideMark/>
          </w:tcPr>
          <w:p w14:paraId="7C54DD5C"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1.2:</w:t>
            </w:r>
          </w:p>
        </w:tc>
        <w:tc>
          <w:tcPr>
            <w:tcW w:w="6480" w:type="dxa"/>
            <w:gridSpan w:val="4"/>
            <w:tcBorders>
              <w:top w:val="nil"/>
              <w:left w:val="single" w:sz="8" w:space="0" w:color="auto"/>
              <w:bottom w:val="single" w:sz="8" w:space="0" w:color="auto"/>
              <w:right w:val="single" w:sz="8" w:space="0" w:color="000000"/>
            </w:tcBorders>
            <w:shd w:val="clear" w:color="000000" w:fill="9CC2E5"/>
            <w:vAlign w:val="center"/>
            <w:hideMark/>
          </w:tcPr>
          <w:p w14:paraId="5EBD0DAD"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Përfundimi i procesit të rivlerësimit kalimtar (vetting-ut) brenda afateve kushtetuese dhe vendosja e mekanizmave për të siguruar qëndrueshmërinë e këtij procesi</w:t>
            </w:r>
          </w:p>
        </w:tc>
      </w:tr>
      <w:tr w:rsidR="007440A2" w:rsidRPr="007440A2" w14:paraId="7D03AD2B" w14:textId="77777777" w:rsidTr="0018109D">
        <w:trPr>
          <w:trHeight w:val="1764"/>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6643DF95"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54E5553B"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Pas perfundimit te mandati te Insitucionit te Komisionereve Publike, SPAK mban te njejtin standard ne lidhje me  perqindjen e ankimeve të paraqitura nga prane KPA, për çështje të papërfunduara  (12-22% te vendimeve te KPK); </w:t>
            </w:r>
            <w:r w:rsidRPr="007440A2">
              <w:rPr>
                <w:rFonts w:ascii="Times New Roman" w:eastAsia="Times New Roman" w:hAnsi="Times New Roman" w:cs="Times New Roman"/>
                <w:sz w:val="20"/>
                <w:szCs w:val="20"/>
              </w:rPr>
              <w:br/>
            </w:r>
            <w:r w:rsidRPr="007440A2">
              <w:rPr>
                <w:rFonts w:ascii="Times New Roman" w:eastAsia="Times New Roman" w:hAnsi="Times New Roman" w:cs="Times New Roman"/>
                <w:sz w:val="20"/>
                <w:szCs w:val="20"/>
              </w:rPr>
              <w:br/>
              <w:t>Garantohet nje denueshmeri e larte e subjekteve të vetingut të akuzuar për korrupsion, nga gjykatat e posaçme (90%).</w:t>
            </w:r>
          </w:p>
        </w:tc>
      </w:tr>
      <w:tr w:rsidR="007440A2" w:rsidRPr="007440A2" w14:paraId="19C08987" w14:textId="77777777" w:rsidTr="0018109D">
        <w:trPr>
          <w:trHeight w:val="540"/>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11174AAD"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459892A8"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093F1FA3"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55AD5335"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755DEB6C"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2F1D7FE7"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5E486B4D" w14:textId="77777777" w:rsidTr="0018109D">
        <w:trPr>
          <w:trHeight w:val="1815"/>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0A68B3E6" w14:textId="45786F2A"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1.2.1 Komisioni i Pavarur i Kualifikimit dhe Komisioneri Publik sigurojnë   finalizimin e të gjitha çështjeve pezull të verifikimit </w:t>
            </w:r>
          </w:p>
        </w:tc>
        <w:tc>
          <w:tcPr>
            <w:tcW w:w="2520" w:type="dxa"/>
            <w:tcBorders>
              <w:top w:val="nil"/>
              <w:left w:val="nil"/>
              <w:bottom w:val="single" w:sz="4" w:space="0" w:color="auto"/>
              <w:right w:val="single" w:sz="4" w:space="0" w:color="auto"/>
            </w:tcBorders>
            <w:shd w:val="clear" w:color="auto" w:fill="auto"/>
            <w:vAlign w:val="center"/>
            <w:hideMark/>
          </w:tcPr>
          <w:p w14:paraId="6DCA265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1.2.1.1 Plani i punës dhe kalendari për çështjet e mbetura të vetting-ut, duke marrë parasysh afatet kushtetuese që synojnë përfundimin e të gjitha çështjeve brenda shtatorit 2024 (duke i lejuar Komisionerit Publik të ankimojë vendimet e KPK-së.)</w:t>
            </w:r>
          </w:p>
        </w:tc>
        <w:tc>
          <w:tcPr>
            <w:tcW w:w="1890" w:type="dxa"/>
            <w:tcBorders>
              <w:top w:val="nil"/>
              <w:left w:val="nil"/>
              <w:bottom w:val="single" w:sz="4" w:space="0" w:color="auto"/>
              <w:right w:val="single" w:sz="4" w:space="0" w:color="auto"/>
            </w:tcBorders>
            <w:shd w:val="clear" w:color="auto" w:fill="auto"/>
            <w:vAlign w:val="center"/>
            <w:hideMark/>
          </w:tcPr>
          <w:p w14:paraId="7F2DC2C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KPK, IKP</w:t>
            </w:r>
          </w:p>
        </w:tc>
        <w:tc>
          <w:tcPr>
            <w:tcW w:w="1620" w:type="dxa"/>
            <w:tcBorders>
              <w:top w:val="nil"/>
              <w:left w:val="nil"/>
              <w:bottom w:val="single" w:sz="4" w:space="0" w:color="auto"/>
              <w:right w:val="single" w:sz="8" w:space="0" w:color="auto"/>
            </w:tcBorders>
            <w:shd w:val="clear" w:color="auto" w:fill="auto"/>
            <w:vAlign w:val="center"/>
            <w:hideMark/>
          </w:tcPr>
          <w:p w14:paraId="1995365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nil"/>
            </w:tcBorders>
            <w:shd w:val="clear" w:color="000000" w:fill="DDEBF7"/>
            <w:vAlign w:val="center"/>
            <w:hideMark/>
          </w:tcPr>
          <w:p w14:paraId="0C5355F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single" w:sz="4" w:space="0" w:color="auto"/>
              <w:bottom w:val="single" w:sz="4" w:space="0" w:color="auto"/>
              <w:right w:val="single" w:sz="8" w:space="0" w:color="auto"/>
            </w:tcBorders>
            <w:shd w:val="clear" w:color="000000" w:fill="DDEBF7"/>
            <w:vAlign w:val="center"/>
            <w:hideMark/>
          </w:tcPr>
          <w:p w14:paraId="7414D55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70B32DC1" w14:textId="77777777" w:rsidTr="0018109D">
        <w:trPr>
          <w:trHeight w:val="900"/>
        </w:trPr>
        <w:tc>
          <w:tcPr>
            <w:tcW w:w="1790" w:type="dxa"/>
            <w:vMerge/>
            <w:tcBorders>
              <w:top w:val="nil"/>
              <w:left w:val="single" w:sz="8" w:space="0" w:color="auto"/>
              <w:bottom w:val="single" w:sz="8" w:space="0" w:color="000000"/>
              <w:right w:val="single" w:sz="4" w:space="0" w:color="auto"/>
            </w:tcBorders>
            <w:vAlign w:val="center"/>
            <w:hideMark/>
          </w:tcPr>
          <w:p w14:paraId="1B4951F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6D99D1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1.2.1.2 Zbatimi i planit të punës dhe kalendarit. </w:t>
            </w:r>
          </w:p>
        </w:tc>
        <w:tc>
          <w:tcPr>
            <w:tcW w:w="1890" w:type="dxa"/>
            <w:tcBorders>
              <w:top w:val="nil"/>
              <w:left w:val="nil"/>
              <w:bottom w:val="single" w:sz="4" w:space="0" w:color="auto"/>
              <w:right w:val="single" w:sz="4" w:space="0" w:color="auto"/>
            </w:tcBorders>
            <w:shd w:val="clear" w:color="auto" w:fill="auto"/>
            <w:vAlign w:val="center"/>
            <w:hideMark/>
          </w:tcPr>
          <w:p w14:paraId="456D201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KPK, IKP</w:t>
            </w:r>
          </w:p>
        </w:tc>
        <w:tc>
          <w:tcPr>
            <w:tcW w:w="1620" w:type="dxa"/>
            <w:tcBorders>
              <w:top w:val="nil"/>
              <w:left w:val="nil"/>
              <w:bottom w:val="single" w:sz="4" w:space="0" w:color="auto"/>
              <w:right w:val="single" w:sz="8" w:space="0" w:color="auto"/>
            </w:tcBorders>
            <w:shd w:val="clear" w:color="auto" w:fill="auto"/>
            <w:vAlign w:val="center"/>
            <w:hideMark/>
          </w:tcPr>
          <w:p w14:paraId="067552A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nil"/>
            </w:tcBorders>
            <w:shd w:val="clear" w:color="000000" w:fill="DDEBF7"/>
            <w:vAlign w:val="center"/>
            <w:hideMark/>
          </w:tcPr>
          <w:p w14:paraId="5DEF7B0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single" w:sz="4" w:space="0" w:color="auto"/>
              <w:bottom w:val="single" w:sz="4" w:space="0" w:color="auto"/>
              <w:right w:val="single" w:sz="8" w:space="0" w:color="auto"/>
            </w:tcBorders>
            <w:shd w:val="clear" w:color="000000" w:fill="DDEBF7"/>
            <w:vAlign w:val="center"/>
            <w:hideMark/>
          </w:tcPr>
          <w:p w14:paraId="47505AA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5E786EA0" w14:textId="77777777" w:rsidTr="0018109D">
        <w:trPr>
          <w:trHeight w:val="1260"/>
        </w:trPr>
        <w:tc>
          <w:tcPr>
            <w:tcW w:w="1790" w:type="dxa"/>
            <w:vMerge/>
            <w:tcBorders>
              <w:top w:val="nil"/>
              <w:left w:val="single" w:sz="8" w:space="0" w:color="auto"/>
              <w:bottom w:val="single" w:sz="8" w:space="0" w:color="000000"/>
              <w:right w:val="single" w:sz="4" w:space="0" w:color="auto"/>
            </w:tcBorders>
            <w:vAlign w:val="center"/>
            <w:hideMark/>
          </w:tcPr>
          <w:p w14:paraId="24EF4AF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B1A9C8D" w14:textId="54C2697A"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1.2.1.3 Planifikimi i aktiviteteve administrative përfundimtare të institucionit nga KPK dhe KP </w:t>
            </w:r>
          </w:p>
        </w:tc>
        <w:tc>
          <w:tcPr>
            <w:tcW w:w="1890" w:type="dxa"/>
            <w:tcBorders>
              <w:top w:val="nil"/>
              <w:left w:val="nil"/>
              <w:bottom w:val="single" w:sz="4" w:space="0" w:color="auto"/>
              <w:right w:val="single" w:sz="4" w:space="0" w:color="auto"/>
            </w:tcBorders>
            <w:shd w:val="clear" w:color="auto" w:fill="auto"/>
            <w:vAlign w:val="center"/>
            <w:hideMark/>
          </w:tcPr>
          <w:p w14:paraId="16F48C0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KPK, IKP</w:t>
            </w:r>
          </w:p>
        </w:tc>
        <w:tc>
          <w:tcPr>
            <w:tcW w:w="1620" w:type="dxa"/>
            <w:tcBorders>
              <w:top w:val="nil"/>
              <w:left w:val="nil"/>
              <w:bottom w:val="single" w:sz="4" w:space="0" w:color="auto"/>
              <w:right w:val="single" w:sz="8" w:space="0" w:color="auto"/>
            </w:tcBorders>
            <w:shd w:val="clear" w:color="auto" w:fill="auto"/>
            <w:vAlign w:val="center"/>
            <w:hideMark/>
          </w:tcPr>
          <w:p w14:paraId="3EAC312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nil"/>
            </w:tcBorders>
            <w:shd w:val="clear" w:color="000000" w:fill="DDEBF7"/>
            <w:vAlign w:val="center"/>
            <w:hideMark/>
          </w:tcPr>
          <w:p w14:paraId="6EE735E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single" w:sz="4" w:space="0" w:color="auto"/>
              <w:bottom w:val="single" w:sz="4" w:space="0" w:color="auto"/>
              <w:right w:val="single" w:sz="8" w:space="0" w:color="auto"/>
            </w:tcBorders>
            <w:shd w:val="clear" w:color="000000" w:fill="DDEBF7"/>
            <w:vAlign w:val="center"/>
            <w:hideMark/>
          </w:tcPr>
          <w:p w14:paraId="370BE5B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7CD333CF" w14:textId="77777777" w:rsidTr="0018109D">
        <w:trPr>
          <w:trHeight w:val="1815"/>
        </w:trPr>
        <w:tc>
          <w:tcPr>
            <w:tcW w:w="1790" w:type="dxa"/>
            <w:vMerge/>
            <w:tcBorders>
              <w:top w:val="nil"/>
              <w:left w:val="single" w:sz="8" w:space="0" w:color="auto"/>
              <w:bottom w:val="single" w:sz="8" w:space="0" w:color="000000"/>
              <w:right w:val="single" w:sz="4" w:space="0" w:color="auto"/>
            </w:tcBorders>
            <w:vAlign w:val="center"/>
            <w:hideMark/>
          </w:tcPr>
          <w:p w14:paraId="4D38E57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1AC7CAF1" w14:textId="16CF567D"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1.2.1.4 Dorëzimi përfundimtar i dosjeve të KPK-së dhe KP pranë ASHSGJ</w:t>
            </w:r>
          </w:p>
        </w:tc>
        <w:tc>
          <w:tcPr>
            <w:tcW w:w="1890" w:type="dxa"/>
            <w:tcBorders>
              <w:top w:val="nil"/>
              <w:left w:val="nil"/>
              <w:bottom w:val="single" w:sz="8" w:space="0" w:color="auto"/>
              <w:right w:val="single" w:sz="4" w:space="0" w:color="auto"/>
            </w:tcBorders>
            <w:shd w:val="clear" w:color="auto" w:fill="auto"/>
            <w:vAlign w:val="center"/>
            <w:hideMark/>
          </w:tcPr>
          <w:p w14:paraId="7DC148A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KPK, IKP</w:t>
            </w:r>
          </w:p>
        </w:tc>
        <w:tc>
          <w:tcPr>
            <w:tcW w:w="1620" w:type="dxa"/>
            <w:tcBorders>
              <w:top w:val="nil"/>
              <w:left w:val="nil"/>
              <w:bottom w:val="single" w:sz="8" w:space="0" w:color="auto"/>
              <w:right w:val="single" w:sz="8" w:space="0" w:color="auto"/>
            </w:tcBorders>
            <w:shd w:val="clear" w:color="auto" w:fill="auto"/>
            <w:vAlign w:val="center"/>
            <w:hideMark/>
          </w:tcPr>
          <w:p w14:paraId="7B0E1FD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ASHSGJ</w:t>
            </w:r>
          </w:p>
        </w:tc>
        <w:tc>
          <w:tcPr>
            <w:tcW w:w="1710" w:type="dxa"/>
            <w:tcBorders>
              <w:top w:val="nil"/>
              <w:left w:val="single" w:sz="4" w:space="0" w:color="auto"/>
              <w:bottom w:val="single" w:sz="8" w:space="0" w:color="auto"/>
              <w:right w:val="nil"/>
            </w:tcBorders>
            <w:shd w:val="clear" w:color="000000" w:fill="DDEBF7"/>
            <w:vAlign w:val="center"/>
            <w:hideMark/>
          </w:tcPr>
          <w:p w14:paraId="67E852D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single" w:sz="4" w:space="0" w:color="auto"/>
              <w:bottom w:val="single" w:sz="8" w:space="0" w:color="auto"/>
              <w:right w:val="single" w:sz="8" w:space="0" w:color="auto"/>
            </w:tcBorders>
            <w:shd w:val="clear" w:color="000000" w:fill="DDEBF7"/>
            <w:vAlign w:val="center"/>
            <w:hideMark/>
          </w:tcPr>
          <w:p w14:paraId="56BF1D4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32B41F22" w14:textId="77777777" w:rsidTr="0018109D">
        <w:trPr>
          <w:trHeight w:val="171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4D77988A" w14:textId="577E3FFA"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1.2.2 Kolegji i Posaçëm i Apelimit përshpejton ritmin në gjykimin e ankimimeve dhe ndërmerr të gjithë hapat përkatës për të siguruar finalizimin e çështjeve dhe përmbush sistematikisht parashikimet e saj brenda afatit kushtetues </w:t>
            </w:r>
          </w:p>
        </w:tc>
        <w:tc>
          <w:tcPr>
            <w:tcW w:w="2520" w:type="dxa"/>
            <w:tcBorders>
              <w:top w:val="nil"/>
              <w:left w:val="nil"/>
              <w:bottom w:val="single" w:sz="4" w:space="0" w:color="auto"/>
              <w:right w:val="single" w:sz="4" w:space="0" w:color="auto"/>
            </w:tcBorders>
            <w:shd w:val="clear" w:color="auto" w:fill="auto"/>
            <w:vAlign w:val="center"/>
            <w:hideMark/>
          </w:tcPr>
          <w:p w14:paraId="0023C83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1.2.2.1 Prioritizim i punes ne Kolegjin e Posacem te Apelimit me qellim perfundimin e 60 ceshtjeve ne vit</w:t>
            </w:r>
          </w:p>
        </w:tc>
        <w:tc>
          <w:tcPr>
            <w:tcW w:w="1890" w:type="dxa"/>
            <w:tcBorders>
              <w:top w:val="nil"/>
              <w:left w:val="nil"/>
              <w:bottom w:val="single" w:sz="4" w:space="0" w:color="auto"/>
              <w:right w:val="single" w:sz="4" w:space="0" w:color="auto"/>
            </w:tcBorders>
            <w:shd w:val="clear" w:color="auto" w:fill="auto"/>
            <w:vAlign w:val="center"/>
            <w:hideMark/>
          </w:tcPr>
          <w:p w14:paraId="77C4B6E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KPA </w:t>
            </w:r>
          </w:p>
        </w:tc>
        <w:tc>
          <w:tcPr>
            <w:tcW w:w="1620" w:type="dxa"/>
            <w:tcBorders>
              <w:top w:val="nil"/>
              <w:left w:val="nil"/>
              <w:bottom w:val="single" w:sz="4" w:space="0" w:color="auto"/>
              <w:right w:val="single" w:sz="4" w:space="0" w:color="auto"/>
            </w:tcBorders>
            <w:shd w:val="clear" w:color="auto" w:fill="auto"/>
            <w:vAlign w:val="center"/>
            <w:hideMark/>
          </w:tcPr>
          <w:p w14:paraId="50A99C5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5E0083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4EA8899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45559A23" w14:textId="77777777" w:rsidTr="0018109D">
        <w:trPr>
          <w:trHeight w:val="1056"/>
        </w:trPr>
        <w:tc>
          <w:tcPr>
            <w:tcW w:w="1790" w:type="dxa"/>
            <w:vMerge/>
            <w:tcBorders>
              <w:top w:val="nil"/>
              <w:left w:val="single" w:sz="8" w:space="0" w:color="auto"/>
              <w:bottom w:val="single" w:sz="8" w:space="0" w:color="000000"/>
              <w:right w:val="single" w:sz="4" w:space="0" w:color="auto"/>
            </w:tcBorders>
            <w:vAlign w:val="center"/>
            <w:hideMark/>
          </w:tcPr>
          <w:p w14:paraId="431B1FB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29B6F9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1.2.2.2 Raportim periodik 6 mujor mbi ceshtjet e perfunduara ne Kolegjin e Posacem te Apelimit</w:t>
            </w:r>
          </w:p>
        </w:tc>
        <w:tc>
          <w:tcPr>
            <w:tcW w:w="1890" w:type="dxa"/>
            <w:tcBorders>
              <w:top w:val="nil"/>
              <w:left w:val="nil"/>
              <w:bottom w:val="single" w:sz="4" w:space="0" w:color="auto"/>
              <w:right w:val="single" w:sz="4" w:space="0" w:color="auto"/>
            </w:tcBorders>
            <w:shd w:val="clear" w:color="auto" w:fill="auto"/>
            <w:vAlign w:val="center"/>
            <w:hideMark/>
          </w:tcPr>
          <w:p w14:paraId="2014C6B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KPA </w:t>
            </w:r>
          </w:p>
        </w:tc>
        <w:tc>
          <w:tcPr>
            <w:tcW w:w="1620" w:type="dxa"/>
            <w:tcBorders>
              <w:top w:val="nil"/>
              <w:left w:val="nil"/>
              <w:bottom w:val="single" w:sz="4" w:space="0" w:color="auto"/>
              <w:right w:val="single" w:sz="4" w:space="0" w:color="auto"/>
            </w:tcBorders>
            <w:shd w:val="clear" w:color="auto" w:fill="auto"/>
            <w:vAlign w:val="center"/>
            <w:hideMark/>
          </w:tcPr>
          <w:p w14:paraId="5818A35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444016C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9B7A58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6F08D43D" w14:textId="77777777" w:rsidTr="0018109D">
        <w:trPr>
          <w:trHeight w:val="1152"/>
        </w:trPr>
        <w:tc>
          <w:tcPr>
            <w:tcW w:w="1790" w:type="dxa"/>
            <w:vMerge/>
            <w:tcBorders>
              <w:top w:val="nil"/>
              <w:left w:val="single" w:sz="8" w:space="0" w:color="auto"/>
              <w:bottom w:val="single" w:sz="8" w:space="0" w:color="000000"/>
              <w:right w:val="single" w:sz="4" w:space="0" w:color="auto"/>
            </w:tcBorders>
            <w:vAlign w:val="center"/>
            <w:hideMark/>
          </w:tcPr>
          <w:p w14:paraId="0006FAC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6CE368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1.2.2.3 Planifikimi i aktiviteteve administrative përfundimtare të institucioneve KPA </w:t>
            </w:r>
          </w:p>
        </w:tc>
        <w:tc>
          <w:tcPr>
            <w:tcW w:w="1890" w:type="dxa"/>
            <w:tcBorders>
              <w:top w:val="nil"/>
              <w:left w:val="nil"/>
              <w:bottom w:val="single" w:sz="4" w:space="0" w:color="auto"/>
              <w:right w:val="single" w:sz="4" w:space="0" w:color="auto"/>
            </w:tcBorders>
            <w:shd w:val="clear" w:color="auto" w:fill="auto"/>
            <w:vAlign w:val="center"/>
            <w:hideMark/>
          </w:tcPr>
          <w:p w14:paraId="500F657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KPA </w:t>
            </w:r>
          </w:p>
        </w:tc>
        <w:tc>
          <w:tcPr>
            <w:tcW w:w="1620" w:type="dxa"/>
            <w:tcBorders>
              <w:top w:val="nil"/>
              <w:left w:val="nil"/>
              <w:bottom w:val="single" w:sz="4" w:space="0" w:color="auto"/>
              <w:right w:val="single" w:sz="4" w:space="0" w:color="auto"/>
            </w:tcBorders>
            <w:shd w:val="clear" w:color="auto" w:fill="auto"/>
            <w:vAlign w:val="center"/>
            <w:hideMark/>
          </w:tcPr>
          <w:p w14:paraId="79B3533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6F8CB43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03EB257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086A4C85" w14:textId="77777777" w:rsidTr="0018109D">
        <w:trPr>
          <w:trHeight w:val="948"/>
        </w:trPr>
        <w:tc>
          <w:tcPr>
            <w:tcW w:w="1790" w:type="dxa"/>
            <w:vMerge/>
            <w:tcBorders>
              <w:top w:val="nil"/>
              <w:left w:val="single" w:sz="8" w:space="0" w:color="auto"/>
              <w:bottom w:val="single" w:sz="8" w:space="0" w:color="000000"/>
              <w:right w:val="single" w:sz="4" w:space="0" w:color="auto"/>
            </w:tcBorders>
            <w:vAlign w:val="center"/>
            <w:hideMark/>
          </w:tcPr>
          <w:p w14:paraId="40C32717"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19BF6BC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1.2.2.4 Arshivimi i çështjeve të KPA-së </w:t>
            </w:r>
          </w:p>
        </w:tc>
        <w:tc>
          <w:tcPr>
            <w:tcW w:w="1890" w:type="dxa"/>
            <w:tcBorders>
              <w:top w:val="nil"/>
              <w:left w:val="nil"/>
              <w:bottom w:val="single" w:sz="8" w:space="0" w:color="auto"/>
              <w:right w:val="single" w:sz="4" w:space="0" w:color="auto"/>
            </w:tcBorders>
            <w:shd w:val="clear" w:color="auto" w:fill="auto"/>
            <w:vAlign w:val="center"/>
            <w:hideMark/>
          </w:tcPr>
          <w:p w14:paraId="5F979E7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KPA </w:t>
            </w:r>
          </w:p>
        </w:tc>
        <w:tc>
          <w:tcPr>
            <w:tcW w:w="1620" w:type="dxa"/>
            <w:tcBorders>
              <w:top w:val="nil"/>
              <w:left w:val="nil"/>
              <w:bottom w:val="single" w:sz="8" w:space="0" w:color="auto"/>
              <w:right w:val="single" w:sz="4" w:space="0" w:color="auto"/>
            </w:tcBorders>
            <w:shd w:val="clear" w:color="auto" w:fill="auto"/>
            <w:vAlign w:val="center"/>
            <w:hideMark/>
          </w:tcPr>
          <w:p w14:paraId="56A82DC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0CF000C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8" w:space="0" w:color="auto"/>
              <w:right w:val="single" w:sz="8" w:space="0" w:color="auto"/>
            </w:tcBorders>
            <w:shd w:val="clear" w:color="000000" w:fill="DDEBF7"/>
            <w:vAlign w:val="center"/>
            <w:hideMark/>
          </w:tcPr>
          <w:p w14:paraId="6E59DC6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01A29D47" w14:textId="77777777" w:rsidTr="0018109D">
        <w:trPr>
          <w:trHeight w:val="1224"/>
        </w:trPr>
        <w:tc>
          <w:tcPr>
            <w:tcW w:w="1790" w:type="dxa"/>
            <w:vMerge w:val="restart"/>
            <w:tcBorders>
              <w:top w:val="nil"/>
              <w:left w:val="single" w:sz="8" w:space="0" w:color="auto"/>
              <w:bottom w:val="nil"/>
              <w:right w:val="single" w:sz="4" w:space="0" w:color="auto"/>
            </w:tcBorders>
            <w:shd w:val="clear" w:color="auto" w:fill="auto"/>
            <w:vAlign w:val="center"/>
            <w:hideMark/>
          </w:tcPr>
          <w:p w14:paraId="710634CC" w14:textId="0460F623"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1.2.3 Institucionet e vetting-ut sigurojnë referimin sistematik të çështjeve në prokurori, ku ka dyshime për elementë penalë </w:t>
            </w:r>
          </w:p>
        </w:tc>
        <w:tc>
          <w:tcPr>
            <w:tcW w:w="2520" w:type="dxa"/>
            <w:tcBorders>
              <w:top w:val="nil"/>
              <w:left w:val="nil"/>
              <w:bottom w:val="single" w:sz="4" w:space="0" w:color="auto"/>
              <w:right w:val="single" w:sz="4" w:space="0" w:color="auto"/>
            </w:tcBorders>
            <w:shd w:val="clear" w:color="auto" w:fill="auto"/>
            <w:vAlign w:val="center"/>
            <w:hideMark/>
          </w:tcPr>
          <w:p w14:paraId="162475F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1.2.3.1 Kryerja e analizave të çështjeve të vetting-ut që tashmë i janë referuar SPAK-ut nga organet e vettingut, duke përfshirë gjendjen aktuale të çështjeve në SPAK. </w:t>
            </w:r>
          </w:p>
        </w:tc>
        <w:tc>
          <w:tcPr>
            <w:tcW w:w="1890" w:type="dxa"/>
            <w:tcBorders>
              <w:top w:val="nil"/>
              <w:left w:val="nil"/>
              <w:bottom w:val="single" w:sz="4" w:space="0" w:color="auto"/>
              <w:right w:val="single" w:sz="4" w:space="0" w:color="auto"/>
            </w:tcBorders>
            <w:shd w:val="clear" w:color="auto" w:fill="auto"/>
            <w:vAlign w:val="center"/>
            <w:hideMark/>
          </w:tcPr>
          <w:p w14:paraId="0FCD4D8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KPK</w:t>
            </w:r>
          </w:p>
        </w:tc>
        <w:tc>
          <w:tcPr>
            <w:tcW w:w="1620" w:type="dxa"/>
            <w:tcBorders>
              <w:top w:val="nil"/>
              <w:left w:val="nil"/>
              <w:bottom w:val="single" w:sz="4" w:space="0" w:color="auto"/>
              <w:right w:val="single" w:sz="4" w:space="0" w:color="auto"/>
            </w:tcBorders>
            <w:shd w:val="clear" w:color="auto" w:fill="auto"/>
            <w:vAlign w:val="center"/>
            <w:hideMark/>
          </w:tcPr>
          <w:p w14:paraId="52242FF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1514DE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727819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352E6BC9" w14:textId="77777777" w:rsidTr="0018109D">
        <w:trPr>
          <w:trHeight w:val="2244"/>
        </w:trPr>
        <w:tc>
          <w:tcPr>
            <w:tcW w:w="1790" w:type="dxa"/>
            <w:vMerge/>
            <w:tcBorders>
              <w:top w:val="nil"/>
              <w:left w:val="single" w:sz="8" w:space="0" w:color="auto"/>
              <w:bottom w:val="nil"/>
              <w:right w:val="single" w:sz="4" w:space="0" w:color="auto"/>
            </w:tcBorders>
            <w:vAlign w:val="center"/>
            <w:hideMark/>
          </w:tcPr>
          <w:p w14:paraId="56785B19"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nil"/>
              <w:right w:val="single" w:sz="4" w:space="0" w:color="auto"/>
            </w:tcBorders>
            <w:shd w:val="clear" w:color="auto" w:fill="auto"/>
            <w:vAlign w:val="center"/>
            <w:hideMark/>
          </w:tcPr>
          <w:p w14:paraId="624BB1A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1.2.3.2 Pasqyrë e çështjeve të vetting-ut të përfunduara me qëllim referimin në SPAK, aty ku ka indicie te rasteve të subjekteve të dorëhequr nga procesi sipas Nenit G të Aneksit Kushtetutes.</w:t>
            </w:r>
          </w:p>
        </w:tc>
        <w:tc>
          <w:tcPr>
            <w:tcW w:w="1890" w:type="dxa"/>
            <w:tcBorders>
              <w:top w:val="nil"/>
              <w:left w:val="nil"/>
              <w:bottom w:val="nil"/>
              <w:right w:val="single" w:sz="4" w:space="0" w:color="auto"/>
            </w:tcBorders>
            <w:shd w:val="clear" w:color="auto" w:fill="auto"/>
            <w:vAlign w:val="center"/>
            <w:hideMark/>
          </w:tcPr>
          <w:p w14:paraId="0CEB951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KPK</w:t>
            </w:r>
          </w:p>
        </w:tc>
        <w:tc>
          <w:tcPr>
            <w:tcW w:w="1620" w:type="dxa"/>
            <w:tcBorders>
              <w:top w:val="nil"/>
              <w:left w:val="nil"/>
              <w:bottom w:val="nil"/>
              <w:right w:val="single" w:sz="4" w:space="0" w:color="auto"/>
            </w:tcBorders>
            <w:shd w:val="clear" w:color="auto" w:fill="auto"/>
            <w:vAlign w:val="center"/>
            <w:hideMark/>
          </w:tcPr>
          <w:p w14:paraId="44C2332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nil"/>
              <w:right w:val="single" w:sz="4" w:space="0" w:color="auto"/>
            </w:tcBorders>
            <w:shd w:val="clear" w:color="000000" w:fill="DDEBF7"/>
            <w:vAlign w:val="center"/>
            <w:hideMark/>
          </w:tcPr>
          <w:p w14:paraId="6931E6D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nil"/>
              <w:right w:val="single" w:sz="8" w:space="0" w:color="auto"/>
            </w:tcBorders>
            <w:shd w:val="clear" w:color="000000" w:fill="DDEBF7"/>
            <w:vAlign w:val="center"/>
            <w:hideMark/>
          </w:tcPr>
          <w:p w14:paraId="3A71A75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6383699A" w14:textId="77777777" w:rsidTr="0018109D">
        <w:trPr>
          <w:trHeight w:val="1710"/>
        </w:trPr>
        <w:tc>
          <w:tcPr>
            <w:tcW w:w="179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0E9BF0E" w14:textId="090169EA"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1.2.4 Shërbimet e prokurorisë në mënyrë proaktive nisin procedimin penal ndaj gjyqtarëve dhe prokurorëve, procesi i vetting-ut  të të cilëve ka zbuluar elementë penalë.</w:t>
            </w:r>
          </w:p>
        </w:tc>
        <w:tc>
          <w:tcPr>
            <w:tcW w:w="2520" w:type="dxa"/>
            <w:tcBorders>
              <w:top w:val="single" w:sz="8" w:space="0" w:color="auto"/>
              <w:left w:val="nil"/>
              <w:bottom w:val="single" w:sz="4" w:space="0" w:color="auto"/>
              <w:right w:val="single" w:sz="4" w:space="0" w:color="auto"/>
            </w:tcBorders>
            <w:shd w:val="clear" w:color="auto" w:fill="auto"/>
            <w:vAlign w:val="center"/>
            <w:hideMark/>
          </w:tcPr>
          <w:p w14:paraId="32536F6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1.2.4.1 Prokuroritë e juridiksionit të përgjithshëm do të vlerësojmë me prioritet çdo referim të ardhur nga KPK, KPA, cdo institucion apo individ lidhur me ish prokurorë apo gjyqtarë të shkarkuar nga procesi i rivlerësimit</w:t>
            </w:r>
          </w:p>
        </w:tc>
        <w:tc>
          <w:tcPr>
            <w:tcW w:w="1890" w:type="dxa"/>
            <w:tcBorders>
              <w:top w:val="single" w:sz="8" w:space="0" w:color="auto"/>
              <w:left w:val="nil"/>
              <w:bottom w:val="single" w:sz="4" w:space="0" w:color="auto"/>
              <w:right w:val="single" w:sz="4" w:space="0" w:color="auto"/>
            </w:tcBorders>
            <w:shd w:val="clear" w:color="auto" w:fill="auto"/>
            <w:vAlign w:val="center"/>
            <w:hideMark/>
          </w:tcPr>
          <w:p w14:paraId="45E58AC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PP/KPK, KPA</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120A9FC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single" w:sz="8" w:space="0" w:color="auto"/>
              <w:left w:val="nil"/>
              <w:bottom w:val="single" w:sz="4" w:space="0" w:color="auto"/>
              <w:right w:val="single" w:sz="4" w:space="0" w:color="auto"/>
            </w:tcBorders>
            <w:shd w:val="clear" w:color="000000" w:fill="DDEBF7"/>
            <w:vAlign w:val="center"/>
            <w:hideMark/>
          </w:tcPr>
          <w:p w14:paraId="3CA0962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single" w:sz="8" w:space="0" w:color="auto"/>
              <w:left w:val="nil"/>
              <w:bottom w:val="single" w:sz="4" w:space="0" w:color="auto"/>
              <w:right w:val="single" w:sz="8" w:space="0" w:color="auto"/>
            </w:tcBorders>
            <w:shd w:val="clear" w:color="000000" w:fill="DDEBF7"/>
            <w:vAlign w:val="center"/>
            <w:hideMark/>
          </w:tcPr>
          <w:p w14:paraId="77ADD9A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2CE36C47" w14:textId="77777777" w:rsidTr="0018109D">
        <w:trPr>
          <w:trHeight w:val="1710"/>
        </w:trPr>
        <w:tc>
          <w:tcPr>
            <w:tcW w:w="1790" w:type="dxa"/>
            <w:vMerge/>
            <w:tcBorders>
              <w:top w:val="single" w:sz="8" w:space="0" w:color="auto"/>
              <w:left w:val="single" w:sz="8" w:space="0" w:color="auto"/>
              <w:bottom w:val="single" w:sz="8" w:space="0" w:color="000000"/>
              <w:right w:val="single" w:sz="4" w:space="0" w:color="auto"/>
            </w:tcBorders>
            <w:vAlign w:val="center"/>
            <w:hideMark/>
          </w:tcPr>
          <w:p w14:paraId="4377310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EA1C67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1.2.4.2 Përditësimet e rregullta nëpërmjet deklaratave publike për statusin e çështjeve penale kanë nisur ndjekjen e gjetjeve të çështjeve të vetting-ut. Vazhdimi per praktiken e njoftimit te publikut per ceshtjet e hetuara nga </w:t>
            </w:r>
            <w:r w:rsidRPr="007440A2">
              <w:rPr>
                <w:rFonts w:ascii="Times New Roman" w:eastAsia="Times New Roman" w:hAnsi="Times New Roman" w:cs="Times New Roman"/>
                <w:b/>
                <w:bCs/>
                <w:sz w:val="20"/>
                <w:szCs w:val="20"/>
              </w:rPr>
              <w:t>SPAK</w:t>
            </w:r>
            <w:r w:rsidRPr="007440A2">
              <w:rPr>
                <w:rFonts w:ascii="Times New Roman" w:eastAsia="Times New Roman" w:hAnsi="Times New Roman" w:cs="Times New Roman"/>
                <w:sz w:val="20"/>
                <w:szCs w:val="20"/>
              </w:rPr>
              <w:t xml:space="preserve"> sipas ligjit.</w:t>
            </w:r>
          </w:p>
        </w:tc>
        <w:tc>
          <w:tcPr>
            <w:tcW w:w="1890" w:type="dxa"/>
            <w:tcBorders>
              <w:top w:val="nil"/>
              <w:left w:val="nil"/>
              <w:bottom w:val="single" w:sz="4" w:space="0" w:color="auto"/>
              <w:right w:val="single" w:sz="4" w:space="0" w:color="auto"/>
            </w:tcBorders>
            <w:shd w:val="clear" w:color="auto" w:fill="auto"/>
            <w:vAlign w:val="center"/>
            <w:hideMark/>
          </w:tcPr>
          <w:p w14:paraId="2F46CD8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w:t>
            </w:r>
          </w:p>
        </w:tc>
        <w:tc>
          <w:tcPr>
            <w:tcW w:w="1620" w:type="dxa"/>
            <w:tcBorders>
              <w:top w:val="nil"/>
              <w:left w:val="nil"/>
              <w:bottom w:val="single" w:sz="4" w:space="0" w:color="auto"/>
              <w:right w:val="single" w:sz="4" w:space="0" w:color="auto"/>
            </w:tcBorders>
            <w:shd w:val="clear" w:color="auto" w:fill="auto"/>
            <w:vAlign w:val="center"/>
            <w:hideMark/>
          </w:tcPr>
          <w:p w14:paraId="4A47337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288D64D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53638B4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8C15C1F" w14:textId="77777777" w:rsidTr="0018109D">
        <w:trPr>
          <w:trHeight w:val="1710"/>
        </w:trPr>
        <w:tc>
          <w:tcPr>
            <w:tcW w:w="1790" w:type="dxa"/>
            <w:vMerge/>
            <w:tcBorders>
              <w:top w:val="single" w:sz="8" w:space="0" w:color="auto"/>
              <w:left w:val="single" w:sz="8" w:space="0" w:color="auto"/>
              <w:bottom w:val="single" w:sz="8" w:space="0" w:color="000000"/>
              <w:right w:val="single" w:sz="4" w:space="0" w:color="auto"/>
            </w:tcBorders>
            <w:vAlign w:val="center"/>
            <w:hideMark/>
          </w:tcPr>
          <w:p w14:paraId="2BBDA3D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542D32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1.2.4.3 Analiza të rregullta për hapjen e hetimeve penale në bazë të gjetjeve të vettingut dhe procedimet penale të përfunduara me vendim të formës së prerë. </w:t>
            </w:r>
          </w:p>
        </w:tc>
        <w:tc>
          <w:tcPr>
            <w:tcW w:w="1890" w:type="dxa"/>
            <w:tcBorders>
              <w:top w:val="nil"/>
              <w:left w:val="nil"/>
              <w:bottom w:val="single" w:sz="4" w:space="0" w:color="auto"/>
              <w:right w:val="single" w:sz="4" w:space="0" w:color="auto"/>
            </w:tcBorders>
            <w:shd w:val="clear" w:color="auto" w:fill="auto"/>
            <w:vAlign w:val="center"/>
            <w:hideMark/>
          </w:tcPr>
          <w:p w14:paraId="0FAB88E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w:t>
            </w:r>
          </w:p>
        </w:tc>
        <w:tc>
          <w:tcPr>
            <w:tcW w:w="1620" w:type="dxa"/>
            <w:tcBorders>
              <w:top w:val="nil"/>
              <w:left w:val="nil"/>
              <w:bottom w:val="single" w:sz="4" w:space="0" w:color="auto"/>
              <w:right w:val="single" w:sz="4" w:space="0" w:color="auto"/>
            </w:tcBorders>
            <w:shd w:val="clear" w:color="auto" w:fill="auto"/>
            <w:vAlign w:val="center"/>
            <w:hideMark/>
          </w:tcPr>
          <w:p w14:paraId="42AF40C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854399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(Deri në qershor 2025; qershor 2026; qershor 2028)</w:t>
            </w:r>
          </w:p>
        </w:tc>
        <w:tc>
          <w:tcPr>
            <w:tcW w:w="1260" w:type="dxa"/>
            <w:tcBorders>
              <w:top w:val="nil"/>
              <w:left w:val="nil"/>
              <w:bottom w:val="single" w:sz="4" w:space="0" w:color="auto"/>
              <w:right w:val="single" w:sz="8" w:space="0" w:color="auto"/>
            </w:tcBorders>
            <w:shd w:val="clear" w:color="000000" w:fill="DDEBF7"/>
            <w:vAlign w:val="center"/>
            <w:hideMark/>
          </w:tcPr>
          <w:p w14:paraId="3231BA3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(Deri në qershor 2025; qershor 2026; qershor 2028)</w:t>
            </w:r>
          </w:p>
        </w:tc>
      </w:tr>
      <w:tr w:rsidR="007440A2" w:rsidRPr="007440A2" w14:paraId="4507C094" w14:textId="77777777" w:rsidTr="0018109D">
        <w:trPr>
          <w:trHeight w:val="1308"/>
        </w:trPr>
        <w:tc>
          <w:tcPr>
            <w:tcW w:w="1790" w:type="dxa"/>
            <w:vMerge/>
            <w:tcBorders>
              <w:top w:val="single" w:sz="8" w:space="0" w:color="auto"/>
              <w:left w:val="single" w:sz="8" w:space="0" w:color="auto"/>
              <w:bottom w:val="single" w:sz="8" w:space="0" w:color="000000"/>
              <w:right w:val="single" w:sz="4" w:space="0" w:color="auto"/>
            </w:tcBorders>
            <w:vAlign w:val="center"/>
            <w:hideMark/>
          </w:tcPr>
          <w:p w14:paraId="6CF7D51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nil"/>
              <w:right w:val="single" w:sz="4" w:space="0" w:color="auto"/>
            </w:tcBorders>
            <w:shd w:val="clear" w:color="auto" w:fill="auto"/>
            <w:vAlign w:val="center"/>
            <w:hideMark/>
          </w:tcPr>
          <w:p w14:paraId="7AB5FC23" w14:textId="06E72393"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1.2.4.4 Raportim </w:t>
            </w:r>
            <w:r w:rsidR="00984814">
              <w:rPr>
                <w:rFonts w:ascii="Times New Roman" w:eastAsia="Times New Roman" w:hAnsi="Times New Roman" w:cs="Times New Roman"/>
                <w:sz w:val="20"/>
                <w:szCs w:val="20"/>
              </w:rPr>
              <w:t>i</w:t>
            </w:r>
            <w:r w:rsidRPr="007440A2">
              <w:rPr>
                <w:rFonts w:ascii="Times New Roman" w:eastAsia="Times New Roman" w:hAnsi="Times New Roman" w:cs="Times New Roman"/>
                <w:sz w:val="20"/>
                <w:szCs w:val="20"/>
              </w:rPr>
              <w:t xml:space="preserve"> rregullt ne gjendjen e hetimeve kriminale kunder ish-gjykatesve dhe ish-prokuroreve duke perfshire dhe investigimet pasurore dhe prandaluese.</w:t>
            </w:r>
          </w:p>
        </w:tc>
        <w:tc>
          <w:tcPr>
            <w:tcW w:w="1890" w:type="dxa"/>
            <w:tcBorders>
              <w:top w:val="nil"/>
              <w:left w:val="nil"/>
              <w:bottom w:val="nil"/>
              <w:right w:val="single" w:sz="4" w:space="0" w:color="auto"/>
            </w:tcBorders>
            <w:shd w:val="clear" w:color="auto" w:fill="auto"/>
            <w:vAlign w:val="center"/>
            <w:hideMark/>
          </w:tcPr>
          <w:p w14:paraId="3296BA6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PP</w:t>
            </w:r>
          </w:p>
        </w:tc>
        <w:tc>
          <w:tcPr>
            <w:tcW w:w="1620" w:type="dxa"/>
            <w:tcBorders>
              <w:top w:val="nil"/>
              <w:left w:val="nil"/>
              <w:bottom w:val="single" w:sz="4" w:space="0" w:color="auto"/>
              <w:right w:val="single" w:sz="4" w:space="0" w:color="auto"/>
            </w:tcBorders>
            <w:shd w:val="clear" w:color="auto" w:fill="auto"/>
            <w:vAlign w:val="center"/>
            <w:hideMark/>
          </w:tcPr>
          <w:p w14:paraId="5B7B079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9DE3E5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E09477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5D75FAD" w14:textId="77777777" w:rsidTr="0018109D">
        <w:trPr>
          <w:trHeight w:val="1152"/>
        </w:trPr>
        <w:tc>
          <w:tcPr>
            <w:tcW w:w="1790" w:type="dxa"/>
            <w:vMerge/>
            <w:tcBorders>
              <w:top w:val="single" w:sz="8" w:space="0" w:color="auto"/>
              <w:left w:val="single" w:sz="8" w:space="0" w:color="auto"/>
              <w:bottom w:val="single" w:sz="8" w:space="0" w:color="000000"/>
              <w:right w:val="single" w:sz="4" w:space="0" w:color="auto"/>
            </w:tcBorders>
            <w:vAlign w:val="center"/>
            <w:hideMark/>
          </w:tcPr>
          <w:p w14:paraId="5573BC8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single" w:sz="4" w:space="0" w:color="auto"/>
              <w:left w:val="nil"/>
              <w:bottom w:val="single" w:sz="8" w:space="0" w:color="auto"/>
              <w:right w:val="single" w:sz="4" w:space="0" w:color="auto"/>
            </w:tcBorders>
            <w:shd w:val="clear" w:color="auto" w:fill="auto"/>
            <w:vAlign w:val="center"/>
            <w:hideMark/>
          </w:tcPr>
          <w:p w14:paraId="5413EA1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1.2.4.5 GJKKO raporton rregullisht per ceshtjet e lidhura me ndjekjen penale te ish-magjistrateve te larguar nga procesi i vetting-ut  te cilat jane ne gjykim ose jane pushuar. </w:t>
            </w:r>
          </w:p>
        </w:tc>
        <w:tc>
          <w:tcPr>
            <w:tcW w:w="1890" w:type="dxa"/>
            <w:tcBorders>
              <w:top w:val="single" w:sz="4" w:space="0" w:color="auto"/>
              <w:left w:val="nil"/>
              <w:bottom w:val="single" w:sz="8" w:space="0" w:color="auto"/>
              <w:right w:val="single" w:sz="4" w:space="0" w:color="auto"/>
            </w:tcBorders>
            <w:shd w:val="clear" w:color="auto" w:fill="auto"/>
            <w:vAlign w:val="center"/>
            <w:hideMark/>
          </w:tcPr>
          <w:p w14:paraId="1B097CC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GJKKO</w:t>
            </w:r>
          </w:p>
        </w:tc>
        <w:tc>
          <w:tcPr>
            <w:tcW w:w="1620" w:type="dxa"/>
            <w:tcBorders>
              <w:top w:val="nil"/>
              <w:left w:val="nil"/>
              <w:bottom w:val="single" w:sz="8" w:space="0" w:color="auto"/>
              <w:right w:val="single" w:sz="4" w:space="0" w:color="auto"/>
            </w:tcBorders>
            <w:shd w:val="clear" w:color="auto" w:fill="auto"/>
            <w:vAlign w:val="center"/>
            <w:hideMark/>
          </w:tcPr>
          <w:p w14:paraId="5603DB9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6D0D1EA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2B5CE55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C9A3D68" w14:textId="77777777" w:rsidTr="0018109D">
        <w:trPr>
          <w:trHeight w:val="1008"/>
        </w:trPr>
        <w:tc>
          <w:tcPr>
            <w:tcW w:w="4310" w:type="dxa"/>
            <w:gridSpan w:val="2"/>
            <w:tcBorders>
              <w:top w:val="nil"/>
              <w:left w:val="single" w:sz="8" w:space="0" w:color="auto"/>
              <w:bottom w:val="single" w:sz="8" w:space="0" w:color="auto"/>
              <w:right w:val="nil"/>
            </w:tcBorders>
            <w:shd w:val="clear" w:color="000000" w:fill="9CC2E5"/>
            <w:vAlign w:val="center"/>
            <w:hideMark/>
          </w:tcPr>
          <w:p w14:paraId="527E293E"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1.3:</w:t>
            </w:r>
          </w:p>
        </w:tc>
        <w:tc>
          <w:tcPr>
            <w:tcW w:w="6480" w:type="dxa"/>
            <w:gridSpan w:val="4"/>
            <w:tcBorders>
              <w:top w:val="nil"/>
              <w:left w:val="single" w:sz="8" w:space="0" w:color="auto"/>
              <w:bottom w:val="single" w:sz="8" w:space="0" w:color="auto"/>
              <w:right w:val="single" w:sz="8" w:space="0" w:color="000000"/>
            </w:tcBorders>
            <w:shd w:val="clear" w:color="000000" w:fill="9CC2E5"/>
            <w:vAlign w:val="center"/>
            <w:hideMark/>
          </w:tcPr>
          <w:p w14:paraId="4D010E9B"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Ruajtja dhe zhvillimi i mëtejshëm i kapacitetit profesional, pavarësisë dhe efikasitetit të organeve të qeverisjes së drejtësisë</w:t>
            </w:r>
          </w:p>
        </w:tc>
      </w:tr>
      <w:tr w:rsidR="007440A2" w:rsidRPr="007440A2" w14:paraId="4B0C4274" w14:textId="77777777" w:rsidTr="0018109D">
        <w:trPr>
          <w:trHeight w:val="600"/>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0432843E"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2108009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Perqindja e anëtarëve dhe stafit administrativ të KLGJ-së dhe KLP-se të trajnuar për çështje që lidhen me detyrat e tyre funksionale</w:t>
            </w:r>
          </w:p>
        </w:tc>
      </w:tr>
      <w:tr w:rsidR="007440A2" w:rsidRPr="007440A2" w14:paraId="18FD0101" w14:textId="77777777" w:rsidTr="0018109D">
        <w:trPr>
          <w:trHeight w:val="585"/>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305E378E"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29860D24"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16B2EDA8"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6953F5C2"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5508085D"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3035BF6A"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345FF50E" w14:textId="77777777" w:rsidTr="0018109D">
        <w:trPr>
          <w:trHeight w:val="585"/>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3D1C3F62"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1.3.1 KLP-ja miraton legjislacionin e nevojshëm dytësor për të përfunduar procedurën e vlerësimit për prokurorët. (KLP-ja miraton rregullat e procedurave të vlerësimit në PP dhe rregullat e procedurës për drejtuesit e prokurorive)</w:t>
            </w:r>
          </w:p>
        </w:tc>
        <w:tc>
          <w:tcPr>
            <w:tcW w:w="2520" w:type="dxa"/>
            <w:tcBorders>
              <w:top w:val="nil"/>
              <w:left w:val="nil"/>
              <w:bottom w:val="single" w:sz="4" w:space="0" w:color="auto"/>
              <w:right w:val="single" w:sz="4" w:space="0" w:color="auto"/>
            </w:tcBorders>
            <w:shd w:val="clear" w:color="auto" w:fill="auto"/>
            <w:vAlign w:val="center"/>
            <w:hideMark/>
          </w:tcPr>
          <w:p w14:paraId="7FB8590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1.3.1.1 KLP-ja krijon një grup pune për hartimin e akteve nënligjore që mungojnë në lidhje me vlerësimin e performancës së prokurorëve </w:t>
            </w:r>
          </w:p>
        </w:tc>
        <w:tc>
          <w:tcPr>
            <w:tcW w:w="1890" w:type="dxa"/>
            <w:tcBorders>
              <w:top w:val="nil"/>
              <w:left w:val="nil"/>
              <w:bottom w:val="single" w:sz="4" w:space="0" w:color="auto"/>
              <w:right w:val="single" w:sz="4" w:space="0" w:color="auto"/>
            </w:tcBorders>
            <w:shd w:val="clear" w:color="auto" w:fill="auto"/>
            <w:vAlign w:val="center"/>
            <w:hideMark/>
          </w:tcPr>
          <w:p w14:paraId="5E3C7E3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KLP</w:t>
            </w:r>
          </w:p>
        </w:tc>
        <w:tc>
          <w:tcPr>
            <w:tcW w:w="1620" w:type="dxa"/>
            <w:tcBorders>
              <w:top w:val="nil"/>
              <w:left w:val="nil"/>
              <w:bottom w:val="single" w:sz="4" w:space="0" w:color="auto"/>
              <w:right w:val="single" w:sz="4" w:space="0" w:color="auto"/>
            </w:tcBorders>
            <w:shd w:val="clear" w:color="auto" w:fill="auto"/>
            <w:vAlign w:val="center"/>
            <w:hideMark/>
          </w:tcPr>
          <w:p w14:paraId="51C2FCFD"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40705D2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1B2D34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643F3E86" w14:textId="77777777" w:rsidTr="0018109D">
        <w:trPr>
          <w:trHeight w:val="1008"/>
        </w:trPr>
        <w:tc>
          <w:tcPr>
            <w:tcW w:w="1790" w:type="dxa"/>
            <w:vMerge/>
            <w:tcBorders>
              <w:top w:val="nil"/>
              <w:left w:val="single" w:sz="8" w:space="0" w:color="auto"/>
              <w:bottom w:val="single" w:sz="8" w:space="0" w:color="000000"/>
              <w:right w:val="single" w:sz="4" w:space="0" w:color="auto"/>
            </w:tcBorders>
            <w:vAlign w:val="center"/>
            <w:hideMark/>
          </w:tcPr>
          <w:p w14:paraId="6048DEA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692417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1.3.1.2 Grupi i Punës kryen një analizë për pjesët e legjislacionit dytësor që mungojnë në lidhje me vlerësimin e performancës së prokurorëve dhe miraton një plan për aktet nënligjore. </w:t>
            </w:r>
          </w:p>
        </w:tc>
        <w:tc>
          <w:tcPr>
            <w:tcW w:w="1890" w:type="dxa"/>
            <w:tcBorders>
              <w:top w:val="nil"/>
              <w:left w:val="nil"/>
              <w:bottom w:val="single" w:sz="4" w:space="0" w:color="auto"/>
              <w:right w:val="single" w:sz="4" w:space="0" w:color="auto"/>
            </w:tcBorders>
            <w:shd w:val="clear" w:color="auto" w:fill="auto"/>
            <w:vAlign w:val="center"/>
            <w:hideMark/>
          </w:tcPr>
          <w:p w14:paraId="13E7920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KLP</w:t>
            </w:r>
          </w:p>
        </w:tc>
        <w:tc>
          <w:tcPr>
            <w:tcW w:w="1620" w:type="dxa"/>
            <w:tcBorders>
              <w:top w:val="nil"/>
              <w:left w:val="nil"/>
              <w:bottom w:val="single" w:sz="4" w:space="0" w:color="auto"/>
              <w:right w:val="single" w:sz="4" w:space="0" w:color="auto"/>
            </w:tcBorders>
            <w:shd w:val="clear" w:color="auto" w:fill="auto"/>
            <w:vAlign w:val="center"/>
            <w:hideMark/>
          </w:tcPr>
          <w:p w14:paraId="35D92DA5"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67B8E16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AAB99F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5E884680" w14:textId="77777777" w:rsidTr="0018109D">
        <w:trPr>
          <w:trHeight w:val="1080"/>
        </w:trPr>
        <w:tc>
          <w:tcPr>
            <w:tcW w:w="1790" w:type="dxa"/>
            <w:vMerge/>
            <w:tcBorders>
              <w:top w:val="nil"/>
              <w:left w:val="single" w:sz="8" w:space="0" w:color="auto"/>
              <w:bottom w:val="single" w:sz="8" w:space="0" w:color="000000"/>
              <w:right w:val="single" w:sz="4" w:space="0" w:color="auto"/>
            </w:tcBorders>
            <w:vAlign w:val="center"/>
            <w:hideMark/>
          </w:tcPr>
          <w:p w14:paraId="694E7CA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31235E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1.3.1.3 KLP-ja harton propozime për ndryshime në aktet nënligjore ekzistuese për vlerësimin e performancës. </w:t>
            </w:r>
          </w:p>
        </w:tc>
        <w:tc>
          <w:tcPr>
            <w:tcW w:w="1890" w:type="dxa"/>
            <w:tcBorders>
              <w:top w:val="nil"/>
              <w:left w:val="nil"/>
              <w:bottom w:val="single" w:sz="4" w:space="0" w:color="auto"/>
              <w:right w:val="single" w:sz="4" w:space="0" w:color="auto"/>
            </w:tcBorders>
            <w:shd w:val="clear" w:color="auto" w:fill="auto"/>
            <w:vAlign w:val="center"/>
            <w:hideMark/>
          </w:tcPr>
          <w:p w14:paraId="6CAA506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KLP</w:t>
            </w:r>
          </w:p>
        </w:tc>
        <w:tc>
          <w:tcPr>
            <w:tcW w:w="1620" w:type="dxa"/>
            <w:tcBorders>
              <w:top w:val="nil"/>
              <w:left w:val="nil"/>
              <w:bottom w:val="single" w:sz="4" w:space="0" w:color="auto"/>
              <w:right w:val="single" w:sz="4" w:space="0" w:color="auto"/>
            </w:tcBorders>
            <w:shd w:val="clear" w:color="auto" w:fill="auto"/>
            <w:vAlign w:val="center"/>
            <w:hideMark/>
          </w:tcPr>
          <w:p w14:paraId="5CDA904D"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47DEBC8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6F2753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26284863" w14:textId="77777777" w:rsidTr="0018109D">
        <w:trPr>
          <w:trHeight w:val="1008"/>
        </w:trPr>
        <w:tc>
          <w:tcPr>
            <w:tcW w:w="1790" w:type="dxa"/>
            <w:vMerge/>
            <w:tcBorders>
              <w:top w:val="nil"/>
              <w:left w:val="single" w:sz="8" w:space="0" w:color="auto"/>
              <w:bottom w:val="single" w:sz="8" w:space="0" w:color="000000"/>
              <w:right w:val="single" w:sz="4" w:space="0" w:color="auto"/>
            </w:tcBorders>
            <w:vAlign w:val="center"/>
            <w:hideMark/>
          </w:tcPr>
          <w:p w14:paraId="2D05962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4A5F6250"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1.3.1.4 KLP-ja miraton aktet nënligjore për prokurorët. </w:t>
            </w:r>
          </w:p>
        </w:tc>
        <w:tc>
          <w:tcPr>
            <w:tcW w:w="1890" w:type="dxa"/>
            <w:tcBorders>
              <w:top w:val="nil"/>
              <w:left w:val="nil"/>
              <w:bottom w:val="single" w:sz="8" w:space="0" w:color="auto"/>
              <w:right w:val="single" w:sz="4" w:space="0" w:color="auto"/>
            </w:tcBorders>
            <w:shd w:val="clear" w:color="auto" w:fill="auto"/>
            <w:vAlign w:val="center"/>
            <w:hideMark/>
          </w:tcPr>
          <w:p w14:paraId="484B7DB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KLP</w:t>
            </w:r>
          </w:p>
        </w:tc>
        <w:tc>
          <w:tcPr>
            <w:tcW w:w="1620" w:type="dxa"/>
            <w:tcBorders>
              <w:top w:val="nil"/>
              <w:left w:val="nil"/>
              <w:bottom w:val="single" w:sz="8" w:space="0" w:color="auto"/>
              <w:right w:val="single" w:sz="4" w:space="0" w:color="auto"/>
            </w:tcBorders>
            <w:shd w:val="clear" w:color="auto" w:fill="auto"/>
            <w:vAlign w:val="center"/>
            <w:hideMark/>
          </w:tcPr>
          <w:p w14:paraId="1322A97A"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33CC788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46397AC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6A9F3B31" w14:textId="77777777" w:rsidTr="0018109D">
        <w:trPr>
          <w:trHeight w:val="768"/>
        </w:trPr>
        <w:tc>
          <w:tcPr>
            <w:tcW w:w="1790" w:type="dxa"/>
            <w:vMerge w:val="restart"/>
            <w:tcBorders>
              <w:top w:val="nil"/>
              <w:left w:val="single" w:sz="8" w:space="0" w:color="auto"/>
              <w:bottom w:val="single" w:sz="8" w:space="0" w:color="000000"/>
              <w:right w:val="nil"/>
            </w:tcBorders>
            <w:shd w:val="clear" w:color="auto" w:fill="auto"/>
            <w:vAlign w:val="center"/>
            <w:hideMark/>
          </w:tcPr>
          <w:p w14:paraId="726DCFDC" w14:textId="6C4C7A58"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1.3.2 Këshilli i Emërimeve në Drejtësi duhet të përafrojë plotësisht procedurat e tij me rekomandimet e Komisionit të Venecias dhe të rrisë transparencën</w:t>
            </w:r>
          </w:p>
        </w:tc>
        <w:tc>
          <w:tcPr>
            <w:tcW w:w="2520" w:type="dxa"/>
            <w:tcBorders>
              <w:top w:val="nil"/>
              <w:left w:val="single" w:sz="8" w:space="0" w:color="auto"/>
              <w:bottom w:val="single" w:sz="4" w:space="0" w:color="auto"/>
              <w:right w:val="single" w:sz="4" w:space="0" w:color="auto"/>
            </w:tcBorders>
            <w:shd w:val="clear" w:color="auto" w:fill="auto"/>
            <w:vAlign w:val="center"/>
            <w:hideMark/>
          </w:tcPr>
          <w:p w14:paraId="79CC193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1.3.2.1 KED-ja kryen një rishikim të akteve nënligjore për t'i përafruar ato me rekomandimet e Komisionit të Venecias. </w:t>
            </w:r>
          </w:p>
        </w:tc>
        <w:tc>
          <w:tcPr>
            <w:tcW w:w="1890" w:type="dxa"/>
            <w:tcBorders>
              <w:top w:val="nil"/>
              <w:left w:val="nil"/>
              <w:bottom w:val="single" w:sz="4" w:space="0" w:color="auto"/>
              <w:right w:val="single" w:sz="4" w:space="0" w:color="auto"/>
            </w:tcBorders>
            <w:shd w:val="clear" w:color="auto" w:fill="auto"/>
            <w:vAlign w:val="center"/>
            <w:hideMark/>
          </w:tcPr>
          <w:p w14:paraId="25F03B3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KED</w:t>
            </w:r>
          </w:p>
        </w:tc>
        <w:tc>
          <w:tcPr>
            <w:tcW w:w="1620" w:type="dxa"/>
            <w:tcBorders>
              <w:top w:val="nil"/>
              <w:left w:val="nil"/>
              <w:bottom w:val="single" w:sz="4" w:space="0" w:color="auto"/>
              <w:right w:val="single" w:sz="8" w:space="0" w:color="auto"/>
            </w:tcBorders>
            <w:shd w:val="clear" w:color="auto" w:fill="auto"/>
            <w:vAlign w:val="center"/>
            <w:hideMark/>
          </w:tcPr>
          <w:p w14:paraId="0C1C2D3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GJL</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2FFF12A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677ABC8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7C5DC85C" w14:textId="77777777" w:rsidTr="0018109D">
        <w:trPr>
          <w:trHeight w:val="1632"/>
        </w:trPr>
        <w:tc>
          <w:tcPr>
            <w:tcW w:w="1790" w:type="dxa"/>
            <w:vMerge/>
            <w:tcBorders>
              <w:top w:val="nil"/>
              <w:left w:val="single" w:sz="8" w:space="0" w:color="auto"/>
              <w:bottom w:val="single" w:sz="8" w:space="0" w:color="000000"/>
              <w:right w:val="nil"/>
            </w:tcBorders>
            <w:vAlign w:val="center"/>
            <w:hideMark/>
          </w:tcPr>
          <w:p w14:paraId="79AEB0D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single" w:sz="8" w:space="0" w:color="auto"/>
              <w:bottom w:val="single" w:sz="8" w:space="0" w:color="auto"/>
              <w:right w:val="single" w:sz="4" w:space="0" w:color="auto"/>
            </w:tcBorders>
            <w:shd w:val="clear" w:color="auto" w:fill="auto"/>
            <w:vAlign w:val="center"/>
            <w:hideMark/>
          </w:tcPr>
          <w:p w14:paraId="3DC2695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1.3.2.2 Publikimi i akteve nënligjore dhe publikimi i rregullt i dokumenteve të tjera përkatëse të KED-së në faqen e dedikuar të internetit të GJL-së për të rritur transparencën e aktiviteteve të KED-së. </w:t>
            </w:r>
          </w:p>
        </w:tc>
        <w:tc>
          <w:tcPr>
            <w:tcW w:w="1890" w:type="dxa"/>
            <w:tcBorders>
              <w:top w:val="nil"/>
              <w:left w:val="nil"/>
              <w:bottom w:val="single" w:sz="8" w:space="0" w:color="auto"/>
              <w:right w:val="single" w:sz="4" w:space="0" w:color="auto"/>
            </w:tcBorders>
            <w:shd w:val="clear" w:color="auto" w:fill="auto"/>
            <w:vAlign w:val="center"/>
            <w:hideMark/>
          </w:tcPr>
          <w:p w14:paraId="664F1A2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KED</w:t>
            </w:r>
          </w:p>
        </w:tc>
        <w:tc>
          <w:tcPr>
            <w:tcW w:w="1620" w:type="dxa"/>
            <w:tcBorders>
              <w:top w:val="nil"/>
              <w:left w:val="nil"/>
              <w:bottom w:val="single" w:sz="8" w:space="0" w:color="auto"/>
              <w:right w:val="single" w:sz="8" w:space="0" w:color="auto"/>
            </w:tcBorders>
            <w:shd w:val="clear" w:color="auto" w:fill="auto"/>
            <w:vAlign w:val="center"/>
            <w:hideMark/>
          </w:tcPr>
          <w:p w14:paraId="03ABEA5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GJL</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7549FC1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3258310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4ECCABB" w14:textId="77777777" w:rsidTr="0018109D">
        <w:trPr>
          <w:trHeight w:val="936"/>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34DC6410"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1.3.3 Organet e qeverisjes së drejtësisë të përfshira në vettingun e anëtarëve të Këshillave ose të Inspektorit të Lartë të Drejtësisë, veçanërisht anëtarëve jo magjistratë duhet të marrin masa të rregullta për rritjen e kapaciteteve për kontrollin e figurës dhe të pasurisë/integritetit</w:t>
            </w:r>
          </w:p>
        </w:tc>
        <w:tc>
          <w:tcPr>
            <w:tcW w:w="2520" w:type="dxa"/>
            <w:tcBorders>
              <w:top w:val="nil"/>
              <w:left w:val="nil"/>
              <w:bottom w:val="single" w:sz="4" w:space="0" w:color="auto"/>
              <w:right w:val="single" w:sz="4" w:space="0" w:color="auto"/>
            </w:tcBorders>
            <w:shd w:val="clear" w:color="auto" w:fill="auto"/>
            <w:vAlign w:val="center"/>
            <w:hideMark/>
          </w:tcPr>
          <w:p w14:paraId="05F7905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1.3.3.1 Institucionet përgjegjëse për kryerjen e kontrolleve të figurës dhe të pasurisë së anëtarëve të Këshillave dhe të ILD-së, hartojnë një analizë mbi masat e nevojshme për përmirësimin e procesit të kontrollit te figures dhe pasurise (p.sh. masat organizative, ngritja e njësisë së specializuar e kontrollit etj.) </w:t>
            </w:r>
          </w:p>
        </w:tc>
        <w:tc>
          <w:tcPr>
            <w:tcW w:w="1890" w:type="dxa"/>
            <w:tcBorders>
              <w:top w:val="nil"/>
              <w:left w:val="nil"/>
              <w:bottom w:val="single" w:sz="4" w:space="0" w:color="auto"/>
              <w:right w:val="single" w:sz="4" w:space="0" w:color="auto"/>
            </w:tcBorders>
            <w:shd w:val="clear" w:color="auto" w:fill="auto"/>
            <w:vAlign w:val="center"/>
            <w:hideMark/>
          </w:tcPr>
          <w:p w14:paraId="0569C50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Kuvendi, Avokati  Popullit</w:t>
            </w:r>
          </w:p>
        </w:tc>
        <w:tc>
          <w:tcPr>
            <w:tcW w:w="1620" w:type="dxa"/>
            <w:tcBorders>
              <w:top w:val="nil"/>
              <w:left w:val="nil"/>
              <w:bottom w:val="single" w:sz="4" w:space="0" w:color="auto"/>
              <w:right w:val="single" w:sz="8" w:space="0" w:color="auto"/>
            </w:tcBorders>
            <w:shd w:val="clear" w:color="auto" w:fill="auto"/>
            <w:vAlign w:val="center"/>
            <w:hideMark/>
          </w:tcPr>
          <w:p w14:paraId="45B892C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 ILD, SHM, Komisioni i Shoqërisë Civile</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4E4CCF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689706C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66C45C0F" w14:textId="77777777" w:rsidTr="0018109D">
        <w:trPr>
          <w:trHeight w:val="672"/>
        </w:trPr>
        <w:tc>
          <w:tcPr>
            <w:tcW w:w="1790" w:type="dxa"/>
            <w:vMerge/>
            <w:tcBorders>
              <w:top w:val="nil"/>
              <w:left w:val="single" w:sz="8" w:space="0" w:color="auto"/>
              <w:bottom w:val="single" w:sz="8" w:space="0" w:color="000000"/>
              <w:right w:val="single" w:sz="4" w:space="0" w:color="auto"/>
            </w:tcBorders>
            <w:vAlign w:val="center"/>
            <w:hideMark/>
          </w:tcPr>
          <w:p w14:paraId="0B2A1CC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99E1A7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1.3.3.2 Kryerja e trajnimeve që bazohen në programet e Analizës së Nevojave për Trajnim dhe Ngritjes së Kapaciteteve, për stafin që merret me kontrollin e figurës dhe të pasurisë së anëtarëve të Këshillave. </w:t>
            </w:r>
          </w:p>
        </w:tc>
        <w:tc>
          <w:tcPr>
            <w:tcW w:w="1890" w:type="dxa"/>
            <w:tcBorders>
              <w:top w:val="nil"/>
              <w:left w:val="nil"/>
              <w:bottom w:val="single" w:sz="4" w:space="0" w:color="auto"/>
              <w:right w:val="single" w:sz="4" w:space="0" w:color="auto"/>
            </w:tcBorders>
            <w:shd w:val="clear" w:color="auto" w:fill="auto"/>
            <w:vAlign w:val="center"/>
            <w:hideMark/>
          </w:tcPr>
          <w:p w14:paraId="716B095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Kuvendi, Avokati  Popullit</w:t>
            </w:r>
          </w:p>
        </w:tc>
        <w:tc>
          <w:tcPr>
            <w:tcW w:w="1620" w:type="dxa"/>
            <w:tcBorders>
              <w:top w:val="nil"/>
              <w:left w:val="nil"/>
              <w:bottom w:val="single" w:sz="4" w:space="0" w:color="auto"/>
              <w:right w:val="single" w:sz="8" w:space="0" w:color="auto"/>
            </w:tcBorders>
            <w:shd w:val="clear" w:color="auto" w:fill="auto"/>
            <w:vAlign w:val="center"/>
            <w:hideMark/>
          </w:tcPr>
          <w:p w14:paraId="3252704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 ILD, SHM, Komisioni i Shoqërisë Civile</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1FAB133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10CE54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7E66A52" w14:textId="77777777" w:rsidTr="0018109D">
        <w:trPr>
          <w:trHeight w:val="1608"/>
        </w:trPr>
        <w:tc>
          <w:tcPr>
            <w:tcW w:w="1790" w:type="dxa"/>
            <w:vMerge/>
            <w:tcBorders>
              <w:top w:val="nil"/>
              <w:left w:val="single" w:sz="8" w:space="0" w:color="auto"/>
              <w:bottom w:val="single" w:sz="8" w:space="0" w:color="000000"/>
              <w:right w:val="single" w:sz="4" w:space="0" w:color="auto"/>
            </w:tcBorders>
            <w:vAlign w:val="center"/>
            <w:hideMark/>
          </w:tcPr>
          <w:p w14:paraId="160C9D0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7CF17C0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1.3.3.3 Institucionet pergjegjese per kryerjen e kontrollit te figures dhe pasurise te anetareve jo-magjistrate te Keshillave dhe ILD, garantojne transparence te  vendimeve te arsyetuara,  vecanerisht per kandidatet e shkarkuar.  </w:t>
            </w:r>
          </w:p>
        </w:tc>
        <w:tc>
          <w:tcPr>
            <w:tcW w:w="1890" w:type="dxa"/>
            <w:tcBorders>
              <w:top w:val="nil"/>
              <w:left w:val="nil"/>
              <w:bottom w:val="single" w:sz="8" w:space="0" w:color="auto"/>
              <w:right w:val="single" w:sz="4" w:space="0" w:color="auto"/>
            </w:tcBorders>
            <w:shd w:val="clear" w:color="auto" w:fill="auto"/>
            <w:vAlign w:val="center"/>
            <w:hideMark/>
          </w:tcPr>
          <w:p w14:paraId="572FC18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Kuvendi, Avokati  Popullit</w:t>
            </w:r>
          </w:p>
        </w:tc>
        <w:tc>
          <w:tcPr>
            <w:tcW w:w="1620" w:type="dxa"/>
            <w:tcBorders>
              <w:top w:val="nil"/>
              <w:left w:val="nil"/>
              <w:bottom w:val="single" w:sz="8" w:space="0" w:color="auto"/>
              <w:right w:val="single" w:sz="8" w:space="0" w:color="auto"/>
            </w:tcBorders>
            <w:shd w:val="clear" w:color="auto" w:fill="auto"/>
            <w:vAlign w:val="center"/>
            <w:hideMark/>
          </w:tcPr>
          <w:p w14:paraId="5E203FA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 ILD, SHM, Komisioni i Shoqërisë Civile</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163764F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6629AD3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1DBF9C2" w14:textId="77777777" w:rsidTr="0018109D">
        <w:trPr>
          <w:trHeight w:val="84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0D89C21B"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1.3.4 Organet e qeverisjes së drejtësisë dhe të tjerët të përfshirë në vettingun e anëtarëve të Këshillave ose Inspektorit të Lartë të Drejtësisë, veçanërisht të anëtarëve jo magjistratë: të kryejnë kontrolle të figurës dhe të pasurisë/integritetit në përputhje me standardet e larta të vetting-ut</w:t>
            </w:r>
          </w:p>
        </w:tc>
        <w:tc>
          <w:tcPr>
            <w:tcW w:w="2520" w:type="dxa"/>
            <w:tcBorders>
              <w:top w:val="nil"/>
              <w:left w:val="nil"/>
              <w:bottom w:val="single" w:sz="4" w:space="0" w:color="auto"/>
              <w:right w:val="single" w:sz="4" w:space="0" w:color="auto"/>
            </w:tcBorders>
            <w:shd w:val="clear" w:color="auto" w:fill="auto"/>
            <w:vAlign w:val="center"/>
            <w:hideMark/>
          </w:tcPr>
          <w:p w14:paraId="78E8320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1.3.4.1 Zhvillimi i standardeve për kontrollet e figurës dhe të aseteve/integritetit në përputhje me standardet e larta të verifikimit </w:t>
            </w:r>
          </w:p>
        </w:tc>
        <w:tc>
          <w:tcPr>
            <w:tcW w:w="1890" w:type="dxa"/>
            <w:tcBorders>
              <w:top w:val="nil"/>
              <w:left w:val="nil"/>
              <w:bottom w:val="single" w:sz="4" w:space="0" w:color="auto"/>
              <w:right w:val="single" w:sz="4" w:space="0" w:color="auto"/>
            </w:tcBorders>
            <w:shd w:val="clear" w:color="auto" w:fill="auto"/>
            <w:vAlign w:val="center"/>
            <w:hideMark/>
          </w:tcPr>
          <w:p w14:paraId="7ED3A3B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Kuvendi, Avokati  Popullit</w:t>
            </w:r>
          </w:p>
        </w:tc>
        <w:tc>
          <w:tcPr>
            <w:tcW w:w="1620" w:type="dxa"/>
            <w:tcBorders>
              <w:top w:val="nil"/>
              <w:left w:val="nil"/>
              <w:bottom w:val="single" w:sz="4" w:space="0" w:color="auto"/>
              <w:right w:val="single" w:sz="4" w:space="0" w:color="auto"/>
            </w:tcBorders>
            <w:shd w:val="clear" w:color="auto" w:fill="auto"/>
            <w:vAlign w:val="center"/>
            <w:hideMark/>
          </w:tcPr>
          <w:p w14:paraId="183D4CE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 ILD, SHM, Komisioni i Shoqërisë Civile</w:t>
            </w:r>
          </w:p>
        </w:tc>
        <w:tc>
          <w:tcPr>
            <w:tcW w:w="1710" w:type="dxa"/>
            <w:tcBorders>
              <w:top w:val="nil"/>
              <w:left w:val="nil"/>
              <w:bottom w:val="single" w:sz="4" w:space="0" w:color="auto"/>
              <w:right w:val="single" w:sz="4" w:space="0" w:color="auto"/>
            </w:tcBorders>
            <w:shd w:val="clear" w:color="000000" w:fill="DDEBF7"/>
            <w:vAlign w:val="center"/>
            <w:hideMark/>
          </w:tcPr>
          <w:p w14:paraId="02BADE4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55EF214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2FE8A08" w14:textId="77777777" w:rsidTr="0018109D">
        <w:trPr>
          <w:trHeight w:val="585"/>
        </w:trPr>
        <w:tc>
          <w:tcPr>
            <w:tcW w:w="1790" w:type="dxa"/>
            <w:vMerge/>
            <w:tcBorders>
              <w:top w:val="nil"/>
              <w:left w:val="single" w:sz="8" w:space="0" w:color="auto"/>
              <w:bottom w:val="single" w:sz="8" w:space="0" w:color="000000"/>
              <w:right w:val="single" w:sz="4" w:space="0" w:color="auto"/>
            </w:tcBorders>
            <w:vAlign w:val="center"/>
            <w:hideMark/>
          </w:tcPr>
          <w:p w14:paraId="7F095FF7"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25B3746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1.3.4.2 Zbatimi i standardeve për kontrollet e figurës dhe të aseteve/integritetit në përputhje me standardet e larta të verifikimit </w:t>
            </w:r>
          </w:p>
        </w:tc>
        <w:tc>
          <w:tcPr>
            <w:tcW w:w="1890" w:type="dxa"/>
            <w:tcBorders>
              <w:top w:val="nil"/>
              <w:left w:val="nil"/>
              <w:bottom w:val="single" w:sz="8" w:space="0" w:color="auto"/>
              <w:right w:val="single" w:sz="4" w:space="0" w:color="auto"/>
            </w:tcBorders>
            <w:shd w:val="clear" w:color="auto" w:fill="auto"/>
            <w:vAlign w:val="center"/>
            <w:hideMark/>
          </w:tcPr>
          <w:p w14:paraId="7086507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Kuvendi, Avokati  Popullit</w:t>
            </w:r>
          </w:p>
        </w:tc>
        <w:tc>
          <w:tcPr>
            <w:tcW w:w="1620" w:type="dxa"/>
            <w:tcBorders>
              <w:top w:val="nil"/>
              <w:left w:val="nil"/>
              <w:bottom w:val="single" w:sz="8" w:space="0" w:color="auto"/>
              <w:right w:val="single" w:sz="4" w:space="0" w:color="auto"/>
            </w:tcBorders>
            <w:shd w:val="clear" w:color="auto" w:fill="auto"/>
            <w:vAlign w:val="center"/>
            <w:hideMark/>
          </w:tcPr>
          <w:p w14:paraId="6BC8C68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 ILD, SHM, Komisioni i Shoqërisë Civile</w:t>
            </w:r>
          </w:p>
        </w:tc>
        <w:tc>
          <w:tcPr>
            <w:tcW w:w="1710" w:type="dxa"/>
            <w:tcBorders>
              <w:top w:val="nil"/>
              <w:left w:val="nil"/>
              <w:bottom w:val="single" w:sz="8" w:space="0" w:color="auto"/>
              <w:right w:val="single" w:sz="4" w:space="0" w:color="auto"/>
            </w:tcBorders>
            <w:shd w:val="clear" w:color="000000" w:fill="DDEBF7"/>
            <w:vAlign w:val="center"/>
            <w:hideMark/>
          </w:tcPr>
          <w:p w14:paraId="1075345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7B65947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6E19A8E" w14:textId="77777777" w:rsidTr="0018109D">
        <w:trPr>
          <w:trHeight w:val="585"/>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7A0209E1"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1.3.5 Cilësia e vendimeve të KLGJ-së dhe KLP-së, duke përfshirë pajtueshmërinë me legjislacionin e brendshëm, acquis të BE-së dhe standardet evropiane, sigurohet nëpërmjet trajnimeve të organizuara.</w:t>
            </w:r>
          </w:p>
        </w:tc>
        <w:tc>
          <w:tcPr>
            <w:tcW w:w="2520" w:type="dxa"/>
            <w:tcBorders>
              <w:top w:val="nil"/>
              <w:left w:val="nil"/>
              <w:bottom w:val="single" w:sz="4" w:space="0" w:color="auto"/>
              <w:right w:val="single" w:sz="4" w:space="0" w:color="auto"/>
            </w:tcBorders>
            <w:shd w:val="clear" w:color="auto" w:fill="auto"/>
            <w:vAlign w:val="center"/>
            <w:hideMark/>
          </w:tcPr>
          <w:p w14:paraId="3B41E6B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1.3.5.1 Analizë e brendshme institucionale mbi bazën ligjore të vendimeve (lloji, elementet e modeleve), duke përfshirë një studim mbi standardet e BE-së dhe </w:t>
            </w:r>
            <w:r w:rsidRPr="007440A2">
              <w:rPr>
                <w:rFonts w:ascii="Times New Roman" w:eastAsia="Times New Roman" w:hAnsi="Times New Roman" w:cs="Times New Roman"/>
                <w:i/>
                <w:iCs/>
                <w:sz w:val="20"/>
                <w:szCs w:val="20"/>
              </w:rPr>
              <w:t>acquis</w:t>
            </w:r>
            <w:r w:rsidRPr="007440A2">
              <w:rPr>
                <w:rFonts w:ascii="Times New Roman" w:eastAsia="Times New Roman" w:hAnsi="Times New Roman" w:cs="Times New Roman"/>
                <w:sz w:val="20"/>
                <w:szCs w:val="20"/>
              </w:rPr>
              <w:t xml:space="preserve"> të BE-së në lidhje me vendimet e Këshillit . </w:t>
            </w:r>
          </w:p>
        </w:tc>
        <w:tc>
          <w:tcPr>
            <w:tcW w:w="1890" w:type="dxa"/>
            <w:tcBorders>
              <w:top w:val="nil"/>
              <w:left w:val="nil"/>
              <w:bottom w:val="single" w:sz="4" w:space="0" w:color="auto"/>
              <w:right w:val="single" w:sz="4" w:space="0" w:color="auto"/>
            </w:tcBorders>
            <w:shd w:val="clear" w:color="auto" w:fill="auto"/>
            <w:vAlign w:val="center"/>
            <w:hideMark/>
          </w:tcPr>
          <w:p w14:paraId="6A3BD8B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KLGJ,KLP</w:t>
            </w:r>
          </w:p>
        </w:tc>
        <w:tc>
          <w:tcPr>
            <w:tcW w:w="1620" w:type="dxa"/>
            <w:tcBorders>
              <w:top w:val="nil"/>
              <w:left w:val="nil"/>
              <w:bottom w:val="single" w:sz="4" w:space="0" w:color="auto"/>
              <w:right w:val="single" w:sz="4" w:space="0" w:color="auto"/>
            </w:tcBorders>
            <w:shd w:val="clear" w:color="auto" w:fill="auto"/>
            <w:vAlign w:val="center"/>
            <w:hideMark/>
          </w:tcPr>
          <w:p w14:paraId="14F591BD"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2BE4CE6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3CF685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3B6E51E4" w14:textId="77777777" w:rsidTr="0018109D">
        <w:trPr>
          <w:trHeight w:val="816"/>
        </w:trPr>
        <w:tc>
          <w:tcPr>
            <w:tcW w:w="1790" w:type="dxa"/>
            <w:vMerge/>
            <w:tcBorders>
              <w:top w:val="nil"/>
              <w:left w:val="single" w:sz="8" w:space="0" w:color="auto"/>
              <w:bottom w:val="single" w:sz="8" w:space="0" w:color="000000"/>
              <w:right w:val="single" w:sz="4" w:space="0" w:color="auto"/>
            </w:tcBorders>
            <w:vAlign w:val="center"/>
            <w:hideMark/>
          </w:tcPr>
          <w:p w14:paraId="57F31D17"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4AFDD9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1.3.5.2 Analiza e nevojave për trajnim, duke sqaruar temat e trajnimeve dhe objektivin.</w:t>
            </w:r>
          </w:p>
        </w:tc>
        <w:tc>
          <w:tcPr>
            <w:tcW w:w="1890" w:type="dxa"/>
            <w:tcBorders>
              <w:top w:val="nil"/>
              <w:left w:val="nil"/>
              <w:bottom w:val="single" w:sz="4" w:space="0" w:color="auto"/>
              <w:right w:val="single" w:sz="4" w:space="0" w:color="auto"/>
            </w:tcBorders>
            <w:shd w:val="clear" w:color="auto" w:fill="auto"/>
            <w:vAlign w:val="center"/>
            <w:hideMark/>
          </w:tcPr>
          <w:p w14:paraId="09D4A25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KLGJ,KLP</w:t>
            </w:r>
          </w:p>
        </w:tc>
        <w:tc>
          <w:tcPr>
            <w:tcW w:w="1620" w:type="dxa"/>
            <w:tcBorders>
              <w:top w:val="nil"/>
              <w:left w:val="nil"/>
              <w:bottom w:val="single" w:sz="4" w:space="0" w:color="auto"/>
              <w:right w:val="single" w:sz="4" w:space="0" w:color="auto"/>
            </w:tcBorders>
            <w:shd w:val="clear" w:color="auto" w:fill="auto"/>
            <w:vAlign w:val="center"/>
            <w:hideMark/>
          </w:tcPr>
          <w:p w14:paraId="3D652EE3"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6DC48C4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846B3D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453444D1" w14:textId="77777777" w:rsidTr="0018109D">
        <w:trPr>
          <w:trHeight w:val="924"/>
        </w:trPr>
        <w:tc>
          <w:tcPr>
            <w:tcW w:w="1790" w:type="dxa"/>
            <w:vMerge/>
            <w:tcBorders>
              <w:top w:val="nil"/>
              <w:left w:val="single" w:sz="8" w:space="0" w:color="auto"/>
              <w:bottom w:val="single" w:sz="8" w:space="0" w:color="000000"/>
              <w:right w:val="single" w:sz="4" w:space="0" w:color="auto"/>
            </w:tcBorders>
            <w:vAlign w:val="center"/>
            <w:hideMark/>
          </w:tcPr>
          <w:p w14:paraId="12486B4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7F4929C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1.3.5.3 Hartimi i një Programi Trajnimi të përvitshëm dhe hartimi i raportit mbi zbatimin.  </w:t>
            </w:r>
          </w:p>
        </w:tc>
        <w:tc>
          <w:tcPr>
            <w:tcW w:w="1890" w:type="dxa"/>
            <w:tcBorders>
              <w:top w:val="nil"/>
              <w:left w:val="nil"/>
              <w:bottom w:val="single" w:sz="8" w:space="0" w:color="auto"/>
              <w:right w:val="single" w:sz="4" w:space="0" w:color="auto"/>
            </w:tcBorders>
            <w:shd w:val="clear" w:color="auto" w:fill="auto"/>
            <w:vAlign w:val="center"/>
            <w:hideMark/>
          </w:tcPr>
          <w:p w14:paraId="34D4E26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KLGJ,KLP</w:t>
            </w:r>
          </w:p>
        </w:tc>
        <w:tc>
          <w:tcPr>
            <w:tcW w:w="1620" w:type="dxa"/>
            <w:tcBorders>
              <w:top w:val="nil"/>
              <w:left w:val="nil"/>
              <w:bottom w:val="single" w:sz="8" w:space="0" w:color="auto"/>
              <w:right w:val="single" w:sz="4" w:space="0" w:color="auto"/>
            </w:tcBorders>
            <w:shd w:val="clear" w:color="auto" w:fill="auto"/>
            <w:vAlign w:val="center"/>
            <w:hideMark/>
          </w:tcPr>
          <w:p w14:paraId="65FF6AB4"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12AD65F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2024</w:t>
            </w:r>
          </w:p>
        </w:tc>
        <w:tc>
          <w:tcPr>
            <w:tcW w:w="1260" w:type="dxa"/>
            <w:tcBorders>
              <w:top w:val="nil"/>
              <w:left w:val="nil"/>
              <w:bottom w:val="single" w:sz="8" w:space="0" w:color="auto"/>
              <w:right w:val="single" w:sz="8" w:space="0" w:color="auto"/>
            </w:tcBorders>
            <w:shd w:val="clear" w:color="000000" w:fill="DDEBF7"/>
            <w:vAlign w:val="center"/>
            <w:hideMark/>
          </w:tcPr>
          <w:p w14:paraId="212C8D4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2030</w:t>
            </w:r>
          </w:p>
        </w:tc>
      </w:tr>
      <w:tr w:rsidR="007440A2" w:rsidRPr="007440A2" w14:paraId="1E016493" w14:textId="77777777" w:rsidTr="0018109D">
        <w:trPr>
          <w:trHeight w:val="984"/>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0140DAF9" w14:textId="2C7FA00B" w:rsidR="0018109D" w:rsidRPr="007440A2" w:rsidRDefault="00984814" w:rsidP="0018109D">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1.3.6 </w:t>
            </w:r>
            <w:r w:rsidR="0018109D" w:rsidRPr="007440A2">
              <w:rPr>
                <w:rFonts w:ascii="Times New Roman" w:eastAsia="Times New Roman" w:hAnsi="Times New Roman" w:cs="Times New Roman"/>
                <w:b/>
                <w:bCs/>
                <w:sz w:val="20"/>
                <w:szCs w:val="20"/>
              </w:rPr>
              <w:t>KLGJ-ja zbaton më tej një program transparence dhe komunikimi për të gjithë elementët e vendimmarrjes së tyre, duke përfshirë vendimet për karrierën, menaxhimin, rekrutimin e stafit, funksionimin e gjykatave dhe monitoron dhe raporton në mënyrë të vazhdueshme publikisht për zbatimin e tij.</w:t>
            </w:r>
          </w:p>
        </w:tc>
        <w:tc>
          <w:tcPr>
            <w:tcW w:w="2520" w:type="dxa"/>
            <w:tcBorders>
              <w:top w:val="nil"/>
              <w:left w:val="nil"/>
              <w:bottom w:val="single" w:sz="4" w:space="0" w:color="auto"/>
              <w:right w:val="single" w:sz="4" w:space="0" w:color="auto"/>
            </w:tcBorders>
            <w:shd w:val="clear" w:color="auto" w:fill="auto"/>
            <w:vAlign w:val="center"/>
            <w:hideMark/>
          </w:tcPr>
          <w:p w14:paraId="301D3C2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1.3.6.1 Hartimi i Strategjisë / Planit / Programit të Transparencës dhe Komunikimit në përputhje me kuadrin ligjor që siguron respektimin e bazës ligjore dhe vendos rregullat për komunikimin publik të gjykatave, përfshirë GJL-në dhe gjykatat e posacme.  </w:t>
            </w:r>
          </w:p>
        </w:tc>
        <w:tc>
          <w:tcPr>
            <w:tcW w:w="1890" w:type="dxa"/>
            <w:tcBorders>
              <w:top w:val="nil"/>
              <w:left w:val="nil"/>
              <w:bottom w:val="single" w:sz="4" w:space="0" w:color="auto"/>
              <w:right w:val="single" w:sz="4" w:space="0" w:color="auto"/>
            </w:tcBorders>
            <w:shd w:val="clear" w:color="auto" w:fill="auto"/>
            <w:vAlign w:val="center"/>
            <w:hideMark/>
          </w:tcPr>
          <w:p w14:paraId="6C9978C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8" w:space="0" w:color="auto"/>
            </w:tcBorders>
            <w:shd w:val="clear" w:color="auto" w:fill="auto"/>
            <w:vAlign w:val="center"/>
            <w:hideMark/>
          </w:tcPr>
          <w:p w14:paraId="56BAB8F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GJL, GJKKO</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4563E4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BA0419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562A181C" w14:textId="77777777" w:rsidTr="0018109D">
        <w:trPr>
          <w:trHeight w:val="2412"/>
        </w:trPr>
        <w:tc>
          <w:tcPr>
            <w:tcW w:w="1790" w:type="dxa"/>
            <w:vMerge/>
            <w:tcBorders>
              <w:top w:val="nil"/>
              <w:left w:val="single" w:sz="8" w:space="0" w:color="auto"/>
              <w:bottom w:val="single" w:sz="8" w:space="0" w:color="000000"/>
              <w:right w:val="single" w:sz="4" w:space="0" w:color="auto"/>
            </w:tcBorders>
            <w:vAlign w:val="center"/>
            <w:hideMark/>
          </w:tcPr>
          <w:p w14:paraId="367C14A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5130F57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1.3.6.2 Zbatimi i Strategjisë / Planit / Programit të Transparencës dhe Komunikimit në përputhje me kuadrin ligjor që siguron respektimin e bazës ligjore dhe vendos rregullat për komunikimin publik të gjykatave, përfshirë GJL-në dhe gjykatat e posacme. </w:t>
            </w:r>
          </w:p>
        </w:tc>
        <w:tc>
          <w:tcPr>
            <w:tcW w:w="1890" w:type="dxa"/>
            <w:tcBorders>
              <w:top w:val="nil"/>
              <w:left w:val="nil"/>
              <w:bottom w:val="single" w:sz="8" w:space="0" w:color="auto"/>
              <w:right w:val="single" w:sz="4" w:space="0" w:color="auto"/>
            </w:tcBorders>
            <w:shd w:val="clear" w:color="auto" w:fill="auto"/>
            <w:vAlign w:val="center"/>
            <w:hideMark/>
          </w:tcPr>
          <w:p w14:paraId="5E45321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8" w:space="0" w:color="auto"/>
              <w:right w:val="single" w:sz="8" w:space="0" w:color="auto"/>
            </w:tcBorders>
            <w:shd w:val="clear" w:color="auto" w:fill="auto"/>
            <w:vAlign w:val="center"/>
            <w:hideMark/>
          </w:tcPr>
          <w:p w14:paraId="1FA06D9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GJL, GJKKO</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6899C2C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2024</w:t>
            </w:r>
          </w:p>
        </w:tc>
        <w:tc>
          <w:tcPr>
            <w:tcW w:w="1260" w:type="dxa"/>
            <w:tcBorders>
              <w:top w:val="nil"/>
              <w:left w:val="nil"/>
              <w:bottom w:val="single" w:sz="8" w:space="0" w:color="auto"/>
              <w:right w:val="single" w:sz="8" w:space="0" w:color="auto"/>
            </w:tcBorders>
            <w:shd w:val="clear" w:color="000000" w:fill="DDEBF7"/>
            <w:vAlign w:val="center"/>
            <w:hideMark/>
          </w:tcPr>
          <w:p w14:paraId="6DD3171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2030</w:t>
            </w:r>
          </w:p>
        </w:tc>
      </w:tr>
      <w:tr w:rsidR="007440A2" w:rsidRPr="007440A2" w14:paraId="3466A5CE" w14:textId="77777777" w:rsidTr="0018109D">
        <w:trPr>
          <w:trHeight w:val="585"/>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27EBD818"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1.3.7  Miratimi dhe zbatimi i një programi transparence dhe komunikimi nga KLP-ja për të gjithë elementët e vendimmarrjes së tyre, duke përfshirë vendimet për karrierën, menaxhimin, rekrutimin e stafit ne funksion te prokurorive si dhe monitorimi dhe raportimi i vazhdueshëm publikisht</w:t>
            </w:r>
          </w:p>
        </w:tc>
        <w:tc>
          <w:tcPr>
            <w:tcW w:w="2520" w:type="dxa"/>
            <w:tcBorders>
              <w:top w:val="nil"/>
              <w:left w:val="nil"/>
              <w:bottom w:val="single" w:sz="4" w:space="0" w:color="auto"/>
              <w:right w:val="single" w:sz="4" w:space="0" w:color="auto"/>
            </w:tcBorders>
            <w:shd w:val="clear" w:color="auto" w:fill="auto"/>
            <w:vAlign w:val="center"/>
            <w:hideMark/>
          </w:tcPr>
          <w:p w14:paraId="1DCDD61B"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1.3.7.1 Hartimi i Strategjisë / Planit / Programit të Transparencës në përputhje me kuadrin ligjor që siguron respektimin e bazës ligjore përfshirë dhe Prokurorinë e Posacme. </w:t>
            </w:r>
          </w:p>
        </w:tc>
        <w:tc>
          <w:tcPr>
            <w:tcW w:w="1890" w:type="dxa"/>
            <w:tcBorders>
              <w:top w:val="nil"/>
              <w:left w:val="nil"/>
              <w:bottom w:val="single" w:sz="4" w:space="0" w:color="auto"/>
              <w:right w:val="single" w:sz="4" w:space="0" w:color="auto"/>
            </w:tcBorders>
            <w:shd w:val="clear" w:color="auto" w:fill="auto"/>
            <w:vAlign w:val="center"/>
            <w:hideMark/>
          </w:tcPr>
          <w:p w14:paraId="7C9B84E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KLP</w:t>
            </w:r>
          </w:p>
        </w:tc>
        <w:tc>
          <w:tcPr>
            <w:tcW w:w="1620" w:type="dxa"/>
            <w:tcBorders>
              <w:top w:val="nil"/>
              <w:left w:val="nil"/>
              <w:bottom w:val="single" w:sz="4" w:space="0" w:color="auto"/>
              <w:right w:val="single" w:sz="8" w:space="0" w:color="auto"/>
            </w:tcBorders>
            <w:shd w:val="clear" w:color="auto" w:fill="auto"/>
            <w:vAlign w:val="center"/>
            <w:hideMark/>
          </w:tcPr>
          <w:p w14:paraId="75475DF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 SPAK</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4DEE010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EAAAAC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231EE644" w14:textId="77777777" w:rsidTr="0018109D">
        <w:trPr>
          <w:trHeight w:val="1512"/>
        </w:trPr>
        <w:tc>
          <w:tcPr>
            <w:tcW w:w="1790" w:type="dxa"/>
            <w:vMerge/>
            <w:tcBorders>
              <w:top w:val="nil"/>
              <w:left w:val="single" w:sz="8" w:space="0" w:color="auto"/>
              <w:bottom w:val="single" w:sz="8" w:space="0" w:color="000000"/>
              <w:right w:val="single" w:sz="4" w:space="0" w:color="auto"/>
            </w:tcBorders>
            <w:vAlign w:val="center"/>
            <w:hideMark/>
          </w:tcPr>
          <w:p w14:paraId="60F39FE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7D4B745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1.3.7.2 Zbatimi i Strategjisë / Planit / Programit të Transparencës në përputhje me kuadrin ligjor që siguron respektimin e bazës ligjore përfshirë dhe Prokurorinë e Posacme.  </w:t>
            </w:r>
          </w:p>
        </w:tc>
        <w:tc>
          <w:tcPr>
            <w:tcW w:w="1890" w:type="dxa"/>
            <w:tcBorders>
              <w:top w:val="nil"/>
              <w:left w:val="nil"/>
              <w:bottom w:val="single" w:sz="8" w:space="0" w:color="auto"/>
              <w:right w:val="single" w:sz="4" w:space="0" w:color="auto"/>
            </w:tcBorders>
            <w:shd w:val="clear" w:color="auto" w:fill="auto"/>
            <w:vAlign w:val="center"/>
            <w:hideMark/>
          </w:tcPr>
          <w:p w14:paraId="52BAB8E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KLP</w:t>
            </w:r>
          </w:p>
        </w:tc>
        <w:tc>
          <w:tcPr>
            <w:tcW w:w="1620" w:type="dxa"/>
            <w:tcBorders>
              <w:top w:val="nil"/>
              <w:left w:val="nil"/>
              <w:bottom w:val="single" w:sz="8" w:space="0" w:color="auto"/>
              <w:right w:val="single" w:sz="8" w:space="0" w:color="auto"/>
            </w:tcBorders>
            <w:shd w:val="clear" w:color="auto" w:fill="auto"/>
            <w:vAlign w:val="center"/>
            <w:hideMark/>
          </w:tcPr>
          <w:p w14:paraId="6054F9B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 SPAK</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36FBF1D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2024</w:t>
            </w:r>
          </w:p>
        </w:tc>
        <w:tc>
          <w:tcPr>
            <w:tcW w:w="1260" w:type="dxa"/>
            <w:tcBorders>
              <w:top w:val="nil"/>
              <w:left w:val="nil"/>
              <w:bottom w:val="single" w:sz="8" w:space="0" w:color="auto"/>
              <w:right w:val="single" w:sz="8" w:space="0" w:color="auto"/>
            </w:tcBorders>
            <w:shd w:val="clear" w:color="000000" w:fill="DDEBF7"/>
            <w:vAlign w:val="center"/>
            <w:hideMark/>
          </w:tcPr>
          <w:p w14:paraId="7A79863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2030</w:t>
            </w:r>
          </w:p>
        </w:tc>
      </w:tr>
      <w:tr w:rsidR="007440A2" w:rsidRPr="007440A2" w14:paraId="087CD0A7" w14:textId="77777777" w:rsidTr="0018109D">
        <w:trPr>
          <w:trHeight w:val="1092"/>
        </w:trPr>
        <w:tc>
          <w:tcPr>
            <w:tcW w:w="4310" w:type="dxa"/>
            <w:gridSpan w:val="2"/>
            <w:tcBorders>
              <w:top w:val="nil"/>
              <w:left w:val="single" w:sz="8" w:space="0" w:color="auto"/>
              <w:bottom w:val="single" w:sz="8" w:space="0" w:color="auto"/>
              <w:right w:val="nil"/>
            </w:tcBorders>
            <w:shd w:val="clear" w:color="000000" w:fill="9CC2E5"/>
            <w:vAlign w:val="center"/>
            <w:hideMark/>
          </w:tcPr>
          <w:p w14:paraId="737482F6"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1.4:</w:t>
            </w:r>
          </w:p>
        </w:tc>
        <w:tc>
          <w:tcPr>
            <w:tcW w:w="6480" w:type="dxa"/>
            <w:gridSpan w:val="4"/>
            <w:tcBorders>
              <w:top w:val="nil"/>
              <w:left w:val="single" w:sz="8" w:space="0" w:color="auto"/>
              <w:bottom w:val="single" w:sz="8" w:space="0" w:color="auto"/>
              <w:right w:val="single" w:sz="8" w:space="0" w:color="000000"/>
            </w:tcBorders>
            <w:shd w:val="clear" w:color="000000" w:fill="9CC2E5"/>
            <w:vAlign w:val="center"/>
            <w:hideMark/>
          </w:tcPr>
          <w:p w14:paraId="57D1036A"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Forcimi i bashkëpunimit ndërinstitucional dhe përmirësimi thelbësor i komunikimit publik</w:t>
            </w:r>
          </w:p>
        </w:tc>
      </w:tr>
      <w:tr w:rsidR="007440A2" w:rsidRPr="007440A2" w14:paraId="6D5A9D09" w14:textId="77777777" w:rsidTr="0018109D">
        <w:trPr>
          <w:trHeight w:val="585"/>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375D53A9"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125F4EB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Gjate kohezgjatjes te SND 2024-2030 grantohen te pakten 2 takime të përbashkëta të bashkëpunimit dhe koordinimit ndërinstitucional ne vit. </w:t>
            </w:r>
          </w:p>
        </w:tc>
      </w:tr>
      <w:tr w:rsidR="007440A2" w:rsidRPr="007440A2" w14:paraId="3C11D482" w14:textId="77777777" w:rsidTr="0018109D">
        <w:trPr>
          <w:trHeight w:val="1056"/>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48476013"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753D91D7"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5610D63F"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5EF81384"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6E11869E"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3166492B"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2B4F94D3" w14:textId="77777777" w:rsidTr="0018109D">
        <w:trPr>
          <w:trHeight w:val="126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1312498F"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1.4.1   Kapaciteti i duhur i institucioneve të drejtësisë për të siguruar bashkëpunimin e duhur, si dhe mbledhjen e të dhënave, monitorimin dhe raportimin për avancimin e reformës në drejtësi . </w:t>
            </w:r>
          </w:p>
        </w:tc>
        <w:tc>
          <w:tcPr>
            <w:tcW w:w="2520" w:type="dxa"/>
            <w:tcBorders>
              <w:top w:val="nil"/>
              <w:left w:val="nil"/>
              <w:bottom w:val="single" w:sz="4" w:space="0" w:color="auto"/>
              <w:right w:val="single" w:sz="4" w:space="0" w:color="auto"/>
            </w:tcBorders>
            <w:shd w:val="clear" w:color="auto" w:fill="auto"/>
            <w:vAlign w:val="center"/>
            <w:hideMark/>
          </w:tcPr>
          <w:p w14:paraId="3F9CAD9E" w14:textId="1C836A3D"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1.4.1.1 Hartimi i një analize të nevojave për trajnim (ANT) dhe Planit të Ngritjes së Kapaciteteve (PNK) për rritjen e kapaciteteve të stafit të MD-së për mbledhjen, monitorimin dhe raportimin e të dhënave. </w:t>
            </w:r>
          </w:p>
        </w:tc>
        <w:tc>
          <w:tcPr>
            <w:tcW w:w="1890" w:type="dxa"/>
            <w:tcBorders>
              <w:top w:val="nil"/>
              <w:left w:val="nil"/>
              <w:bottom w:val="single" w:sz="4" w:space="0" w:color="auto"/>
              <w:right w:val="single" w:sz="4" w:space="0" w:color="auto"/>
            </w:tcBorders>
            <w:shd w:val="clear" w:color="auto" w:fill="auto"/>
            <w:vAlign w:val="center"/>
            <w:hideMark/>
          </w:tcPr>
          <w:p w14:paraId="78BD68D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156C66F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nil"/>
              <w:right w:val="single" w:sz="4" w:space="0" w:color="auto"/>
            </w:tcBorders>
            <w:shd w:val="clear" w:color="000000" w:fill="DDEBF7"/>
            <w:vAlign w:val="center"/>
            <w:hideMark/>
          </w:tcPr>
          <w:p w14:paraId="7AB6B74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nil"/>
              <w:right w:val="single" w:sz="8" w:space="0" w:color="auto"/>
            </w:tcBorders>
            <w:shd w:val="clear" w:color="000000" w:fill="DDEBF7"/>
            <w:vAlign w:val="center"/>
            <w:hideMark/>
          </w:tcPr>
          <w:p w14:paraId="4EA1ABF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3ECE46DF" w14:textId="77777777" w:rsidTr="0018109D">
        <w:trPr>
          <w:trHeight w:val="585"/>
        </w:trPr>
        <w:tc>
          <w:tcPr>
            <w:tcW w:w="1790" w:type="dxa"/>
            <w:vMerge/>
            <w:tcBorders>
              <w:top w:val="nil"/>
              <w:left w:val="single" w:sz="8" w:space="0" w:color="auto"/>
              <w:bottom w:val="single" w:sz="8" w:space="0" w:color="000000"/>
              <w:right w:val="single" w:sz="4" w:space="0" w:color="auto"/>
            </w:tcBorders>
            <w:vAlign w:val="center"/>
            <w:hideMark/>
          </w:tcPr>
          <w:p w14:paraId="270D37E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127275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1.4.1.2 Përditësimi i PNK-së </w:t>
            </w:r>
          </w:p>
        </w:tc>
        <w:tc>
          <w:tcPr>
            <w:tcW w:w="1890" w:type="dxa"/>
            <w:tcBorders>
              <w:top w:val="nil"/>
              <w:left w:val="nil"/>
              <w:bottom w:val="single" w:sz="4" w:space="0" w:color="auto"/>
              <w:right w:val="single" w:sz="4" w:space="0" w:color="auto"/>
            </w:tcBorders>
            <w:shd w:val="clear" w:color="auto" w:fill="auto"/>
            <w:vAlign w:val="center"/>
            <w:hideMark/>
          </w:tcPr>
          <w:p w14:paraId="161CD67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6B5CBDB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single" w:sz="4" w:space="0" w:color="auto"/>
              <w:left w:val="single" w:sz="4" w:space="0" w:color="auto"/>
              <w:bottom w:val="nil"/>
              <w:right w:val="single" w:sz="4" w:space="0" w:color="auto"/>
            </w:tcBorders>
            <w:shd w:val="clear" w:color="000000" w:fill="DDEBF7"/>
            <w:vAlign w:val="center"/>
            <w:hideMark/>
          </w:tcPr>
          <w:p w14:paraId="5FE6120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single" w:sz="4" w:space="0" w:color="auto"/>
              <w:left w:val="nil"/>
              <w:bottom w:val="nil"/>
              <w:right w:val="single" w:sz="8" w:space="0" w:color="auto"/>
            </w:tcBorders>
            <w:shd w:val="clear" w:color="000000" w:fill="DDEBF7"/>
            <w:vAlign w:val="center"/>
            <w:hideMark/>
          </w:tcPr>
          <w:p w14:paraId="184F8C8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650036D" w14:textId="77777777" w:rsidTr="0018109D">
        <w:trPr>
          <w:trHeight w:val="585"/>
        </w:trPr>
        <w:tc>
          <w:tcPr>
            <w:tcW w:w="1790" w:type="dxa"/>
            <w:vMerge/>
            <w:tcBorders>
              <w:top w:val="nil"/>
              <w:left w:val="single" w:sz="8" w:space="0" w:color="auto"/>
              <w:bottom w:val="single" w:sz="8" w:space="0" w:color="000000"/>
              <w:right w:val="single" w:sz="4" w:space="0" w:color="auto"/>
            </w:tcBorders>
            <w:vAlign w:val="center"/>
            <w:hideMark/>
          </w:tcPr>
          <w:p w14:paraId="0A81A53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AABFE6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1.4.1.3 Organizimi i rregullt i seminareve, tryezave të rrumbullakëta dhe diskutimeve të përbashkëta në lidhje me reformën në drejtësi.</w:t>
            </w:r>
          </w:p>
        </w:tc>
        <w:tc>
          <w:tcPr>
            <w:tcW w:w="1890" w:type="dxa"/>
            <w:tcBorders>
              <w:top w:val="nil"/>
              <w:left w:val="nil"/>
              <w:bottom w:val="single" w:sz="4" w:space="0" w:color="auto"/>
              <w:right w:val="single" w:sz="4" w:space="0" w:color="auto"/>
            </w:tcBorders>
            <w:shd w:val="clear" w:color="auto" w:fill="auto"/>
            <w:vAlign w:val="center"/>
            <w:hideMark/>
          </w:tcPr>
          <w:p w14:paraId="234BA3F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27DD04F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Institucionet e sistemit të drejtësisë</w:t>
            </w:r>
          </w:p>
        </w:tc>
        <w:tc>
          <w:tcPr>
            <w:tcW w:w="1710" w:type="dxa"/>
            <w:tcBorders>
              <w:top w:val="single" w:sz="4" w:space="0" w:color="auto"/>
              <w:left w:val="single" w:sz="4" w:space="0" w:color="auto"/>
              <w:bottom w:val="nil"/>
              <w:right w:val="single" w:sz="4" w:space="0" w:color="auto"/>
            </w:tcBorders>
            <w:shd w:val="clear" w:color="000000" w:fill="DDEBF7"/>
            <w:vAlign w:val="center"/>
            <w:hideMark/>
          </w:tcPr>
          <w:p w14:paraId="6513EB8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single" w:sz="4" w:space="0" w:color="auto"/>
              <w:left w:val="nil"/>
              <w:bottom w:val="nil"/>
              <w:right w:val="single" w:sz="8" w:space="0" w:color="auto"/>
            </w:tcBorders>
            <w:shd w:val="clear" w:color="000000" w:fill="DDEBF7"/>
            <w:vAlign w:val="center"/>
            <w:hideMark/>
          </w:tcPr>
          <w:p w14:paraId="483F0FD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2DEB934" w14:textId="77777777" w:rsidTr="0018109D">
        <w:trPr>
          <w:trHeight w:val="585"/>
        </w:trPr>
        <w:tc>
          <w:tcPr>
            <w:tcW w:w="1790" w:type="dxa"/>
            <w:vMerge/>
            <w:tcBorders>
              <w:top w:val="nil"/>
              <w:left w:val="single" w:sz="8" w:space="0" w:color="auto"/>
              <w:bottom w:val="single" w:sz="8" w:space="0" w:color="000000"/>
              <w:right w:val="single" w:sz="4" w:space="0" w:color="auto"/>
            </w:tcBorders>
            <w:vAlign w:val="center"/>
            <w:hideMark/>
          </w:tcPr>
          <w:p w14:paraId="36A02F49"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3A42D05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1.4.1.4 Sigurimi i aktiviteteve vijuese nga secili institucion me qëllim zbatimin e rekomandimeve dhe konkluzioneve të aktiviteteve të përbashkëta. </w:t>
            </w:r>
          </w:p>
        </w:tc>
        <w:tc>
          <w:tcPr>
            <w:tcW w:w="1890" w:type="dxa"/>
            <w:tcBorders>
              <w:top w:val="nil"/>
              <w:left w:val="nil"/>
              <w:bottom w:val="single" w:sz="8" w:space="0" w:color="auto"/>
              <w:right w:val="single" w:sz="4" w:space="0" w:color="auto"/>
            </w:tcBorders>
            <w:shd w:val="clear" w:color="auto" w:fill="auto"/>
            <w:vAlign w:val="center"/>
            <w:hideMark/>
          </w:tcPr>
          <w:p w14:paraId="303EBA9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Institucionet zbatuese të strategjisë</w:t>
            </w:r>
          </w:p>
        </w:tc>
        <w:tc>
          <w:tcPr>
            <w:tcW w:w="1620" w:type="dxa"/>
            <w:tcBorders>
              <w:top w:val="nil"/>
              <w:left w:val="nil"/>
              <w:bottom w:val="single" w:sz="8" w:space="0" w:color="auto"/>
              <w:right w:val="single" w:sz="8" w:space="0" w:color="auto"/>
            </w:tcBorders>
            <w:shd w:val="clear" w:color="auto" w:fill="auto"/>
            <w:vAlign w:val="center"/>
            <w:hideMark/>
          </w:tcPr>
          <w:p w14:paraId="71894D2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single" w:sz="4" w:space="0" w:color="auto"/>
              <w:left w:val="single" w:sz="4" w:space="0" w:color="auto"/>
              <w:bottom w:val="single" w:sz="8" w:space="0" w:color="auto"/>
              <w:right w:val="single" w:sz="4" w:space="0" w:color="auto"/>
            </w:tcBorders>
            <w:shd w:val="clear" w:color="000000" w:fill="DDEBF7"/>
            <w:vAlign w:val="center"/>
            <w:hideMark/>
          </w:tcPr>
          <w:p w14:paraId="3B60EB1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single" w:sz="4" w:space="0" w:color="auto"/>
              <w:left w:val="nil"/>
              <w:bottom w:val="single" w:sz="8" w:space="0" w:color="auto"/>
              <w:right w:val="single" w:sz="8" w:space="0" w:color="auto"/>
            </w:tcBorders>
            <w:shd w:val="clear" w:color="000000" w:fill="DDEBF7"/>
            <w:vAlign w:val="center"/>
            <w:hideMark/>
          </w:tcPr>
          <w:p w14:paraId="1028A8C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0B18915" w14:textId="77777777" w:rsidTr="0018109D">
        <w:trPr>
          <w:trHeight w:val="576"/>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35739F23"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1.4.2 Bashkëpunimi i Këshillave u përmirësua duke intensifikuar mbledhjet e përbashkëta dhe sigurimin e komunikimit të drejtpërdrejtë me publikun për ndjekjen e konkluzioneve të mbledhjeve</w:t>
            </w:r>
          </w:p>
        </w:tc>
        <w:tc>
          <w:tcPr>
            <w:tcW w:w="2520" w:type="dxa"/>
            <w:tcBorders>
              <w:top w:val="nil"/>
              <w:left w:val="nil"/>
              <w:bottom w:val="single" w:sz="4" w:space="0" w:color="auto"/>
              <w:right w:val="single" w:sz="4" w:space="0" w:color="auto"/>
            </w:tcBorders>
            <w:shd w:val="clear" w:color="auto" w:fill="auto"/>
            <w:vAlign w:val="center"/>
            <w:hideMark/>
          </w:tcPr>
          <w:p w14:paraId="2FACD1B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1.4.2.1 Hartimi dhe nënshkrimi i një Memorandumi Mirëkuptimi nga të dy Këshillat, i cili identifikon temat për diskutime dhe vendimet eventuale të përbashkëta që do të merren nga të dy Këshillat, ngritja e grupeve të përbashkëta të punës aty ku është e nevojshme dhe qartësimi i numrit të mbledhjeve vjetore të të dy Këshillave dhe objekteve të mbledhjeve. </w:t>
            </w:r>
          </w:p>
        </w:tc>
        <w:tc>
          <w:tcPr>
            <w:tcW w:w="1890" w:type="dxa"/>
            <w:tcBorders>
              <w:top w:val="nil"/>
              <w:left w:val="nil"/>
              <w:bottom w:val="single" w:sz="4" w:space="0" w:color="auto"/>
              <w:right w:val="single" w:sz="4" w:space="0" w:color="auto"/>
            </w:tcBorders>
            <w:shd w:val="clear" w:color="auto" w:fill="auto"/>
            <w:vAlign w:val="center"/>
            <w:hideMark/>
          </w:tcPr>
          <w:p w14:paraId="13F7303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nil"/>
              <w:right w:val="nil"/>
            </w:tcBorders>
            <w:shd w:val="clear" w:color="auto" w:fill="auto"/>
            <w:vAlign w:val="center"/>
            <w:hideMark/>
          </w:tcPr>
          <w:p w14:paraId="0D010DF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nil"/>
              <w:right w:val="single" w:sz="4" w:space="0" w:color="auto"/>
            </w:tcBorders>
            <w:shd w:val="clear" w:color="000000" w:fill="DDEBF7"/>
            <w:vAlign w:val="center"/>
            <w:hideMark/>
          </w:tcPr>
          <w:p w14:paraId="7C82673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nil"/>
              <w:right w:val="single" w:sz="8" w:space="0" w:color="auto"/>
            </w:tcBorders>
            <w:shd w:val="clear" w:color="000000" w:fill="DDEBF7"/>
            <w:vAlign w:val="center"/>
            <w:hideMark/>
          </w:tcPr>
          <w:p w14:paraId="31BFA88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37CCAEE8" w14:textId="77777777" w:rsidTr="0018109D">
        <w:trPr>
          <w:trHeight w:val="624"/>
        </w:trPr>
        <w:tc>
          <w:tcPr>
            <w:tcW w:w="1790" w:type="dxa"/>
            <w:vMerge/>
            <w:tcBorders>
              <w:top w:val="nil"/>
              <w:left w:val="single" w:sz="8" w:space="0" w:color="auto"/>
              <w:bottom w:val="single" w:sz="8" w:space="0" w:color="000000"/>
              <w:right w:val="single" w:sz="4" w:space="0" w:color="auto"/>
            </w:tcBorders>
            <w:vAlign w:val="center"/>
            <w:hideMark/>
          </w:tcPr>
          <w:p w14:paraId="55E4A107"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3F025E70"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1.4.2.2 Zbatimi i Memorandumit të Mirëkuptimit nga Këshillat. </w:t>
            </w:r>
          </w:p>
        </w:tc>
        <w:tc>
          <w:tcPr>
            <w:tcW w:w="1890" w:type="dxa"/>
            <w:tcBorders>
              <w:top w:val="nil"/>
              <w:left w:val="nil"/>
              <w:bottom w:val="single" w:sz="8" w:space="0" w:color="auto"/>
              <w:right w:val="single" w:sz="4" w:space="0" w:color="auto"/>
            </w:tcBorders>
            <w:shd w:val="clear" w:color="auto" w:fill="auto"/>
            <w:vAlign w:val="center"/>
            <w:hideMark/>
          </w:tcPr>
          <w:p w14:paraId="58EDC0C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single" w:sz="4" w:space="0" w:color="auto"/>
              <w:left w:val="nil"/>
              <w:bottom w:val="single" w:sz="8" w:space="0" w:color="auto"/>
              <w:right w:val="nil"/>
            </w:tcBorders>
            <w:shd w:val="clear" w:color="auto" w:fill="auto"/>
            <w:vAlign w:val="center"/>
            <w:hideMark/>
          </w:tcPr>
          <w:p w14:paraId="340AA20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single" w:sz="4" w:space="0" w:color="auto"/>
              <w:left w:val="single" w:sz="4" w:space="0" w:color="auto"/>
              <w:bottom w:val="single" w:sz="8" w:space="0" w:color="auto"/>
              <w:right w:val="single" w:sz="4" w:space="0" w:color="auto"/>
            </w:tcBorders>
            <w:shd w:val="clear" w:color="000000" w:fill="DDEBF7"/>
            <w:vAlign w:val="center"/>
            <w:hideMark/>
          </w:tcPr>
          <w:p w14:paraId="16F70F2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single" w:sz="4" w:space="0" w:color="auto"/>
              <w:left w:val="nil"/>
              <w:bottom w:val="single" w:sz="8" w:space="0" w:color="auto"/>
              <w:right w:val="single" w:sz="8" w:space="0" w:color="auto"/>
            </w:tcBorders>
            <w:shd w:val="clear" w:color="000000" w:fill="DDEBF7"/>
            <w:vAlign w:val="center"/>
            <w:hideMark/>
          </w:tcPr>
          <w:p w14:paraId="1F0C595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DEAEC55" w14:textId="77777777" w:rsidTr="0018109D">
        <w:trPr>
          <w:trHeight w:val="1152"/>
        </w:trPr>
        <w:tc>
          <w:tcPr>
            <w:tcW w:w="1790" w:type="dxa"/>
            <w:vMerge w:val="restart"/>
            <w:tcBorders>
              <w:top w:val="nil"/>
              <w:left w:val="single" w:sz="8" w:space="0" w:color="auto"/>
              <w:bottom w:val="single" w:sz="8" w:space="0" w:color="000000"/>
              <w:right w:val="single" w:sz="8" w:space="0" w:color="auto"/>
            </w:tcBorders>
            <w:shd w:val="clear" w:color="auto" w:fill="auto"/>
            <w:vAlign w:val="center"/>
            <w:hideMark/>
          </w:tcPr>
          <w:p w14:paraId="425ED29F"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1.4.3 Planet e komunikimit dhe transparencës të përgatitura nga KLGJ-ja, KLP-ja, SPAK, GJKKO dhe MD-ja, për të zhvilluar më tej mirëkuptimin dhe rritjen e besimit të publikut tek reforma në drejtësi.</w:t>
            </w:r>
          </w:p>
        </w:tc>
        <w:tc>
          <w:tcPr>
            <w:tcW w:w="2520" w:type="dxa"/>
            <w:tcBorders>
              <w:top w:val="nil"/>
              <w:left w:val="nil"/>
              <w:bottom w:val="single" w:sz="4" w:space="0" w:color="auto"/>
              <w:right w:val="single" w:sz="4" w:space="0" w:color="auto"/>
            </w:tcBorders>
            <w:shd w:val="clear" w:color="auto" w:fill="auto"/>
            <w:vAlign w:val="center"/>
            <w:hideMark/>
          </w:tcPr>
          <w:p w14:paraId="4AC2FD8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1.4.3.1 Emerimi i nje koordinatori per marredheniet me publikun/median</w:t>
            </w:r>
          </w:p>
        </w:tc>
        <w:tc>
          <w:tcPr>
            <w:tcW w:w="1890" w:type="dxa"/>
            <w:tcBorders>
              <w:top w:val="nil"/>
              <w:left w:val="nil"/>
              <w:bottom w:val="single" w:sz="4" w:space="0" w:color="auto"/>
              <w:right w:val="single" w:sz="4" w:space="0" w:color="auto"/>
            </w:tcBorders>
            <w:shd w:val="clear" w:color="auto" w:fill="auto"/>
            <w:vAlign w:val="center"/>
            <w:hideMark/>
          </w:tcPr>
          <w:p w14:paraId="3584B66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KLGJ, KLP, GJKKO</w:t>
            </w:r>
          </w:p>
        </w:tc>
        <w:tc>
          <w:tcPr>
            <w:tcW w:w="1620" w:type="dxa"/>
            <w:tcBorders>
              <w:top w:val="nil"/>
              <w:left w:val="nil"/>
              <w:bottom w:val="single" w:sz="4" w:space="0" w:color="auto"/>
              <w:right w:val="single" w:sz="8" w:space="0" w:color="auto"/>
            </w:tcBorders>
            <w:shd w:val="clear" w:color="auto" w:fill="auto"/>
            <w:vAlign w:val="center"/>
            <w:hideMark/>
          </w:tcPr>
          <w:p w14:paraId="3F56542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6DE721A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5701DF9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730D81FF" w14:textId="77777777" w:rsidTr="0018109D">
        <w:trPr>
          <w:trHeight w:val="1059"/>
        </w:trPr>
        <w:tc>
          <w:tcPr>
            <w:tcW w:w="1790" w:type="dxa"/>
            <w:vMerge/>
            <w:tcBorders>
              <w:top w:val="nil"/>
              <w:left w:val="single" w:sz="8" w:space="0" w:color="auto"/>
              <w:bottom w:val="single" w:sz="8" w:space="0" w:color="000000"/>
              <w:right w:val="single" w:sz="8" w:space="0" w:color="auto"/>
            </w:tcBorders>
            <w:vAlign w:val="center"/>
            <w:hideMark/>
          </w:tcPr>
          <w:p w14:paraId="3879623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3BA33E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1.4.3.2 Aprovimi i  Planit Vjetor te Komunikimit</w:t>
            </w:r>
          </w:p>
        </w:tc>
        <w:tc>
          <w:tcPr>
            <w:tcW w:w="1890" w:type="dxa"/>
            <w:tcBorders>
              <w:top w:val="nil"/>
              <w:left w:val="nil"/>
              <w:bottom w:val="single" w:sz="4" w:space="0" w:color="auto"/>
              <w:right w:val="single" w:sz="4" w:space="0" w:color="auto"/>
            </w:tcBorders>
            <w:shd w:val="clear" w:color="auto" w:fill="auto"/>
            <w:vAlign w:val="center"/>
            <w:hideMark/>
          </w:tcPr>
          <w:p w14:paraId="3965B67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KLGJ, KLP, GJKKO</w:t>
            </w:r>
          </w:p>
        </w:tc>
        <w:tc>
          <w:tcPr>
            <w:tcW w:w="1620" w:type="dxa"/>
            <w:tcBorders>
              <w:top w:val="nil"/>
              <w:left w:val="nil"/>
              <w:bottom w:val="single" w:sz="4" w:space="0" w:color="auto"/>
              <w:right w:val="single" w:sz="8" w:space="0" w:color="auto"/>
            </w:tcBorders>
            <w:shd w:val="clear" w:color="auto" w:fill="auto"/>
            <w:vAlign w:val="center"/>
            <w:hideMark/>
          </w:tcPr>
          <w:p w14:paraId="0E1546F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614FA4B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76E71B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54A6722" w14:textId="77777777" w:rsidTr="0018109D">
        <w:trPr>
          <w:trHeight w:val="1560"/>
        </w:trPr>
        <w:tc>
          <w:tcPr>
            <w:tcW w:w="1790" w:type="dxa"/>
            <w:vMerge/>
            <w:tcBorders>
              <w:top w:val="nil"/>
              <w:left w:val="single" w:sz="8" w:space="0" w:color="auto"/>
              <w:bottom w:val="single" w:sz="8" w:space="0" w:color="000000"/>
              <w:right w:val="single" w:sz="8" w:space="0" w:color="auto"/>
            </w:tcBorders>
            <w:vAlign w:val="center"/>
            <w:hideMark/>
          </w:tcPr>
          <w:p w14:paraId="684111E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358343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1.4.3.3 Rritja e kapaciteteve per zbatimin e Planit Vjetor te Komunikimit</w:t>
            </w:r>
          </w:p>
        </w:tc>
        <w:tc>
          <w:tcPr>
            <w:tcW w:w="1890" w:type="dxa"/>
            <w:tcBorders>
              <w:top w:val="nil"/>
              <w:left w:val="nil"/>
              <w:bottom w:val="single" w:sz="4" w:space="0" w:color="auto"/>
              <w:right w:val="single" w:sz="4" w:space="0" w:color="auto"/>
            </w:tcBorders>
            <w:shd w:val="clear" w:color="auto" w:fill="auto"/>
            <w:vAlign w:val="center"/>
            <w:hideMark/>
          </w:tcPr>
          <w:p w14:paraId="09D7FA6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KLGJ, KLP, GJKKO</w:t>
            </w:r>
          </w:p>
        </w:tc>
        <w:tc>
          <w:tcPr>
            <w:tcW w:w="1620" w:type="dxa"/>
            <w:tcBorders>
              <w:top w:val="nil"/>
              <w:left w:val="nil"/>
              <w:bottom w:val="single" w:sz="4" w:space="0" w:color="auto"/>
              <w:right w:val="single" w:sz="8" w:space="0" w:color="auto"/>
            </w:tcBorders>
            <w:shd w:val="clear" w:color="auto" w:fill="auto"/>
            <w:vAlign w:val="center"/>
            <w:hideMark/>
          </w:tcPr>
          <w:p w14:paraId="3DADDB6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1C772D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6B8D42D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337E5AD" w14:textId="77777777" w:rsidTr="0018109D">
        <w:trPr>
          <w:trHeight w:val="468"/>
        </w:trPr>
        <w:tc>
          <w:tcPr>
            <w:tcW w:w="1790" w:type="dxa"/>
            <w:vMerge/>
            <w:tcBorders>
              <w:top w:val="nil"/>
              <w:left w:val="single" w:sz="8" w:space="0" w:color="auto"/>
              <w:bottom w:val="single" w:sz="8" w:space="0" w:color="000000"/>
              <w:right w:val="single" w:sz="8" w:space="0" w:color="auto"/>
            </w:tcBorders>
            <w:vAlign w:val="center"/>
            <w:hideMark/>
          </w:tcPr>
          <w:p w14:paraId="3263573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2814FCD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1.4.3.4 Raportimi mbi implementimin e Planit Vjetor te Komunikimit</w:t>
            </w:r>
          </w:p>
        </w:tc>
        <w:tc>
          <w:tcPr>
            <w:tcW w:w="1890" w:type="dxa"/>
            <w:tcBorders>
              <w:top w:val="nil"/>
              <w:left w:val="nil"/>
              <w:bottom w:val="single" w:sz="8" w:space="0" w:color="auto"/>
              <w:right w:val="single" w:sz="4" w:space="0" w:color="auto"/>
            </w:tcBorders>
            <w:shd w:val="clear" w:color="auto" w:fill="auto"/>
            <w:vAlign w:val="center"/>
            <w:hideMark/>
          </w:tcPr>
          <w:p w14:paraId="4833CE1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KLGJ, KLP, GJKKO</w:t>
            </w:r>
          </w:p>
        </w:tc>
        <w:tc>
          <w:tcPr>
            <w:tcW w:w="1620" w:type="dxa"/>
            <w:tcBorders>
              <w:top w:val="nil"/>
              <w:left w:val="nil"/>
              <w:bottom w:val="single" w:sz="8" w:space="0" w:color="auto"/>
              <w:right w:val="single" w:sz="8" w:space="0" w:color="auto"/>
            </w:tcBorders>
            <w:shd w:val="clear" w:color="auto" w:fill="auto"/>
            <w:vAlign w:val="center"/>
            <w:hideMark/>
          </w:tcPr>
          <w:p w14:paraId="0676455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024ECD3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24224ED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09D60B6" w14:textId="77777777" w:rsidTr="0018109D">
        <w:trPr>
          <w:trHeight w:val="576"/>
        </w:trPr>
        <w:tc>
          <w:tcPr>
            <w:tcW w:w="10790" w:type="dxa"/>
            <w:gridSpan w:val="6"/>
            <w:tcBorders>
              <w:top w:val="single" w:sz="8" w:space="0" w:color="auto"/>
              <w:left w:val="single" w:sz="8" w:space="0" w:color="auto"/>
              <w:bottom w:val="single" w:sz="8" w:space="0" w:color="auto"/>
              <w:right w:val="single" w:sz="4" w:space="0" w:color="auto"/>
            </w:tcBorders>
            <w:shd w:val="clear" w:color="000000" w:fill="9CC2E5"/>
            <w:vAlign w:val="center"/>
            <w:hideMark/>
          </w:tcPr>
          <w:p w14:paraId="2272FE95"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Qellimi i Politikës 2 - Forcimi i pavarësisë, paanshmërisë dhe llogaridhënies në sistemin e drejtesisë.</w:t>
            </w:r>
          </w:p>
        </w:tc>
      </w:tr>
      <w:tr w:rsidR="007440A2" w:rsidRPr="007440A2" w14:paraId="31A5BB56" w14:textId="77777777" w:rsidTr="0018109D">
        <w:trPr>
          <w:trHeight w:val="792"/>
        </w:trPr>
        <w:tc>
          <w:tcPr>
            <w:tcW w:w="4310" w:type="dxa"/>
            <w:gridSpan w:val="2"/>
            <w:tcBorders>
              <w:top w:val="single" w:sz="4" w:space="0" w:color="auto"/>
              <w:left w:val="single" w:sz="8" w:space="0" w:color="auto"/>
              <w:bottom w:val="single" w:sz="8" w:space="0" w:color="auto"/>
              <w:right w:val="nil"/>
            </w:tcBorders>
            <w:shd w:val="clear" w:color="000000" w:fill="9CC2E5"/>
            <w:vAlign w:val="center"/>
            <w:hideMark/>
          </w:tcPr>
          <w:p w14:paraId="20940401"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2.1:</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696A64B1"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Garantimi i emërimeve dhe zhvillimit të karrierës së magjistratëve në sistemin e drejtësisë, bazuar në meritokraci.</w:t>
            </w:r>
          </w:p>
        </w:tc>
      </w:tr>
      <w:tr w:rsidR="007440A2" w:rsidRPr="007440A2" w14:paraId="296FF3C5" w14:textId="77777777" w:rsidTr="0018109D">
        <w:trPr>
          <w:trHeight w:val="1584"/>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3E108E56"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1C3146A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Deri ne fund te vitit 2030 KLGJ dhe KLP arrijne te zbatojne 100% te planeve vjetore perkatese te vleresimit te rregullt etik dhe profesional te gjyqtareve dhe prokuroreve; </w:t>
            </w:r>
            <w:r w:rsidRPr="007440A2">
              <w:rPr>
                <w:rFonts w:ascii="Times New Roman" w:eastAsia="Times New Roman" w:hAnsi="Times New Roman" w:cs="Times New Roman"/>
                <w:sz w:val="20"/>
                <w:szCs w:val="20"/>
              </w:rPr>
              <w:br/>
            </w:r>
            <w:r w:rsidRPr="007440A2">
              <w:rPr>
                <w:rFonts w:ascii="Times New Roman" w:eastAsia="Times New Roman" w:hAnsi="Times New Roman" w:cs="Times New Roman"/>
                <w:sz w:val="20"/>
                <w:szCs w:val="20"/>
              </w:rPr>
              <w:br/>
              <w:t>Deri ne fund te vitit 2030, 80% e magjistrateve (gjyqtare dhe prokurore) jane vlerësuar me të paktën një vlerësim të plotë etik dhe profesional.</w:t>
            </w:r>
          </w:p>
        </w:tc>
      </w:tr>
      <w:tr w:rsidR="007440A2" w:rsidRPr="007440A2" w14:paraId="6839BA31" w14:textId="77777777" w:rsidTr="0018109D">
        <w:trPr>
          <w:trHeight w:val="540"/>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46E79F83"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3EDF415A"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15DAEE98"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0AFFE8FB"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16999BA9"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1DF557E5"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331D2A36" w14:textId="77777777" w:rsidTr="0018109D">
        <w:trPr>
          <w:trHeight w:val="1632"/>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09A8C704"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2.1.1 Këshillat rishikojnë rregullat e tyre të brendshme me qëllim emërimin dhe zhvillimin e karrierës së magjistratëve në sistemin e drejtësisë, bazuar në meritokraci. </w:t>
            </w:r>
          </w:p>
        </w:tc>
        <w:tc>
          <w:tcPr>
            <w:tcW w:w="2520" w:type="dxa"/>
            <w:tcBorders>
              <w:top w:val="nil"/>
              <w:left w:val="nil"/>
              <w:bottom w:val="single" w:sz="4" w:space="0" w:color="auto"/>
              <w:right w:val="single" w:sz="4" w:space="0" w:color="auto"/>
            </w:tcBorders>
            <w:shd w:val="clear" w:color="auto" w:fill="auto"/>
            <w:vAlign w:val="center"/>
            <w:hideMark/>
          </w:tcPr>
          <w:p w14:paraId="2AE7966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2.1.1.1 Rishikimi dhe miratimi i ndryshimeve të Rregullores te ngritjes ne detyre te prokuroreve nga KLP-ja. </w:t>
            </w:r>
          </w:p>
        </w:tc>
        <w:tc>
          <w:tcPr>
            <w:tcW w:w="1890" w:type="dxa"/>
            <w:tcBorders>
              <w:top w:val="nil"/>
              <w:left w:val="nil"/>
              <w:bottom w:val="single" w:sz="4" w:space="0" w:color="auto"/>
              <w:right w:val="single" w:sz="4" w:space="0" w:color="auto"/>
            </w:tcBorders>
            <w:shd w:val="clear" w:color="auto" w:fill="auto"/>
            <w:vAlign w:val="center"/>
            <w:hideMark/>
          </w:tcPr>
          <w:p w14:paraId="1182D9B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KLP</w:t>
            </w:r>
          </w:p>
        </w:tc>
        <w:tc>
          <w:tcPr>
            <w:tcW w:w="1620" w:type="dxa"/>
            <w:tcBorders>
              <w:top w:val="nil"/>
              <w:left w:val="nil"/>
              <w:bottom w:val="single" w:sz="4" w:space="0" w:color="auto"/>
              <w:right w:val="single" w:sz="4" w:space="0" w:color="auto"/>
            </w:tcBorders>
            <w:shd w:val="clear" w:color="auto" w:fill="auto"/>
            <w:vAlign w:val="center"/>
            <w:hideMark/>
          </w:tcPr>
          <w:p w14:paraId="63E746E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w:t>
            </w:r>
          </w:p>
        </w:tc>
        <w:tc>
          <w:tcPr>
            <w:tcW w:w="1710" w:type="dxa"/>
            <w:tcBorders>
              <w:top w:val="nil"/>
              <w:left w:val="nil"/>
              <w:bottom w:val="single" w:sz="4" w:space="0" w:color="auto"/>
              <w:right w:val="single" w:sz="4" w:space="0" w:color="auto"/>
            </w:tcBorders>
            <w:shd w:val="clear" w:color="000000" w:fill="DDEBF7"/>
            <w:vAlign w:val="center"/>
            <w:hideMark/>
          </w:tcPr>
          <w:p w14:paraId="3A98DF3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br/>
              <w:t>2025</w:t>
            </w:r>
          </w:p>
        </w:tc>
        <w:tc>
          <w:tcPr>
            <w:tcW w:w="1260" w:type="dxa"/>
            <w:tcBorders>
              <w:top w:val="nil"/>
              <w:left w:val="nil"/>
              <w:bottom w:val="single" w:sz="4" w:space="0" w:color="auto"/>
              <w:right w:val="single" w:sz="8" w:space="0" w:color="auto"/>
            </w:tcBorders>
            <w:shd w:val="clear" w:color="000000" w:fill="DDEBF7"/>
            <w:vAlign w:val="center"/>
            <w:hideMark/>
          </w:tcPr>
          <w:p w14:paraId="15B746A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br/>
              <w:t>2025</w:t>
            </w:r>
          </w:p>
        </w:tc>
      </w:tr>
      <w:tr w:rsidR="007440A2" w:rsidRPr="007440A2" w14:paraId="650C361A" w14:textId="77777777" w:rsidTr="0018109D">
        <w:trPr>
          <w:trHeight w:val="1476"/>
        </w:trPr>
        <w:tc>
          <w:tcPr>
            <w:tcW w:w="1790" w:type="dxa"/>
            <w:vMerge/>
            <w:tcBorders>
              <w:top w:val="nil"/>
              <w:left w:val="single" w:sz="8" w:space="0" w:color="auto"/>
              <w:bottom w:val="single" w:sz="8" w:space="0" w:color="000000"/>
              <w:right w:val="single" w:sz="4" w:space="0" w:color="auto"/>
            </w:tcBorders>
            <w:vAlign w:val="center"/>
            <w:hideMark/>
          </w:tcPr>
          <w:p w14:paraId="00E93B67"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E98937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2.1.1.2 Shqyrtimi, rishikimi dhe miratimi i draft Rregullores së Brendshme të KLGJ-së. </w:t>
            </w:r>
          </w:p>
        </w:tc>
        <w:tc>
          <w:tcPr>
            <w:tcW w:w="1890" w:type="dxa"/>
            <w:tcBorders>
              <w:top w:val="nil"/>
              <w:left w:val="nil"/>
              <w:bottom w:val="single" w:sz="4" w:space="0" w:color="auto"/>
              <w:right w:val="single" w:sz="4" w:space="0" w:color="auto"/>
            </w:tcBorders>
            <w:shd w:val="clear" w:color="auto" w:fill="auto"/>
            <w:vAlign w:val="center"/>
            <w:hideMark/>
          </w:tcPr>
          <w:p w14:paraId="0E5E2D2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4" w:space="0" w:color="auto"/>
            </w:tcBorders>
            <w:shd w:val="clear" w:color="auto" w:fill="auto"/>
            <w:vAlign w:val="center"/>
            <w:hideMark/>
          </w:tcPr>
          <w:p w14:paraId="4DF6E5E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3DDCD7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F20B6A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79E56102" w14:textId="77777777" w:rsidTr="0018109D">
        <w:trPr>
          <w:trHeight w:val="1392"/>
        </w:trPr>
        <w:tc>
          <w:tcPr>
            <w:tcW w:w="1790" w:type="dxa"/>
            <w:vMerge/>
            <w:tcBorders>
              <w:top w:val="nil"/>
              <w:left w:val="single" w:sz="8" w:space="0" w:color="auto"/>
              <w:bottom w:val="single" w:sz="8" w:space="0" w:color="000000"/>
              <w:right w:val="single" w:sz="4" w:space="0" w:color="auto"/>
            </w:tcBorders>
            <w:vAlign w:val="center"/>
            <w:hideMark/>
          </w:tcPr>
          <w:p w14:paraId="208472F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43A45D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2.1.1.3 Krijimi i mekanizmave të monitorimit dhe raportimit nga të dy Këshillat, me qëllim sigurimin në kohë dhe rigoroz të kontrollit të aseteve dhe figurës së magjistratëve përpara ngritjes në detyrë. </w:t>
            </w:r>
          </w:p>
        </w:tc>
        <w:tc>
          <w:tcPr>
            <w:tcW w:w="1890" w:type="dxa"/>
            <w:tcBorders>
              <w:top w:val="nil"/>
              <w:left w:val="nil"/>
              <w:bottom w:val="single" w:sz="4" w:space="0" w:color="auto"/>
              <w:right w:val="single" w:sz="4" w:space="0" w:color="auto"/>
            </w:tcBorders>
            <w:shd w:val="clear" w:color="auto" w:fill="auto"/>
            <w:vAlign w:val="center"/>
            <w:hideMark/>
          </w:tcPr>
          <w:p w14:paraId="1A953A9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single" w:sz="4" w:space="0" w:color="auto"/>
            </w:tcBorders>
            <w:shd w:val="clear" w:color="auto" w:fill="auto"/>
            <w:vAlign w:val="center"/>
            <w:hideMark/>
          </w:tcPr>
          <w:p w14:paraId="69F5A0A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0F1FF7F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5877758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8F88BE7" w14:textId="77777777" w:rsidTr="0018109D">
        <w:trPr>
          <w:trHeight w:val="1212"/>
        </w:trPr>
        <w:tc>
          <w:tcPr>
            <w:tcW w:w="1790" w:type="dxa"/>
            <w:vMerge/>
            <w:tcBorders>
              <w:top w:val="nil"/>
              <w:left w:val="single" w:sz="8" w:space="0" w:color="auto"/>
              <w:bottom w:val="single" w:sz="8" w:space="0" w:color="000000"/>
              <w:right w:val="single" w:sz="4" w:space="0" w:color="auto"/>
            </w:tcBorders>
            <w:vAlign w:val="center"/>
            <w:hideMark/>
          </w:tcPr>
          <w:p w14:paraId="6FC7922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63F72FB"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2.1.1.4 Hartimi i planeve vjetore të vlerësimit nga të dy Këshillat që përmbajnë kalendar konkret dhe aktivitete që synojnë reduktimin e numrit të mbetur të vlerësimeve. </w:t>
            </w:r>
          </w:p>
        </w:tc>
        <w:tc>
          <w:tcPr>
            <w:tcW w:w="1890" w:type="dxa"/>
            <w:tcBorders>
              <w:top w:val="nil"/>
              <w:left w:val="nil"/>
              <w:bottom w:val="single" w:sz="4" w:space="0" w:color="auto"/>
              <w:right w:val="single" w:sz="4" w:space="0" w:color="auto"/>
            </w:tcBorders>
            <w:shd w:val="clear" w:color="auto" w:fill="auto"/>
            <w:vAlign w:val="center"/>
            <w:hideMark/>
          </w:tcPr>
          <w:p w14:paraId="5B2AEEA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single" w:sz="4" w:space="0" w:color="auto"/>
            </w:tcBorders>
            <w:shd w:val="clear" w:color="auto" w:fill="auto"/>
            <w:vAlign w:val="center"/>
            <w:hideMark/>
          </w:tcPr>
          <w:p w14:paraId="19129D5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7A29F0A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603559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1677EDA" w14:textId="77777777" w:rsidTr="0018109D">
        <w:trPr>
          <w:trHeight w:val="576"/>
        </w:trPr>
        <w:tc>
          <w:tcPr>
            <w:tcW w:w="1790" w:type="dxa"/>
            <w:vMerge/>
            <w:tcBorders>
              <w:top w:val="nil"/>
              <w:left w:val="single" w:sz="8" w:space="0" w:color="auto"/>
              <w:bottom w:val="single" w:sz="8" w:space="0" w:color="000000"/>
              <w:right w:val="single" w:sz="4" w:space="0" w:color="auto"/>
            </w:tcBorders>
            <w:vAlign w:val="center"/>
            <w:hideMark/>
          </w:tcPr>
          <w:p w14:paraId="321C004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774351B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2.1.1.5 Zbatimi i planit të vlerësimit duke arritur të paktën 60% të parashikimeve vjetore të planifikimit deri në vitin 2025 dhe 100%  deri në vitin </w:t>
            </w:r>
            <w:r w:rsidRPr="007440A2">
              <w:rPr>
                <w:rFonts w:ascii="Times New Roman" w:eastAsia="Times New Roman" w:hAnsi="Times New Roman" w:cs="Times New Roman"/>
                <w:b/>
                <w:bCs/>
                <w:sz w:val="20"/>
                <w:szCs w:val="20"/>
              </w:rPr>
              <w:t>2030</w:t>
            </w:r>
            <w:r w:rsidRPr="007440A2">
              <w:rPr>
                <w:rFonts w:ascii="Times New Roman" w:eastAsia="Times New Roman" w:hAnsi="Times New Roman" w:cs="Times New Roman"/>
                <w:sz w:val="20"/>
                <w:szCs w:val="20"/>
              </w:rPr>
              <w:t xml:space="preserve">. </w:t>
            </w:r>
          </w:p>
        </w:tc>
        <w:tc>
          <w:tcPr>
            <w:tcW w:w="1890" w:type="dxa"/>
            <w:tcBorders>
              <w:top w:val="nil"/>
              <w:left w:val="nil"/>
              <w:bottom w:val="single" w:sz="8" w:space="0" w:color="auto"/>
              <w:right w:val="single" w:sz="4" w:space="0" w:color="auto"/>
            </w:tcBorders>
            <w:shd w:val="clear" w:color="auto" w:fill="auto"/>
            <w:vAlign w:val="center"/>
            <w:hideMark/>
          </w:tcPr>
          <w:p w14:paraId="6CA30D4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8" w:space="0" w:color="auto"/>
              <w:right w:val="single" w:sz="4" w:space="0" w:color="auto"/>
            </w:tcBorders>
            <w:shd w:val="clear" w:color="auto" w:fill="auto"/>
            <w:vAlign w:val="center"/>
            <w:hideMark/>
          </w:tcPr>
          <w:p w14:paraId="4642672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7C7BA90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2F0FEF9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B8E9890" w14:textId="77777777" w:rsidTr="0018109D">
        <w:trPr>
          <w:trHeight w:val="1536"/>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4A7A227F" w14:textId="553BC85D"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2.1.2 KLGJ-ja dhe KLP-ja sigurojnë më tej promovimin transparent të gjyqtarëve dhe prokurorëve duke publikuar rregullisht procedurat e ngritjes në detyrë </w:t>
            </w:r>
          </w:p>
        </w:tc>
        <w:tc>
          <w:tcPr>
            <w:tcW w:w="2520" w:type="dxa"/>
            <w:tcBorders>
              <w:top w:val="nil"/>
              <w:left w:val="nil"/>
              <w:bottom w:val="single" w:sz="4" w:space="0" w:color="auto"/>
              <w:right w:val="single" w:sz="4" w:space="0" w:color="auto"/>
            </w:tcBorders>
            <w:shd w:val="clear" w:color="auto" w:fill="auto"/>
            <w:vAlign w:val="center"/>
            <w:hideMark/>
          </w:tcPr>
          <w:p w14:paraId="4A8A4FE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2.1.2.1 Analiza e procedurave të ngritjes në detyrë të kryera nga Këshillat dhe identifikimi i pikave të dobëta të procedurave, duke përfshirë publikimin në kohë të thirrjeve për vende të lira pune, standarde të barabarta për vlerësimin e performancës së aplikantëve, etj.; hartimin e rekomandimeve për përmirësimin e procedurave. </w:t>
            </w:r>
          </w:p>
        </w:tc>
        <w:tc>
          <w:tcPr>
            <w:tcW w:w="1890" w:type="dxa"/>
            <w:tcBorders>
              <w:top w:val="nil"/>
              <w:left w:val="nil"/>
              <w:bottom w:val="single" w:sz="4" w:space="0" w:color="auto"/>
              <w:right w:val="single" w:sz="4" w:space="0" w:color="auto"/>
            </w:tcBorders>
            <w:shd w:val="clear" w:color="auto" w:fill="auto"/>
            <w:vAlign w:val="center"/>
            <w:hideMark/>
          </w:tcPr>
          <w:p w14:paraId="3728551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single" w:sz="4" w:space="0" w:color="auto"/>
            </w:tcBorders>
            <w:shd w:val="clear" w:color="auto" w:fill="auto"/>
            <w:vAlign w:val="center"/>
            <w:hideMark/>
          </w:tcPr>
          <w:p w14:paraId="21553D1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E150D6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2024,2026,2028,2030</w:t>
            </w:r>
          </w:p>
        </w:tc>
        <w:tc>
          <w:tcPr>
            <w:tcW w:w="1260" w:type="dxa"/>
            <w:tcBorders>
              <w:top w:val="nil"/>
              <w:left w:val="nil"/>
              <w:bottom w:val="single" w:sz="4" w:space="0" w:color="auto"/>
              <w:right w:val="single" w:sz="8" w:space="0" w:color="auto"/>
            </w:tcBorders>
            <w:shd w:val="clear" w:color="000000" w:fill="DDEBF7"/>
            <w:vAlign w:val="center"/>
            <w:hideMark/>
          </w:tcPr>
          <w:p w14:paraId="68B0A3F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2024,2026,2028,2030</w:t>
            </w:r>
          </w:p>
        </w:tc>
      </w:tr>
      <w:tr w:rsidR="007440A2" w:rsidRPr="007440A2" w14:paraId="6CAEFFA5" w14:textId="77777777" w:rsidTr="0018109D">
        <w:trPr>
          <w:trHeight w:val="1152"/>
        </w:trPr>
        <w:tc>
          <w:tcPr>
            <w:tcW w:w="1790" w:type="dxa"/>
            <w:vMerge/>
            <w:tcBorders>
              <w:top w:val="nil"/>
              <w:left w:val="single" w:sz="8" w:space="0" w:color="auto"/>
              <w:bottom w:val="single" w:sz="8" w:space="0" w:color="000000"/>
              <w:right w:val="single" w:sz="4" w:space="0" w:color="auto"/>
            </w:tcBorders>
            <w:vAlign w:val="center"/>
            <w:hideMark/>
          </w:tcPr>
          <w:p w14:paraId="087FACC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512EC76" w14:textId="71828481"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2.1.2.2 Rishikime nënligjore të KLGJ-së/KLP-së duke siguruar planifikim transparent të procedurave të ngritjes në detyrë (dhe transferimeve paralele) që garanton procedura të besueshme dhe të parashikueshme të zhvillimit të karrierës. </w:t>
            </w:r>
          </w:p>
        </w:tc>
        <w:tc>
          <w:tcPr>
            <w:tcW w:w="1890" w:type="dxa"/>
            <w:tcBorders>
              <w:top w:val="nil"/>
              <w:left w:val="nil"/>
              <w:bottom w:val="single" w:sz="4" w:space="0" w:color="auto"/>
              <w:right w:val="single" w:sz="4" w:space="0" w:color="auto"/>
            </w:tcBorders>
            <w:shd w:val="clear" w:color="auto" w:fill="auto"/>
            <w:vAlign w:val="center"/>
            <w:hideMark/>
          </w:tcPr>
          <w:p w14:paraId="620632D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single" w:sz="4" w:space="0" w:color="auto"/>
            </w:tcBorders>
            <w:shd w:val="clear" w:color="auto" w:fill="auto"/>
            <w:vAlign w:val="center"/>
            <w:hideMark/>
          </w:tcPr>
          <w:p w14:paraId="22DA843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40EAE0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2025</w:t>
            </w:r>
          </w:p>
        </w:tc>
        <w:tc>
          <w:tcPr>
            <w:tcW w:w="1260" w:type="dxa"/>
            <w:tcBorders>
              <w:top w:val="nil"/>
              <w:left w:val="nil"/>
              <w:bottom w:val="single" w:sz="4" w:space="0" w:color="auto"/>
              <w:right w:val="single" w:sz="8" w:space="0" w:color="auto"/>
            </w:tcBorders>
            <w:shd w:val="clear" w:color="000000" w:fill="DDEBF7"/>
            <w:vAlign w:val="center"/>
            <w:hideMark/>
          </w:tcPr>
          <w:p w14:paraId="32366AE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4B0DC700" w14:textId="77777777" w:rsidTr="0018109D">
        <w:trPr>
          <w:trHeight w:val="1356"/>
        </w:trPr>
        <w:tc>
          <w:tcPr>
            <w:tcW w:w="1790" w:type="dxa"/>
            <w:vMerge/>
            <w:tcBorders>
              <w:top w:val="nil"/>
              <w:left w:val="single" w:sz="8" w:space="0" w:color="auto"/>
              <w:bottom w:val="single" w:sz="8" w:space="0" w:color="000000"/>
              <w:right w:val="single" w:sz="4" w:space="0" w:color="auto"/>
            </w:tcBorders>
            <w:vAlign w:val="center"/>
            <w:hideMark/>
          </w:tcPr>
          <w:p w14:paraId="109248D7"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5701292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2.1.2.3 Ndryshimi dhe miratimi nënligjore të KLGJ-së/KLP-së duke siguruar planifikim transparent të procedurave të ngritjes në detyrë (dhe transferimeve paralele) që garanton procedura të besueshme dhe të parashikueshme të zhvillimit të karrierës. </w:t>
            </w:r>
          </w:p>
        </w:tc>
        <w:tc>
          <w:tcPr>
            <w:tcW w:w="1890" w:type="dxa"/>
            <w:tcBorders>
              <w:top w:val="nil"/>
              <w:left w:val="nil"/>
              <w:bottom w:val="single" w:sz="8" w:space="0" w:color="auto"/>
              <w:right w:val="single" w:sz="4" w:space="0" w:color="auto"/>
            </w:tcBorders>
            <w:shd w:val="clear" w:color="auto" w:fill="auto"/>
            <w:vAlign w:val="center"/>
            <w:hideMark/>
          </w:tcPr>
          <w:p w14:paraId="6294E78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8" w:space="0" w:color="auto"/>
              <w:right w:val="single" w:sz="4" w:space="0" w:color="auto"/>
            </w:tcBorders>
            <w:shd w:val="clear" w:color="auto" w:fill="auto"/>
            <w:vAlign w:val="center"/>
            <w:hideMark/>
          </w:tcPr>
          <w:p w14:paraId="05840E6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36283FE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8" w:space="0" w:color="auto"/>
              <w:right w:val="single" w:sz="8" w:space="0" w:color="auto"/>
            </w:tcBorders>
            <w:shd w:val="clear" w:color="000000" w:fill="DDEBF7"/>
            <w:vAlign w:val="center"/>
            <w:hideMark/>
          </w:tcPr>
          <w:p w14:paraId="4128889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508D52E8" w14:textId="77777777" w:rsidTr="0018109D">
        <w:trPr>
          <w:trHeight w:val="912"/>
        </w:trPr>
        <w:tc>
          <w:tcPr>
            <w:tcW w:w="4310" w:type="dxa"/>
            <w:gridSpan w:val="2"/>
            <w:tcBorders>
              <w:top w:val="nil"/>
              <w:left w:val="single" w:sz="8" w:space="0" w:color="auto"/>
              <w:bottom w:val="single" w:sz="8" w:space="0" w:color="auto"/>
              <w:right w:val="nil"/>
            </w:tcBorders>
            <w:shd w:val="clear" w:color="000000" w:fill="9CC2E5"/>
            <w:vAlign w:val="center"/>
            <w:hideMark/>
          </w:tcPr>
          <w:p w14:paraId="6A982E47"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2.2:</w:t>
            </w:r>
          </w:p>
        </w:tc>
        <w:tc>
          <w:tcPr>
            <w:tcW w:w="6480" w:type="dxa"/>
            <w:gridSpan w:val="4"/>
            <w:tcBorders>
              <w:top w:val="nil"/>
              <w:left w:val="single" w:sz="8" w:space="0" w:color="auto"/>
              <w:bottom w:val="single" w:sz="8" w:space="0" w:color="auto"/>
              <w:right w:val="single" w:sz="8" w:space="0" w:color="000000"/>
            </w:tcBorders>
            <w:shd w:val="clear" w:color="000000" w:fill="9CC2E5"/>
            <w:vAlign w:val="center"/>
            <w:hideMark/>
          </w:tcPr>
          <w:p w14:paraId="6B344D7B"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 Forcimi i kapaciteteve institucionale, magjistratëve edhe jomagjistratet për parandalimin dhe mbrojtjen nga ndërhyrjet e brendshme dhe të jashtme. </w:t>
            </w:r>
          </w:p>
        </w:tc>
      </w:tr>
      <w:tr w:rsidR="007440A2" w:rsidRPr="007440A2" w14:paraId="79014C26" w14:textId="77777777" w:rsidTr="0018109D">
        <w:trPr>
          <w:trHeight w:val="792"/>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58B2656C"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4EE9C39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Deri ne fund te vitit 2030 garantohet perdorimi i sistemit elektronik ne hedhjen e shortit per plotesimin e trupit gjykues. Shorti manual perdoret vetem ne raste perjashtimore. </w:t>
            </w:r>
          </w:p>
        </w:tc>
      </w:tr>
      <w:tr w:rsidR="007440A2" w:rsidRPr="007440A2" w14:paraId="46003C97" w14:textId="77777777" w:rsidTr="0018109D">
        <w:trPr>
          <w:trHeight w:val="540"/>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41D334E8"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5EA17FB9"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74ADB512"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47085DB6"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26FFF7CB"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44D1F712"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1CF21C54" w14:textId="77777777" w:rsidTr="0018109D">
        <w:trPr>
          <w:trHeight w:val="1248"/>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12213889"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2.2.1 Forcimi i integritetit dhe trajnimi i ofruar nga Shkolla e Magjistraturës dhe institucionet e qeverisjes.</w:t>
            </w:r>
          </w:p>
        </w:tc>
        <w:tc>
          <w:tcPr>
            <w:tcW w:w="2520" w:type="dxa"/>
            <w:tcBorders>
              <w:top w:val="nil"/>
              <w:left w:val="nil"/>
              <w:bottom w:val="single" w:sz="4" w:space="0" w:color="auto"/>
              <w:right w:val="single" w:sz="4" w:space="0" w:color="auto"/>
            </w:tcBorders>
            <w:shd w:val="clear" w:color="auto" w:fill="auto"/>
            <w:vAlign w:val="center"/>
            <w:hideMark/>
          </w:tcPr>
          <w:p w14:paraId="1F82A4C8" w14:textId="37223835"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2.2.1.1</w:t>
            </w:r>
            <w:r w:rsidR="00995EBD">
              <w:rPr>
                <w:rFonts w:ascii="Times New Roman" w:eastAsia="Times New Roman" w:hAnsi="Times New Roman" w:cs="Times New Roman"/>
                <w:sz w:val="20"/>
                <w:szCs w:val="20"/>
              </w:rPr>
              <w:t xml:space="preserve"> </w:t>
            </w:r>
            <w:r w:rsidRPr="007440A2">
              <w:rPr>
                <w:rFonts w:ascii="Times New Roman" w:eastAsia="Times New Roman" w:hAnsi="Times New Roman" w:cs="Times New Roman"/>
                <w:sz w:val="20"/>
                <w:szCs w:val="20"/>
              </w:rPr>
              <w:t>Analizat e zbatimit të Kodit të Sjelljes nga gjyqtarët/prokurorët si dhe raportet e Këshilltarëve të Etikës, duke përfshirë rekomandimet për trajnimin me integritet të magjistratëve në SHM</w:t>
            </w:r>
          </w:p>
        </w:tc>
        <w:tc>
          <w:tcPr>
            <w:tcW w:w="1890" w:type="dxa"/>
            <w:tcBorders>
              <w:top w:val="nil"/>
              <w:left w:val="nil"/>
              <w:bottom w:val="single" w:sz="4" w:space="0" w:color="auto"/>
              <w:right w:val="single" w:sz="4" w:space="0" w:color="auto"/>
            </w:tcBorders>
            <w:shd w:val="clear" w:color="auto" w:fill="auto"/>
            <w:vAlign w:val="center"/>
            <w:hideMark/>
          </w:tcPr>
          <w:p w14:paraId="71F84B4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nil"/>
            </w:tcBorders>
            <w:shd w:val="clear" w:color="auto" w:fill="auto"/>
            <w:vAlign w:val="center"/>
            <w:hideMark/>
          </w:tcPr>
          <w:p w14:paraId="5D6D76C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4B71A35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61949A5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3591DF04" w14:textId="77777777" w:rsidTr="0018109D">
        <w:trPr>
          <w:trHeight w:val="1476"/>
        </w:trPr>
        <w:tc>
          <w:tcPr>
            <w:tcW w:w="1790" w:type="dxa"/>
            <w:vMerge/>
            <w:tcBorders>
              <w:top w:val="nil"/>
              <w:left w:val="single" w:sz="8" w:space="0" w:color="auto"/>
              <w:bottom w:val="single" w:sz="8" w:space="0" w:color="000000"/>
              <w:right w:val="single" w:sz="4" w:space="0" w:color="auto"/>
            </w:tcBorders>
            <w:vAlign w:val="center"/>
            <w:hideMark/>
          </w:tcPr>
          <w:p w14:paraId="0F358DB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48B99F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2.2.1.2 Hartimi i një moduli trajnimi për Integritetin nga SHM-ja dhe përfshirja e tij në programin fillestar dhe të vazhdueshëm të trajnimit.</w:t>
            </w:r>
          </w:p>
        </w:tc>
        <w:tc>
          <w:tcPr>
            <w:tcW w:w="1890" w:type="dxa"/>
            <w:tcBorders>
              <w:top w:val="nil"/>
              <w:left w:val="nil"/>
              <w:bottom w:val="single" w:sz="4" w:space="0" w:color="auto"/>
              <w:right w:val="single" w:sz="4" w:space="0" w:color="auto"/>
            </w:tcBorders>
            <w:shd w:val="clear" w:color="auto" w:fill="auto"/>
            <w:vAlign w:val="center"/>
            <w:hideMark/>
          </w:tcPr>
          <w:p w14:paraId="4A9DD6A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4" w:space="0" w:color="auto"/>
              <w:right w:val="nil"/>
            </w:tcBorders>
            <w:shd w:val="clear" w:color="auto" w:fill="auto"/>
            <w:vAlign w:val="center"/>
            <w:hideMark/>
          </w:tcPr>
          <w:p w14:paraId="244049D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 PP</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15D850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0BC5928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1422D338" w14:textId="77777777" w:rsidTr="0018109D">
        <w:trPr>
          <w:trHeight w:val="1128"/>
        </w:trPr>
        <w:tc>
          <w:tcPr>
            <w:tcW w:w="1790" w:type="dxa"/>
            <w:vMerge/>
            <w:tcBorders>
              <w:top w:val="nil"/>
              <w:left w:val="single" w:sz="8" w:space="0" w:color="auto"/>
              <w:bottom w:val="single" w:sz="8" w:space="0" w:color="000000"/>
              <w:right w:val="single" w:sz="4" w:space="0" w:color="auto"/>
            </w:tcBorders>
            <w:vAlign w:val="center"/>
            <w:hideMark/>
          </w:tcPr>
          <w:p w14:paraId="38255DD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C8ED71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2.2.1.3 Trajnim per forcimin e integritetit, etiken dhe shtetin e se drejtes nga SHM-ja dhe përfshirja e tij në programin fillestar dhe të vazhdueshëm të trajnimit.                 </w:t>
            </w:r>
          </w:p>
        </w:tc>
        <w:tc>
          <w:tcPr>
            <w:tcW w:w="1890" w:type="dxa"/>
            <w:tcBorders>
              <w:top w:val="nil"/>
              <w:left w:val="nil"/>
              <w:bottom w:val="single" w:sz="4" w:space="0" w:color="auto"/>
              <w:right w:val="single" w:sz="4" w:space="0" w:color="auto"/>
            </w:tcBorders>
            <w:shd w:val="clear" w:color="auto" w:fill="auto"/>
            <w:vAlign w:val="center"/>
            <w:hideMark/>
          </w:tcPr>
          <w:p w14:paraId="5EDDF46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4" w:space="0" w:color="auto"/>
              <w:right w:val="nil"/>
            </w:tcBorders>
            <w:shd w:val="clear" w:color="auto" w:fill="auto"/>
            <w:vAlign w:val="center"/>
            <w:hideMark/>
          </w:tcPr>
          <w:p w14:paraId="03F600F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 PP</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0F8FCCA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AAA58F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FA7B199" w14:textId="77777777" w:rsidTr="0018109D">
        <w:trPr>
          <w:trHeight w:val="1248"/>
        </w:trPr>
        <w:tc>
          <w:tcPr>
            <w:tcW w:w="1790" w:type="dxa"/>
            <w:vMerge/>
            <w:tcBorders>
              <w:top w:val="nil"/>
              <w:left w:val="single" w:sz="8" w:space="0" w:color="auto"/>
              <w:bottom w:val="single" w:sz="8" w:space="0" w:color="000000"/>
              <w:right w:val="single" w:sz="4" w:space="0" w:color="auto"/>
            </w:tcBorders>
            <w:vAlign w:val="center"/>
            <w:hideMark/>
          </w:tcPr>
          <w:p w14:paraId="170DD1A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82FCF81" w14:textId="36D32019"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2.2.1.4 Analizat e nevojave për trajnim dhe Plani i Ngritjes së Kapaciteteve (PNK) në lidhje me integritetin e magjistratëve të hartuara dhe të miratuara nga Këshillat. </w:t>
            </w:r>
          </w:p>
        </w:tc>
        <w:tc>
          <w:tcPr>
            <w:tcW w:w="1890" w:type="dxa"/>
            <w:tcBorders>
              <w:top w:val="nil"/>
              <w:left w:val="nil"/>
              <w:bottom w:val="single" w:sz="4" w:space="0" w:color="auto"/>
              <w:right w:val="single" w:sz="4" w:space="0" w:color="auto"/>
            </w:tcBorders>
            <w:shd w:val="clear" w:color="auto" w:fill="auto"/>
            <w:vAlign w:val="center"/>
            <w:hideMark/>
          </w:tcPr>
          <w:p w14:paraId="2D383C5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nil"/>
            </w:tcBorders>
            <w:shd w:val="clear" w:color="auto" w:fill="auto"/>
            <w:vAlign w:val="center"/>
            <w:hideMark/>
          </w:tcPr>
          <w:p w14:paraId="616EA89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6D46BFC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4E376EE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01B79FA" w14:textId="77777777" w:rsidTr="0018109D">
        <w:trPr>
          <w:trHeight w:val="1890"/>
        </w:trPr>
        <w:tc>
          <w:tcPr>
            <w:tcW w:w="1790" w:type="dxa"/>
            <w:vMerge/>
            <w:tcBorders>
              <w:top w:val="nil"/>
              <w:left w:val="single" w:sz="8" w:space="0" w:color="auto"/>
              <w:bottom w:val="single" w:sz="8" w:space="0" w:color="000000"/>
              <w:right w:val="single" w:sz="4" w:space="0" w:color="auto"/>
            </w:tcBorders>
            <w:vAlign w:val="center"/>
            <w:hideMark/>
          </w:tcPr>
          <w:p w14:paraId="1F550E3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1D0EAFA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2.2.1.5 Zbatimi i PNK-së nga KLGJ-ja/KLP-ja </w:t>
            </w:r>
          </w:p>
        </w:tc>
        <w:tc>
          <w:tcPr>
            <w:tcW w:w="1890" w:type="dxa"/>
            <w:tcBorders>
              <w:top w:val="nil"/>
              <w:left w:val="nil"/>
              <w:bottom w:val="single" w:sz="8" w:space="0" w:color="auto"/>
              <w:right w:val="single" w:sz="4" w:space="0" w:color="auto"/>
            </w:tcBorders>
            <w:shd w:val="clear" w:color="auto" w:fill="auto"/>
            <w:vAlign w:val="center"/>
            <w:hideMark/>
          </w:tcPr>
          <w:p w14:paraId="5774FCB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8" w:space="0" w:color="auto"/>
              <w:right w:val="nil"/>
            </w:tcBorders>
            <w:shd w:val="clear" w:color="auto" w:fill="auto"/>
            <w:vAlign w:val="center"/>
            <w:hideMark/>
          </w:tcPr>
          <w:p w14:paraId="3E1100E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2D5B9B3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2E5F7BC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8625345" w14:textId="77777777" w:rsidTr="0018109D">
        <w:trPr>
          <w:trHeight w:val="1524"/>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59231DA5"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2.2.2 Këshillat reagojnë ndaj deklaratave publike ku ushtrohet ndikim i padrejtë mbi magjistratët dhe marrin masa parandaluese.  </w:t>
            </w:r>
          </w:p>
        </w:tc>
        <w:tc>
          <w:tcPr>
            <w:tcW w:w="2520" w:type="dxa"/>
            <w:tcBorders>
              <w:top w:val="nil"/>
              <w:left w:val="nil"/>
              <w:bottom w:val="single" w:sz="4" w:space="0" w:color="auto"/>
              <w:right w:val="single" w:sz="4" w:space="0" w:color="auto"/>
            </w:tcBorders>
            <w:shd w:val="clear" w:color="auto" w:fill="auto"/>
            <w:vAlign w:val="center"/>
            <w:hideMark/>
          </w:tcPr>
          <w:p w14:paraId="33353B2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2.2.2.1 Mbledhja e të dhënave nga të dy Këshillat në lidhje me ndikimin e padrejtë të ushtruar mbi magjistratët duke filluar nga fillimi i vitit 2024 </w:t>
            </w:r>
          </w:p>
        </w:tc>
        <w:tc>
          <w:tcPr>
            <w:tcW w:w="1890" w:type="dxa"/>
            <w:tcBorders>
              <w:top w:val="nil"/>
              <w:left w:val="nil"/>
              <w:bottom w:val="single" w:sz="4" w:space="0" w:color="auto"/>
              <w:right w:val="single" w:sz="4" w:space="0" w:color="auto"/>
            </w:tcBorders>
            <w:shd w:val="clear" w:color="auto" w:fill="auto"/>
            <w:vAlign w:val="center"/>
            <w:hideMark/>
          </w:tcPr>
          <w:p w14:paraId="1C2A21F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single" w:sz="4" w:space="0" w:color="auto"/>
            </w:tcBorders>
            <w:shd w:val="clear" w:color="auto" w:fill="auto"/>
            <w:vAlign w:val="center"/>
            <w:hideMark/>
          </w:tcPr>
          <w:p w14:paraId="176553A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2545EDA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6B9FE6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00555AAA" w14:textId="77777777" w:rsidTr="0018109D">
        <w:trPr>
          <w:trHeight w:val="1020"/>
        </w:trPr>
        <w:tc>
          <w:tcPr>
            <w:tcW w:w="1790" w:type="dxa"/>
            <w:vMerge/>
            <w:tcBorders>
              <w:top w:val="nil"/>
              <w:left w:val="single" w:sz="8" w:space="0" w:color="auto"/>
              <w:bottom w:val="single" w:sz="8" w:space="0" w:color="000000"/>
              <w:right w:val="single" w:sz="4" w:space="0" w:color="auto"/>
            </w:tcBorders>
            <w:vAlign w:val="center"/>
            <w:hideMark/>
          </w:tcPr>
          <w:p w14:paraId="5F21565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CF9D3A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2.2.2.2 Mbledhja e të dhënave për deklaratat publike të KLGJ-së/KLP-së në rast se ushtrohet ndikim i padrejtë mbi magjistratët duke filluar nga fillimi i vitit 2024 </w:t>
            </w:r>
          </w:p>
        </w:tc>
        <w:tc>
          <w:tcPr>
            <w:tcW w:w="1890" w:type="dxa"/>
            <w:tcBorders>
              <w:top w:val="nil"/>
              <w:left w:val="nil"/>
              <w:bottom w:val="single" w:sz="4" w:space="0" w:color="auto"/>
              <w:right w:val="single" w:sz="4" w:space="0" w:color="auto"/>
            </w:tcBorders>
            <w:shd w:val="clear" w:color="auto" w:fill="auto"/>
            <w:vAlign w:val="center"/>
            <w:hideMark/>
          </w:tcPr>
          <w:p w14:paraId="373A2A5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single" w:sz="4" w:space="0" w:color="auto"/>
            </w:tcBorders>
            <w:shd w:val="clear" w:color="auto" w:fill="auto"/>
            <w:vAlign w:val="center"/>
            <w:hideMark/>
          </w:tcPr>
          <w:p w14:paraId="4D769ED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AB9C05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31539C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6921F469" w14:textId="77777777" w:rsidTr="0018109D">
        <w:trPr>
          <w:trHeight w:val="504"/>
        </w:trPr>
        <w:tc>
          <w:tcPr>
            <w:tcW w:w="1790" w:type="dxa"/>
            <w:vMerge/>
            <w:tcBorders>
              <w:top w:val="nil"/>
              <w:left w:val="single" w:sz="8" w:space="0" w:color="auto"/>
              <w:bottom w:val="single" w:sz="8" w:space="0" w:color="000000"/>
              <w:right w:val="single" w:sz="4" w:space="0" w:color="auto"/>
            </w:tcBorders>
            <w:vAlign w:val="center"/>
            <w:hideMark/>
          </w:tcPr>
          <w:p w14:paraId="6583CC0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C37F395" w14:textId="6264F436"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2.2.2.3 Analiza dhe vlerësimi I deklarateve publike te </w:t>
            </w:r>
            <w:r w:rsidR="00984814">
              <w:rPr>
                <w:rFonts w:ascii="Times New Roman" w:eastAsia="Times New Roman" w:hAnsi="Times New Roman" w:cs="Times New Roman"/>
                <w:sz w:val="20"/>
                <w:szCs w:val="20"/>
              </w:rPr>
              <w:t>KLGJ/KLP</w:t>
            </w:r>
            <w:r w:rsidRPr="007440A2">
              <w:rPr>
                <w:rFonts w:ascii="Times New Roman" w:eastAsia="Times New Roman" w:hAnsi="Times New Roman" w:cs="Times New Roman"/>
                <w:sz w:val="20"/>
                <w:szCs w:val="20"/>
              </w:rPr>
              <w:t xml:space="preserve"> lidhur me ndikimin e padrejte</w:t>
            </w:r>
          </w:p>
        </w:tc>
        <w:tc>
          <w:tcPr>
            <w:tcW w:w="1890" w:type="dxa"/>
            <w:tcBorders>
              <w:top w:val="nil"/>
              <w:left w:val="nil"/>
              <w:bottom w:val="single" w:sz="4" w:space="0" w:color="auto"/>
              <w:right w:val="single" w:sz="4" w:space="0" w:color="auto"/>
            </w:tcBorders>
            <w:shd w:val="clear" w:color="auto" w:fill="auto"/>
            <w:vAlign w:val="center"/>
            <w:hideMark/>
          </w:tcPr>
          <w:p w14:paraId="5988495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single" w:sz="4" w:space="0" w:color="auto"/>
            </w:tcBorders>
            <w:shd w:val="clear" w:color="auto" w:fill="auto"/>
            <w:vAlign w:val="center"/>
            <w:hideMark/>
          </w:tcPr>
          <w:p w14:paraId="5C732B0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4946BF3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3A22EE6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E4A448C" w14:textId="77777777" w:rsidTr="0018109D">
        <w:trPr>
          <w:trHeight w:val="1380"/>
        </w:trPr>
        <w:tc>
          <w:tcPr>
            <w:tcW w:w="1790" w:type="dxa"/>
            <w:vMerge/>
            <w:tcBorders>
              <w:top w:val="nil"/>
              <w:left w:val="single" w:sz="8" w:space="0" w:color="auto"/>
              <w:bottom w:val="single" w:sz="8" w:space="0" w:color="000000"/>
              <w:right w:val="single" w:sz="4" w:space="0" w:color="auto"/>
            </w:tcBorders>
            <w:vAlign w:val="center"/>
            <w:hideMark/>
          </w:tcPr>
          <w:p w14:paraId="56AA430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5CDB1A92" w14:textId="67232A6B"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2.2.2.4 Analiza dhe vleresimi </w:t>
            </w:r>
            <w:r w:rsidR="00984814">
              <w:rPr>
                <w:rFonts w:ascii="Times New Roman" w:eastAsia="Times New Roman" w:hAnsi="Times New Roman" w:cs="Times New Roman"/>
                <w:sz w:val="20"/>
                <w:szCs w:val="20"/>
              </w:rPr>
              <w:t>i</w:t>
            </w:r>
            <w:r w:rsidRPr="007440A2">
              <w:rPr>
                <w:rFonts w:ascii="Times New Roman" w:eastAsia="Times New Roman" w:hAnsi="Times New Roman" w:cs="Times New Roman"/>
                <w:sz w:val="20"/>
                <w:szCs w:val="20"/>
              </w:rPr>
              <w:t xml:space="preserve"> vendimeve e Këshillave për masat e marra parandaluese në lidhje me magjistratët konkretë </w:t>
            </w:r>
          </w:p>
        </w:tc>
        <w:tc>
          <w:tcPr>
            <w:tcW w:w="1890" w:type="dxa"/>
            <w:tcBorders>
              <w:top w:val="nil"/>
              <w:left w:val="nil"/>
              <w:bottom w:val="single" w:sz="8" w:space="0" w:color="auto"/>
              <w:right w:val="single" w:sz="4" w:space="0" w:color="auto"/>
            </w:tcBorders>
            <w:shd w:val="clear" w:color="auto" w:fill="auto"/>
            <w:vAlign w:val="center"/>
            <w:hideMark/>
          </w:tcPr>
          <w:p w14:paraId="5C972C8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8" w:space="0" w:color="auto"/>
              <w:right w:val="single" w:sz="4" w:space="0" w:color="auto"/>
            </w:tcBorders>
            <w:shd w:val="clear" w:color="auto" w:fill="auto"/>
            <w:vAlign w:val="center"/>
            <w:hideMark/>
          </w:tcPr>
          <w:p w14:paraId="2E93260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5E27D51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392652F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0F91C49" w14:textId="77777777" w:rsidTr="0018109D">
        <w:trPr>
          <w:trHeight w:val="1044"/>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52346EC6"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2.2.3 Mbledhja e të dhënave, analiza dhe vlerësimi i çështjeve ku Këshillat do te reagojne përmes deklaratave publike ndaj presionit politik, intimidimit dhe akuzave ndaj magjistratëve</w:t>
            </w:r>
          </w:p>
        </w:tc>
        <w:tc>
          <w:tcPr>
            <w:tcW w:w="2520" w:type="dxa"/>
            <w:tcBorders>
              <w:top w:val="nil"/>
              <w:left w:val="nil"/>
              <w:bottom w:val="single" w:sz="4" w:space="0" w:color="auto"/>
              <w:right w:val="single" w:sz="4" w:space="0" w:color="auto"/>
            </w:tcBorders>
            <w:shd w:val="clear" w:color="auto" w:fill="auto"/>
            <w:vAlign w:val="center"/>
            <w:hideMark/>
          </w:tcPr>
          <w:p w14:paraId="408A797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2.2.3.1 Dhënia e deklaratave publike nga ana e Këshillave (KLGJ, KLP), në rastet kur ushtrohet ndikim i padrejtë ndaj magjistratëve nga çdo llojë presioni, ndërhyrje, pengimi, kufizimi në veprimtarinë e tyre, me qëllim mbrojtjen, garantimin e jetës, shëndetit dhe integritetit e magjistratëve</w:t>
            </w:r>
          </w:p>
        </w:tc>
        <w:tc>
          <w:tcPr>
            <w:tcW w:w="1890" w:type="dxa"/>
            <w:tcBorders>
              <w:top w:val="nil"/>
              <w:left w:val="nil"/>
              <w:bottom w:val="single" w:sz="4" w:space="0" w:color="auto"/>
              <w:right w:val="single" w:sz="4" w:space="0" w:color="auto"/>
            </w:tcBorders>
            <w:shd w:val="clear" w:color="auto" w:fill="auto"/>
            <w:vAlign w:val="center"/>
            <w:hideMark/>
          </w:tcPr>
          <w:p w14:paraId="1B61EA4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KLGJ,KLP</w:t>
            </w:r>
          </w:p>
        </w:tc>
        <w:tc>
          <w:tcPr>
            <w:tcW w:w="1620" w:type="dxa"/>
            <w:tcBorders>
              <w:top w:val="nil"/>
              <w:left w:val="nil"/>
              <w:bottom w:val="single" w:sz="4" w:space="0" w:color="auto"/>
              <w:right w:val="single" w:sz="4" w:space="0" w:color="auto"/>
            </w:tcBorders>
            <w:shd w:val="clear" w:color="auto" w:fill="auto"/>
            <w:vAlign w:val="center"/>
            <w:hideMark/>
          </w:tcPr>
          <w:p w14:paraId="166458F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nil"/>
            </w:tcBorders>
            <w:shd w:val="clear" w:color="000000" w:fill="DDEBF7"/>
            <w:vAlign w:val="center"/>
            <w:hideMark/>
          </w:tcPr>
          <w:p w14:paraId="22B4D82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single" w:sz="4" w:space="0" w:color="auto"/>
              <w:bottom w:val="single" w:sz="4" w:space="0" w:color="auto"/>
              <w:right w:val="single" w:sz="8" w:space="0" w:color="auto"/>
            </w:tcBorders>
            <w:shd w:val="clear" w:color="000000" w:fill="DDEBF7"/>
            <w:vAlign w:val="center"/>
            <w:hideMark/>
          </w:tcPr>
          <w:p w14:paraId="0ED5891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2029</w:t>
            </w:r>
          </w:p>
        </w:tc>
      </w:tr>
      <w:tr w:rsidR="007440A2" w:rsidRPr="007440A2" w14:paraId="3ABCFD21" w14:textId="77777777" w:rsidTr="0018109D">
        <w:trPr>
          <w:trHeight w:val="1248"/>
        </w:trPr>
        <w:tc>
          <w:tcPr>
            <w:tcW w:w="1790" w:type="dxa"/>
            <w:vMerge/>
            <w:tcBorders>
              <w:top w:val="nil"/>
              <w:left w:val="single" w:sz="8" w:space="0" w:color="auto"/>
              <w:bottom w:val="single" w:sz="8" w:space="0" w:color="000000"/>
              <w:right w:val="single" w:sz="4" w:space="0" w:color="auto"/>
            </w:tcBorders>
            <w:vAlign w:val="center"/>
            <w:hideMark/>
          </w:tcPr>
          <w:p w14:paraId="5FBEE9B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3A182EF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2.2.3.2 Marrja e masave të menjëhershme ligjore, institucionale, organizative e material nga organet ligjzbatuese, për zbardhjen e çdo ngjarje dhe vënien përpara përgjegjësisë ligjore të personave të cilët kanë tentuar/kryer presion ndaj figurës së magjistratit, si dhe zbatimin e dispozitave ligjore, duke garantuar mbrojtje efektive për parandalimin e sjelljeve të kundërligjshme.</w:t>
            </w:r>
          </w:p>
        </w:tc>
        <w:tc>
          <w:tcPr>
            <w:tcW w:w="1890" w:type="dxa"/>
            <w:tcBorders>
              <w:top w:val="nil"/>
              <w:left w:val="nil"/>
              <w:bottom w:val="single" w:sz="8" w:space="0" w:color="auto"/>
              <w:right w:val="single" w:sz="4" w:space="0" w:color="auto"/>
            </w:tcBorders>
            <w:shd w:val="clear" w:color="auto" w:fill="auto"/>
            <w:vAlign w:val="center"/>
            <w:hideMark/>
          </w:tcPr>
          <w:p w14:paraId="4CCDFF9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KLGJ,KLP</w:t>
            </w:r>
          </w:p>
        </w:tc>
        <w:tc>
          <w:tcPr>
            <w:tcW w:w="1620" w:type="dxa"/>
            <w:tcBorders>
              <w:top w:val="nil"/>
              <w:left w:val="nil"/>
              <w:bottom w:val="single" w:sz="8" w:space="0" w:color="auto"/>
              <w:right w:val="single" w:sz="4" w:space="0" w:color="auto"/>
            </w:tcBorders>
            <w:shd w:val="clear" w:color="auto" w:fill="auto"/>
            <w:vAlign w:val="center"/>
            <w:hideMark/>
          </w:tcPr>
          <w:p w14:paraId="15D2F92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nil"/>
            </w:tcBorders>
            <w:shd w:val="clear" w:color="000000" w:fill="DDEBF7"/>
            <w:vAlign w:val="center"/>
            <w:hideMark/>
          </w:tcPr>
          <w:p w14:paraId="59AC467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single" w:sz="4" w:space="0" w:color="auto"/>
              <w:bottom w:val="single" w:sz="8" w:space="0" w:color="auto"/>
              <w:right w:val="single" w:sz="8" w:space="0" w:color="auto"/>
            </w:tcBorders>
            <w:shd w:val="clear" w:color="000000" w:fill="DDEBF7"/>
            <w:vAlign w:val="center"/>
            <w:hideMark/>
          </w:tcPr>
          <w:p w14:paraId="41176CF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B7D4366" w14:textId="77777777" w:rsidTr="0018109D">
        <w:trPr>
          <w:trHeight w:val="276"/>
        </w:trPr>
        <w:tc>
          <w:tcPr>
            <w:tcW w:w="4310" w:type="dxa"/>
            <w:gridSpan w:val="2"/>
            <w:tcBorders>
              <w:top w:val="nil"/>
              <w:left w:val="single" w:sz="8" w:space="0" w:color="auto"/>
              <w:bottom w:val="single" w:sz="8" w:space="0" w:color="auto"/>
              <w:right w:val="nil"/>
            </w:tcBorders>
            <w:shd w:val="clear" w:color="000000" w:fill="9CC2E5"/>
            <w:vAlign w:val="center"/>
            <w:hideMark/>
          </w:tcPr>
          <w:p w14:paraId="7F479EF2"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2.3:</w:t>
            </w:r>
          </w:p>
        </w:tc>
        <w:tc>
          <w:tcPr>
            <w:tcW w:w="6480" w:type="dxa"/>
            <w:gridSpan w:val="4"/>
            <w:tcBorders>
              <w:top w:val="nil"/>
              <w:left w:val="single" w:sz="8" w:space="0" w:color="auto"/>
              <w:bottom w:val="single" w:sz="8" w:space="0" w:color="auto"/>
              <w:right w:val="single" w:sz="8" w:space="0" w:color="000000"/>
            </w:tcBorders>
            <w:shd w:val="clear" w:color="000000" w:fill="9CC2E5"/>
            <w:vAlign w:val="center"/>
            <w:hideMark/>
          </w:tcPr>
          <w:p w14:paraId="79A9A073"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Sigurimi i zbatimit të njëtrajtshëm të standardeve të ndarjes së rastësishme të çështjeve.</w:t>
            </w:r>
          </w:p>
        </w:tc>
      </w:tr>
      <w:tr w:rsidR="007440A2" w:rsidRPr="007440A2" w14:paraId="77DFA6C1" w14:textId="77777777" w:rsidTr="0018109D">
        <w:trPr>
          <w:trHeight w:val="804"/>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0F8FA85A"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153A47C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Deri ne fund te vitit 2030 magjistratet dhe anetaret e institucioneve jane trajnuar rregullisht mbi tematika lidhur  me rastet e ndërhyrjeve të brendshme dhe të jashtme</w:t>
            </w:r>
          </w:p>
        </w:tc>
      </w:tr>
      <w:tr w:rsidR="007440A2" w:rsidRPr="007440A2" w14:paraId="44809AD7" w14:textId="77777777" w:rsidTr="0018109D">
        <w:trPr>
          <w:trHeight w:val="540"/>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5A0D2CAD"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4677DEB6"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7FA7BB3D"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60C70C2B"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4F2AB4F2"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346C9443"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707DEEDD" w14:textId="77777777" w:rsidTr="0018109D">
        <w:trPr>
          <w:trHeight w:val="876"/>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14C11568"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2.3.1 Monitorimi i vazhdueshëm kryhet nga Këshillat lidhur me çështjet gjyqësore penale të korrupsionit aktiv dhe pasiv në gjyqësor.</w:t>
            </w:r>
          </w:p>
        </w:tc>
        <w:tc>
          <w:tcPr>
            <w:tcW w:w="2520" w:type="dxa"/>
            <w:tcBorders>
              <w:top w:val="nil"/>
              <w:left w:val="nil"/>
              <w:bottom w:val="single" w:sz="4" w:space="0" w:color="auto"/>
              <w:right w:val="single" w:sz="4" w:space="0" w:color="auto"/>
            </w:tcBorders>
            <w:shd w:val="clear" w:color="auto" w:fill="auto"/>
            <w:vAlign w:val="center"/>
            <w:hideMark/>
          </w:tcPr>
          <w:p w14:paraId="4E5EEE7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2.3.1.1 Krijimi i një mekanizmi Monitorimi nga KLGJ-ja dhe KLP-ja për të monitoruar hetimet penale dhe çështjet penale të korrupsionit aktiv dhe pasiv në gjyqësor.</w:t>
            </w:r>
            <w:r w:rsidRPr="007440A2">
              <w:rPr>
                <w:rFonts w:ascii="Times New Roman" w:eastAsia="Times New Roman" w:hAnsi="Times New Roman" w:cs="Times New Roman"/>
                <w:b/>
                <w:bCs/>
                <w:sz w:val="20"/>
                <w:szCs w:val="20"/>
              </w:rPr>
              <w:t xml:space="preserve"> </w:t>
            </w:r>
            <w:r w:rsidRPr="007440A2">
              <w:rPr>
                <w:rFonts w:ascii="Times New Roman" w:eastAsia="Times New Roman" w:hAnsi="Times New Roman" w:cs="Times New Roman"/>
                <w:sz w:val="20"/>
                <w:szCs w:val="20"/>
              </w:rPr>
              <w:t xml:space="preserve"> </w:t>
            </w:r>
          </w:p>
        </w:tc>
        <w:tc>
          <w:tcPr>
            <w:tcW w:w="1890" w:type="dxa"/>
            <w:tcBorders>
              <w:top w:val="nil"/>
              <w:left w:val="nil"/>
              <w:bottom w:val="single" w:sz="4" w:space="0" w:color="auto"/>
              <w:right w:val="single" w:sz="4" w:space="0" w:color="auto"/>
            </w:tcBorders>
            <w:shd w:val="clear" w:color="auto" w:fill="auto"/>
            <w:vAlign w:val="center"/>
            <w:hideMark/>
          </w:tcPr>
          <w:p w14:paraId="2AEEB06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single" w:sz="4" w:space="0" w:color="auto"/>
            </w:tcBorders>
            <w:shd w:val="clear" w:color="auto" w:fill="auto"/>
            <w:vAlign w:val="center"/>
            <w:hideMark/>
          </w:tcPr>
          <w:p w14:paraId="21F25E9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9D9D9"/>
            <w:vAlign w:val="center"/>
            <w:hideMark/>
          </w:tcPr>
          <w:p w14:paraId="6A22EA3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br/>
              <w:t>2025</w:t>
            </w:r>
          </w:p>
        </w:tc>
        <w:tc>
          <w:tcPr>
            <w:tcW w:w="1260" w:type="dxa"/>
            <w:tcBorders>
              <w:top w:val="nil"/>
              <w:left w:val="nil"/>
              <w:bottom w:val="single" w:sz="4" w:space="0" w:color="auto"/>
              <w:right w:val="single" w:sz="8" w:space="0" w:color="auto"/>
            </w:tcBorders>
            <w:shd w:val="clear" w:color="000000" w:fill="D9D9D9"/>
            <w:vAlign w:val="center"/>
            <w:hideMark/>
          </w:tcPr>
          <w:p w14:paraId="5881393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br/>
              <w:t>2025</w:t>
            </w:r>
          </w:p>
        </w:tc>
      </w:tr>
      <w:tr w:rsidR="007440A2" w:rsidRPr="007440A2" w14:paraId="6CCFD4F2" w14:textId="77777777" w:rsidTr="0018109D">
        <w:trPr>
          <w:trHeight w:val="1320"/>
        </w:trPr>
        <w:tc>
          <w:tcPr>
            <w:tcW w:w="1790" w:type="dxa"/>
            <w:vMerge/>
            <w:tcBorders>
              <w:top w:val="nil"/>
              <w:left w:val="single" w:sz="8" w:space="0" w:color="auto"/>
              <w:bottom w:val="single" w:sz="8" w:space="0" w:color="000000"/>
              <w:right w:val="single" w:sz="4" w:space="0" w:color="auto"/>
            </w:tcBorders>
            <w:vAlign w:val="center"/>
            <w:hideMark/>
          </w:tcPr>
          <w:p w14:paraId="2A41915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071969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2.3.1.2 Zbatimi i Mekanizmit nëpërmjet informacioneve të rregullta mujore të dorëzuara tek anëtarët e Këshillave.</w:t>
            </w:r>
            <w:r w:rsidRPr="007440A2">
              <w:rPr>
                <w:rFonts w:ascii="Times New Roman" w:eastAsia="Times New Roman" w:hAnsi="Times New Roman" w:cs="Times New Roman"/>
                <w:b/>
                <w:bCs/>
                <w:sz w:val="20"/>
                <w:szCs w:val="20"/>
              </w:rPr>
              <w:t xml:space="preserve"> </w:t>
            </w:r>
          </w:p>
        </w:tc>
        <w:tc>
          <w:tcPr>
            <w:tcW w:w="1890" w:type="dxa"/>
            <w:tcBorders>
              <w:top w:val="nil"/>
              <w:left w:val="nil"/>
              <w:bottom w:val="single" w:sz="4" w:space="0" w:color="auto"/>
              <w:right w:val="single" w:sz="4" w:space="0" w:color="auto"/>
            </w:tcBorders>
            <w:shd w:val="clear" w:color="auto" w:fill="auto"/>
            <w:vAlign w:val="center"/>
            <w:hideMark/>
          </w:tcPr>
          <w:p w14:paraId="10AAEC7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single" w:sz="4" w:space="0" w:color="auto"/>
            </w:tcBorders>
            <w:shd w:val="clear" w:color="auto" w:fill="auto"/>
            <w:vAlign w:val="center"/>
            <w:hideMark/>
          </w:tcPr>
          <w:p w14:paraId="083F0B6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9D9D9"/>
            <w:vAlign w:val="center"/>
            <w:hideMark/>
          </w:tcPr>
          <w:p w14:paraId="75A5CE7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br/>
              <w:t>2026</w:t>
            </w:r>
          </w:p>
        </w:tc>
        <w:tc>
          <w:tcPr>
            <w:tcW w:w="1260" w:type="dxa"/>
            <w:tcBorders>
              <w:top w:val="nil"/>
              <w:left w:val="nil"/>
              <w:bottom w:val="single" w:sz="4" w:space="0" w:color="auto"/>
              <w:right w:val="single" w:sz="8" w:space="0" w:color="auto"/>
            </w:tcBorders>
            <w:shd w:val="clear" w:color="000000" w:fill="D9D9D9"/>
            <w:vAlign w:val="center"/>
            <w:hideMark/>
          </w:tcPr>
          <w:p w14:paraId="74EE160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br/>
              <w:t>2030</w:t>
            </w:r>
          </w:p>
        </w:tc>
      </w:tr>
      <w:tr w:rsidR="007440A2" w:rsidRPr="007440A2" w14:paraId="34F6DBB7" w14:textId="77777777" w:rsidTr="0018109D">
        <w:trPr>
          <w:trHeight w:val="1128"/>
        </w:trPr>
        <w:tc>
          <w:tcPr>
            <w:tcW w:w="1790" w:type="dxa"/>
            <w:vMerge/>
            <w:tcBorders>
              <w:top w:val="nil"/>
              <w:left w:val="single" w:sz="8" w:space="0" w:color="auto"/>
              <w:bottom w:val="single" w:sz="8" w:space="0" w:color="000000"/>
              <w:right w:val="single" w:sz="4" w:space="0" w:color="auto"/>
            </w:tcBorders>
            <w:vAlign w:val="center"/>
            <w:hideMark/>
          </w:tcPr>
          <w:p w14:paraId="7C292FF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5322E24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2.3.1.3 Zhvillimi dhe zbatimi i një politike për të dy Këshillat për të rritur transparencën dhe informimin publik kudo që çështjet penale të korrupsionit aktiv dhe pasiv janë me vonesë. </w:t>
            </w:r>
          </w:p>
        </w:tc>
        <w:tc>
          <w:tcPr>
            <w:tcW w:w="1890" w:type="dxa"/>
            <w:tcBorders>
              <w:top w:val="nil"/>
              <w:left w:val="nil"/>
              <w:bottom w:val="single" w:sz="8" w:space="0" w:color="auto"/>
              <w:right w:val="single" w:sz="4" w:space="0" w:color="auto"/>
            </w:tcBorders>
            <w:shd w:val="clear" w:color="auto" w:fill="auto"/>
            <w:vAlign w:val="center"/>
            <w:hideMark/>
          </w:tcPr>
          <w:p w14:paraId="7C50019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8" w:space="0" w:color="auto"/>
              <w:right w:val="single" w:sz="4" w:space="0" w:color="auto"/>
            </w:tcBorders>
            <w:shd w:val="clear" w:color="auto" w:fill="auto"/>
            <w:vAlign w:val="center"/>
            <w:hideMark/>
          </w:tcPr>
          <w:p w14:paraId="24597CA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9D9D9"/>
            <w:vAlign w:val="center"/>
            <w:hideMark/>
          </w:tcPr>
          <w:p w14:paraId="1810167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9D9D9"/>
            <w:vAlign w:val="center"/>
            <w:hideMark/>
          </w:tcPr>
          <w:p w14:paraId="3C3AC07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364F5AF" w14:textId="77777777" w:rsidTr="0018109D">
        <w:trPr>
          <w:trHeight w:val="1452"/>
        </w:trPr>
        <w:tc>
          <w:tcPr>
            <w:tcW w:w="1790" w:type="dxa"/>
            <w:tcBorders>
              <w:top w:val="nil"/>
              <w:left w:val="single" w:sz="8" w:space="0" w:color="auto"/>
              <w:bottom w:val="single" w:sz="8" w:space="0" w:color="auto"/>
              <w:right w:val="single" w:sz="4" w:space="0" w:color="auto"/>
            </w:tcBorders>
            <w:shd w:val="clear" w:color="auto" w:fill="auto"/>
            <w:vAlign w:val="center"/>
            <w:hideMark/>
          </w:tcPr>
          <w:p w14:paraId="7D57DBAF"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2.3.2 KLGJ-ja kryen një analizë për vendosjen e sistemit të paralajmërimit të hershëm të monitorimit të ndarjes së çështjeve nga gjykatat për të garantuar zbatimin konsistent të ndarjes së rastësishme të çështjeve dhe masat e duhura korrigjuese kur është e nevojshme.</w:t>
            </w:r>
          </w:p>
        </w:tc>
        <w:tc>
          <w:tcPr>
            <w:tcW w:w="2520" w:type="dxa"/>
            <w:tcBorders>
              <w:top w:val="nil"/>
              <w:left w:val="nil"/>
              <w:bottom w:val="single" w:sz="8" w:space="0" w:color="auto"/>
              <w:right w:val="single" w:sz="4" w:space="0" w:color="auto"/>
            </w:tcBorders>
            <w:shd w:val="clear" w:color="auto" w:fill="auto"/>
            <w:vAlign w:val="center"/>
            <w:hideMark/>
          </w:tcPr>
          <w:p w14:paraId="2E93D17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2.3.2.1 KLGJ-ja kryen një analizë të sistemit ekzistues, duke përfshirë edhe unifikimin e procedurave ndërmjet gjykatave me qëllim krijimin e një mekanizmi paralajmërues të hershëm për ndarjen e rastësishme të çështjeve gjyqësore. </w:t>
            </w:r>
          </w:p>
        </w:tc>
        <w:tc>
          <w:tcPr>
            <w:tcW w:w="1890" w:type="dxa"/>
            <w:tcBorders>
              <w:top w:val="nil"/>
              <w:left w:val="nil"/>
              <w:bottom w:val="single" w:sz="8" w:space="0" w:color="auto"/>
              <w:right w:val="nil"/>
            </w:tcBorders>
            <w:shd w:val="clear" w:color="auto" w:fill="auto"/>
            <w:vAlign w:val="center"/>
            <w:hideMark/>
          </w:tcPr>
          <w:p w14:paraId="77D7BD0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single" w:sz="4" w:space="0" w:color="auto"/>
              <w:bottom w:val="single" w:sz="8" w:space="0" w:color="auto"/>
              <w:right w:val="single" w:sz="8" w:space="0" w:color="auto"/>
            </w:tcBorders>
            <w:shd w:val="clear" w:color="auto" w:fill="auto"/>
            <w:vAlign w:val="center"/>
            <w:hideMark/>
          </w:tcPr>
          <w:p w14:paraId="2A7BF74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Sistemi Gjyqësor</w:t>
            </w:r>
          </w:p>
        </w:tc>
        <w:tc>
          <w:tcPr>
            <w:tcW w:w="1710" w:type="dxa"/>
            <w:tcBorders>
              <w:top w:val="nil"/>
              <w:left w:val="single" w:sz="4" w:space="0" w:color="auto"/>
              <w:bottom w:val="single" w:sz="8" w:space="0" w:color="auto"/>
              <w:right w:val="nil"/>
            </w:tcBorders>
            <w:shd w:val="clear" w:color="000000" w:fill="DDEBF7"/>
            <w:vAlign w:val="center"/>
            <w:hideMark/>
          </w:tcPr>
          <w:p w14:paraId="70CB610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single" w:sz="4" w:space="0" w:color="auto"/>
              <w:bottom w:val="single" w:sz="8" w:space="0" w:color="auto"/>
              <w:right w:val="single" w:sz="8" w:space="0" w:color="auto"/>
            </w:tcBorders>
            <w:shd w:val="clear" w:color="000000" w:fill="DDEBF7"/>
            <w:vAlign w:val="center"/>
            <w:hideMark/>
          </w:tcPr>
          <w:p w14:paraId="4556F0E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03A54E5A" w14:textId="77777777" w:rsidTr="0018109D">
        <w:trPr>
          <w:trHeight w:val="90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433208A6"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2.3.3  KLGJ-ja  siguron se rregullat për ndarjen e rastësishme të çështjeve zbatohen në mënyrë efikase dhe të qëndrueshme në gjykata dhe prokurori bazuar në kritere transparente dhe të drejta.</w:t>
            </w:r>
          </w:p>
        </w:tc>
        <w:tc>
          <w:tcPr>
            <w:tcW w:w="2520" w:type="dxa"/>
            <w:tcBorders>
              <w:top w:val="nil"/>
              <w:left w:val="nil"/>
              <w:bottom w:val="single" w:sz="4" w:space="0" w:color="auto"/>
              <w:right w:val="single" w:sz="4" w:space="0" w:color="auto"/>
            </w:tcBorders>
            <w:shd w:val="clear" w:color="auto" w:fill="auto"/>
            <w:vAlign w:val="center"/>
            <w:hideMark/>
          </w:tcPr>
          <w:p w14:paraId="7182AC7B"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2.3.3.1 Shqyrtimi dhe vlerësimi nga KLGJ-ja  i rregullave për ndarjen rastësore të çështjeve në gjykata, duke përfshirë përjashtimet. </w:t>
            </w:r>
          </w:p>
        </w:tc>
        <w:tc>
          <w:tcPr>
            <w:tcW w:w="1890" w:type="dxa"/>
            <w:tcBorders>
              <w:top w:val="nil"/>
              <w:left w:val="nil"/>
              <w:bottom w:val="single" w:sz="4" w:space="0" w:color="auto"/>
              <w:right w:val="single" w:sz="4" w:space="0" w:color="auto"/>
            </w:tcBorders>
            <w:shd w:val="clear" w:color="auto" w:fill="auto"/>
            <w:vAlign w:val="center"/>
            <w:hideMark/>
          </w:tcPr>
          <w:p w14:paraId="3D1FE54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4" w:space="0" w:color="auto"/>
            </w:tcBorders>
            <w:shd w:val="clear" w:color="auto" w:fill="auto"/>
            <w:vAlign w:val="center"/>
            <w:hideMark/>
          </w:tcPr>
          <w:p w14:paraId="0BAB41D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Sistemi Gjyqësor</w:t>
            </w:r>
          </w:p>
        </w:tc>
        <w:tc>
          <w:tcPr>
            <w:tcW w:w="1710" w:type="dxa"/>
            <w:tcBorders>
              <w:top w:val="nil"/>
              <w:left w:val="nil"/>
              <w:bottom w:val="single" w:sz="4" w:space="0" w:color="auto"/>
              <w:right w:val="single" w:sz="4" w:space="0" w:color="auto"/>
            </w:tcBorders>
            <w:shd w:val="clear" w:color="000000" w:fill="DDEBF7"/>
            <w:vAlign w:val="center"/>
            <w:hideMark/>
          </w:tcPr>
          <w:p w14:paraId="44098A4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D0BAAD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5452DB4E" w14:textId="77777777" w:rsidTr="0018109D">
        <w:trPr>
          <w:trHeight w:val="924"/>
        </w:trPr>
        <w:tc>
          <w:tcPr>
            <w:tcW w:w="1790" w:type="dxa"/>
            <w:vMerge/>
            <w:tcBorders>
              <w:top w:val="nil"/>
              <w:left w:val="single" w:sz="8" w:space="0" w:color="auto"/>
              <w:bottom w:val="single" w:sz="8" w:space="0" w:color="000000"/>
              <w:right w:val="single" w:sz="4" w:space="0" w:color="auto"/>
            </w:tcBorders>
            <w:vAlign w:val="center"/>
            <w:hideMark/>
          </w:tcPr>
          <w:p w14:paraId="77BB832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FA41CD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2.3.3.2 Analiza e rregullave për ndarjen e rastësishme të çështjeve duke përfshirë përjashtimet </w:t>
            </w:r>
          </w:p>
        </w:tc>
        <w:tc>
          <w:tcPr>
            <w:tcW w:w="1890" w:type="dxa"/>
            <w:tcBorders>
              <w:top w:val="nil"/>
              <w:left w:val="nil"/>
              <w:bottom w:val="single" w:sz="4" w:space="0" w:color="auto"/>
              <w:right w:val="single" w:sz="4" w:space="0" w:color="auto"/>
            </w:tcBorders>
            <w:shd w:val="clear" w:color="auto" w:fill="auto"/>
            <w:vAlign w:val="center"/>
            <w:hideMark/>
          </w:tcPr>
          <w:p w14:paraId="05F2D5F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4" w:space="0" w:color="auto"/>
            </w:tcBorders>
            <w:shd w:val="clear" w:color="auto" w:fill="auto"/>
            <w:vAlign w:val="center"/>
            <w:hideMark/>
          </w:tcPr>
          <w:p w14:paraId="5006722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Sistemi Gjyqësor</w:t>
            </w:r>
          </w:p>
        </w:tc>
        <w:tc>
          <w:tcPr>
            <w:tcW w:w="1710" w:type="dxa"/>
            <w:tcBorders>
              <w:top w:val="nil"/>
              <w:left w:val="nil"/>
              <w:bottom w:val="single" w:sz="4" w:space="0" w:color="auto"/>
              <w:right w:val="single" w:sz="4" w:space="0" w:color="auto"/>
            </w:tcBorders>
            <w:shd w:val="clear" w:color="000000" w:fill="DDEBF7"/>
            <w:vAlign w:val="center"/>
            <w:hideMark/>
          </w:tcPr>
          <w:p w14:paraId="2256998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6F4C11C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5986F1D6" w14:textId="77777777" w:rsidTr="0018109D">
        <w:trPr>
          <w:trHeight w:val="1524"/>
        </w:trPr>
        <w:tc>
          <w:tcPr>
            <w:tcW w:w="1790" w:type="dxa"/>
            <w:vMerge/>
            <w:tcBorders>
              <w:top w:val="nil"/>
              <w:left w:val="single" w:sz="8" w:space="0" w:color="auto"/>
              <w:bottom w:val="single" w:sz="8" w:space="0" w:color="000000"/>
              <w:right w:val="single" w:sz="4" w:space="0" w:color="auto"/>
            </w:tcBorders>
            <w:vAlign w:val="center"/>
            <w:hideMark/>
          </w:tcPr>
          <w:p w14:paraId="09B41B47"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D87216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2.3.3.3 Shqyrtimi dhe publikimi i rregullave për ndarjen rastësore të çështjeve, duke përfshirë përjashtimet, bazuar në analizat e KLGJ-së, me qëllim promovimin e qëndrueshmërisë, transparencës dhe parashikueshmërisë. </w:t>
            </w:r>
          </w:p>
        </w:tc>
        <w:tc>
          <w:tcPr>
            <w:tcW w:w="1890" w:type="dxa"/>
            <w:tcBorders>
              <w:top w:val="nil"/>
              <w:left w:val="nil"/>
              <w:bottom w:val="single" w:sz="4" w:space="0" w:color="auto"/>
              <w:right w:val="single" w:sz="4" w:space="0" w:color="auto"/>
            </w:tcBorders>
            <w:shd w:val="clear" w:color="auto" w:fill="auto"/>
            <w:vAlign w:val="center"/>
            <w:hideMark/>
          </w:tcPr>
          <w:p w14:paraId="24191F2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4" w:space="0" w:color="auto"/>
            </w:tcBorders>
            <w:shd w:val="clear" w:color="auto" w:fill="auto"/>
            <w:vAlign w:val="center"/>
            <w:hideMark/>
          </w:tcPr>
          <w:p w14:paraId="72CCA72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Sistemi Gjyqësor</w:t>
            </w:r>
          </w:p>
        </w:tc>
        <w:tc>
          <w:tcPr>
            <w:tcW w:w="1710" w:type="dxa"/>
            <w:tcBorders>
              <w:top w:val="nil"/>
              <w:left w:val="nil"/>
              <w:bottom w:val="single" w:sz="4" w:space="0" w:color="auto"/>
              <w:right w:val="single" w:sz="4" w:space="0" w:color="auto"/>
            </w:tcBorders>
            <w:shd w:val="clear" w:color="000000" w:fill="DDEBF7"/>
            <w:vAlign w:val="center"/>
            <w:hideMark/>
          </w:tcPr>
          <w:p w14:paraId="303585C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059A12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656E36F1" w14:textId="77777777" w:rsidTr="0018109D">
        <w:trPr>
          <w:trHeight w:val="1176"/>
        </w:trPr>
        <w:tc>
          <w:tcPr>
            <w:tcW w:w="1790" w:type="dxa"/>
            <w:vMerge/>
            <w:tcBorders>
              <w:top w:val="nil"/>
              <w:left w:val="single" w:sz="8" w:space="0" w:color="auto"/>
              <w:bottom w:val="single" w:sz="8" w:space="0" w:color="000000"/>
              <w:right w:val="single" w:sz="4" w:space="0" w:color="auto"/>
            </w:tcBorders>
            <w:vAlign w:val="center"/>
            <w:hideMark/>
          </w:tcPr>
          <w:p w14:paraId="28F874D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EA7044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2.3.3.4 Kryerja e kontrolle të rregullta për ndarjen e rastësishme të çështjeve. </w:t>
            </w:r>
          </w:p>
        </w:tc>
        <w:tc>
          <w:tcPr>
            <w:tcW w:w="1890" w:type="dxa"/>
            <w:tcBorders>
              <w:top w:val="nil"/>
              <w:left w:val="nil"/>
              <w:bottom w:val="single" w:sz="4" w:space="0" w:color="auto"/>
              <w:right w:val="single" w:sz="4" w:space="0" w:color="auto"/>
            </w:tcBorders>
            <w:shd w:val="clear" w:color="auto" w:fill="auto"/>
            <w:vAlign w:val="center"/>
            <w:hideMark/>
          </w:tcPr>
          <w:p w14:paraId="485B8C5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4" w:space="0" w:color="auto"/>
            </w:tcBorders>
            <w:shd w:val="clear" w:color="auto" w:fill="auto"/>
            <w:vAlign w:val="center"/>
            <w:hideMark/>
          </w:tcPr>
          <w:p w14:paraId="7B23545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Sistemi Gjyqësor</w:t>
            </w:r>
          </w:p>
        </w:tc>
        <w:tc>
          <w:tcPr>
            <w:tcW w:w="1710" w:type="dxa"/>
            <w:tcBorders>
              <w:top w:val="nil"/>
              <w:left w:val="nil"/>
              <w:bottom w:val="single" w:sz="4" w:space="0" w:color="auto"/>
              <w:right w:val="single" w:sz="4" w:space="0" w:color="auto"/>
            </w:tcBorders>
            <w:shd w:val="clear" w:color="000000" w:fill="DDEBF7"/>
            <w:vAlign w:val="center"/>
            <w:hideMark/>
          </w:tcPr>
          <w:p w14:paraId="1568A2E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6A3DF1B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D73169E" w14:textId="77777777" w:rsidTr="0018109D">
        <w:trPr>
          <w:trHeight w:val="1812"/>
        </w:trPr>
        <w:tc>
          <w:tcPr>
            <w:tcW w:w="1790" w:type="dxa"/>
            <w:vMerge/>
            <w:tcBorders>
              <w:top w:val="nil"/>
              <w:left w:val="single" w:sz="8" w:space="0" w:color="auto"/>
              <w:bottom w:val="single" w:sz="8" w:space="0" w:color="000000"/>
              <w:right w:val="single" w:sz="4" w:space="0" w:color="auto"/>
            </w:tcBorders>
            <w:vAlign w:val="center"/>
            <w:hideMark/>
          </w:tcPr>
          <w:p w14:paraId="503EB05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000C07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2.3.3.5 Publikimi i rezultateve nga inspektimet, duke përfshirë rekomandimet për përmirësimin e sistemit për ndarjen e rastësishme të çështjeve.</w:t>
            </w:r>
            <w:r w:rsidRPr="007440A2">
              <w:rPr>
                <w:rFonts w:ascii="Times New Roman" w:eastAsia="Times New Roman" w:hAnsi="Times New Roman" w:cs="Times New Roman"/>
                <w:b/>
                <w:bCs/>
                <w:sz w:val="20"/>
                <w:szCs w:val="20"/>
              </w:rPr>
              <w:t xml:space="preserve"> </w:t>
            </w:r>
          </w:p>
        </w:tc>
        <w:tc>
          <w:tcPr>
            <w:tcW w:w="1890" w:type="dxa"/>
            <w:tcBorders>
              <w:top w:val="nil"/>
              <w:left w:val="nil"/>
              <w:bottom w:val="single" w:sz="4" w:space="0" w:color="auto"/>
              <w:right w:val="single" w:sz="4" w:space="0" w:color="auto"/>
            </w:tcBorders>
            <w:shd w:val="clear" w:color="auto" w:fill="auto"/>
            <w:vAlign w:val="center"/>
            <w:hideMark/>
          </w:tcPr>
          <w:p w14:paraId="07E3950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4" w:space="0" w:color="auto"/>
            </w:tcBorders>
            <w:shd w:val="clear" w:color="auto" w:fill="auto"/>
            <w:vAlign w:val="center"/>
            <w:hideMark/>
          </w:tcPr>
          <w:p w14:paraId="40D90F8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62365E2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5AC7C8E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05B52F5" w14:textId="77777777" w:rsidTr="0018109D">
        <w:trPr>
          <w:trHeight w:val="1500"/>
        </w:trPr>
        <w:tc>
          <w:tcPr>
            <w:tcW w:w="1790" w:type="dxa"/>
            <w:vMerge/>
            <w:tcBorders>
              <w:top w:val="nil"/>
              <w:left w:val="single" w:sz="8" w:space="0" w:color="auto"/>
              <w:bottom w:val="single" w:sz="8" w:space="0" w:color="000000"/>
              <w:right w:val="single" w:sz="4" w:space="0" w:color="auto"/>
            </w:tcBorders>
            <w:vAlign w:val="center"/>
            <w:hideMark/>
          </w:tcPr>
          <w:p w14:paraId="033776E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01DA3F8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2.3.3.6 Zbatimi i gjetjeve të raporteve të inspektimit të ILD-së nga KLGJ-ja</w:t>
            </w:r>
            <w:r w:rsidRPr="007440A2">
              <w:rPr>
                <w:rFonts w:ascii="Times New Roman" w:eastAsia="Times New Roman" w:hAnsi="Times New Roman" w:cs="Times New Roman"/>
                <w:b/>
                <w:bCs/>
                <w:sz w:val="20"/>
                <w:szCs w:val="20"/>
              </w:rPr>
              <w:t>/</w:t>
            </w:r>
            <w:r w:rsidRPr="007440A2">
              <w:rPr>
                <w:rFonts w:ascii="Times New Roman" w:eastAsia="Times New Roman" w:hAnsi="Times New Roman" w:cs="Times New Roman"/>
                <w:sz w:val="20"/>
                <w:szCs w:val="20"/>
              </w:rPr>
              <w:t>gjykatat dhe PP-ja</w:t>
            </w:r>
            <w:r w:rsidRPr="007440A2">
              <w:rPr>
                <w:rFonts w:ascii="Times New Roman" w:eastAsia="Times New Roman" w:hAnsi="Times New Roman" w:cs="Times New Roman"/>
                <w:b/>
                <w:bCs/>
                <w:sz w:val="20"/>
                <w:szCs w:val="20"/>
              </w:rPr>
              <w:t>/</w:t>
            </w:r>
            <w:r w:rsidRPr="007440A2">
              <w:rPr>
                <w:rFonts w:ascii="Times New Roman" w:eastAsia="Times New Roman" w:hAnsi="Times New Roman" w:cs="Times New Roman"/>
                <w:sz w:val="20"/>
                <w:szCs w:val="20"/>
              </w:rPr>
              <w:t xml:space="preserve">prokurorite. </w:t>
            </w:r>
          </w:p>
        </w:tc>
        <w:tc>
          <w:tcPr>
            <w:tcW w:w="1890" w:type="dxa"/>
            <w:tcBorders>
              <w:top w:val="nil"/>
              <w:left w:val="nil"/>
              <w:bottom w:val="single" w:sz="8" w:space="0" w:color="auto"/>
              <w:right w:val="single" w:sz="4" w:space="0" w:color="auto"/>
            </w:tcBorders>
            <w:shd w:val="clear" w:color="auto" w:fill="auto"/>
            <w:vAlign w:val="center"/>
            <w:hideMark/>
          </w:tcPr>
          <w:p w14:paraId="2CC431A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PP</w:t>
            </w:r>
          </w:p>
        </w:tc>
        <w:tc>
          <w:tcPr>
            <w:tcW w:w="1620" w:type="dxa"/>
            <w:tcBorders>
              <w:top w:val="nil"/>
              <w:left w:val="nil"/>
              <w:bottom w:val="single" w:sz="8" w:space="0" w:color="auto"/>
              <w:right w:val="single" w:sz="4" w:space="0" w:color="auto"/>
            </w:tcBorders>
            <w:shd w:val="clear" w:color="auto" w:fill="auto"/>
            <w:vAlign w:val="center"/>
            <w:hideMark/>
          </w:tcPr>
          <w:p w14:paraId="7DB1BE0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w:t>
            </w:r>
          </w:p>
        </w:tc>
        <w:tc>
          <w:tcPr>
            <w:tcW w:w="1710" w:type="dxa"/>
            <w:tcBorders>
              <w:top w:val="nil"/>
              <w:left w:val="nil"/>
              <w:bottom w:val="single" w:sz="8" w:space="0" w:color="auto"/>
              <w:right w:val="single" w:sz="4" w:space="0" w:color="auto"/>
            </w:tcBorders>
            <w:shd w:val="clear" w:color="000000" w:fill="DDEBF7"/>
            <w:vAlign w:val="center"/>
            <w:hideMark/>
          </w:tcPr>
          <w:p w14:paraId="26D53B5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5D513B4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DF6DAE4" w14:textId="77777777" w:rsidTr="0018109D">
        <w:trPr>
          <w:trHeight w:val="1092"/>
        </w:trPr>
        <w:tc>
          <w:tcPr>
            <w:tcW w:w="4310" w:type="dxa"/>
            <w:gridSpan w:val="2"/>
            <w:tcBorders>
              <w:top w:val="nil"/>
              <w:left w:val="single" w:sz="8" w:space="0" w:color="auto"/>
              <w:bottom w:val="single" w:sz="8" w:space="0" w:color="auto"/>
              <w:right w:val="nil"/>
            </w:tcBorders>
            <w:shd w:val="clear" w:color="000000" w:fill="9CC2E5"/>
            <w:vAlign w:val="center"/>
            <w:hideMark/>
          </w:tcPr>
          <w:p w14:paraId="1A8A3DC6"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2.4:</w:t>
            </w:r>
          </w:p>
        </w:tc>
        <w:tc>
          <w:tcPr>
            <w:tcW w:w="6480" w:type="dxa"/>
            <w:gridSpan w:val="4"/>
            <w:tcBorders>
              <w:top w:val="nil"/>
              <w:left w:val="single" w:sz="8" w:space="0" w:color="auto"/>
              <w:bottom w:val="single" w:sz="8" w:space="0" w:color="auto"/>
              <w:right w:val="single" w:sz="8" w:space="0" w:color="000000"/>
            </w:tcBorders>
            <w:shd w:val="clear" w:color="000000" w:fill="9CC2E5"/>
            <w:vAlign w:val="center"/>
            <w:hideMark/>
          </w:tcPr>
          <w:p w14:paraId="44709452"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Sigurimi që kontrollet e figurës dhe pasurisë në sistemin e drejtësisë kryhen në përputhje me standardet e vetting-ut.</w:t>
            </w:r>
          </w:p>
        </w:tc>
      </w:tr>
      <w:tr w:rsidR="007440A2" w:rsidRPr="007440A2" w14:paraId="65FB4759" w14:textId="77777777" w:rsidTr="0018109D">
        <w:trPr>
          <w:trHeight w:val="1452"/>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72383325"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710EF5D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ILDKPI garanton  efikasitetin e mekanizmave të kontrollit dhe të masave kundra shkeljeve  në lidhje me deklarimin e pasurise per subjektet qe i nenshtrohen ketij detyrimi dhe kontribuon ne ndergjegjesimin e subjekteve, i reflektuar  ne nje  trend konstant ose ne ulje te numrit te masave administrative ndaj subjekteve te kontrollit. </w:t>
            </w:r>
          </w:p>
        </w:tc>
      </w:tr>
      <w:tr w:rsidR="007440A2" w:rsidRPr="007440A2" w14:paraId="7EAB1FA4" w14:textId="77777777" w:rsidTr="0018109D">
        <w:trPr>
          <w:trHeight w:val="540"/>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73ED0B5A"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67D97CB8"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1D9296F5"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1BB5EF00"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2D9E9D1B"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38FDE0F0"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45CCCC0A" w14:textId="77777777" w:rsidTr="0018109D">
        <w:trPr>
          <w:trHeight w:val="1596"/>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05E9C939"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2.4.1. ILDKPKI-ja siguron përditësime të vazhdueshme dhe të qëndrueshme të deklaratave të pasurisë së anëtarëve të sistemit gjyqësor dhe të prokurorisë dhe heton dhe raporton çështjet, sipas rastit, në prokurori, bazuar në praktikën e vendosur nga standardet e larta të procesit të vetting-ut</w:t>
            </w:r>
          </w:p>
        </w:tc>
        <w:tc>
          <w:tcPr>
            <w:tcW w:w="2520" w:type="dxa"/>
            <w:tcBorders>
              <w:top w:val="nil"/>
              <w:left w:val="nil"/>
              <w:bottom w:val="single" w:sz="4" w:space="0" w:color="auto"/>
              <w:right w:val="single" w:sz="4" w:space="0" w:color="auto"/>
            </w:tcBorders>
            <w:shd w:val="clear" w:color="auto" w:fill="auto"/>
            <w:vAlign w:val="center"/>
            <w:hideMark/>
          </w:tcPr>
          <w:p w14:paraId="74D93FE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2.4.1.1 Vijimi i monitorimit dhe garantimi i funksionimit të sistemit të deklarimit EACIDS.</w:t>
            </w:r>
          </w:p>
        </w:tc>
        <w:tc>
          <w:tcPr>
            <w:tcW w:w="1890" w:type="dxa"/>
            <w:tcBorders>
              <w:top w:val="nil"/>
              <w:left w:val="nil"/>
              <w:bottom w:val="single" w:sz="4" w:space="0" w:color="auto"/>
              <w:right w:val="single" w:sz="4" w:space="0" w:color="auto"/>
            </w:tcBorders>
            <w:shd w:val="clear" w:color="auto" w:fill="auto"/>
            <w:vAlign w:val="center"/>
            <w:hideMark/>
          </w:tcPr>
          <w:p w14:paraId="4D74B97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ILDKPKI</w:t>
            </w:r>
          </w:p>
        </w:tc>
        <w:tc>
          <w:tcPr>
            <w:tcW w:w="1620" w:type="dxa"/>
            <w:tcBorders>
              <w:top w:val="nil"/>
              <w:left w:val="nil"/>
              <w:bottom w:val="single" w:sz="4" w:space="0" w:color="auto"/>
              <w:right w:val="single" w:sz="4" w:space="0" w:color="auto"/>
            </w:tcBorders>
            <w:shd w:val="clear" w:color="auto" w:fill="auto"/>
            <w:vAlign w:val="center"/>
            <w:hideMark/>
          </w:tcPr>
          <w:p w14:paraId="11FACCB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D8D3A5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E03E09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360C579" w14:textId="77777777" w:rsidTr="0018109D">
        <w:trPr>
          <w:trHeight w:val="1200"/>
        </w:trPr>
        <w:tc>
          <w:tcPr>
            <w:tcW w:w="1790" w:type="dxa"/>
            <w:vMerge/>
            <w:tcBorders>
              <w:top w:val="nil"/>
              <w:left w:val="single" w:sz="8" w:space="0" w:color="auto"/>
              <w:bottom w:val="single" w:sz="8" w:space="0" w:color="000000"/>
              <w:right w:val="single" w:sz="4" w:space="0" w:color="auto"/>
            </w:tcBorders>
            <w:vAlign w:val="center"/>
            <w:hideMark/>
          </w:tcPr>
          <w:p w14:paraId="5CBC6FC7"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nil"/>
              <w:right w:val="nil"/>
            </w:tcBorders>
            <w:shd w:val="clear" w:color="auto" w:fill="auto"/>
            <w:vAlign w:val="center"/>
            <w:hideMark/>
          </w:tcPr>
          <w:p w14:paraId="4418FE7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2.4.1.2 Ndjekja dhe zbatimi i rekomandimeve të Kuvendit për ILDKPKI</w:t>
            </w:r>
          </w:p>
        </w:tc>
        <w:tc>
          <w:tcPr>
            <w:tcW w:w="1890" w:type="dxa"/>
            <w:tcBorders>
              <w:top w:val="nil"/>
              <w:left w:val="nil"/>
              <w:bottom w:val="single" w:sz="4" w:space="0" w:color="auto"/>
              <w:right w:val="single" w:sz="4" w:space="0" w:color="auto"/>
            </w:tcBorders>
            <w:shd w:val="clear" w:color="auto" w:fill="auto"/>
            <w:vAlign w:val="center"/>
            <w:hideMark/>
          </w:tcPr>
          <w:p w14:paraId="0DE6AE3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ILDKPKI</w:t>
            </w:r>
          </w:p>
        </w:tc>
        <w:tc>
          <w:tcPr>
            <w:tcW w:w="1620" w:type="dxa"/>
            <w:tcBorders>
              <w:top w:val="nil"/>
              <w:left w:val="nil"/>
              <w:bottom w:val="single" w:sz="4" w:space="0" w:color="auto"/>
              <w:right w:val="single" w:sz="4" w:space="0" w:color="auto"/>
            </w:tcBorders>
            <w:shd w:val="clear" w:color="auto" w:fill="auto"/>
            <w:vAlign w:val="center"/>
            <w:hideMark/>
          </w:tcPr>
          <w:p w14:paraId="65B53F8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7553F57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0FBB52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B3F87FA" w14:textId="77777777" w:rsidTr="0018109D">
        <w:trPr>
          <w:trHeight w:val="1455"/>
        </w:trPr>
        <w:tc>
          <w:tcPr>
            <w:tcW w:w="1790" w:type="dxa"/>
            <w:vMerge/>
            <w:tcBorders>
              <w:top w:val="nil"/>
              <w:left w:val="single" w:sz="8" w:space="0" w:color="auto"/>
              <w:bottom w:val="single" w:sz="8" w:space="0" w:color="000000"/>
              <w:right w:val="single" w:sz="4" w:space="0" w:color="auto"/>
            </w:tcBorders>
            <w:vAlign w:val="center"/>
            <w:hideMark/>
          </w:tcPr>
          <w:p w14:paraId="728490E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2B858AB"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2.4.1.3 Analiza e proceseve përkatëse të punës për të garantuar zbatimin e standardeve të larta të vetting-ut nga ILDKPKI-ja nëpërmjet ndryshimeve ligjore dhe zbatimit të tyre, masave organizative dhe administrative, ngritjes së kapaciteteve, etj. </w:t>
            </w:r>
          </w:p>
        </w:tc>
        <w:tc>
          <w:tcPr>
            <w:tcW w:w="1890" w:type="dxa"/>
            <w:tcBorders>
              <w:top w:val="nil"/>
              <w:left w:val="nil"/>
              <w:bottom w:val="single" w:sz="4" w:space="0" w:color="auto"/>
              <w:right w:val="single" w:sz="4" w:space="0" w:color="auto"/>
            </w:tcBorders>
            <w:shd w:val="clear" w:color="auto" w:fill="auto"/>
            <w:vAlign w:val="center"/>
            <w:hideMark/>
          </w:tcPr>
          <w:p w14:paraId="552E751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ILDKPKI</w:t>
            </w:r>
          </w:p>
        </w:tc>
        <w:tc>
          <w:tcPr>
            <w:tcW w:w="1620" w:type="dxa"/>
            <w:tcBorders>
              <w:top w:val="nil"/>
              <w:left w:val="nil"/>
              <w:bottom w:val="single" w:sz="4" w:space="0" w:color="auto"/>
              <w:right w:val="single" w:sz="4" w:space="0" w:color="auto"/>
            </w:tcBorders>
            <w:shd w:val="clear" w:color="auto" w:fill="auto"/>
            <w:vAlign w:val="center"/>
            <w:hideMark/>
          </w:tcPr>
          <w:p w14:paraId="724F769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6D86046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c>
          <w:tcPr>
            <w:tcW w:w="1260" w:type="dxa"/>
            <w:tcBorders>
              <w:top w:val="nil"/>
              <w:left w:val="nil"/>
              <w:bottom w:val="single" w:sz="4" w:space="0" w:color="auto"/>
              <w:right w:val="single" w:sz="8" w:space="0" w:color="auto"/>
            </w:tcBorders>
            <w:shd w:val="clear" w:color="000000" w:fill="DDEBF7"/>
            <w:vAlign w:val="center"/>
            <w:hideMark/>
          </w:tcPr>
          <w:p w14:paraId="4964CDF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r>
      <w:tr w:rsidR="007440A2" w:rsidRPr="007440A2" w14:paraId="3B5997F4" w14:textId="77777777" w:rsidTr="0018109D">
        <w:trPr>
          <w:trHeight w:val="888"/>
        </w:trPr>
        <w:tc>
          <w:tcPr>
            <w:tcW w:w="1790" w:type="dxa"/>
            <w:vMerge/>
            <w:tcBorders>
              <w:top w:val="nil"/>
              <w:left w:val="single" w:sz="8" w:space="0" w:color="auto"/>
              <w:bottom w:val="single" w:sz="8" w:space="0" w:color="000000"/>
              <w:right w:val="single" w:sz="4" w:space="0" w:color="auto"/>
            </w:tcBorders>
            <w:vAlign w:val="center"/>
            <w:hideMark/>
          </w:tcPr>
          <w:p w14:paraId="0F50619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19BC49D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2.4.1.4 Përditësim i vazhdueshëm dhe konsistent i raporteve të pasurisë së ILDKPKI-së bazuar në deklaratat e rregullta dhe </w:t>
            </w:r>
            <w:r w:rsidRPr="007440A2">
              <w:rPr>
                <w:rFonts w:ascii="Times New Roman" w:eastAsia="Times New Roman" w:hAnsi="Times New Roman" w:cs="Times New Roman"/>
                <w:i/>
                <w:iCs/>
                <w:sz w:val="20"/>
                <w:szCs w:val="20"/>
              </w:rPr>
              <w:t>ad hoc</w:t>
            </w:r>
            <w:r w:rsidRPr="007440A2">
              <w:rPr>
                <w:rFonts w:ascii="Times New Roman" w:eastAsia="Times New Roman" w:hAnsi="Times New Roman" w:cs="Times New Roman"/>
                <w:sz w:val="20"/>
                <w:szCs w:val="20"/>
              </w:rPr>
              <w:t xml:space="preserve"> të pasurisë së magjistratëve. </w:t>
            </w:r>
          </w:p>
        </w:tc>
        <w:tc>
          <w:tcPr>
            <w:tcW w:w="1890" w:type="dxa"/>
            <w:tcBorders>
              <w:top w:val="nil"/>
              <w:left w:val="nil"/>
              <w:bottom w:val="single" w:sz="8" w:space="0" w:color="auto"/>
              <w:right w:val="single" w:sz="4" w:space="0" w:color="auto"/>
            </w:tcBorders>
            <w:shd w:val="clear" w:color="auto" w:fill="auto"/>
            <w:vAlign w:val="center"/>
            <w:hideMark/>
          </w:tcPr>
          <w:p w14:paraId="6769F6E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ILDKPKI</w:t>
            </w:r>
          </w:p>
        </w:tc>
        <w:tc>
          <w:tcPr>
            <w:tcW w:w="1620" w:type="dxa"/>
            <w:tcBorders>
              <w:top w:val="nil"/>
              <w:left w:val="nil"/>
              <w:bottom w:val="single" w:sz="8" w:space="0" w:color="auto"/>
              <w:right w:val="single" w:sz="4" w:space="0" w:color="auto"/>
            </w:tcBorders>
            <w:shd w:val="clear" w:color="auto" w:fill="auto"/>
            <w:vAlign w:val="center"/>
            <w:hideMark/>
          </w:tcPr>
          <w:p w14:paraId="6732CDE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231298D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1B7D921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CBC507C" w14:textId="77777777" w:rsidTr="0018109D">
        <w:trPr>
          <w:trHeight w:val="1236"/>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77273631" w14:textId="4B1F3784"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2.4.2 KLGJ-ja dhe KLP-ja sigurojnë ndjekjen sistematike të raporteve të deklarimit të pasurisë nga ILDKPKI-ja dhe hetime të mëtejshme në kontekstin e shqyrtimit të pasurisë dhe të figurës së tyre, duke përfshirë sigurimin e hetimeve efikase në vijim dhe referimin në prokurori.</w:t>
            </w:r>
          </w:p>
        </w:tc>
        <w:tc>
          <w:tcPr>
            <w:tcW w:w="2520" w:type="dxa"/>
            <w:tcBorders>
              <w:top w:val="nil"/>
              <w:left w:val="nil"/>
              <w:bottom w:val="single" w:sz="4" w:space="0" w:color="auto"/>
              <w:right w:val="single" w:sz="4" w:space="0" w:color="auto"/>
            </w:tcBorders>
            <w:shd w:val="clear" w:color="auto" w:fill="auto"/>
            <w:vAlign w:val="center"/>
            <w:hideMark/>
          </w:tcPr>
          <w:p w14:paraId="3656EBB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2.4.2.1 Vendosja e standardeve nga KLGJ-ja dhe KLP-ja për hetime të mëtejshme të raporteve të deklarimit të pasurisë dhe shqyrtimin e figurës për magjistratët, duke ndjekur standardet e larta të vettingut. </w:t>
            </w:r>
          </w:p>
        </w:tc>
        <w:tc>
          <w:tcPr>
            <w:tcW w:w="1890" w:type="dxa"/>
            <w:tcBorders>
              <w:top w:val="nil"/>
              <w:left w:val="nil"/>
              <w:bottom w:val="single" w:sz="4" w:space="0" w:color="auto"/>
              <w:right w:val="single" w:sz="4" w:space="0" w:color="auto"/>
            </w:tcBorders>
            <w:shd w:val="clear" w:color="auto" w:fill="auto"/>
            <w:vAlign w:val="center"/>
            <w:hideMark/>
          </w:tcPr>
          <w:p w14:paraId="3F9E87E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single" w:sz="4" w:space="0" w:color="auto"/>
            </w:tcBorders>
            <w:shd w:val="clear" w:color="auto" w:fill="auto"/>
            <w:vAlign w:val="center"/>
            <w:hideMark/>
          </w:tcPr>
          <w:p w14:paraId="3FD0856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ILDKPKI</w:t>
            </w:r>
          </w:p>
        </w:tc>
        <w:tc>
          <w:tcPr>
            <w:tcW w:w="1710" w:type="dxa"/>
            <w:tcBorders>
              <w:top w:val="nil"/>
              <w:left w:val="nil"/>
              <w:bottom w:val="single" w:sz="4" w:space="0" w:color="auto"/>
              <w:right w:val="single" w:sz="4" w:space="0" w:color="auto"/>
            </w:tcBorders>
            <w:shd w:val="clear" w:color="000000" w:fill="DDEBF7"/>
            <w:vAlign w:val="center"/>
            <w:hideMark/>
          </w:tcPr>
          <w:p w14:paraId="3D99B99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4D72EB5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291D14FE" w14:textId="77777777" w:rsidTr="0018109D">
        <w:trPr>
          <w:trHeight w:val="1140"/>
        </w:trPr>
        <w:tc>
          <w:tcPr>
            <w:tcW w:w="1790" w:type="dxa"/>
            <w:vMerge/>
            <w:tcBorders>
              <w:top w:val="nil"/>
              <w:left w:val="single" w:sz="8" w:space="0" w:color="auto"/>
              <w:bottom w:val="single" w:sz="8" w:space="0" w:color="000000"/>
              <w:right w:val="single" w:sz="4" w:space="0" w:color="auto"/>
            </w:tcBorders>
            <w:vAlign w:val="center"/>
            <w:hideMark/>
          </w:tcPr>
          <w:p w14:paraId="6F688EF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942A05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2.4.2.2 Bazuar në standardet e vendosura, të krijohet një njësi e specializuar/staf i përkushtuar në administratën e Këshillave që merret me hetimin e mëtejshëm të deklarimit të pasurisë dhe analizimin e figurës së magjistratëve. </w:t>
            </w:r>
          </w:p>
        </w:tc>
        <w:tc>
          <w:tcPr>
            <w:tcW w:w="1890" w:type="dxa"/>
            <w:tcBorders>
              <w:top w:val="nil"/>
              <w:left w:val="nil"/>
              <w:bottom w:val="single" w:sz="4" w:space="0" w:color="auto"/>
              <w:right w:val="single" w:sz="4" w:space="0" w:color="auto"/>
            </w:tcBorders>
            <w:shd w:val="clear" w:color="auto" w:fill="auto"/>
            <w:vAlign w:val="center"/>
            <w:hideMark/>
          </w:tcPr>
          <w:p w14:paraId="2C0DB2A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single" w:sz="4" w:space="0" w:color="auto"/>
            </w:tcBorders>
            <w:shd w:val="clear" w:color="auto" w:fill="auto"/>
            <w:vAlign w:val="center"/>
            <w:hideMark/>
          </w:tcPr>
          <w:p w14:paraId="248C498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4EC853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0C0A23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46E27CF7" w14:textId="77777777" w:rsidTr="0018109D">
        <w:trPr>
          <w:trHeight w:val="1044"/>
        </w:trPr>
        <w:tc>
          <w:tcPr>
            <w:tcW w:w="1790" w:type="dxa"/>
            <w:vMerge/>
            <w:tcBorders>
              <w:top w:val="nil"/>
              <w:left w:val="single" w:sz="8" w:space="0" w:color="auto"/>
              <w:bottom w:val="single" w:sz="8" w:space="0" w:color="000000"/>
              <w:right w:val="single" w:sz="4" w:space="0" w:color="auto"/>
            </w:tcBorders>
            <w:vAlign w:val="center"/>
            <w:hideMark/>
          </w:tcPr>
          <w:p w14:paraId="5BBB2079"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4D9B7BF" w14:textId="649322F5"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2.4.2.3</w:t>
            </w:r>
            <w:r w:rsidR="00995EBD">
              <w:rPr>
                <w:rFonts w:ascii="Times New Roman" w:eastAsia="Times New Roman" w:hAnsi="Times New Roman" w:cs="Times New Roman"/>
                <w:sz w:val="20"/>
                <w:szCs w:val="20"/>
              </w:rPr>
              <w:t xml:space="preserve"> </w:t>
            </w:r>
            <w:r w:rsidRPr="007440A2">
              <w:rPr>
                <w:rFonts w:ascii="Times New Roman" w:eastAsia="Times New Roman" w:hAnsi="Times New Roman" w:cs="Times New Roman"/>
                <w:sz w:val="20"/>
                <w:szCs w:val="20"/>
              </w:rPr>
              <w:t>Percaktimi i kriterit te eksperiences ne procesin e vettingut (pjese e KPK,KPA) si kriter preferencial ne shpalljet e reja nga keshillat per vendet vakante</w:t>
            </w:r>
          </w:p>
        </w:tc>
        <w:tc>
          <w:tcPr>
            <w:tcW w:w="1890" w:type="dxa"/>
            <w:tcBorders>
              <w:top w:val="nil"/>
              <w:left w:val="nil"/>
              <w:bottom w:val="single" w:sz="4" w:space="0" w:color="auto"/>
              <w:right w:val="single" w:sz="4" w:space="0" w:color="auto"/>
            </w:tcBorders>
            <w:shd w:val="clear" w:color="auto" w:fill="auto"/>
            <w:vAlign w:val="center"/>
            <w:hideMark/>
          </w:tcPr>
          <w:p w14:paraId="1F6AE28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single" w:sz="4" w:space="0" w:color="auto"/>
            </w:tcBorders>
            <w:shd w:val="clear" w:color="auto" w:fill="auto"/>
            <w:vAlign w:val="center"/>
            <w:hideMark/>
          </w:tcPr>
          <w:p w14:paraId="6281C54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KPK, KPA</w:t>
            </w:r>
          </w:p>
        </w:tc>
        <w:tc>
          <w:tcPr>
            <w:tcW w:w="1710" w:type="dxa"/>
            <w:tcBorders>
              <w:top w:val="nil"/>
              <w:left w:val="nil"/>
              <w:bottom w:val="single" w:sz="4" w:space="0" w:color="auto"/>
              <w:right w:val="single" w:sz="4" w:space="0" w:color="auto"/>
            </w:tcBorders>
            <w:shd w:val="clear" w:color="000000" w:fill="DDEBF7"/>
            <w:vAlign w:val="center"/>
            <w:hideMark/>
          </w:tcPr>
          <w:p w14:paraId="2779823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7B8560E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233545C1" w14:textId="77777777" w:rsidTr="0018109D">
        <w:trPr>
          <w:trHeight w:val="528"/>
        </w:trPr>
        <w:tc>
          <w:tcPr>
            <w:tcW w:w="1790" w:type="dxa"/>
            <w:vMerge/>
            <w:tcBorders>
              <w:top w:val="nil"/>
              <w:left w:val="single" w:sz="8" w:space="0" w:color="auto"/>
              <w:bottom w:val="single" w:sz="8" w:space="0" w:color="000000"/>
              <w:right w:val="single" w:sz="4" w:space="0" w:color="auto"/>
            </w:tcBorders>
            <w:vAlign w:val="center"/>
            <w:hideMark/>
          </w:tcPr>
          <w:p w14:paraId="79E0F8D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6B7BD5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2.4.2.4 Sigurimi i trajnimit të posaçëm të stafit të Këshillave që merren me hetimin e mëtejshëm të deklaratave të pasurisë dhe analizimin e figurës bazuar në standardet e larta të procesit të vetting-ut. </w:t>
            </w:r>
          </w:p>
        </w:tc>
        <w:tc>
          <w:tcPr>
            <w:tcW w:w="1890" w:type="dxa"/>
            <w:tcBorders>
              <w:top w:val="nil"/>
              <w:left w:val="nil"/>
              <w:bottom w:val="single" w:sz="4" w:space="0" w:color="auto"/>
              <w:right w:val="single" w:sz="4" w:space="0" w:color="auto"/>
            </w:tcBorders>
            <w:shd w:val="clear" w:color="auto" w:fill="auto"/>
            <w:vAlign w:val="center"/>
            <w:hideMark/>
          </w:tcPr>
          <w:p w14:paraId="11E71C5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single" w:sz="4" w:space="0" w:color="auto"/>
            </w:tcBorders>
            <w:shd w:val="clear" w:color="auto" w:fill="auto"/>
            <w:vAlign w:val="center"/>
            <w:hideMark/>
          </w:tcPr>
          <w:p w14:paraId="6A37848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6EE52FF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96D5A7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31124332" w14:textId="77777777" w:rsidTr="0018109D">
        <w:trPr>
          <w:trHeight w:val="1875"/>
        </w:trPr>
        <w:tc>
          <w:tcPr>
            <w:tcW w:w="1790" w:type="dxa"/>
            <w:vMerge/>
            <w:tcBorders>
              <w:top w:val="nil"/>
              <w:left w:val="single" w:sz="8" w:space="0" w:color="auto"/>
              <w:bottom w:val="single" w:sz="8" w:space="0" w:color="000000"/>
              <w:right w:val="single" w:sz="4" w:space="0" w:color="auto"/>
            </w:tcBorders>
            <w:vAlign w:val="center"/>
            <w:hideMark/>
          </w:tcPr>
          <w:p w14:paraId="4DC1B68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B837850"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2.4.2.5 Kryerja e një analize duke përfshirë rekomandime për kuadrin kohor për verifikimin e raporteve të deklarimit të pasurisë dhe për hetime shtesë aty ku është e nevojshme.</w:t>
            </w:r>
            <w:r w:rsidRPr="007440A2">
              <w:rPr>
                <w:rFonts w:ascii="Times New Roman" w:eastAsia="Times New Roman" w:hAnsi="Times New Roman" w:cs="Times New Roman"/>
                <w:b/>
                <w:bCs/>
                <w:sz w:val="20"/>
                <w:szCs w:val="20"/>
              </w:rPr>
              <w:t xml:space="preserve"> </w:t>
            </w:r>
          </w:p>
        </w:tc>
        <w:tc>
          <w:tcPr>
            <w:tcW w:w="1890" w:type="dxa"/>
            <w:tcBorders>
              <w:top w:val="nil"/>
              <w:left w:val="nil"/>
              <w:bottom w:val="single" w:sz="4" w:space="0" w:color="auto"/>
              <w:right w:val="single" w:sz="4" w:space="0" w:color="auto"/>
            </w:tcBorders>
            <w:shd w:val="clear" w:color="auto" w:fill="auto"/>
            <w:vAlign w:val="center"/>
            <w:hideMark/>
          </w:tcPr>
          <w:p w14:paraId="1DAB5BC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single" w:sz="4" w:space="0" w:color="auto"/>
            </w:tcBorders>
            <w:shd w:val="clear" w:color="auto" w:fill="auto"/>
            <w:vAlign w:val="center"/>
            <w:hideMark/>
          </w:tcPr>
          <w:p w14:paraId="51ED669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B84B12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4C8BFA6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74C52009" w14:textId="77777777" w:rsidTr="0018109D">
        <w:trPr>
          <w:trHeight w:val="1500"/>
        </w:trPr>
        <w:tc>
          <w:tcPr>
            <w:tcW w:w="1790" w:type="dxa"/>
            <w:vMerge/>
            <w:tcBorders>
              <w:top w:val="nil"/>
              <w:left w:val="single" w:sz="8" w:space="0" w:color="auto"/>
              <w:bottom w:val="single" w:sz="8" w:space="0" w:color="000000"/>
              <w:right w:val="single" w:sz="4" w:space="0" w:color="auto"/>
            </w:tcBorders>
            <w:vAlign w:val="center"/>
            <w:hideMark/>
          </w:tcPr>
          <w:p w14:paraId="24A89FB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7404256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2.4.2.6 Zbatimi i rekomandimit të analizës së brendshme lidhur me reduktimin e afatit kohor. </w:t>
            </w:r>
          </w:p>
        </w:tc>
        <w:tc>
          <w:tcPr>
            <w:tcW w:w="1890" w:type="dxa"/>
            <w:tcBorders>
              <w:top w:val="nil"/>
              <w:left w:val="nil"/>
              <w:bottom w:val="single" w:sz="8" w:space="0" w:color="auto"/>
              <w:right w:val="single" w:sz="4" w:space="0" w:color="auto"/>
            </w:tcBorders>
            <w:shd w:val="clear" w:color="auto" w:fill="auto"/>
            <w:vAlign w:val="center"/>
            <w:hideMark/>
          </w:tcPr>
          <w:p w14:paraId="5E1C4FF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8" w:space="0" w:color="auto"/>
              <w:right w:val="single" w:sz="4" w:space="0" w:color="auto"/>
            </w:tcBorders>
            <w:shd w:val="clear" w:color="auto" w:fill="auto"/>
            <w:vAlign w:val="center"/>
            <w:hideMark/>
          </w:tcPr>
          <w:p w14:paraId="7F34855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1CEBD61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c>
          <w:tcPr>
            <w:tcW w:w="1260" w:type="dxa"/>
            <w:tcBorders>
              <w:top w:val="nil"/>
              <w:left w:val="nil"/>
              <w:bottom w:val="single" w:sz="8" w:space="0" w:color="auto"/>
              <w:right w:val="single" w:sz="8" w:space="0" w:color="auto"/>
            </w:tcBorders>
            <w:shd w:val="clear" w:color="000000" w:fill="DDEBF7"/>
            <w:vAlign w:val="center"/>
            <w:hideMark/>
          </w:tcPr>
          <w:p w14:paraId="1E81CDE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36D48C7" w14:textId="77777777" w:rsidTr="0018109D">
        <w:trPr>
          <w:trHeight w:val="1104"/>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496AE28B" w14:textId="7BB0F68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2.4.3 Deklaratat e pasurisë së anëtarëve të institucioneve të pavarura të drejtësisë përditësohen dhe verifikohen në mënyrë periodike.</w:t>
            </w:r>
          </w:p>
        </w:tc>
        <w:tc>
          <w:tcPr>
            <w:tcW w:w="2520" w:type="dxa"/>
            <w:tcBorders>
              <w:top w:val="nil"/>
              <w:left w:val="nil"/>
              <w:bottom w:val="single" w:sz="4" w:space="0" w:color="auto"/>
              <w:right w:val="single" w:sz="4" w:space="0" w:color="auto"/>
            </w:tcBorders>
            <w:shd w:val="clear" w:color="auto" w:fill="auto"/>
            <w:vAlign w:val="center"/>
            <w:hideMark/>
          </w:tcPr>
          <w:p w14:paraId="2481D04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2.4.3.1 Përditësimi në formë elektronike dhe fizikisht i deklaratave të pasurive të anëtarëve të institucioneve të pavaruara të drejtësisë  </w:t>
            </w:r>
          </w:p>
        </w:tc>
        <w:tc>
          <w:tcPr>
            <w:tcW w:w="1890" w:type="dxa"/>
            <w:tcBorders>
              <w:top w:val="nil"/>
              <w:left w:val="nil"/>
              <w:bottom w:val="single" w:sz="4" w:space="0" w:color="auto"/>
              <w:right w:val="single" w:sz="4" w:space="0" w:color="auto"/>
            </w:tcBorders>
            <w:shd w:val="clear" w:color="auto" w:fill="auto"/>
            <w:vAlign w:val="center"/>
            <w:hideMark/>
          </w:tcPr>
          <w:p w14:paraId="23200F3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ILDKPKI</w:t>
            </w:r>
          </w:p>
        </w:tc>
        <w:tc>
          <w:tcPr>
            <w:tcW w:w="1620" w:type="dxa"/>
            <w:tcBorders>
              <w:top w:val="nil"/>
              <w:left w:val="nil"/>
              <w:bottom w:val="single" w:sz="4" w:space="0" w:color="auto"/>
              <w:right w:val="single" w:sz="8" w:space="0" w:color="auto"/>
            </w:tcBorders>
            <w:shd w:val="clear" w:color="auto" w:fill="auto"/>
            <w:vAlign w:val="center"/>
            <w:hideMark/>
          </w:tcPr>
          <w:p w14:paraId="1FF42EC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MD, Anëtarët e institucioneve të pavaruara të drejtësisë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75B48AC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A3CA40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3264A6C" w14:textId="77777777" w:rsidTr="0018109D">
        <w:trPr>
          <w:trHeight w:val="528"/>
        </w:trPr>
        <w:tc>
          <w:tcPr>
            <w:tcW w:w="1790" w:type="dxa"/>
            <w:vMerge/>
            <w:tcBorders>
              <w:top w:val="nil"/>
              <w:left w:val="single" w:sz="8" w:space="0" w:color="auto"/>
              <w:bottom w:val="single" w:sz="8" w:space="0" w:color="000000"/>
              <w:right w:val="single" w:sz="4" w:space="0" w:color="auto"/>
            </w:tcBorders>
            <w:vAlign w:val="center"/>
            <w:hideMark/>
          </w:tcPr>
          <w:p w14:paraId="428DE8E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92C2A33" w14:textId="4EEE9DF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2.4.3.2 Kryerja e analizës lidhur me mekanizmat shtesë (nëse është e nevojshme) për anëtarët në bazë të ndryshimeve ligjore </w:t>
            </w:r>
          </w:p>
        </w:tc>
        <w:tc>
          <w:tcPr>
            <w:tcW w:w="1890" w:type="dxa"/>
            <w:tcBorders>
              <w:top w:val="nil"/>
              <w:left w:val="nil"/>
              <w:bottom w:val="single" w:sz="4" w:space="0" w:color="auto"/>
              <w:right w:val="single" w:sz="4" w:space="0" w:color="auto"/>
            </w:tcBorders>
            <w:shd w:val="clear" w:color="auto" w:fill="auto"/>
            <w:vAlign w:val="center"/>
            <w:hideMark/>
          </w:tcPr>
          <w:p w14:paraId="0E5BC94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ILDKPKI</w:t>
            </w:r>
          </w:p>
        </w:tc>
        <w:tc>
          <w:tcPr>
            <w:tcW w:w="1620" w:type="dxa"/>
            <w:tcBorders>
              <w:top w:val="nil"/>
              <w:left w:val="nil"/>
              <w:bottom w:val="single" w:sz="4" w:space="0" w:color="auto"/>
              <w:right w:val="single" w:sz="8" w:space="0" w:color="auto"/>
            </w:tcBorders>
            <w:shd w:val="clear" w:color="auto" w:fill="auto"/>
            <w:vAlign w:val="center"/>
            <w:hideMark/>
          </w:tcPr>
          <w:p w14:paraId="7245B86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 ILD</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77C135A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c>
          <w:tcPr>
            <w:tcW w:w="1260" w:type="dxa"/>
            <w:tcBorders>
              <w:top w:val="nil"/>
              <w:left w:val="nil"/>
              <w:bottom w:val="single" w:sz="4" w:space="0" w:color="auto"/>
              <w:right w:val="single" w:sz="8" w:space="0" w:color="auto"/>
            </w:tcBorders>
            <w:shd w:val="clear" w:color="000000" w:fill="DDEBF7"/>
            <w:vAlign w:val="center"/>
            <w:hideMark/>
          </w:tcPr>
          <w:p w14:paraId="4A34B59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r>
      <w:tr w:rsidR="007440A2" w:rsidRPr="007440A2" w14:paraId="3FB23E60" w14:textId="77777777" w:rsidTr="0018109D">
        <w:trPr>
          <w:trHeight w:val="792"/>
        </w:trPr>
        <w:tc>
          <w:tcPr>
            <w:tcW w:w="1790" w:type="dxa"/>
            <w:vMerge/>
            <w:tcBorders>
              <w:top w:val="nil"/>
              <w:left w:val="single" w:sz="8" w:space="0" w:color="auto"/>
              <w:bottom w:val="single" w:sz="8" w:space="0" w:color="000000"/>
              <w:right w:val="single" w:sz="4" w:space="0" w:color="auto"/>
            </w:tcBorders>
            <w:vAlign w:val="center"/>
            <w:hideMark/>
          </w:tcPr>
          <w:p w14:paraId="4F020DC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CD6EDB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2.4.3.3 Rishikimi (nëse nevojitet) i rregullave/akteve nënligjore në lidhje me verifikimin dhe hetimin e deklaratave të pasurisë së anëtarëve të institucioneve të pavarura të drejtësisë në bazë të ndryshimeve ligjore </w:t>
            </w:r>
          </w:p>
        </w:tc>
        <w:tc>
          <w:tcPr>
            <w:tcW w:w="1890" w:type="dxa"/>
            <w:tcBorders>
              <w:top w:val="nil"/>
              <w:left w:val="nil"/>
              <w:bottom w:val="single" w:sz="4" w:space="0" w:color="auto"/>
              <w:right w:val="single" w:sz="4" w:space="0" w:color="auto"/>
            </w:tcBorders>
            <w:shd w:val="clear" w:color="auto" w:fill="auto"/>
            <w:vAlign w:val="center"/>
            <w:hideMark/>
          </w:tcPr>
          <w:p w14:paraId="7C69A92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ILDKPKI</w:t>
            </w:r>
          </w:p>
        </w:tc>
        <w:tc>
          <w:tcPr>
            <w:tcW w:w="1620" w:type="dxa"/>
            <w:tcBorders>
              <w:top w:val="nil"/>
              <w:left w:val="nil"/>
              <w:bottom w:val="single" w:sz="4" w:space="0" w:color="auto"/>
              <w:right w:val="single" w:sz="8" w:space="0" w:color="auto"/>
            </w:tcBorders>
            <w:shd w:val="clear" w:color="auto" w:fill="auto"/>
            <w:vAlign w:val="center"/>
            <w:hideMark/>
          </w:tcPr>
          <w:p w14:paraId="7C8BB8D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 ILD</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173F622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c>
          <w:tcPr>
            <w:tcW w:w="1260" w:type="dxa"/>
            <w:tcBorders>
              <w:top w:val="nil"/>
              <w:left w:val="nil"/>
              <w:bottom w:val="single" w:sz="4" w:space="0" w:color="auto"/>
              <w:right w:val="single" w:sz="8" w:space="0" w:color="auto"/>
            </w:tcBorders>
            <w:shd w:val="clear" w:color="000000" w:fill="DDEBF7"/>
            <w:vAlign w:val="center"/>
            <w:hideMark/>
          </w:tcPr>
          <w:p w14:paraId="75A46B3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r>
      <w:tr w:rsidR="007440A2" w:rsidRPr="007440A2" w14:paraId="035AB061" w14:textId="77777777" w:rsidTr="0018109D">
        <w:trPr>
          <w:trHeight w:val="540"/>
        </w:trPr>
        <w:tc>
          <w:tcPr>
            <w:tcW w:w="1790" w:type="dxa"/>
            <w:vMerge/>
            <w:tcBorders>
              <w:top w:val="nil"/>
              <w:left w:val="single" w:sz="8" w:space="0" w:color="auto"/>
              <w:bottom w:val="single" w:sz="8" w:space="0" w:color="000000"/>
              <w:right w:val="single" w:sz="4" w:space="0" w:color="auto"/>
            </w:tcBorders>
            <w:vAlign w:val="center"/>
            <w:hideMark/>
          </w:tcPr>
          <w:p w14:paraId="340FCC9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5D29271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2.4.3.4 Trajnim i specializuar për punonjësit e ILDKPKI-së që merren me këto deklarime, verifikime, hetime dhe hartime raportesh. </w:t>
            </w:r>
          </w:p>
        </w:tc>
        <w:tc>
          <w:tcPr>
            <w:tcW w:w="1890" w:type="dxa"/>
            <w:tcBorders>
              <w:top w:val="nil"/>
              <w:left w:val="nil"/>
              <w:bottom w:val="single" w:sz="8" w:space="0" w:color="auto"/>
              <w:right w:val="single" w:sz="4" w:space="0" w:color="auto"/>
            </w:tcBorders>
            <w:shd w:val="clear" w:color="auto" w:fill="auto"/>
            <w:vAlign w:val="center"/>
            <w:hideMark/>
          </w:tcPr>
          <w:p w14:paraId="0ECD232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ILDKPKI</w:t>
            </w:r>
          </w:p>
        </w:tc>
        <w:tc>
          <w:tcPr>
            <w:tcW w:w="1620" w:type="dxa"/>
            <w:tcBorders>
              <w:top w:val="nil"/>
              <w:left w:val="nil"/>
              <w:bottom w:val="single" w:sz="8" w:space="0" w:color="auto"/>
              <w:right w:val="single" w:sz="8" w:space="0" w:color="auto"/>
            </w:tcBorders>
            <w:shd w:val="clear" w:color="auto" w:fill="auto"/>
            <w:vAlign w:val="center"/>
            <w:hideMark/>
          </w:tcPr>
          <w:p w14:paraId="6EC95BF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3DD8F3C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470E1C2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F805628" w14:textId="77777777" w:rsidTr="0018109D">
        <w:trPr>
          <w:trHeight w:val="276"/>
        </w:trPr>
        <w:tc>
          <w:tcPr>
            <w:tcW w:w="4310" w:type="dxa"/>
            <w:gridSpan w:val="2"/>
            <w:tcBorders>
              <w:top w:val="nil"/>
              <w:left w:val="single" w:sz="8" w:space="0" w:color="auto"/>
              <w:bottom w:val="single" w:sz="8" w:space="0" w:color="auto"/>
              <w:right w:val="nil"/>
            </w:tcBorders>
            <w:shd w:val="clear" w:color="000000" w:fill="9CC2E5"/>
            <w:vAlign w:val="center"/>
            <w:hideMark/>
          </w:tcPr>
          <w:p w14:paraId="492D3328"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2.5:</w:t>
            </w:r>
          </w:p>
        </w:tc>
        <w:tc>
          <w:tcPr>
            <w:tcW w:w="6480" w:type="dxa"/>
            <w:gridSpan w:val="4"/>
            <w:tcBorders>
              <w:top w:val="nil"/>
              <w:left w:val="single" w:sz="8" w:space="0" w:color="auto"/>
              <w:bottom w:val="single" w:sz="8" w:space="0" w:color="auto"/>
              <w:right w:val="single" w:sz="8" w:space="0" w:color="000000"/>
            </w:tcBorders>
            <w:shd w:val="clear" w:color="000000" w:fill="9CC2E5"/>
            <w:vAlign w:val="center"/>
            <w:hideMark/>
          </w:tcPr>
          <w:p w14:paraId="66106F07"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Përforcimi i mekanizmave të llogaridhënies së magjistratëve.</w:t>
            </w:r>
          </w:p>
        </w:tc>
      </w:tr>
      <w:tr w:rsidR="007440A2" w:rsidRPr="007440A2" w14:paraId="76C13860" w14:textId="77777777" w:rsidTr="0018109D">
        <w:trPr>
          <w:trHeight w:val="1644"/>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1976049D"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5F9BCAD5" w14:textId="37D10263"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Deri ne fund te vitit 2030 ILD zbaton 100% te planeve vjetore te inspektimeve pranë gjykatave dhe prokurorive </w:t>
            </w:r>
            <w:r w:rsidRPr="007440A2">
              <w:rPr>
                <w:rFonts w:ascii="Times New Roman" w:eastAsia="Times New Roman" w:hAnsi="Times New Roman" w:cs="Times New Roman"/>
                <w:sz w:val="20"/>
                <w:szCs w:val="20"/>
              </w:rPr>
              <w:br/>
            </w:r>
            <w:r w:rsidRPr="007440A2">
              <w:rPr>
                <w:rFonts w:ascii="Times New Roman" w:eastAsia="Times New Roman" w:hAnsi="Times New Roman" w:cs="Times New Roman"/>
                <w:sz w:val="20"/>
                <w:szCs w:val="20"/>
              </w:rPr>
              <w:br/>
              <w:t>Deri ne fund te vitit 2030 garantohet konfirmimi nga Keshillat (KLGJ, KLP) i nje perqindjeje te larte te kerkesave te ILD per aplikimin e nje mase disiplinore.</w:t>
            </w:r>
          </w:p>
        </w:tc>
      </w:tr>
      <w:tr w:rsidR="007440A2" w:rsidRPr="007440A2" w14:paraId="177C4A73" w14:textId="77777777" w:rsidTr="0018109D">
        <w:trPr>
          <w:trHeight w:val="540"/>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6D9CA366"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2D3568E1"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75055E12"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69F6CCAD"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3C16F7AB"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58282766"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45DB29CE" w14:textId="77777777" w:rsidTr="0018109D">
        <w:trPr>
          <w:trHeight w:val="1104"/>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1640E1D1"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2.5.1 Hartimi i rregullave për përbërjen dhe vjetërsinë e ILD-së, të cilat vendosin garanci të kënaqshme të paanshmërisë, pavarësisë dhe profesionalizmit për mbrojtjen e organit nga ndikimi i drejtpërdrejtë ose i tërthortë i legjislativit dhe ekzekutivit </w:t>
            </w:r>
          </w:p>
        </w:tc>
        <w:tc>
          <w:tcPr>
            <w:tcW w:w="2520" w:type="dxa"/>
            <w:tcBorders>
              <w:top w:val="nil"/>
              <w:left w:val="nil"/>
              <w:bottom w:val="single" w:sz="4" w:space="0" w:color="auto"/>
              <w:right w:val="single" w:sz="4" w:space="0" w:color="auto"/>
            </w:tcBorders>
            <w:shd w:val="clear" w:color="auto" w:fill="auto"/>
            <w:vAlign w:val="center"/>
            <w:hideMark/>
          </w:tcPr>
          <w:p w14:paraId="5223BFB4" w14:textId="6A45FEF0"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2.5.1.1 </w:t>
            </w:r>
            <w:r w:rsidR="00995EBD">
              <w:rPr>
                <w:rFonts w:ascii="Times New Roman" w:eastAsia="Times New Roman" w:hAnsi="Times New Roman" w:cs="Times New Roman"/>
                <w:sz w:val="20"/>
                <w:szCs w:val="20"/>
              </w:rPr>
              <w:t>H</w:t>
            </w:r>
            <w:r w:rsidRPr="007440A2">
              <w:rPr>
                <w:rFonts w:ascii="Times New Roman" w:eastAsia="Times New Roman" w:hAnsi="Times New Roman" w:cs="Times New Roman"/>
                <w:sz w:val="20"/>
                <w:szCs w:val="20"/>
              </w:rPr>
              <w:t>artimi i analizës për rishikimin e kritereve, veçanërisht kriterin e vjetërsisë,   për pozicionin e inspektorëve magjistratë dhe propozime për ndryshime ligjore në bazë të gjetjeve të analizës.</w:t>
            </w:r>
          </w:p>
        </w:tc>
        <w:tc>
          <w:tcPr>
            <w:tcW w:w="1890" w:type="dxa"/>
            <w:tcBorders>
              <w:top w:val="nil"/>
              <w:left w:val="nil"/>
              <w:bottom w:val="single" w:sz="4" w:space="0" w:color="auto"/>
              <w:right w:val="single" w:sz="4" w:space="0" w:color="auto"/>
            </w:tcBorders>
            <w:shd w:val="clear" w:color="auto" w:fill="auto"/>
            <w:vAlign w:val="center"/>
            <w:hideMark/>
          </w:tcPr>
          <w:p w14:paraId="407E3FB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KUVENDI, ILD</w:t>
            </w:r>
          </w:p>
        </w:tc>
        <w:tc>
          <w:tcPr>
            <w:tcW w:w="1620" w:type="dxa"/>
            <w:tcBorders>
              <w:top w:val="nil"/>
              <w:left w:val="nil"/>
              <w:bottom w:val="single" w:sz="4" w:space="0" w:color="auto"/>
              <w:right w:val="single" w:sz="8" w:space="0" w:color="auto"/>
            </w:tcBorders>
            <w:shd w:val="clear" w:color="auto" w:fill="auto"/>
            <w:vAlign w:val="center"/>
            <w:hideMark/>
          </w:tcPr>
          <w:p w14:paraId="466056A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78EA384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4C7F2C8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05C1F18" w14:textId="77777777" w:rsidTr="0018109D">
        <w:trPr>
          <w:trHeight w:val="1032"/>
        </w:trPr>
        <w:tc>
          <w:tcPr>
            <w:tcW w:w="1790" w:type="dxa"/>
            <w:vMerge/>
            <w:tcBorders>
              <w:top w:val="nil"/>
              <w:left w:val="single" w:sz="8" w:space="0" w:color="auto"/>
              <w:bottom w:val="single" w:sz="8" w:space="0" w:color="000000"/>
              <w:right w:val="single" w:sz="4" w:space="0" w:color="auto"/>
            </w:tcBorders>
            <w:vAlign w:val="center"/>
            <w:hideMark/>
          </w:tcPr>
          <w:p w14:paraId="03DF8E9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26F018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2.5.1.2 Hartimi i projekt-ndryshimeve ligjore bazuar në analizën e kryer</w:t>
            </w:r>
          </w:p>
        </w:tc>
        <w:tc>
          <w:tcPr>
            <w:tcW w:w="1890" w:type="dxa"/>
            <w:tcBorders>
              <w:top w:val="nil"/>
              <w:left w:val="nil"/>
              <w:bottom w:val="single" w:sz="4" w:space="0" w:color="auto"/>
              <w:right w:val="single" w:sz="4" w:space="0" w:color="auto"/>
            </w:tcBorders>
            <w:shd w:val="clear" w:color="auto" w:fill="auto"/>
            <w:vAlign w:val="center"/>
            <w:hideMark/>
          </w:tcPr>
          <w:p w14:paraId="6799EEA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ILD</w:t>
            </w:r>
          </w:p>
        </w:tc>
        <w:tc>
          <w:tcPr>
            <w:tcW w:w="1620" w:type="dxa"/>
            <w:tcBorders>
              <w:top w:val="nil"/>
              <w:left w:val="nil"/>
              <w:bottom w:val="single" w:sz="4" w:space="0" w:color="auto"/>
              <w:right w:val="single" w:sz="8" w:space="0" w:color="auto"/>
            </w:tcBorders>
            <w:shd w:val="clear" w:color="auto" w:fill="auto"/>
            <w:vAlign w:val="center"/>
            <w:hideMark/>
          </w:tcPr>
          <w:p w14:paraId="17667F3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22B8AC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B7771F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3C9FC7A" w14:textId="77777777" w:rsidTr="0018109D">
        <w:trPr>
          <w:trHeight w:val="1875"/>
        </w:trPr>
        <w:tc>
          <w:tcPr>
            <w:tcW w:w="1790" w:type="dxa"/>
            <w:vMerge/>
            <w:tcBorders>
              <w:top w:val="nil"/>
              <w:left w:val="single" w:sz="8" w:space="0" w:color="auto"/>
              <w:bottom w:val="single" w:sz="8" w:space="0" w:color="000000"/>
              <w:right w:val="single" w:sz="4" w:space="0" w:color="auto"/>
            </w:tcBorders>
            <w:vAlign w:val="center"/>
            <w:hideMark/>
          </w:tcPr>
          <w:p w14:paraId="4921BA0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2DEB78D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2.5.1.3 Amendamentet e ligjit për organet e qeverisjes së sistemit të drejtësise Qeverisjes të miratuara nga Kuvendi</w:t>
            </w:r>
          </w:p>
        </w:tc>
        <w:tc>
          <w:tcPr>
            <w:tcW w:w="1890" w:type="dxa"/>
            <w:tcBorders>
              <w:top w:val="nil"/>
              <w:left w:val="nil"/>
              <w:bottom w:val="single" w:sz="8" w:space="0" w:color="auto"/>
              <w:right w:val="single" w:sz="4" w:space="0" w:color="auto"/>
            </w:tcBorders>
            <w:shd w:val="clear" w:color="auto" w:fill="auto"/>
            <w:vAlign w:val="center"/>
            <w:hideMark/>
          </w:tcPr>
          <w:p w14:paraId="3D887E9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KUVENDI, ILD</w:t>
            </w:r>
          </w:p>
        </w:tc>
        <w:tc>
          <w:tcPr>
            <w:tcW w:w="1620" w:type="dxa"/>
            <w:tcBorders>
              <w:top w:val="nil"/>
              <w:left w:val="nil"/>
              <w:bottom w:val="single" w:sz="8" w:space="0" w:color="auto"/>
              <w:right w:val="single" w:sz="8" w:space="0" w:color="auto"/>
            </w:tcBorders>
            <w:shd w:val="clear" w:color="auto" w:fill="auto"/>
            <w:vAlign w:val="center"/>
            <w:hideMark/>
          </w:tcPr>
          <w:p w14:paraId="386D4B8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53F88B9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c>
          <w:tcPr>
            <w:tcW w:w="1260" w:type="dxa"/>
            <w:tcBorders>
              <w:top w:val="nil"/>
              <w:left w:val="nil"/>
              <w:bottom w:val="single" w:sz="8" w:space="0" w:color="auto"/>
              <w:right w:val="single" w:sz="8" w:space="0" w:color="auto"/>
            </w:tcBorders>
            <w:shd w:val="clear" w:color="000000" w:fill="DDEBF7"/>
            <w:vAlign w:val="center"/>
            <w:hideMark/>
          </w:tcPr>
          <w:p w14:paraId="010FBCC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5302CDB" w14:textId="77777777" w:rsidTr="0018109D">
        <w:trPr>
          <w:trHeight w:val="3228"/>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06E7BA87"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2.5.2  Plotësimi gradual i vakancave në rradhët e inspektorëve në ILD, me masa që synojnë që ky pozicion të jetë tërheqës dhe stafi mbështetës i ILD-së është përforcuar dhe i përgjigjet nevojave objektive të institucionit.  </w:t>
            </w:r>
          </w:p>
        </w:tc>
        <w:tc>
          <w:tcPr>
            <w:tcW w:w="2520" w:type="dxa"/>
            <w:tcBorders>
              <w:top w:val="nil"/>
              <w:left w:val="nil"/>
              <w:bottom w:val="single" w:sz="4" w:space="0" w:color="auto"/>
              <w:right w:val="single" w:sz="4" w:space="0" w:color="auto"/>
            </w:tcBorders>
            <w:shd w:val="clear" w:color="auto" w:fill="auto"/>
            <w:vAlign w:val="center"/>
            <w:hideMark/>
          </w:tcPr>
          <w:p w14:paraId="02EB82B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2.5.2.1 Tryeza e rrumbullakët e thirrur nga MD-ja me pjesëmarrjen e ILD-së, KLGJ-së dhe KLP-së për të diskutuar ndryshimet e mundshme në politikën dhe legjislacionin përkatës që mund të kontribuojnë në procesin e plotësimit të pozicioneve të inspektorëve bazuar në kritere të larta profesionale dhe integriteti. </w:t>
            </w:r>
            <w:r w:rsidRPr="007440A2">
              <w:rPr>
                <w:rFonts w:ascii="Times New Roman" w:eastAsia="Times New Roman" w:hAnsi="Times New Roman" w:cs="Times New Roman"/>
                <w:b/>
                <w:bCs/>
                <w:sz w:val="20"/>
                <w:szCs w:val="20"/>
              </w:rPr>
              <w:br/>
            </w:r>
            <w:r w:rsidRPr="007440A2">
              <w:rPr>
                <w:rFonts w:ascii="Times New Roman" w:eastAsia="Times New Roman" w:hAnsi="Times New Roman" w:cs="Times New Roman"/>
                <w:b/>
                <w:bCs/>
                <w:sz w:val="20"/>
                <w:szCs w:val="20"/>
              </w:rPr>
              <w:br/>
              <w:t>a) Identifikimin e arsyeve të mungesës së interesit të aplikimeve për inspektor në ILD, për procedurat e realizuara;</w:t>
            </w:r>
            <w:r w:rsidRPr="007440A2">
              <w:rPr>
                <w:rFonts w:ascii="Times New Roman" w:eastAsia="Times New Roman" w:hAnsi="Times New Roman" w:cs="Times New Roman"/>
                <w:b/>
                <w:bCs/>
                <w:sz w:val="20"/>
                <w:szCs w:val="20"/>
              </w:rPr>
              <w:br/>
              <w:t>b) Adresimin e përbashkët me masa specifike nga organet e pavarura për zgjidhjen e problemtatikave të identifikuara;</w:t>
            </w:r>
          </w:p>
        </w:tc>
        <w:tc>
          <w:tcPr>
            <w:tcW w:w="1890" w:type="dxa"/>
            <w:tcBorders>
              <w:top w:val="nil"/>
              <w:left w:val="nil"/>
              <w:bottom w:val="single" w:sz="4" w:space="0" w:color="auto"/>
              <w:right w:val="single" w:sz="4" w:space="0" w:color="auto"/>
            </w:tcBorders>
            <w:shd w:val="clear" w:color="auto" w:fill="auto"/>
            <w:vAlign w:val="center"/>
            <w:hideMark/>
          </w:tcPr>
          <w:p w14:paraId="20019C3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78D3A52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 KLGJ, KLP</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6A72D31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52189C4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25EA163" w14:textId="77777777" w:rsidTr="0018109D">
        <w:trPr>
          <w:trHeight w:val="1068"/>
        </w:trPr>
        <w:tc>
          <w:tcPr>
            <w:tcW w:w="1790" w:type="dxa"/>
            <w:vMerge/>
            <w:tcBorders>
              <w:top w:val="nil"/>
              <w:left w:val="single" w:sz="8" w:space="0" w:color="auto"/>
              <w:bottom w:val="single" w:sz="8" w:space="0" w:color="000000"/>
              <w:right w:val="single" w:sz="4" w:space="0" w:color="auto"/>
            </w:tcBorders>
            <w:vAlign w:val="center"/>
            <w:hideMark/>
          </w:tcPr>
          <w:p w14:paraId="743597F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713A05E" w14:textId="77777777" w:rsidR="0018109D" w:rsidRPr="007440A2" w:rsidRDefault="0018109D" w:rsidP="0018109D">
            <w:pPr>
              <w:spacing w:after="24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2.5.2.2 Dakordësim i propozimeve për kriteret që duhet të përmbushin magjistratët për t'u komanduar në ILD.</w:t>
            </w:r>
          </w:p>
        </w:tc>
        <w:tc>
          <w:tcPr>
            <w:tcW w:w="1890" w:type="dxa"/>
            <w:tcBorders>
              <w:top w:val="nil"/>
              <w:left w:val="nil"/>
              <w:bottom w:val="single" w:sz="4" w:space="0" w:color="auto"/>
              <w:right w:val="single" w:sz="4" w:space="0" w:color="auto"/>
            </w:tcBorders>
            <w:shd w:val="clear" w:color="auto" w:fill="auto"/>
            <w:vAlign w:val="center"/>
            <w:hideMark/>
          </w:tcPr>
          <w:p w14:paraId="56FC147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ILD, KLGJ, KLP</w:t>
            </w:r>
          </w:p>
        </w:tc>
        <w:tc>
          <w:tcPr>
            <w:tcW w:w="1620" w:type="dxa"/>
            <w:tcBorders>
              <w:top w:val="nil"/>
              <w:left w:val="nil"/>
              <w:bottom w:val="single" w:sz="4" w:space="0" w:color="auto"/>
              <w:right w:val="single" w:sz="8" w:space="0" w:color="auto"/>
            </w:tcBorders>
            <w:shd w:val="clear" w:color="auto" w:fill="auto"/>
            <w:vAlign w:val="center"/>
            <w:hideMark/>
          </w:tcPr>
          <w:p w14:paraId="1FAAA6D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70CEB4F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500FFB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5F128F4" w14:textId="77777777" w:rsidTr="0018109D">
        <w:trPr>
          <w:trHeight w:val="1875"/>
        </w:trPr>
        <w:tc>
          <w:tcPr>
            <w:tcW w:w="1790" w:type="dxa"/>
            <w:vMerge/>
            <w:tcBorders>
              <w:top w:val="nil"/>
              <w:left w:val="single" w:sz="8" w:space="0" w:color="auto"/>
              <w:bottom w:val="single" w:sz="8" w:space="0" w:color="000000"/>
              <w:right w:val="single" w:sz="4" w:space="0" w:color="auto"/>
            </w:tcBorders>
            <w:vAlign w:val="center"/>
            <w:hideMark/>
          </w:tcPr>
          <w:p w14:paraId="13623C9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ABC313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2.5.2.3 Shpalljen  e procedurave për komandim e magjistratëve deri në plotësimin e vendeve vakante për pozicionet e inspektorëve magjistratë. </w:t>
            </w:r>
          </w:p>
        </w:tc>
        <w:tc>
          <w:tcPr>
            <w:tcW w:w="1890" w:type="dxa"/>
            <w:tcBorders>
              <w:top w:val="nil"/>
              <w:left w:val="nil"/>
              <w:bottom w:val="single" w:sz="4" w:space="0" w:color="auto"/>
              <w:right w:val="single" w:sz="4" w:space="0" w:color="auto"/>
            </w:tcBorders>
            <w:shd w:val="clear" w:color="auto" w:fill="auto"/>
            <w:vAlign w:val="center"/>
            <w:hideMark/>
          </w:tcPr>
          <w:p w14:paraId="60B9178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w:t>
            </w:r>
          </w:p>
        </w:tc>
        <w:tc>
          <w:tcPr>
            <w:tcW w:w="1620" w:type="dxa"/>
            <w:tcBorders>
              <w:top w:val="nil"/>
              <w:left w:val="nil"/>
              <w:bottom w:val="single" w:sz="4" w:space="0" w:color="auto"/>
              <w:right w:val="single" w:sz="8" w:space="0" w:color="auto"/>
            </w:tcBorders>
            <w:shd w:val="clear" w:color="auto" w:fill="auto"/>
            <w:vAlign w:val="center"/>
            <w:hideMark/>
          </w:tcPr>
          <w:p w14:paraId="37C9266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3AD347B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5673DCF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E19563C" w14:textId="77777777" w:rsidTr="0018109D">
        <w:trPr>
          <w:trHeight w:val="1440"/>
        </w:trPr>
        <w:tc>
          <w:tcPr>
            <w:tcW w:w="1790" w:type="dxa"/>
            <w:vMerge/>
            <w:tcBorders>
              <w:top w:val="nil"/>
              <w:left w:val="single" w:sz="8" w:space="0" w:color="auto"/>
              <w:bottom w:val="single" w:sz="8" w:space="0" w:color="000000"/>
              <w:right w:val="single" w:sz="4" w:space="0" w:color="auto"/>
            </w:tcBorders>
            <w:vAlign w:val="center"/>
            <w:hideMark/>
          </w:tcPr>
          <w:p w14:paraId="7FBCF31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EC6295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2.5.2.4 Caktimin e magjistratëve në pozicionet e apelit, pas përfundimit të afatit të komandimit për magjistratët e komanduar në ILD, pa iu nënshtruar procedurës së ngritjes në detyrë. </w:t>
            </w:r>
          </w:p>
        </w:tc>
        <w:tc>
          <w:tcPr>
            <w:tcW w:w="1890" w:type="dxa"/>
            <w:tcBorders>
              <w:top w:val="nil"/>
              <w:left w:val="nil"/>
              <w:bottom w:val="single" w:sz="4" w:space="0" w:color="auto"/>
              <w:right w:val="single" w:sz="4" w:space="0" w:color="auto"/>
            </w:tcBorders>
            <w:shd w:val="clear" w:color="auto" w:fill="auto"/>
            <w:vAlign w:val="center"/>
            <w:hideMark/>
          </w:tcPr>
          <w:p w14:paraId="632C0DB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single" w:sz="8" w:space="0" w:color="auto"/>
            </w:tcBorders>
            <w:shd w:val="clear" w:color="auto" w:fill="auto"/>
            <w:vAlign w:val="center"/>
            <w:hideMark/>
          </w:tcPr>
          <w:p w14:paraId="2C17515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159950D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5BF7C8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062466F" w14:textId="77777777" w:rsidTr="0018109D">
        <w:trPr>
          <w:trHeight w:val="984"/>
        </w:trPr>
        <w:tc>
          <w:tcPr>
            <w:tcW w:w="1790" w:type="dxa"/>
            <w:vMerge/>
            <w:tcBorders>
              <w:top w:val="nil"/>
              <w:left w:val="single" w:sz="8" w:space="0" w:color="auto"/>
              <w:bottom w:val="single" w:sz="8" w:space="0" w:color="000000"/>
              <w:right w:val="single" w:sz="4" w:space="0" w:color="auto"/>
            </w:tcBorders>
            <w:vAlign w:val="center"/>
            <w:hideMark/>
          </w:tcPr>
          <w:p w14:paraId="7D0DF3B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B4ABA7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2.5.2.5 Hartimi i kurrikulave për trajnim të vazhdueshëm dhe realizimi i tyre në bashkëpunim me SHM;</w:t>
            </w:r>
          </w:p>
        </w:tc>
        <w:tc>
          <w:tcPr>
            <w:tcW w:w="1890" w:type="dxa"/>
            <w:tcBorders>
              <w:top w:val="nil"/>
              <w:left w:val="nil"/>
              <w:bottom w:val="single" w:sz="4" w:space="0" w:color="auto"/>
              <w:right w:val="single" w:sz="4" w:space="0" w:color="auto"/>
            </w:tcBorders>
            <w:shd w:val="clear" w:color="auto" w:fill="auto"/>
            <w:vAlign w:val="center"/>
            <w:hideMark/>
          </w:tcPr>
          <w:p w14:paraId="1CE0807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 SHM</w:t>
            </w:r>
          </w:p>
        </w:tc>
        <w:tc>
          <w:tcPr>
            <w:tcW w:w="1620" w:type="dxa"/>
            <w:tcBorders>
              <w:top w:val="nil"/>
              <w:left w:val="nil"/>
              <w:bottom w:val="single" w:sz="4" w:space="0" w:color="auto"/>
              <w:right w:val="single" w:sz="8" w:space="0" w:color="auto"/>
            </w:tcBorders>
            <w:shd w:val="clear" w:color="auto" w:fill="auto"/>
            <w:vAlign w:val="center"/>
            <w:hideMark/>
          </w:tcPr>
          <w:p w14:paraId="6BACF3C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6511DD8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96B9C9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9EAF157" w14:textId="77777777" w:rsidTr="0018109D">
        <w:trPr>
          <w:trHeight w:val="1152"/>
        </w:trPr>
        <w:tc>
          <w:tcPr>
            <w:tcW w:w="1790" w:type="dxa"/>
            <w:vMerge/>
            <w:tcBorders>
              <w:top w:val="nil"/>
              <w:left w:val="single" w:sz="8" w:space="0" w:color="auto"/>
              <w:bottom w:val="single" w:sz="8" w:space="0" w:color="000000"/>
              <w:right w:val="single" w:sz="4" w:space="0" w:color="auto"/>
            </w:tcBorders>
            <w:vAlign w:val="center"/>
            <w:hideMark/>
          </w:tcPr>
          <w:p w14:paraId="4534EF8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AD7159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2.5.2.6 Numri i trajnimeve të vazhdueshme të zhvilluara  dhe numri i inspektorëve dhe ndihmësinspektorëve të trajnuar për çdo vit akademik. </w:t>
            </w:r>
          </w:p>
        </w:tc>
        <w:tc>
          <w:tcPr>
            <w:tcW w:w="1890" w:type="dxa"/>
            <w:tcBorders>
              <w:top w:val="nil"/>
              <w:left w:val="nil"/>
              <w:bottom w:val="single" w:sz="4" w:space="0" w:color="auto"/>
              <w:right w:val="single" w:sz="4" w:space="0" w:color="auto"/>
            </w:tcBorders>
            <w:shd w:val="clear" w:color="auto" w:fill="auto"/>
            <w:vAlign w:val="center"/>
            <w:hideMark/>
          </w:tcPr>
          <w:p w14:paraId="486531F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w:t>
            </w:r>
          </w:p>
        </w:tc>
        <w:tc>
          <w:tcPr>
            <w:tcW w:w="1620" w:type="dxa"/>
            <w:tcBorders>
              <w:top w:val="nil"/>
              <w:left w:val="nil"/>
              <w:bottom w:val="single" w:sz="4" w:space="0" w:color="auto"/>
              <w:right w:val="single" w:sz="8" w:space="0" w:color="auto"/>
            </w:tcBorders>
            <w:shd w:val="clear" w:color="auto" w:fill="auto"/>
            <w:vAlign w:val="center"/>
            <w:hideMark/>
          </w:tcPr>
          <w:p w14:paraId="6D3B2D0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123AF38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A9E673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852DCB9"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3539655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75F22A3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2.5.2.7 Numri i trajnimeve të zhvilluar nga ASPA për nëpunësit civilë.</w:t>
            </w:r>
          </w:p>
        </w:tc>
        <w:tc>
          <w:tcPr>
            <w:tcW w:w="1890" w:type="dxa"/>
            <w:tcBorders>
              <w:top w:val="nil"/>
              <w:left w:val="nil"/>
              <w:bottom w:val="single" w:sz="8" w:space="0" w:color="auto"/>
              <w:right w:val="single" w:sz="4" w:space="0" w:color="auto"/>
            </w:tcBorders>
            <w:shd w:val="clear" w:color="auto" w:fill="auto"/>
            <w:vAlign w:val="center"/>
            <w:hideMark/>
          </w:tcPr>
          <w:p w14:paraId="664AC89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 ASPA</w:t>
            </w:r>
          </w:p>
        </w:tc>
        <w:tc>
          <w:tcPr>
            <w:tcW w:w="1620" w:type="dxa"/>
            <w:tcBorders>
              <w:top w:val="nil"/>
              <w:left w:val="nil"/>
              <w:bottom w:val="single" w:sz="8" w:space="0" w:color="auto"/>
              <w:right w:val="single" w:sz="8" w:space="0" w:color="auto"/>
            </w:tcBorders>
            <w:shd w:val="clear" w:color="auto" w:fill="auto"/>
            <w:vAlign w:val="center"/>
            <w:hideMark/>
          </w:tcPr>
          <w:p w14:paraId="5DFD1FE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52BD570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44C0824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8FFE8D6" w14:textId="77777777" w:rsidTr="0018109D">
        <w:trPr>
          <w:trHeight w:val="1332"/>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0DEA7383"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2.5.3 Burimet konsistente dhe të përshtatshme të akorduara nga KLP-ja dhe KLGJ-ja për kryerjen e  hetimit disiplinor të iniciuar nga ILD-ja në kohë dhe në mënyrë sistematike.</w:t>
            </w:r>
          </w:p>
        </w:tc>
        <w:tc>
          <w:tcPr>
            <w:tcW w:w="2520" w:type="dxa"/>
            <w:tcBorders>
              <w:top w:val="nil"/>
              <w:left w:val="nil"/>
              <w:bottom w:val="single" w:sz="4" w:space="0" w:color="auto"/>
              <w:right w:val="single" w:sz="4" w:space="0" w:color="auto"/>
            </w:tcBorders>
            <w:shd w:val="clear" w:color="auto" w:fill="auto"/>
            <w:vAlign w:val="center"/>
            <w:hideMark/>
          </w:tcPr>
          <w:p w14:paraId="765E14F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2.5.3.1 ILD paraqet kërkesat për komandim dy herë në vit, derisa të plotësohen të gjitha pozicionet e inspektorëve magjistratë. </w:t>
            </w:r>
          </w:p>
        </w:tc>
        <w:tc>
          <w:tcPr>
            <w:tcW w:w="1890" w:type="dxa"/>
            <w:tcBorders>
              <w:top w:val="nil"/>
              <w:left w:val="nil"/>
              <w:bottom w:val="single" w:sz="4" w:space="0" w:color="auto"/>
              <w:right w:val="single" w:sz="4" w:space="0" w:color="auto"/>
            </w:tcBorders>
            <w:shd w:val="clear" w:color="auto" w:fill="auto"/>
            <w:vAlign w:val="center"/>
            <w:hideMark/>
          </w:tcPr>
          <w:p w14:paraId="1256762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w:t>
            </w:r>
          </w:p>
        </w:tc>
        <w:tc>
          <w:tcPr>
            <w:tcW w:w="1620" w:type="dxa"/>
            <w:tcBorders>
              <w:top w:val="nil"/>
              <w:left w:val="nil"/>
              <w:bottom w:val="single" w:sz="4" w:space="0" w:color="auto"/>
              <w:right w:val="single" w:sz="8" w:space="0" w:color="auto"/>
            </w:tcBorders>
            <w:shd w:val="clear" w:color="auto" w:fill="auto"/>
            <w:vAlign w:val="center"/>
            <w:hideMark/>
          </w:tcPr>
          <w:p w14:paraId="19FED7B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60A52C8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BAA8D6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9EBF68C" w14:textId="77777777" w:rsidTr="0018109D">
        <w:trPr>
          <w:trHeight w:val="996"/>
        </w:trPr>
        <w:tc>
          <w:tcPr>
            <w:tcW w:w="1790" w:type="dxa"/>
            <w:vMerge/>
            <w:tcBorders>
              <w:top w:val="nil"/>
              <w:left w:val="single" w:sz="8" w:space="0" w:color="auto"/>
              <w:bottom w:val="single" w:sz="8" w:space="0" w:color="000000"/>
              <w:right w:val="single" w:sz="4" w:space="0" w:color="auto"/>
            </w:tcBorders>
            <w:vAlign w:val="center"/>
            <w:hideMark/>
          </w:tcPr>
          <w:p w14:paraId="2C941E9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966D103" w14:textId="6049342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2.5.3.2 Analiza e KLGJ-së dhe KLP-së për procedimet disiplinore ndaj magjistratëve për periudhën 2020 -</w:t>
            </w:r>
            <w:r w:rsidR="00995EBD">
              <w:rPr>
                <w:rFonts w:ascii="Times New Roman" w:eastAsia="Times New Roman" w:hAnsi="Times New Roman" w:cs="Times New Roman"/>
                <w:sz w:val="20"/>
                <w:szCs w:val="20"/>
              </w:rPr>
              <w:t xml:space="preserve"> </w:t>
            </w:r>
            <w:r w:rsidRPr="007440A2">
              <w:rPr>
                <w:rFonts w:ascii="Times New Roman" w:eastAsia="Times New Roman" w:hAnsi="Times New Roman" w:cs="Times New Roman"/>
                <w:sz w:val="20"/>
                <w:szCs w:val="20"/>
              </w:rPr>
              <w:t xml:space="preserve">2023, duke përfshirë bazën ligjore,  BNJ, trajnimet, afatet kohore të procedurave, rezultatet e procedurave, ankimimet dhe rezultatet e ankimimit etj. </w:t>
            </w:r>
          </w:p>
        </w:tc>
        <w:tc>
          <w:tcPr>
            <w:tcW w:w="1890" w:type="dxa"/>
            <w:tcBorders>
              <w:top w:val="nil"/>
              <w:left w:val="nil"/>
              <w:bottom w:val="single" w:sz="4" w:space="0" w:color="auto"/>
              <w:right w:val="single" w:sz="4" w:space="0" w:color="auto"/>
            </w:tcBorders>
            <w:shd w:val="clear" w:color="auto" w:fill="auto"/>
            <w:vAlign w:val="center"/>
            <w:hideMark/>
          </w:tcPr>
          <w:p w14:paraId="086D3C7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single" w:sz="8" w:space="0" w:color="auto"/>
            </w:tcBorders>
            <w:shd w:val="clear" w:color="auto" w:fill="auto"/>
            <w:vAlign w:val="center"/>
            <w:hideMark/>
          </w:tcPr>
          <w:p w14:paraId="61B5ECB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1B47CF0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CDDF42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6FDB4989"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4C5E4129"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nil"/>
              <w:right w:val="single" w:sz="4" w:space="0" w:color="auto"/>
            </w:tcBorders>
            <w:shd w:val="clear" w:color="auto" w:fill="auto"/>
            <w:vAlign w:val="center"/>
            <w:hideMark/>
          </w:tcPr>
          <w:p w14:paraId="56F695B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2.5.3.3 Zbatimi i rekomandimeve të analizave të mësipërme për të siguruar burimet e duhura njerëzore dhe burime të tjera të nevojshme për KLGJ-në dhe KLP-në </w:t>
            </w:r>
          </w:p>
        </w:tc>
        <w:tc>
          <w:tcPr>
            <w:tcW w:w="1890" w:type="dxa"/>
            <w:tcBorders>
              <w:top w:val="nil"/>
              <w:left w:val="nil"/>
              <w:bottom w:val="single" w:sz="8" w:space="0" w:color="auto"/>
              <w:right w:val="single" w:sz="4" w:space="0" w:color="auto"/>
            </w:tcBorders>
            <w:shd w:val="clear" w:color="auto" w:fill="auto"/>
            <w:vAlign w:val="center"/>
            <w:hideMark/>
          </w:tcPr>
          <w:p w14:paraId="4CDB575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8" w:space="0" w:color="auto"/>
              <w:right w:val="single" w:sz="8" w:space="0" w:color="auto"/>
            </w:tcBorders>
            <w:shd w:val="clear" w:color="auto" w:fill="auto"/>
            <w:vAlign w:val="center"/>
            <w:hideMark/>
          </w:tcPr>
          <w:p w14:paraId="15B1883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56C4160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3B8EC9A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C239036" w14:textId="77777777" w:rsidTr="0018109D">
        <w:trPr>
          <w:trHeight w:val="639"/>
        </w:trPr>
        <w:tc>
          <w:tcPr>
            <w:tcW w:w="1790" w:type="dxa"/>
            <w:vMerge w:val="restart"/>
            <w:tcBorders>
              <w:top w:val="nil"/>
              <w:left w:val="single" w:sz="8" w:space="0" w:color="auto"/>
              <w:bottom w:val="nil"/>
              <w:right w:val="nil"/>
            </w:tcBorders>
            <w:shd w:val="clear" w:color="auto" w:fill="auto"/>
            <w:vAlign w:val="center"/>
            <w:hideMark/>
          </w:tcPr>
          <w:p w14:paraId="4AA0F140"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2.5.4  Rregullat e zbatuara për monitorimin periodik të telekomunikacionit të personelit të Gjykatave Posaçme kundër Korrupsionit dhe Krimit të Organizuar duhet të përcaktohen për ta bërë sistemin funksional në përputhje me parimet e proporcionalitetit, qartësisë dhe parashikueshmërisë. Sistemi është zbatuar në përputhje me standardet evropiane.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3EE0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2.5.4.1 Vlerësimi i gjendjes aktuale të zbatimit de facto të dispozitave ligjore që kanë të bëjnë me monitorimin periodik të telekomunikacionit të personelit të gjykatave të posaçme kundër korrupsionit dhe krimit të organizuar, prokurorisë së posaçme dhe BKH-së. </w:t>
            </w:r>
          </w:p>
        </w:tc>
        <w:tc>
          <w:tcPr>
            <w:tcW w:w="1890" w:type="dxa"/>
            <w:tcBorders>
              <w:top w:val="nil"/>
              <w:left w:val="nil"/>
              <w:bottom w:val="nil"/>
              <w:right w:val="single" w:sz="4" w:space="0" w:color="auto"/>
            </w:tcBorders>
            <w:shd w:val="clear" w:color="auto" w:fill="auto"/>
            <w:vAlign w:val="center"/>
            <w:hideMark/>
          </w:tcPr>
          <w:p w14:paraId="7DE065B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Kuvendi, SPAK, BKH, Gjykatat e Posaçme</w:t>
            </w:r>
          </w:p>
        </w:tc>
        <w:tc>
          <w:tcPr>
            <w:tcW w:w="1620" w:type="dxa"/>
            <w:tcBorders>
              <w:top w:val="nil"/>
              <w:left w:val="nil"/>
              <w:bottom w:val="nil"/>
              <w:right w:val="single" w:sz="8" w:space="0" w:color="auto"/>
            </w:tcBorders>
            <w:shd w:val="clear" w:color="auto" w:fill="auto"/>
            <w:vAlign w:val="center"/>
            <w:hideMark/>
          </w:tcPr>
          <w:p w14:paraId="24AA835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3C7D1EB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710D76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3F9333F0" w14:textId="77777777" w:rsidTr="0018109D">
        <w:trPr>
          <w:trHeight w:val="639"/>
        </w:trPr>
        <w:tc>
          <w:tcPr>
            <w:tcW w:w="1790" w:type="dxa"/>
            <w:vMerge/>
            <w:tcBorders>
              <w:top w:val="nil"/>
              <w:left w:val="single" w:sz="8" w:space="0" w:color="auto"/>
              <w:bottom w:val="nil"/>
              <w:right w:val="nil"/>
            </w:tcBorders>
            <w:vAlign w:val="center"/>
            <w:hideMark/>
          </w:tcPr>
          <w:p w14:paraId="0B6037A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single" w:sz="4" w:space="0" w:color="auto"/>
              <w:bottom w:val="single" w:sz="4" w:space="0" w:color="auto"/>
              <w:right w:val="single" w:sz="4" w:space="0" w:color="auto"/>
            </w:tcBorders>
            <w:shd w:val="clear" w:color="auto" w:fill="auto"/>
            <w:vAlign w:val="center"/>
            <w:hideMark/>
          </w:tcPr>
          <w:p w14:paraId="0543681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2.5.4.2 Ndryshimi i ligjit (dhe implementimi i tij) ekzistues nr. 95/2016 në lidhje me objektin e ligjit (përgjim apo vezhgim)</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5FE231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BKH</w:t>
            </w:r>
          </w:p>
        </w:tc>
        <w:tc>
          <w:tcPr>
            <w:tcW w:w="1620" w:type="dxa"/>
            <w:tcBorders>
              <w:top w:val="single" w:sz="4" w:space="0" w:color="auto"/>
              <w:left w:val="nil"/>
              <w:bottom w:val="single" w:sz="4" w:space="0" w:color="auto"/>
              <w:right w:val="single" w:sz="8" w:space="0" w:color="auto"/>
            </w:tcBorders>
            <w:shd w:val="clear" w:color="auto" w:fill="auto"/>
            <w:vAlign w:val="center"/>
            <w:hideMark/>
          </w:tcPr>
          <w:p w14:paraId="0193E05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Kuvendi, SPAK, Gjykatat e Posaçme</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21119CE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3BBC3D9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DEB6A4F" w14:textId="77777777" w:rsidTr="0018109D">
        <w:trPr>
          <w:trHeight w:val="639"/>
        </w:trPr>
        <w:tc>
          <w:tcPr>
            <w:tcW w:w="1790" w:type="dxa"/>
            <w:vMerge/>
            <w:tcBorders>
              <w:top w:val="nil"/>
              <w:left w:val="single" w:sz="8" w:space="0" w:color="auto"/>
              <w:bottom w:val="nil"/>
              <w:right w:val="nil"/>
            </w:tcBorders>
            <w:vAlign w:val="center"/>
            <w:hideMark/>
          </w:tcPr>
          <w:p w14:paraId="0D3C663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single" w:sz="4" w:space="0" w:color="auto"/>
              <w:bottom w:val="single" w:sz="4" w:space="0" w:color="auto"/>
              <w:right w:val="single" w:sz="4" w:space="0" w:color="auto"/>
            </w:tcBorders>
            <w:shd w:val="clear" w:color="auto" w:fill="auto"/>
            <w:vAlign w:val="center"/>
            <w:hideMark/>
          </w:tcPr>
          <w:p w14:paraId="61291DC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2.5.4.3 Hartimi i rregullave te brendshme qe detajojne procedurat specifike per monitorim duke perfshire pergjegjesite e personelit, menyrat e ruajtjes se te dhenave dhe masat disiplinore ne raste abuzimi.</w:t>
            </w:r>
          </w:p>
        </w:tc>
        <w:tc>
          <w:tcPr>
            <w:tcW w:w="1890" w:type="dxa"/>
            <w:tcBorders>
              <w:top w:val="nil"/>
              <w:left w:val="nil"/>
              <w:bottom w:val="single" w:sz="4" w:space="0" w:color="auto"/>
              <w:right w:val="single" w:sz="4" w:space="0" w:color="auto"/>
            </w:tcBorders>
            <w:shd w:val="clear" w:color="auto" w:fill="auto"/>
            <w:vAlign w:val="center"/>
            <w:hideMark/>
          </w:tcPr>
          <w:p w14:paraId="016802B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BKH, SPAK, GJKKO</w:t>
            </w:r>
          </w:p>
        </w:tc>
        <w:tc>
          <w:tcPr>
            <w:tcW w:w="1620" w:type="dxa"/>
            <w:tcBorders>
              <w:top w:val="nil"/>
              <w:left w:val="nil"/>
              <w:bottom w:val="single" w:sz="4" w:space="0" w:color="auto"/>
              <w:right w:val="single" w:sz="8" w:space="0" w:color="auto"/>
            </w:tcBorders>
            <w:shd w:val="clear" w:color="auto" w:fill="auto"/>
            <w:vAlign w:val="center"/>
            <w:hideMark/>
          </w:tcPr>
          <w:p w14:paraId="0E3CA21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4721FE2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7E20084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3EB8017B" w14:textId="77777777" w:rsidTr="0018109D">
        <w:trPr>
          <w:trHeight w:val="639"/>
        </w:trPr>
        <w:tc>
          <w:tcPr>
            <w:tcW w:w="1790" w:type="dxa"/>
            <w:vMerge/>
            <w:tcBorders>
              <w:top w:val="nil"/>
              <w:left w:val="single" w:sz="8" w:space="0" w:color="auto"/>
              <w:bottom w:val="nil"/>
              <w:right w:val="nil"/>
            </w:tcBorders>
            <w:vAlign w:val="center"/>
            <w:hideMark/>
          </w:tcPr>
          <w:p w14:paraId="3B5A27C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single" w:sz="4" w:space="0" w:color="auto"/>
              <w:bottom w:val="single" w:sz="4" w:space="0" w:color="auto"/>
              <w:right w:val="single" w:sz="4" w:space="0" w:color="auto"/>
            </w:tcBorders>
            <w:shd w:val="clear" w:color="auto" w:fill="auto"/>
            <w:vAlign w:val="center"/>
            <w:hideMark/>
          </w:tcPr>
          <w:p w14:paraId="0CB3BC6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2.5.4.4 Kryerja e auditimeve periodike per te verifikuar zbatimin e procedurave te monitorimit</w:t>
            </w:r>
          </w:p>
        </w:tc>
        <w:tc>
          <w:tcPr>
            <w:tcW w:w="1890" w:type="dxa"/>
            <w:tcBorders>
              <w:top w:val="nil"/>
              <w:left w:val="nil"/>
              <w:bottom w:val="single" w:sz="4" w:space="0" w:color="auto"/>
              <w:right w:val="single" w:sz="4" w:space="0" w:color="auto"/>
            </w:tcBorders>
            <w:shd w:val="clear" w:color="auto" w:fill="auto"/>
            <w:vAlign w:val="center"/>
            <w:hideMark/>
          </w:tcPr>
          <w:p w14:paraId="66508CF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BKH, SPAK, GJKKO</w:t>
            </w:r>
          </w:p>
        </w:tc>
        <w:tc>
          <w:tcPr>
            <w:tcW w:w="1620" w:type="dxa"/>
            <w:tcBorders>
              <w:top w:val="nil"/>
              <w:left w:val="nil"/>
              <w:bottom w:val="single" w:sz="4" w:space="0" w:color="auto"/>
              <w:right w:val="single" w:sz="8" w:space="0" w:color="auto"/>
            </w:tcBorders>
            <w:shd w:val="clear" w:color="auto" w:fill="auto"/>
            <w:vAlign w:val="center"/>
            <w:hideMark/>
          </w:tcPr>
          <w:p w14:paraId="3B3CEB1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2B13F23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740743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7942EEE" w14:textId="77777777" w:rsidTr="0018109D">
        <w:trPr>
          <w:trHeight w:val="924"/>
        </w:trPr>
        <w:tc>
          <w:tcPr>
            <w:tcW w:w="1790" w:type="dxa"/>
            <w:vMerge/>
            <w:tcBorders>
              <w:top w:val="nil"/>
              <w:left w:val="single" w:sz="8" w:space="0" w:color="auto"/>
              <w:bottom w:val="nil"/>
              <w:right w:val="nil"/>
            </w:tcBorders>
            <w:vAlign w:val="center"/>
            <w:hideMark/>
          </w:tcPr>
          <w:p w14:paraId="341DA3C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single" w:sz="4" w:space="0" w:color="auto"/>
              <w:bottom w:val="nil"/>
              <w:right w:val="single" w:sz="4" w:space="0" w:color="auto"/>
            </w:tcBorders>
            <w:shd w:val="clear" w:color="auto" w:fill="auto"/>
            <w:vAlign w:val="center"/>
            <w:hideMark/>
          </w:tcPr>
          <w:p w14:paraId="7021BA5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2.5.4.5 Organizimi i trajnimeve rreth te drejtave te njeriut mbi politkat dhe procedurat e monitorimit per te siguruar nje kuptim te qarte dhe respektim te rregullave te percaktuara ne ligj dhe aktet e tjera nenligjore qe lidhen me monitorimin e telekomunikacionit per personelin e institucioneve</w:t>
            </w:r>
          </w:p>
        </w:tc>
        <w:tc>
          <w:tcPr>
            <w:tcW w:w="1890" w:type="dxa"/>
            <w:tcBorders>
              <w:top w:val="nil"/>
              <w:left w:val="nil"/>
              <w:bottom w:val="nil"/>
              <w:right w:val="single" w:sz="4" w:space="0" w:color="auto"/>
            </w:tcBorders>
            <w:shd w:val="clear" w:color="auto" w:fill="auto"/>
            <w:vAlign w:val="center"/>
            <w:hideMark/>
          </w:tcPr>
          <w:p w14:paraId="58F5ED9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BKH, SPAK, GJKKO</w:t>
            </w:r>
          </w:p>
        </w:tc>
        <w:tc>
          <w:tcPr>
            <w:tcW w:w="1620" w:type="dxa"/>
            <w:tcBorders>
              <w:top w:val="nil"/>
              <w:left w:val="nil"/>
              <w:bottom w:val="nil"/>
              <w:right w:val="single" w:sz="8" w:space="0" w:color="auto"/>
            </w:tcBorders>
            <w:shd w:val="clear" w:color="auto" w:fill="auto"/>
            <w:vAlign w:val="center"/>
            <w:hideMark/>
          </w:tcPr>
          <w:p w14:paraId="6DA8F2B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nil"/>
              <w:right w:val="single" w:sz="4" w:space="0" w:color="auto"/>
            </w:tcBorders>
            <w:shd w:val="clear" w:color="000000" w:fill="DDEBF7"/>
            <w:vAlign w:val="center"/>
            <w:hideMark/>
          </w:tcPr>
          <w:p w14:paraId="0573C15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nil"/>
              <w:right w:val="single" w:sz="8" w:space="0" w:color="auto"/>
            </w:tcBorders>
            <w:shd w:val="clear" w:color="000000" w:fill="DDEBF7"/>
            <w:vAlign w:val="center"/>
            <w:hideMark/>
          </w:tcPr>
          <w:p w14:paraId="44CD6B2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5B87C3B" w14:textId="77777777" w:rsidTr="0018109D">
        <w:trPr>
          <w:trHeight w:val="528"/>
        </w:trPr>
        <w:tc>
          <w:tcPr>
            <w:tcW w:w="179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AD914B0"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2.5.5  Zbatimi dhe ndjekja e mëtejshme e dokumenteve strategjike të KLGJ-së për hetimin administrativ të sinjalizuesve dhe shqyrtimin e rasteve të korrupsionit brenda KLGJ-së. </w:t>
            </w:r>
          </w:p>
        </w:tc>
        <w:tc>
          <w:tcPr>
            <w:tcW w:w="2520" w:type="dxa"/>
            <w:tcBorders>
              <w:top w:val="single" w:sz="8" w:space="0" w:color="auto"/>
              <w:left w:val="nil"/>
              <w:bottom w:val="single" w:sz="4" w:space="0" w:color="auto"/>
              <w:right w:val="single" w:sz="4" w:space="0" w:color="auto"/>
            </w:tcBorders>
            <w:shd w:val="clear" w:color="auto" w:fill="auto"/>
            <w:vAlign w:val="center"/>
            <w:hideMark/>
          </w:tcPr>
          <w:p w14:paraId="64FB6E90"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2.5.5.1 Monitorimi i zbatimit të dokumenteve strategjike për hetimin administrativ të sinjalizuesve.</w:t>
            </w:r>
          </w:p>
        </w:tc>
        <w:tc>
          <w:tcPr>
            <w:tcW w:w="1890" w:type="dxa"/>
            <w:tcBorders>
              <w:top w:val="single" w:sz="8" w:space="0" w:color="auto"/>
              <w:left w:val="nil"/>
              <w:bottom w:val="single" w:sz="4" w:space="0" w:color="auto"/>
              <w:right w:val="single" w:sz="4" w:space="0" w:color="auto"/>
            </w:tcBorders>
            <w:shd w:val="clear" w:color="auto" w:fill="auto"/>
            <w:vAlign w:val="center"/>
            <w:hideMark/>
          </w:tcPr>
          <w:p w14:paraId="1CCD873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13C9415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single" w:sz="8" w:space="0" w:color="auto"/>
              <w:left w:val="nil"/>
              <w:bottom w:val="single" w:sz="4" w:space="0" w:color="auto"/>
              <w:right w:val="single" w:sz="4" w:space="0" w:color="auto"/>
            </w:tcBorders>
            <w:shd w:val="clear" w:color="000000" w:fill="DDEBF7"/>
            <w:vAlign w:val="center"/>
            <w:hideMark/>
          </w:tcPr>
          <w:p w14:paraId="2ADB8F5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single" w:sz="8" w:space="0" w:color="auto"/>
              <w:left w:val="nil"/>
              <w:bottom w:val="single" w:sz="4" w:space="0" w:color="auto"/>
              <w:right w:val="single" w:sz="8" w:space="0" w:color="auto"/>
            </w:tcBorders>
            <w:shd w:val="clear" w:color="000000" w:fill="DDEBF7"/>
            <w:vAlign w:val="center"/>
            <w:hideMark/>
          </w:tcPr>
          <w:p w14:paraId="4416474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3882A37" w14:textId="77777777" w:rsidTr="0018109D">
        <w:trPr>
          <w:trHeight w:val="528"/>
        </w:trPr>
        <w:tc>
          <w:tcPr>
            <w:tcW w:w="1790" w:type="dxa"/>
            <w:vMerge/>
            <w:tcBorders>
              <w:top w:val="single" w:sz="8" w:space="0" w:color="auto"/>
              <w:left w:val="single" w:sz="8" w:space="0" w:color="auto"/>
              <w:bottom w:val="single" w:sz="8" w:space="0" w:color="000000"/>
              <w:right w:val="single" w:sz="4" w:space="0" w:color="auto"/>
            </w:tcBorders>
            <w:vAlign w:val="center"/>
            <w:hideMark/>
          </w:tcPr>
          <w:p w14:paraId="3182A15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B73C85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2.5.5.2 Raportimi i rregullt mbi zbatimin e dokumenteve strategjike duke përfshirë shqyrtimin e çështjeve të korrupsionit brenda KLGJ-së. </w:t>
            </w:r>
          </w:p>
        </w:tc>
        <w:tc>
          <w:tcPr>
            <w:tcW w:w="1890" w:type="dxa"/>
            <w:tcBorders>
              <w:top w:val="nil"/>
              <w:left w:val="nil"/>
              <w:bottom w:val="single" w:sz="4" w:space="0" w:color="auto"/>
              <w:right w:val="single" w:sz="4" w:space="0" w:color="auto"/>
            </w:tcBorders>
            <w:shd w:val="clear" w:color="auto" w:fill="auto"/>
            <w:vAlign w:val="center"/>
            <w:hideMark/>
          </w:tcPr>
          <w:p w14:paraId="23D98D9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4" w:space="0" w:color="auto"/>
            </w:tcBorders>
            <w:shd w:val="clear" w:color="auto" w:fill="auto"/>
            <w:vAlign w:val="center"/>
            <w:hideMark/>
          </w:tcPr>
          <w:p w14:paraId="6C1AC25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99E323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4F91AD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E326668" w14:textId="77777777" w:rsidTr="0018109D">
        <w:trPr>
          <w:trHeight w:val="864"/>
        </w:trPr>
        <w:tc>
          <w:tcPr>
            <w:tcW w:w="1790" w:type="dxa"/>
            <w:vMerge/>
            <w:tcBorders>
              <w:top w:val="single" w:sz="8" w:space="0" w:color="auto"/>
              <w:left w:val="single" w:sz="8" w:space="0" w:color="auto"/>
              <w:bottom w:val="single" w:sz="8" w:space="0" w:color="000000"/>
              <w:right w:val="single" w:sz="4" w:space="0" w:color="auto"/>
            </w:tcBorders>
            <w:vAlign w:val="center"/>
            <w:hideMark/>
          </w:tcPr>
          <w:p w14:paraId="19C82D9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2F8AAB4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2.5.5.3 Ndjekja e vendimeve të KLGJ-së në bazë të raporteve dhe zbatimi i tyre. </w:t>
            </w:r>
          </w:p>
        </w:tc>
        <w:tc>
          <w:tcPr>
            <w:tcW w:w="1890" w:type="dxa"/>
            <w:tcBorders>
              <w:top w:val="nil"/>
              <w:left w:val="nil"/>
              <w:bottom w:val="single" w:sz="8" w:space="0" w:color="auto"/>
              <w:right w:val="single" w:sz="4" w:space="0" w:color="auto"/>
            </w:tcBorders>
            <w:shd w:val="clear" w:color="auto" w:fill="auto"/>
            <w:vAlign w:val="center"/>
            <w:hideMark/>
          </w:tcPr>
          <w:p w14:paraId="75D9114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8" w:space="0" w:color="auto"/>
              <w:right w:val="single" w:sz="4" w:space="0" w:color="auto"/>
            </w:tcBorders>
            <w:shd w:val="clear" w:color="auto" w:fill="auto"/>
            <w:vAlign w:val="center"/>
            <w:hideMark/>
          </w:tcPr>
          <w:p w14:paraId="2378351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5598C59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60E0E15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FFE8384" w14:textId="77777777" w:rsidTr="0018109D">
        <w:trPr>
          <w:trHeight w:val="276"/>
        </w:trPr>
        <w:tc>
          <w:tcPr>
            <w:tcW w:w="10790" w:type="dxa"/>
            <w:gridSpan w:val="6"/>
            <w:tcBorders>
              <w:top w:val="single" w:sz="8" w:space="0" w:color="auto"/>
              <w:left w:val="single" w:sz="8" w:space="0" w:color="auto"/>
              <w:bottom w:val="single" w:sz="8" w:space="0" w:color="auto"/>
              <w:right w:val="single" w:sz="4" w:space="0" w:color="auto"/>
            </w:tcBorders>
            <w:shd w:val="clear" w:color="000000" w:fill="9CC2E5"/>
            <w:vAlign w:val="center"/>
            <w:hideMark/>
          </w:tcPr>
          <w:p w14:paraId="5E8F7168"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Qellimi i Politikës 3 - Rritja e efikasitetit të institucioneve në sistemin e drejtësisë</w:t>
            </w:r>
          </w:p>
        </w:tc>
      </w:tr>
      <w:tr w:rsidR="007440A2" w:rsidRPr="007440A2" w14:paraId="41FBB55C" w14:textId="77777777" w:rsidTr="0018109D">
        <w:trPr>
          <w:trHeight w:val="1248"/>
        </w:trPr>
        <w:tc>
          <w:tcPr>
            <w:tcW w:w="4310" w:type="dxa"/>
            <w:gridSpan w:val="2"/>
            <w:tcBorders>
              <w:top w:val="single" w:sz="4" w:space="0" w:color="auto"/>
              <w:left w:val="single" w:sz="8" w:space="0" w:color="auto"/>
              <w:bottom w:val="single" w:sz="8" w:space="0" w:color="auto"/>
              <w:right w:val="nil"/>
            </w:tcBorders>
            <w:shd w:val="clear" w:color="000000" w:fill="9CC2E5"/>
            <w:vAlign w:val="center"/>
            <w:hideMark/>
          </w:tcPr>
          <w:p w14:paraId="2208258A"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3.1:</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2D94D6A8"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Përmirësimi i kapacitetit të KLGJ dhe gjykatave, përfshirë GJL, për zbatimin e masave që rrisin efikasitetin</w:t>
            </w:r>
          </w:p>
        </w:tc>
      </w:tr>
      <w:tr w:rsidR="007440A2" w:rsidRPr="007440A2" w14:paraId="5EFE7222" w14:textId="77777777" w:rsidTr="0018109D">
        <w:trPr>
          <w:trHeight w:val="4548"/>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70696B74"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174C2399" w14:textId="1C412A70"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Deri ne fund te vitit 2030 sherbimi permbarimor do te ekzekutoje 30% dosje me shume se dosj</w:t>
            </w:r>
            <w:r w:rsidR="00556EFF" w:rsidRPr="007440A2">
              <w:rPr>
                <w:rFonts w:ascii="Times New Roman" w:eastAsia="Times New Roman" w:hAnsi="Times New Roman" w:cs="Times New Roman"/>
                <w:sz w:val="20"/>
                <w:szCs w:val="20"/>
              </w:rPr>
              <w:t>et e ekzekutuara ne 2024;</w:t>
            </w:r>
            <w:r w:rsidR="00556EFF" w:rsidRPr="007440A2">
              <w:rPr>
                <w:rFonts w:ascii="Times New Roman" w:eastAsia="Times New Roman" w:hAnsi="Times New Roman" w:cs="Times New Roman"/>
                <w:sz w:val="20"/>
                <w:szCs w:val="20"/>
              </w:rPr>
              <w:br/>
            </w:r>
            <w:r w:rsidR="00556EFF" w:rsidRPr="007440A2">
              <w:rPr>
                <w:rFonts w:ascii="Times New Roman" w:eastAsia="Times New Roman" w:hAnsi="Times New Roman" w:cs="Times New Roman"/>
                <w:sz w:val="20"/>
                <w:szCs w:val="20"/>
              </w:rPr>
              <w:br/>
              <w:t>Gjatë periudhes së SND 2024-2030 regjistrohet një përmirë</w:t>
            </w:r>
            <w:r w:rsidRPr="007440A2">
              <w:rPr>
                <w:rFonts w:ascii="Times New Roman" w:eastAsia="Times New Roman" w:hAnsi="Times New Roman" w:cs="Times New Roman"/>
                <w:sz w:val="20"/>
                <w:szCs w:val="20"/>
              </w:rPr>
              <w:t>sim progresiv i DT (Disposition Time) për gjykatat sipas shkallëve dhe llojit të çështjeve (civile, p</w:t>
            </w:r>
            <w:r w:rsidR="00556EFF" w:rsidRPr="007440A2">
              <w:rPr>
                <w:rFonts w:ascii="Times New Roman" w:eastAsia="Times New Roman" w:hAnsi="Times New Roman" w:cs="Times New Roman"/>
                <w:sz w:val="20"/>
                <w:szCs w:val="20"/>
              </w:rPr>
              <w:t>enale, administrative);</w:t>
            </w:r>
            <w:r w:rsidR="00556EFF" w:rsidRPr="007440A2">
              <w:rPr>
                <w:rFonts w:ascii="Times New Roman" w:eastAsia="Times New Roman" w:hAnsi="Times New Roman" w:cs="Times New Roman"/>
                <w:sz w:val="20"/>
                <w:szCs w:val="20"/>
              </w:rPr>
              <w:br/>
            </w:r>
            <w:r w:rsidR="00556EFF" w:rsidRPr="007440A2">
              <w:rPr>
                <w:rFonts w:ascii="Times New Roman" w:eastAsia="Times New Roman" w:hAnsi="Times New Roman" w:cs="Times New Roman"/>
                <w:sz w:val="20"/>
                <w:szCs w:val="20"/>
              </w:rPr>
              <w:br/>
              <w:t>Deri në fund të vitit 2027 garantohet plotë</w:t>
            </w:r>
            <w:r w:rsidRPr="007440A2">
              <w:rPr>
                <w:rFonts w:ascii="Times New Roman" w:eastAsia="Times New Roman" w:hAnsi="Times New Roman" w:cs="Times New Roman"/>
                <w:sz w:val="20"/>
                <w:szCs w:val="20"/>
              </w:rPr>
              <w:t>sim</w:t>
            </w:r>
            <w:r w:rsidR="00556EFF" w:rsidRPr="007440A2">
              <w:rPr>
                <w:rFonts w:ascii="Times New Roman" w:eastAsia="Times New Roman" w:hAnsi="Times New Roman" w:cs="Times New Roman"/>
                <w:sz w:val="20"/>
                <w:szCs w:val="20"/>
              </w:rPr>
              <w:t>i progresiv i vakancave  (70% të organikës së gjykatave të shkallës së parë të juridiksionit të përgjithshëm; 80% të gjykatave të apelit të juridiskionit të</w:t>
            </w:r>
            <w:r w:rsidRPr="007440A2">
              <w:rPr>
                <w:rFonts w:ascii="Times New Roman" w:eastAsia="Times New Roman" w:hAnsi="Times New Roman" w:cs="Times New Roman"/>
                <w:sz w:val="20"/>
                <w:szCs w:val="20"/>
              </w:rPr>
              <w:t xml:space="preserve"> pergjithshem;  90% e stafit jo-magjistrat ne te gjitha shkallet e gjykatave) dhe ne vitet ne vijim sigurohet mbajta ose rritja e standardit;</w:t>
            </w:r>
            <w:r w:rsidRPr="007440A2">
              <w:rPr>
                <w:rFonts w:ascii="Times New Roman" w:eastAsia="Times New Roman" w:hAnsi="Times New Roman" w:cs="Times New Roman"/>
                <w:sz w:val="20"/>
                <w:szCs w:val="20"/>
              </w:rPr>
              <w:br/>
            </w:r>
            <w:r w:rsidRPr="007440A2">
              <w:rPr>
                <w:rFonts w:ascii="Times New Roman" w:eastAsia="Times New Roman" w:hAnsi="Times New Roman" w:cs="Times New Roman"/>
                <w:sz w:val="20"/>
                <w:szCs w:val="20"/>
              </w:rPr>
              <w:br/>
              <w:t xml:space="preserve">Deri ne fund te vitit 2026 garantohet reduktimi progresiv i çështjeve të mbartura (30% per ceshtjet civile dhe tregtare te gjykates se shkalles se pare juridiksioni i pergjithshem;   20% per ceshtjet penale; 25% per ceshtjet e  gjykates se apelit; 35% per ceshtjet e gjykates administrative brenda) dhe ne vitet ne vijim sigurohet mbajta ose rritja e standardit. </w:t>
            </w:r>
          </w:p>
        </w:tc>
      </w:tr>
      <w:tr w:rsidR="007440A2" w:rsidRPr="007440A2" w14:paraId="19CED89F" w14:textId="77777777" w:rsidTr="0018109D">
        <w:trPr>
          <w:trHeight w:val="540"/>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626D5C1D"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1873B59B"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2A0AB275"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776D005A"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2BB37256"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1E36079D"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47F70D8B" w14:textId="77777777" w:rsidTr="0018109D">
        <w:trPr>
          <w:trHeight w:val="948"/>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2F590349"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3.1.1 KLGJ-ja/këshillat e gjykatave harton/jne dhe miraton/jne një strategji efikasiteti/reduktimi të çështjeve të prapambetura/shpërndarje të barabartë të ngarkesës për gjykatat në të gjitha nivelet .</w:t>
            </w:r>
          </w:p>
        </w:tc>
        <w:tc>
          <w:tcPr>
            <w:tcW w:w="2520" w:type="dxa"/>
            <w:tcBorders>
              <w:top w:val="nil"/>
              <w:left w:val="nil"/>
              <w:bottom w:val="single" w:sz="4" w:space="0" w:color="auto"/>
              <w:right w:val="single" w:sz="4" w:space="0" w:color="auto"/>
            </w:tcBorders>
            <w:shd w:val="clear" w:color="auto" w:fill="auto"/>
            <w:vAlign w:val="center"/>
            <w:hideMark/>
          </w:tcPr>
          <w:p w14:paraId="04DFD1D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3.1.1.1 Analiza e efikasitetit të procedurave qe ndermerren nga  GJKKO duke përfshirë kohëzgjatjen e procedurave, rialokimin e cështjeve gjyqesore etj. </w:t>
            </w:r>
          </w:p>
        </w:tc>
        <w:tc>
          <w:tcPr>
            <w:tcW w:w="1890" w:type="dxa"/>
            <w:tcBorders>
              <w:top w:val="nil"/>
              <w:left w:val="nil"/>
              <w:bottom w:val="single" w:sz="4" w:space="0" w:color="auto"/>
              <w:right w:val="single" w:sz="4" w:space="0" w:color="auto"/>
            </w:tcBorders>
            <w:shd w:val="clear" w:color="auto" w:fill="auto"/>
            <w:vAlign w:val="center"/>
            <w:hideMark/>
          </w:tcPr>
          <w:p w14:paraId="198252D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GJKKO, KLGJ</w:t>
            </w:r>
          </w:p>
        </w:tc>
        <w:tc>
          <w:tcPr>
            <w:tcW w:w="1620" w:type="dxa"/>
            <w:tcBorders>
              <w:top w:val="nil"/>
              <w:left w:val="nil"/>
              <w:bottom w:val="single" w:sz="4" w:space="0" w:color="auto"/>
              <w:right w:val="single" w:sz="8" w:space="0" w:color="auto"/>
            </w:tcBorders>
            <w:shd w:val="clear" w:color="auto" w:fill="auto"/>
            <w:vAlign w:val="center"/>
            <w:hideMark/>
          </w:tcPr>
          <w:p w14:paraId="37B1CAB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3ABBA86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C39296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35821D0A" w14:textId="77777777" w:rsidTr="0018109D">
        <w:trPr>
          <w:trHeight w:val="1188"/>
        </w:trPr>
        <w:tc>
          <w:tcPr>
            <w:tcW w:w="1790" w:type="dxa"/>
            <w:vMerge/>
            <w:tcBorders>
              <w:top w:val="nil"/>
              <w:left w:val="single" w:sz="8" w:space="0" w:color="auto"/>
              <w:bottom w:val="single" w:sz="8" w:space="0" w:color="000000"/>
              <w:right w:val="single" w:sz="4" w:space="0" w:color="auto"/>
            </w:tcBorders>
            <w:vAlign w:val="center"/>
            <w:hideMark/>
          </w:tcPr>
          <w:p w14:paraId="6BCF6A4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F2C3AE0"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br/>
              <w:t xml:space="preserve">3.1.1.2 Hartimi dhe implementimi i planit per zbatimin e masave te identifikuara nga analiza per rritjen e efikasitetit te  GJKKO  </w:t>
            </w:r>
          </w:p>
        </w:tc>
        <w:tc>
          <w:tcPr>
            <w:tcW w:w="1890" w:type="dxa"/>
            <w:tcBorders>
              <w:top w:val="nil"/>
              <w:left w:val="nil"/>
              <w:bottom w:val="single" w:sz="4" w:space="0" w:color="auto"/>
              <w:right w:val="single" w:sz="4" w:space="0" w:color="auto"/>
            </w:tcBorders>
            <w:shd w:val="clear" w:color="auto" w:fill="auto"/>
            <w:vAlign w:val="center"/>
            <w:hideMark/>
          </w:tcPr>
          <w:p w14:paraId="2EDB4F3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GJKKO, KLGJ</w:t>
            </w:r>
          </w:p>
        </w:tc>
        <w:tc>
          <w:tcPr>
            <w:tcW w:w="1620" w:type="dxa"/>
            <w:tcBorders>
              <w:top w:val="nil"/>
              <w:left w:val="nil"/>
              <w:bottom w:val="single" w:sz="4" w:space="0" w:color="auto"/>
              <w:right w:val="single" w:sz="8" w:space="0" w:color="auto"/>
            </w:tcBorders>
            <w:shd w:val="clear" w:color="auto" w:fill="auto"/>
            <w:vAlign w:val="center"/>
            <w:hideMark/>
          </w:tcPr>
          <w:p w14:paraId="2E7A880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2DC27F3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1996492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167F0880" w14:textId="77777777" w:rsidTr="0018109D">
        <w:trPr>
          <w:trHeight w:val="1356"/>
        </w:trPr>
        <w:tc>
          <w:tcPr>
            <w:tcW w:w="1790" w:type="dxa"/>
            <w:vMerge/>
            <w:tcBorders>
              <w:top w:val="nil"/>
              <w:left w:val="single" w:sz="8" w:space="0" w:color="auto"/>
              <w:bottom w:val="single" w:sz="8" w:space="0" w:color="000000"/>
              <w:right w:val="single" w:sz="4" w:space="0" w:color="auto"/>
            </w:tcBorders>
            <w:vAlign w:val="center"/>
            <w:hideMark/>
          </w:tcPr>
          <w:p w14:paraId="5BA0CC5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2CD13C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br/>
              <w:t xml:space="preserve">3.1.1.3 Miratimi i strategjisë së efikasitetit/reduktimit të çështjeve të prapambetura për gjykatat  në të gjitha nivelet,  nga KLGJ-ja. </w:t>
            </w:r>
          </w:p>
        </w:tc>
        <w:tc>
          <w:tcPr>
            <w:tcW w:w="1890" w:type="dxa"/>
            <w:tcBorders>
              <w:top w:val="nil"/>
              <w:left w:val="nil"/>
              <w:bottom w:val="single" w:sz="4" w:space="0" w:color="auto"/>
              <w:right w:val="single" w:sz="4" w:space="0" w:color="auto"/>
            </w:tcBorders>
            <w:shd w:val="clear" w:color="auto" w:fill="auto"/>
            <w:vAlign w:val="center"/>
            <w:hideMark/>
          </w:tcPr>
          <w:p w14:paraId="507CAD2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8" w:space="0" w:color="auto"/>
            </w:tcBorders>
            <w:shd w:val="clear" w:color="auto" w:fill="auto"/>
            <w:vAlign w:val="center"/>
            <w:hideMark/>
          </w:tcPr>
          <w:p w14:paraId="5A0AC42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Sistemi Gjyqësor</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6A13B4A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10561A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5130563A" w14:textId="77777777" w:rsidTr="0018109D">
        <w:trPr>
          <w:trHeight w:val="876"/>
        </w:trPr>
        <w:tc>
          <w:tcPr>
            <w:tcW w:w="1790" w:type="dxa"/>
            <w:vMerge/>
            <w:tcBorders>
              <w:top w:val="nil"/>
              <w:left w:val="single" w:sz="8" w:space="0" w:color="auto"/>
              <w:bottom w:val="single" w:sz="8" w:space="0" w:color="000000"/>
              <w:right w:val="single" w:sz="4" w:space="0" w:color="auto"/>
            </w:tcBorders>
            <w:vAlign w:val="center"/>
            <w:hideMark/>
          </w:tcPr>
          <w:p w14:paraId="2275D40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1D537C2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3.1.1.4 Zbatimi i strategjisë së efikasitetit/reduktimit të çështjeve të prapambetura për gjykatat  në të gjitha nivelet.</w:t>
            </w:r>
          </w:p>
        </w:tc>
        <w:tc>
          <w:tcPr>
            <w:tcW w:w="1890" w:type="dxa"/>
            <w:tcBorders>
              <w:top w:val="nil"/>
              <w:left w:val="nil"/>
              <w:bottom w:val="single" w:sz="8" w:space="0" w:color="auto"/>
              <w:right w:val="single" w:sz="4" w:space="0" w:color="auto"/>
            </w:tcBorders>
            <w:shd w:val="clear" w:color="auto" w:fill="auto"/>
            <w:vAlign w:val="center"/>
            <w:hideMark/>
          </w:tcPr>
          <w:p w14:paraId="26CF218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8" w:space="0" w:color="auto"/>
              <w:right w:val="single" w:sz="8" w:space="0" w:color="auto"/>
            </w:tcBorders>
            <w:shd w:val="clear" w:color="auto" w:fill="auto"/>
            <w:vAlign w:val="center"/>
            <w:hideMark/>
          </w:tcPr>
          <w:p w14:paraId="734578A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Sistemi Gjyqësor</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4B32853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6C2E8EF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6B90AEB" w14:textId="77777777" w:rsidTr="0018109D">
        <w:trPr>
          <w:trHeight w:val="1725"/>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4668D280"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3.1.2  Burimet njerëzore dhe buxheti i duhur për të siguruar zbatimin praktik të strategjisë së efikasitetit/reduktimit të çështjeve të prapambetura/shpërndarjes së ngarkesës së punës.</w:t>
            </w:r>
          </w:p>
        </w:tc>
        <w:tc>
          <w:tcPr>
            <w:tcW w:w="2520" w:type="dxa"/>
            <w:tcBorders>
              <w:top w:val="nil"/>
              <w:left w:val="nil"/>
              <w:bottom w:val="single" w:sz="4" w:space="0" w:color="auto"/>
              <w:right w:val="single" w:sz="4" w:space="0" w:color="auto"/>
            </w:tcBorders>
            <w:shd w:val="clear" w:color="auto" w:fill="auto"/>
            <w:vAlign w:val="center"/>
            <w:hideMark/>
          </w:tcPr>
          <w:p w14:paraId="3E6053C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3.1.2.1 Planifikimi i burimeve njerëzore dhe buxhetit të nevojshëm për zbatimin e strategjisë së reduktimit të çështjeve të prapambetura çdo vit, duke përfshirë krijimin e një mekanizmi të brendshëm monitorues për zbatimin e planit. </w:t>
            </w:r>
          </w:p>
        </w:tc>
        <w:tc>
          <w:tcPr>
            <w:tcW w:w="1890" w:type="dxa"/>
            <w:tcBorders>
              <w:top w:val="nil"/>
              <w:left w:val="nil"/>
              <w:bottom w:val="single" w:sz="4" w:space="0" w:color="auto"/>
              <w:right w:val="single" w:sz="4" w:space="0" w:color="auto"/>
            </w:tcBorders>
            <w:shd w:val="clear" w:color="auto" w:fill="auto"/>
            <w:vAlign w:val="center"/>
            <w:hideMark/>
          </w:tcPr>
          <w:p w14:paraId="107A42D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8" w:space="0" w:color="auto"/>
            </w:tcBorders>
            <w:shd w:val="clear" w:color="auto" w:fill="auto"/>
            <w:vAlign w:val="center"/>
            <w:hideMark/>
          </w:tcPr>
          <w:p w14:paraId="3D624A1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7EC1C32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6A6884B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4CB3819" w14:textId="77777777" w:rsidTr="0018109D">
        <w:trPr>
          <w:trHeight w:val="792"/>
        </w:trPr>
        <w:tc>
          <w:tcPr>
            <w:tcW w:w="1790" w:type="dxa"/>
            <w:vMerge/>
            <w:tcBorders>
              <w:top w:val="nil"/>
              <w:left w:val="single" w:sz="8" w:space="0" w:color="auto"/>
              <w:bottom w:val="single" w:sz="8" w:space="0" w:color="000000"/>
              <w:right w:val="single" w:sz="4" w:space="0" w:color="auto"/>
            </w:tcBorders>
            <w:vAlign w:val="center"/>
            <w:hideMark/>
          </w:tcPr>
          <w:p w14:paraId="43E4C56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A7670D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3.1.2.2 Zbatimi i Planit Vjetor për buxhetin dhe BNJ nga KLGJ-ja. </w:t>
            </w:r>
          </w:p>
        </w:tc>
        <w:tc>
          <w:tcPr>
            <w:tcW w:w="1890" w:type="dxa"/>
            <w:tcBorders>
              <w:top w:val="nil"/>
              <w:left w:val="nil"/>
              <w:bottom w:val="single" w:sz="4" w:space="0" w:color="auto"/>
              <w:right w:val="single" w:sz="4" w:space="0" w:color="auto"/>
            </w:tcBorders>
            <w:shd w:val="clear" w:color="auto" w:fill="auto"/>
            <w:vAlign w:val="center"/>
            <w:hideMark/>
          </w:tcPr>
          <w:p w14:paraId="6CD4A3B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8" w:space="0" w:color="auto"/>
            </w:tcBorders>
            <w:shd w:val="clear" w:color="auto" w:fill="auto"/>
            <w:vAlign w:val="center"/>
            <w:hideMark/>
          </w:tcPr>
          <w:p w14:paraId="34990CE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6E91C68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6979E82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92AA708" w14:textId="77777777" w:rsidTr="0018109D">
        <w:trPr>
          <w:trHeight w:val="1044"/>
        </w:trPr>
        <w:tc>
          <w:tcPr>
            <w:tcW w:w="1790" w:type="dxa"/>
            <w:vMerge/>
            <w:tcBorders>
              <w:top w:val="nil"/>
              <w:left w:val="single" w:sz="8" w:space="0" w:color="auto"/>
              <w:bottom w:val="single" w:sz="8" w:space="0" w:color="000000"/>
              <w:right w:val="single" w:sz="4" w:space="0" w:color="auto"/>
            </w:tcBorders>
            <w:vAlign w:val="center"/>
            <w:hideMark/>
          </w:tcPr>
          <w:p w14:paraId="0333BF19"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336D56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3.1.2.3 Plotesimi i vakancave pranë GJKKO</w:t>
            </w:r>
          </w:p>
        </w:tc>
        <w:tc>
          <w:tcPr>
            <w:tcW w:w="1890" w:type="dxa"/>
            <w:tcBorders>
              <w:top w:val="nil"/>
              <w:left w:val="nil"/>
              <w:bottom w:val="single" w:sz="4" w:space="0" w:color="auto"/>
              <w:right w:val="single" w:sz="4" w:space="0" w:color="auto"/>
            </w:tcBorders>
            <w:shd w:val="clear" w:color="auto" w:fill="auto"/>
            <w:vAlign w:val="center"/>
            <w:hideMark/>
          </w:tcPr>
          <w:p w14:paraId="19A5E0E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8" w:space="0" w:color="auto"/>
            </w:tcBorders>
            <w:shd w:val="clear" w:color="auto" w:fill="auto"/>
            <w:vAlign w:val="center"/>
            <w:hideMark/>
          </w:tcPr>
          <w:p w14:paraId="0BB1107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GJKKO</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22D0D72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40DAE90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73556B45" w14:textId="77777777" w:rsidTr="0018109D">
        <w:trPr>
          <w:trHeight w:val="912"/>
        </w:trPr>
        <w:tc>
          <w:tcPr>
            <w:tcW w:w="1790" w:type="dxa"/>
            <w:vMerge/>
            <w:tcBorders>
              <w:top w:val="nil"/>
              <w:left w:val="single" w:sz="8" w:space="0" w:color="auto"/>
              <w:bottom w:val="single" w:sz="8" w:space="0" w:color="000000"/>
              <w:right w:val="single" w:sz="4" w:space="0" w:color="auto"/>
            </w:tcBorders>
            <w:vAlign w:val="center"/>
            <w:hideMark/>
          </w:tcPr>
          <w:p w14:paraId="6456B08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6CBFF87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br/>
              <w:t>3.1.2.4 Trajnimi i stafit sipas pozicionit te tyre te punes</w:t>
            </w:r>
          </w:p>
        </w:tc>
        <w:tc>
          <w:tcPr>
            <w:tcW w:w="1890" w:type="dxa"/>
            <w:tcBorders>
              <w:top w:val="nil"/>
              <w:left w:val="nil"/>
              <w:bottom w:val="single" w:sz="8" w:space="0" w:color="auto"/>
              <w:right w:val="single" w:sz="4" w:space="0" w:color="auto"/>
            </w:tcBorders>
            <w:shd w:val="clear" w:color="auto" w:fill="auto"/>
            <w:vAlign w:val="center"/>
            <w:hideMark/>
          </w:tcPr>
          <w:p w14:paraId="1BAC1F5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8" w:space="0" w:color="auto"/>
              <w:right w:val="single" w:sz="8" w:space="0" w:color="auto"/>
            </w:tcBorders>
            <w:shd w:val="clear" w:color="auto" w:fill="auto"/>
            <w:vAlign w:val="center"/>
            <w:hideMark/>
          </w:tcPr>
          <w:p w14:paraId="353AF6F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3220471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1B53A7B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A99645E" w14:textId="77777777" w:rsidTr="0018109D">
        <w:trPr>
          <w:trHeight w:val="1284"/>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2F012FD4"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3.1.3 KLGJ-ja përparon me emërimet e gjyqtarëve  në të gjitha nivelet </w:t>
            </w:r>
          </w:p>
        </w:tc>
        <w:tc>
          <w:tcPr>
            <w:tcW w:w="2520" w:type="dxa"/>
            <w:tcBorders>
              <w:top w:val="nil"/>
              <w:left w:val="nil"/>
              <w:bottom w:val="single" w:sz="4" w:space="0" w:color="auto"/>
              <w:right w:val="single" w:sz="4" w:space="0" w:color="auto"/>
            </w:tcBorders>
            <w:shd w:val="clear" w:color="auto" w:fill="auto"/>
            <w:vAlign w:val="center"/>
            <w:hideMark/>
          </w:tcPr>
          <w:p w14:paraId="5B9491E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3.1.3.1 Hartimi dhe miratimi i një plani për emërimet dhe caktimet në pozicione të magjistratëve të sapodiplomuar në SHM </w:t>
            </w:r>
          </w:p>
        </w:tc>
        <w:tc>
          <w:tcPr>
            <w:tcW w:w="1890" w:type="dxa"/>
            <w:tcBorders>
              <w:top w:val="nil"/>
              <w:left w:val="nil"/>
              <w:bottom w:val="single" w:sz="4" w:space="0" w:color="auto"/>
              <w:right w:val="single" w:sz="4" w:space="0" w:color="auto"/>
            </w:tcBorders>
            <w:shd w:val="clear" w:color="auto" w:fill="auto"/>
            <w:vAlign w:val="center"/>
            <w:hideMark/>
          </w:tcPr>
          <w:p w14:paraId="6DAF675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8" w:space="0" w:color="auto"/>
            </w:tcBorders>
            <w:shd w:val="clear" w:color="auto" w:fill="auto"/>
            <w:vAlign w:val="center"/>
            <w:hideMark/>
          </w:tcPr>
          <w:p w14:paraId="7D1BAB6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Sistemi Gjyqësor</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298B569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61851C3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529D281" w14:textId="77777777" w:rsidTr="0018109D">
        <w:trPr>
          <w:trHeight w:val="1128"/>
        </w:trPr>
        <w:tc>
          <w:tcPr>
            <w:tcW w:w="1790" w:type="dxa"/>
            <w:vMerge/>
            <w:tcBorders>
              <w:top w:val="nil"/>
              <w:left w:val="single" w:sz="8" w:space="0" w:color="auto"/>
              <w:bottom w:val="single" w:sz="8" w:space="0" w:color="000000"/>
              <w:right w:val="single" w:sz="4" w:space="0" w:color="auto"/>
            </w:tcBorders>
            <w:vAlign w:val="center"/>
            <w:hideMark/>
          </w:tcPr>
          <w:p w14:paraId="79AC4EE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25CBFB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3.1.3.2 Krijimi i një mekanizmi efikas koordinimi me institucionet që ofrojnë informacionin e nevojshëm për kontrollin e pasurisë dhe të figurës së kandidatëve magjistratë. </w:t>
            </w:r>
          </w:p>
        </w:tc>
        <w:tc>
          <w:tcPr>
            <w:tcW w:w="1890" w:type="dxa"/>
            <w:tcBorders>
              <w:top w:val="nil"/>
              <w:left w:val="nil"/>
              <w:bottom w:val="single" w:sz="4" w:space="0" w:color="auto"/>
              <w:right w:val="single" w:sz="4" w:space="0" w:color="auto"/>
            </w:tcBorders>
            <w:shd w:val="clear" w:color="auto" w:fill="auto"/>
            <w:vAlign w:val="center"/>
            <w:hideMark/>
          </w:tcPr>
          <w:p w14:paraId="1B331B8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8" w:space="0" w:color="auto"/>
            </w:tcBorders>
            <w:shd w:val="clear" w:color="auto" w:fill="auto"/>
            <w:vAlign w:val="center"/>
            <w:hideMark/>
          </w:tcPr>
          <w:p w14:paraId="12B4F52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Sistemi Gjyqësor</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432D6F1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10CDA9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1A6C45EF" w14:textId="77777777" w:rsidTr="0018109D">
        <w:trPr>
          <w:trHeight w:val="948"/>
        </w:trPr>
        <w:tc>
          <w:tcPr>
            <w:tcW w:w="1790" w:type="dxa"/>
            <w:vMerge/>
            <w:tcBorders>
              <w:top w:val="nil"/>
              <w:left w:val="single" w:sz="8" w:space="0" w:color="auto"/>
              <w:bottom w:val="single" w:sz="8" w:space="0" w:color="000000"/>
              <w:right w:val="single" w:sz="4" w:space="0" w:color="auto"/>
            </w:tcBorders>
            <w:vAlign w:val="center"/>
            <w:hideMark/>
          </w:tcPr>
          <w:p w14:paraId="507D72E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77AF0D0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3.1.3.3 Zbatimi i planit të emërimeve dhe caktimeve në pozicione të magjistratëve të sapodiplomuar në SHM.</w:t>
            </w:r>
          </w:p>
        </w:tc>
        <w:tc>
          <w:tcPr>
            <w:tcW w:w="1890" w:type="dxa"/>
            <w:tcBorders>
              <w:top w:val="nil"/>
              <w:left w:val="nil"/>
              <w:bottom w:val="single" w:sz="8" w:space="0" w:color="auto"/>
              <w:right w:val="single" w:sz="4" w:space="0" w:color="auto"/>
            </w:tcBorders>
            <w:shd w:val="clear" w:color="auto" w:fill="auto"/>
            <w:vAlign w:val="center"/>
            <w:hideMark/>
          </w:tcPr>
          <w:p w14:paraId="11935CA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8" w:space="0" w:color="auto"/>
              <w:right w:val="single" w:sz="8" w:space="0" w:color="auto"/>
            </w:tcBorders>
            <w:shd w:val="clear" w:color="auto" w:fill="auto"/>
            <w:vAlign w:val="center"/>
            <w:hideMark/>
          </w:tcPr>
          <w:p w14:paraId="5D55178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Sistemi Gjyqësor</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24737E3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7DBEC3D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BAA3CD4"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46C39D18"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3.1.4 KLGJ zgjeron më tej procedurat e vlerësimit dhe avancimit ne karriere   të gjyqtarëve bazuar në kriteret cilësore dhe sasiore dhe rritjen e transparencës së procesit</w:t>
            </w:r>
          </w:p>
        </w:tc>
        <w:tc>
          <w:tcPr>
            <w:tcW w:w="2520" w:type="dxa"/>
            <w:tcBorders>
              <w:top w:val="nil"/>
              <w:left w:val="nil"/>
              <w:bottom w:val="single" w:sz="4" w:space="0" w:color="auto"/>
              <w:right w:val="single" w:sz="4" w:space="0" w:color="auto"/>
            </w:tcBorders>
            <w:shd w:val="clear" w:color="auto" w:fill="auto"/>
            <w:vAlign w:val="center"/>
            <w:hideMark/>
          </w:tcPr>
          <w:p w14:paraId="596E6F3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3.1.4.1 Hartimi i analizës nga KLGJ që synon vlerësimin e brendshëm të proceseve të vlerësimit të performancës dhe avancimit ne karriere të gjyqtarëve dhe transparencën e tyre, duke përfshirë rekomandimet për përmirësimin e procedurave dhe përmirësimin e transparencës </w:t>
            </w:r>
          </w:p>
        </w:tc>
        <w:tc>
          <w:tcPr>
            <w:tcW w:w="1890" w:type="dxa"/>
            <w:tcBorders>
              <w:top w:val="nil"/>
              <w:left w:val="nil"/>
              <w:bottom w:val="single" w:sz="4" w:space="0" w:color="auto"/>
              <w:right w:val="single" w:sz="4" w:space="0" w:color="auto"/>
            </w:tcBorders>
            <w:shd w:val="clear" w:color="auto" w:fill="auto"/>
            <w:vAlign w:val="center"/>
            <w:hideMark/>
          </w:tcPr>
          <w:p w14:paraId="7CACA3F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4" w:space="0" w:color="auto"/>
            </w:tcBorders>
            <w:shd w:val="clear" w:color="auto" w:fill="auto"/>
            <w:vAlign w:val="center"/>
            <w:hideMark/>
          </w:tcPr>
          <w:p w14:paraId="061AE33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Sistemi Gjyqësor</w:t>
            </w:r>
          </w:p>
        </w:tc>
        <w:tc>
          <w:tcPr>
            <w:tcW w:w="1710" w:type="dxa"/>
            <w:tcBorders>
              <w:top w:val="nil"/>
              <w:left w:val="nil"/>
              <w:bottom w:val="single" w:sz="4" w:space="0" w:color="auto"/>
              <w:right w:val="single" w:sz="4" w:space="0" w:color="auto"/>
            </w:tcBorders>
            <w:shd w:val="clear" w:color="000000" w:fill="DDEBF7"/>
            <w:vAlign w:val="center"/>
            <w:hideMark/>
          </w:tcPr>
          <w:p w14:paraId="508AABF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72F2E78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07E30C1B" w14:textId="77777777" w:rsidTr="0018109D">
        <w:trPr>
          <w:trHeight w:val="828"/>
        </w:trPr>
        <w:tc>
          <w:tcPr>
            <w:tcW w:w="1790" w:type="dxa"/>
            <w:vMerge/>
            <w:tcBorders>
              <w:top w:val="nil"/>
              <w:left w:val="single" w:sz="8" w:space="0" w:color="auto"/>
              <w:bottom w:val="single" w:sz="8" w:space="0" w:color="000000"/>
              <w:right w:val="single" w:sz="4" w:space="0" w:color="auto"/>
            </w:tcBorders>
            <w:vAlign w:val="center"/>
            <w:hideMark/>
          </w:tcPr>
          <w:p w14:paraId="7CEC6FC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589DCC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3.1.4.2 Zbatimi i rekomandimeve të dala nga analiza</w:t>
            </w:r>
          </w:p>
        </w:tc>
        <w:tc>
          <w:tcPr>
            <w:tcW w:w="1890" w:type="dxa"/>
            <w:tcBorders>
              <w:top w:val="nil"/>
              <w:left w:val="nil"/>
              <w:bottom w:val="single" w:sz="4" w:space="0" w:color="auto"/>
              <w:right w:val="single" w:sz="4" w:space="0" w:color="auto"/>
            </w:tcBorders>
            <w:shd w:val="clear" w:color="auto" w:fill="auto"/>
            <w:vAlign w:val="center"/>
            <w:hideMark/>
          </w:tcPr>
          <w:p w14:paraId="64E74E8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4" w:space="0" w:color="auto"/>
            </w:tcBorders>
            <w:shd w:val="clear" w:color="auto" w:fill="auto"/>
            <w:vAlign w:val="center"/>
            <w:hideMark/>
          </w:tcPr>
          <w:p w14:paraId="18BD610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Sistemi Gjyqësor</w:t>
            </w:r>
          </w:p>
        </w:tc>
        <w:tc>
          <w:tcPr>
            <w:tcW w:w="1710" w:type="dxa"/>
            <w:tcBorders>
              <w:top w:val="nil"/>
              <w:left w:val="nil"/>
              <w:bottom w:val="single" w:sz="4" w:space="0" w:color="auto"/>
              <w:right w:val="single" w:sz="4" w:space="0" w:color="auto"/>
            </w:tcBorders>
            <w:shd w:val="clear" w:color="000000" w:fill="DDEBF7"/>
            <w:vAlign w:val="center"/>
            <w:hideMark/>
          </w:tcPr>
          <w:p w14:paraId="343FE8F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12D81D2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6574C8B5" w14:textId="77777777" w:rsidTr="0018109D">
        <w:trPr>
          <w:trHeight w:val="1044"/>
        </w:trPr>
        <w:tc>
          <w:tcPr>
            <w:tcW w:w="1790" w:type="dxa"/>
            <w:vMerge/>
            <w:tcBorders>
              <w:top w:val="nil"/>
              <w:left w:val="single" w:sz="8" w:space="0" w:color="auto"/>
              <w:bottom w:val="single" w:sz="8" w:space="0" w:color="000000"/>
              <w:right w:val="single" w:sz="4" w:space="0" w:color="auto"/>
            </w:tcBorders>
            <w:vAlign w:val="center"/>
            <w:hideMark/>
          </w:tcPr>
          <w:p w14:paraId="2C541E5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21D6BE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3.1.4.3 Vlerësimi i efikasitetit të zbatimit të rekomandimeve dhe ndikimi i tyre në cilësinë, kohëzgjatjen dhe transparencën e procedurave. </w:t>
            </w:r>
          </w:p>
        </w:tc>
        <w:tc>
          <w:tcPr>
            <w:tcW w:w="1890" w:type="dxa"/>
            <w:tcBorders>
              <w:top w:val="nil"/>
              <w:left w:val="nil"/>
              <w:bottom w:val="single" w:sz="4" w:space="0" w:color="auto"/>
              <w:right w:val="single" w:sz="4" w:space="0" w:color="auto"/>
            </w:tcBorders>
            <w:shd w:val="clear" w:color="auto" w:fill="auto"/>
            <w:vAlign w:val="center"/>
            <w:hideMark/>
          </w:tcPr>
          <w:p w14:paraId="2DC0D3B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4" w:space="0" w:color="auto"/>
            </w:tcBorders>
            <w:shd w:val="clear" w:color="auto" w:fill="auto"/>
            <w:vAlign w:val="center"/>
            <w:hideMark/>
          </w:tcPr>
          <w:p w14:paraId="5986A45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Sistemi Gjyqësor</w:t>
            </w:r>
          </w:p>
        </w:tc>
        <w:tc>
          <w:tcPr>
            <w:tcW w:w="1710" w:type="dxa"/>
            <w:tcBorders>
              <w:top w:val="nil"/>
              <w:left w:val="nil"/>
              <w:bottom w:val="single" w:sz="4" w:space="0" w:color="auto"/>
              <w:right w:val="single" w:sz="4" w:space="0" w:color="auto"/>
            </w:tcBorders>
            <w:shd w:val="clear" w:color="000000" w:fill="DDEBF7"/>
            <w:vAlign w:val="center"/>
            <w:hideMark/>
          </w:tcPr>
          <w:p w14:paraId="1D5B726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58418AC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3E623E7F" w14:textId="77777777" w:rsidTr="0018109D">
        <w:trPr>
          <w:trHeight w:val="1284"/>
        </w:trPr>
        <w:tc>
          <w:tcPr>
            <w:tcW w:w="1790" w:type="dxa"/>
            <w:vMerge/>
            <w:tcBorders>
              <w:top w:val="nil"/>
              <w:left w:val="single" w:sz="8" w:space="0" w:color="auto"/>
              <w:bottom w:val="single" w:sz="8" w:space="0" w:color="000000"/>
              <w:right w:val="single" w:sz="4" w:space="0" w:color="auto"/>
            </w:tcBorders>
            <w:vAlign w:val="center"/>
            <w:hideMark/>
          </w:tcPr>
          <w:p w14:paraId="4C44A33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0037530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3.1.4.4 Publikimi i rregullt dhe ne kohe i vendimeve te Keshillit mbi procedurat e vleresimit te performances dhe avancimit ne karriere te gjyqtareve</w:t>
            </w:r>
          </w:p>
        </w:tc>
        <w:tc>
          <w:tcPr>
            <w:tcW w:w="1890" w:type="dxa"/>
            <w:tcBorders>
              <w:top w:val="nil"/>
              <w:left w:val="nil"/>
              <w:bottom w:val="single" w:sz="8" w:space="0" w:color="auto"/>
              <w:right w:val="single" w:sz="4" w:space="0" w:color="auto"/>
            </w:tcBorders>
            <w:shd w:val="clear" w:color="auto" w:fill="auto"/>
            <w:vAlign w:val="center"/>
            <w:hideMark/>
          </w:tcPr>
          <w:p w14:paraId="6579BEC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8" w:space="0" w:color="auto"/>
              <w:right w:val="single" w:sz="4" w:space="0" w:color="auto"/>
            </w:tcBorders>
            <w:shd w:val="clear" w:color="auto" w:fill="auto"/>
            <w:vAlign w:val="center"/>
            <w:hideMark/>
          </w:tcPr>
          <w:p w14:paraId="0A9A080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Sistemi Gjyqësor</w:t>
            </w:r>
          </w:p>
        </w:tc>
        <w:tc>
          <w:tcPr>
            <w:tcW w:w="1710" w:type="dxa"/>
            <w:tcBorders>
              <w:top w:val="nil"/>
              <w:left w:val="nil"/>
              <w:bottom w:val="single" w:sz="8" w:space="0" w:color="auto"/>
              <w:right w:val="single" w:sz="4" w:space="0" w:color="auto"/>
            </w:tcBorders>
            <w:shd w:val="clear" w:color="000000" w:fill="DDEBF7"/>
            <w:vAlign w:val="center"/>
            <w:hideMark/>
          </w:tcPr>
          <w:p w14:paraId="5232F44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07D2D5D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7F72721" w14:textId="77777777" w:rsidTr="0018109D">
        <w:trPr>
          <w:trHeight w:val="1725"/>
        </w:trPr>
        <w:tc>
          <w:tcPr>
            <w:tcW w:w="1790" w:type="dxa"/>
            <w:vMerge/>
            <w:tcBorders>
              <w:top w:val="nil"/>
              <w:left w:val="single" w:sz="8" w:space="0" w:color="auto"/>
              <w:bottom w:val="single" w:sz="8" w:space="0" w:color="000000"/>
              <w:right w:val="single" w:sz="4" w:space="0" w:color="auto"/>
            </w:tcBorders>
            <w:vAlign w:val="center"/>
            <w:hideMark/>
          </w:tcPr>
          <w:p w14:paraId="610EE42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353080E" w14:textId="3B764FE9"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3.1.5.</w:t>
            </w:r>
            <w:r w:rsidR="001B1A4D">
              <w:rPr>
                <w:rFonts w:ascii="Times New Roman" w:eastAsia="Times New Roman" w:hAnsi="Times New Roman" w:cs="Times New Roman"/>
                <w:sz w:val="20"/>
                <w:szCs w:val="20"/>
              </w:rPr>
              <w:t>1</w:t>
            </w:r>
            <w:r w:rsidRPr="007440A2">
              <w:rPr>
                <w:rFonts w:ascii="Times New Roman" w:eastAsia="Times New Roman" w:hAnsi="Times New Roman" w:cs="Times New Roman"/>
                <w:sz w:val="20"/>
                <w:szCs w:val="20"/>
              </w:rPr>
              <w:t xml:space="preserve"> Miratimi paketes se akteve nenligjore ne zbatim te ligjit organik </w:t>
            </w:r>
          </w:p>
        </w:tc>
        <w:tc>
          <w:tcPr>
            <w:tcW w:w="1890" w:type="dxa"/>
            <w:tcBorders>
              <w:top w:val="nil"/>
              <w:left w:val="nil"/>
              <w:bottom w:val="single" w:sz="4" w:space="0" w:color="auto"/>
              <w:right w:val="single" w:sz="4" w:space="0" w:color="auto"/>
            </w:tcBorders>
            <w:shd w:val="clear" w:color="auto" w:fill="auto"/>
            <w:vAlign w:val="center"/>
            <w:hideMark/>
          </w:tcPr>
          <w:p w14:paraId="7368C5C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DPP, MD/Kodifikimi</w:t>
            </w:r>
          </w:p>
        </w:tc>
        <w:tc>
          <w:tcPr>
            <w:tcW w:w="1620" w:type="dxa"/>
            <w:tcBorders>
              <w:top w:val="nil"/>
              <w:left w:val="nil"/>
              <w:bottom w:val="single" w:sz="4" w:space="0" w:color="auto"/>
              <w:right w:val="single" w:sz="4" w:space="0" w:color="auto"/>
            </w:tcBorders>
            <w:shd w:val="clear" w:color="auto" w:fill="auto"/>
            <w:vAlign w:val="center"/>
            <w:hideMark/>
          </w:tcPr>
          <w:p w14:paraId="1578EC3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B0BC4C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D89510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3E02CB29" w14:textId="77777777" w:rsidTr="0018109D">
        <w:trPr>
          <w:trHeight w:val="1725"/>
        </w:trPr>
        <w:tc>
          <w:tcPr>
            <w:tcW w:w="1790" w:type="dxa"/>
            <w:vMerge/>
            <w:tcBorders>
              <w:top w:val="nil"/>
              <w:left w:val="single" w:sz="8" w:space="0" w:color="auto"/>
              <w:bottom w:val="single" w:sz="8" w:space="0" w:color="000000"/>
              <w:right w:val="single" w:sz="4" w:space="0" w:color="auto"/>
            </w:tcBorders>
            <w:vAlign w:val="center"/>
            <w:hideMark/>
          </w:tcPr>
          <w:p w14:paraId="6FA4FAD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7392DB5" w14:textId="08CC0420" w:rsidR="0018109D" w:rsidRPr="007440A2" w:rsidRDefault="0018109D" w:rsidP="0018109D">
            <w:pPr>
              <w:spacing w:after="24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br/>
              <w:t>3.1.5.</w:t>
            </w:r>
            <w:r w:rsidR="001B1A4D">
              <w:rPr>
                <w:rFonts w:ascii="Times New Roman" w:eastAsia="Times New Roman" w:hAnsi="Times New Roman" w:cs="Times New Roman"/>
                <w:sz w:val="20"/>
                <w:szCs w:val="20"/>
              </w:rPr>
              <w:t>2</w:t>
            </w:r>
            <w:r w:rsidRPr="007440A2">
              <w:rPr>
                <w:rFonts w:ascii="Times New Roman" w:eastAsia="Times New Roman" w:hAnsi="Times New Roman" w:cs="Times New Roman"/>
                <w:sz w:val="20"/>
                <w:szCs w:val="20"/>
              </w:rPr>
              <w:t xml:space="preserve"> Kryerja e nje analize mbi identifikimin e nevojave per permbarues gjyqesore shteterore dhe plotesimin e vendeve vakante. </w:t>
            </w:r>
            <w:r w:rsidRPr="007440A2">
              <w:rPr>
                <w:rFonts w:ascii="Times New Roman" w:eastAsia="Times New Roman" w:hAnsi="Times New Roman" w:cs="Times New Roman"/>
                <w:sz w:val="20"/>
                <w:szCs w:val="20"/>
              </w:rPr>
              <w:br/>
              <w:t xml:space="preserve">                                                                                       </w:t>
            </w:r>
          </w:p>
        </w:tc>
        <w:tc>
          <w:tcPr>
            <w:tcW w:w="1890" w:type="dxa"/>
            <w:tcBorders>
              <w:top w:val="nil"/>
              <w:left w:val="nil"/>
              <w:bottom w:val="single" w:sz="4" w:space="0" w:color="auto"/>
              <w:right w:val="single" w:sz="4" w:space="0" w:color="auto"/>
            </w:tcBorders>
            <w:shd w:val="clear" w:color="auto" w:fill="auto"/>
            <w:vAlign w:val="center"/>
            <w:hideMark/>
          </w:tcPr>
          <w:p w14:paraId="579B336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DPP</w:t>
            </w:r>
          </w:p>
        </w:tc>
        <w:tc>
          <w:tcPr>
            <w:tcW w:w="1620" w:type="dxa"/>
            <w:tcBorders>
              <w:top w:val="nil"/>
              <w:left w:val="nil"/>
              <w:bottom w:val="single" w:sz="4" w:space="0" w:color="auto"/>
              <w:right w:val="single" w:sz="4" w:space="0" w:color="auto"/>
            </w:tcBorders>
            <w:shd w:val="clear" w:color="auto" w:fill="auto"/>
            <w:vAlign w:val="center"/>
            <w:hideMark/>
          </w:tcPr>
          <w:p w14:paraId="781098B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710" w:type="dxa"/>
            <w:tcBorders>
              <w:top w:val="nil"/>
              <w:left w:val="nil"/>
              <w:bottom w:val="single" w:sz="4" w:space="0" w:color="auto"/>
              <w:right w:val="single" w:sz="4" w:space="0" w:color="auto"/>
            </w:tcBorders>
            <w:shd w:val="clear" w:color="000000" w:fill="DDEBF7"/>
            <w:vAlign w:val="center"/>
            <w:hideMark/>
          </w:tcPr>
          <w:p w14:paraId="2FBE8BB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C02444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2C329D57" w14:textId="77777777" w:rsidTr="0018109D">
        <w:trPr>
          <w:trHeight w:val="1725"/>
        </w:trPr>
        <w:tc>
          <w:tcPr>
            <w:tcW w:w="1790" w:type="dxa"/>
            <w:vMerge/>
            <w:tcBorders>
              <w:top w:val="nil"/>
              <w:left w:val="single" w:sz="8" w:space="0" w:color="auto"/>
              <w:bottom w:val="single" w:sz="8" w:space="0" w:color="000000"/>
              <w:right w:val="single" w:sz="4" w:space="0" w:color="auto"/>
            </w:tcBorders>
            <w:vAlign w:val="center"/>
            <w:hideMark/>
          </w:tcPr>
          <w:p w14:paraId="0C38BC8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7A5A909" w14:textId="09E51B1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br/>
              <w:t>3.1.5.</w:t>
            </w:r>
            <w:r w:rsidR="001B1A4D">
              <w:rPr>
                <w:rFonts w:ascii="Times New Roman" w:eastAsia="Times New Roman" w:hAnsi="Times New Roman" w:cs="Times New Roman"/>
                <w:sz w:val="20"/>
                <w:szCs w:val="20"/>
              </w:rPr>
              <w:t>3</w:t>
            </w:r>
            <w:r w:rsidRPr="007440A2">
              <w:rPr>
                <w:rFonts w:ascii="Times New Roman" w:eastAsia="Times New Roman" w:hAnsi="Times New Roman" w:cs="Times New Roman"/>
                <w:sz w:val="20"/>
                <w:szCs w:val="20"/>
              </w:rPr>
              <w:t xml:space="preserve"> Plotesimi i vakancave ne referim te gjetjeve te analizes. </w:t>
            </w:r>
          </w:p>
        </w:tc>
        <w:tc>
          <w:tcPr>
            <w:tcW w:w="1890" w:type="dxa"/>
            <w:tcBorders>
              <w:top w:val="nil"/>
              <w:left w:val="nil"/>
              <w:bottom w:val="single" w:sz="4" w:space="0" w:color="auto"/>
              <w:right w:val="single" w:sz="4" w:space="0" w:color="auto"/>
            </w:tcBorders>
            <w:shd w:val="clear" w:color="auto" w:fill="auto"/>
            <w:vAlign w:val="center"/>
            <w:hideMark/>
          </w:tcPr>
          <w:p w14:paraId="2952B33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4" w:space="0" w:color="auto"/>
              <w:right w:val="single" w:sz="4" w:space="0" w:color="auto"/>
            </w:tcBorders>
            <w:shd w:val="clear" w:color="auto" w:fill="auto"/>
            <w:vAlign w:val="center"/>
            <w:hideMark/>
          </w:tcPr>
          <w:p w14:paraId="64B2CD1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DPP</w:t>
            </w:r>
          </w:p>
        </w:tc>
        <w:tc>
          <w:tcPr>
            <w:tcW w:w="1710" w:type="dxa"/>
            <w:tcBorders>
              <w:top w:val="nil"/>
              <w:left w:val="nil"/>
              <w:bottom w:val="single" w:sz="4" w:space="0" w:color="auto"/>
              <w:right w:val="single" w:sz="4" w:space="0" w:color="auto"/>
            </w:tcBorders>
            <w:shd w:val="clear" w:color="000000" w:fill="DDEBF7"/>
            <w:vAlign w:val="center"/>
            <w:hideMark/>
          </w:tcPr>
          <w:p w14:paraId="3A73432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2E3E77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DA3C9C4" w14:textId="77777777" w:rsidTr="0018109D">
        <w:trPr>
          <w:trHeight w:val="1725"/>
        </w:trPr>
        <w:tc>
          <w:tcPr>
            <w:tcW w:w="1790" w:type="dxa"/>
            <w:vMerge/>
            <w:tcBorders>
              <w:top w:val="nil"/>
              <w:left w:val="single" w:sz="8" w:space="0" w:color="auto"/>
              <w:bottom w:val="single" w:sz="8" w:space="0" w:color="000000"/>
              <w:right w:val="single" w:sz="4" w:space="0" w:color="auto"/>
            </w:tcBorders>
            <w:vAlign w:val="center"/>
            <w:hideMark/>
          </w:tcPr>
          <w:p w14:paraId="2CCACA9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ACA5D8A" w14:textId="64A41DB0"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3.1.5.</w:t>
            </w:r>
            <w:r w:rsidR="001B1A4D">
              <w:rPr>
                <w:rFonts w:ascii="Times New Roman" w:eastAsia="Times New Roman" w:hAnsi="Times New Roman" w:cs="Times New Roman"/>
                <w:sz w:val="20"/>
                <w:szCs w:val="20"/>
              </w:rPr>
              <w:t>4</w:t>
            </w:r>
            <w:r w:rsidRPr="007440A2">
              <w:rPr>
                <w:rFonts w:ascii="Times New Roman" w:eastAsia="Times New Roman" w:hAnsi="Times New Roman" w:cs="Times New Roman"/>
                <w:sz w:val="20"/>
                <w:szCs w:val="20"/>
              </w:rPr>
              <w:t xml:space="preserve"> Vlerësimi periodik i nevojave për trajnim vazhdues                                                    dhe trajnim i specializuar sipas fushave   </w:t>
            </w:r>
          </w:p>
        </w:tc>
        <w:tc>
          <w:tcPr>
            <w:tcW w:w="1890" w:type="dxa"/>
            <w:tcBorders>
              <w:top w:val="nil"/>
              <w:left w:val="nil"/>
              <w:bottom w:val="single" w:sz="4" w:space="0" w:color="auto"/>
              <w:right w:val="single" w:sz="4" w:space="0" w:color="auto"/>
            </w:tcBorders>
            <w:shd w:val="clear" w:color="auto" w:fill="auto"/>
            <w:vAlign w:val="center"/>
            <w:hideMark/>
          </w:tcPr>
          <w:p w14:paraId="407365C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DPP</w:t>
            </w:r>
          </w:p>
        </w:tc>
        <w:tc>
          <w:tcPr>
            <w:tcW w:w="1620" w:type="dxa"/>
            <w:tcBorders>
              <w:top w:val="nil"/>
              <w:left w:val="nil"/>
              <w:bottom w:val="single" w:sz="4" w:space="0" w:color="auto"/>
              <w:right w:val="single" w:sz="4" w:space="0" w:color="auto"/>
            </w:tcBorders>
            <w:shd w:val="clear" w:color="auto" w:fill="auto"/>
            <w:vAlign w:val="center"/>
            <w:hideMark/>
          </w:tcPr>
          <w:p w14:paraId="26154E4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710" w:type="dxa"/>
            <w:tcBorders>
              <w:top w:val="nil"/>
              <w:left w:val="nil"/>
              <w:bottom w:val="single" w:sz="4" w:space="0" w:color="auto"/>
              <w:right w:val="single" w:sz="4" w:space="0" w:color="auto"/>
            </w:tcBorders>
            <w:shd w:val="clear" w:color="000000" w:fill="DDEBF7"/>
            <w:vAlign w:val="center"/>
            <w:hideMark/>
          </w:tcPr>
          <w:p w14:paraId="1A67D2D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C10DAB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D09998C" w14:textId="77777777" w:rsidTr="0018109D">
        <w:trPr>
          <w:trHeight w:val="1236"/>
        </w:trPr>
        <w:tc>
          <w:tcPr>
            <w:tcW w:w="1790" w:type="dxa"/>
            <w:vMerge/>
            <w:tcBorders>
              <w:top w:val="nil"/>
              <w:left w:val="single" w:sz="8" w:space="0" w:color="auto"/>
              <w:bottom w:val="single" w:sz="8" w:space="0" w:color="000000"/>
              <w:right w:val="single" w:sz="4" w:space="0" w:color="auto"/>
            </w:tcBorders>
            <w:vAlign w:val="center"/>
            <w:hideMark/>
          </w:tcPr>
          <w:p w14:paraId="1F8046E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72C2E69" w14:textId="0FF3E62C"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3.1.5.</w:t>
            </w:r>
            <w:r w:rsidR="001B1A4D">
              <w:rPr>
                <w:rFonts w:ascii="Times New Roman" w:eastAsia="Times New Roman" w:hAnsi="Times New Roman" w:cs="Times New Roman"/>
                <w:sz w:val="20"/>
                <w:szCs w:val="20"/>
              </w:rPr>
              <w:t>5</w:t>
            </w:r>
            <w:r w:rsidRPr="007440A2">
              <w:rPr>
                <w:rFonts w:ascii="Times New Roman" w:eastAsia="Times New Roman" w:hAnsi="Times New Roman" w:cs="Times New Roman"/>
                <w:sz w:val="20"/>
                <w:szCs w:val="20"/>
              </w:rPr>
              <w:t xml:space="preserve"> Trajnimi vazhdues i punonjësve të shërbimit përmbarimor gjyqësor lidhur me procedurat e ekzekutimit                                </w:t>
            </w:r>
          </w:p>
        </w:tc>
        <w:tc>
          <w:tcPr>
            <w:tcW w:w="1890" w:type="dxa"/>
            <w:tcBorders>
              <w:top w:val="nil"/>
              <w:left w:val="nil"/>
              <w:bottom w:val="single" w:sz="4" w:space="0" w:color="auto"/>
              <w:right w:val="single" w:sz="4" w:space="0" w:color="auto"/>
            </w:tcBorders>
            <w:shd w:val="clear" w:color="auto" w:fill="auto"/>
            <w:vAlign w:val="center"/>
            <w:hideMark/>
          </w:tcPr>
          <w:p w14:paraId="14FD319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DPP, MD</w:t>
            </w:r>
          </w:p>
        </w:tc>
        <w:tc>
          <w:tcPr>
            <w:tcW w:w="1620" w:type="dxa"/>
            <w:tcBorders>
              <w:top w:val="nil"/>
              <w:left w:val="nil"/>
              <w:bottom w:val="single" w:sz="4" w:space="0" w:color="auto"/>
              <w:right w:val="single" w:sz="4" w:space="0" w:color="auto"/>
            </w:tcBorders>
            <w:shd w:val="clear" w:color="auto" w:fill="auto"/>
            <w:vAlign w:val="center"/>
            <w:hideMark/>
          </w:tcPr>
          <w:p w14:paraId="506501B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4E00A83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A42502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C8AF319" w14:textId="77777777" w:rsidTr="0018109D">
        <w:trPr>
          <w:trHeight w:val="1725"/>
        </w:trPr>
        <w:tc>
          <w:tcPr>
            <w:tcW w:w="1790" w:type="dxa"/>
            <w:vMerge/>
            <w:tcBorders>
              <w:top w:val="nil"/>
              <w:left w:val="single" w:sz="8" w:space="0" w:color="auto"/>
              <w:bottom w:val="single" w:sz="8" w:space="0" w:color="000000"/>
              <w:right w:val="single" w:sz="4" w:space="0" w:color="auto"/>
            </w:tcBorders>
            <w:vAlign w:val="center"/>
            <w:hideMark/>
          </w:tcPr>
          <w:p w14:paraId="64545E3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3AFFD7D" w14:textId="118FD5C4"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3.1.5.</w:t>
            </w:r>
            <w:r w:rsidR="001B1A4D">
              <w:rPr>
                <w:rFonts w:ascii="Times New Roman" w:eastAsia="Times New Roman" w:hAnsi="Times New Roman" w:cs="Times New Roman"/>
                <w:sz w:val="20"/>
                <w:szCs w:val="20"/>
              </w:rPr>
              <w:t>6</w:t>
            </w:r>
            <w:r w:rsidRPr="007440A2">
              <w:rPr>
                <w:rFonts w:ascii="Times New Roman" w:eastAsia="Times New Roman" w:hAnsi="Times New Roman" w:cs="Times New Roman"/>
                <w:sz w:val="20"/>
                <w:szCs w:val="20"/>
              </w:rPr>
              <w:t xml:space="preserve"> Rishikimi dhe përditësimi i programeve të trajnimit të punonjësve të shërbimit të përmbarimit gjyqësor per procedurat e ekzekutimit</w:t>
            </w:r>
          </w:p>
        </w:tc>
        <w:tc>
          <w:tcPr>
            <w:tcW w:w="1890" w:type="dxa"/>
            <w:tcBorders>
              <w:top w:val="nil"/>
              <w:left w:val="nil"/>
              <w:bottom w:val="single" w:sz="4" w:space="0" w:color="auto"/>
              <w:right w:val="single" w:sz="4" w:space="0" w:color="auto"/>
            </w:tcBorders>
            <w:shd w:val="clear" w:color="auto" w:fill="auto"/>
            <w:vAlign w:val="center"/>
            <w:hideMark/>
          </w:tcPr>
          <w:p w14:paraId="619C682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DPP</w:t>
            </w:r>
          </w:p>
        </w:tc>
        <w:tc>
          <w:tcPr>
            <w:tcW w:w="1620" w:type="dxa"/>
            <w:tcBorders>
              <w:top w:val="nil"/>
              <w:left w:val="nil"/>
              <w:bottom w:val="single" w:sz="4" w:space="0" w:color="auto"/>
              <w:right w:val="single" w:sz="4" w:space="0" w:color="auto"/>
            </w:tcBorders>
            <w:shd w:val="clear" w:color="auto" w:fill="auto"/>
            <w:vAlign w:val="center"/>
            <w:hideMark/>
          </w:tcPr>
          <w:p w14:paraId="4854351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710" w:type="dxa"/>
            <w:tcBorders>
              <w:top w:val="nil"/>
              <w:left w:val="nil"/>
              <w:bottom w:val="single" w:sz="4" w:space="0" w:color="auto"/>
              <w:right w:val="single" w:sz="4" w:space="0" w:color="auto"/>
            </w:tcBorders>
            <w:shd w:val="clear" w:color="000000" w:fill="DDEBF7"/>
            <w:vAlign w:val="center"/>
            <w:hideMark/>
          </w:tcPr>
          <w:p w14:paraId="6184E76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2AD470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5C43DE1" w14:textId="77777777" w:rsidTr="0018109D">
        <w:trPr>
          <w:trHeight w:val="1344"/>
        </w:trPr>
        <w:tc>
          <w:tcPr>
            <w:tcW w:w="1790" w:type="dxa"/>
            <w:vMerge/>
            <w:tcBorders>
              <w:top w:val="nil"/>
              <w:left w:val="single" w:sz="8" w:space="0" w:color="auto"/>
              <w:bottom w:val="single" w:sz="8" w:space="0" w:color="000000"/>
              <w:right w:val="single" w:sz="4" w:space="0" w:color="auto"/>
            </w:tcBorders>
            <w:vAlign w:val="center"/>
            <w:hideMark/>
          </w:tcPr>
          <w:p w14:paraId="499CBCD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D05EEEF" w14:textId="1FE58DE2"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3.1.5.</w:t>
            </w:r>
            <w:r w:rsidR="001B1A4D">
              <w:rPr>
                <w:rFonts w:ascii="Times New Roman" w:eastAsia="Times New Roman" w:hAnsi="Times New Roman" w:cs="Times New Roman"/>
                <w:sz w:val="20"/>
                <w:szCs w:val="20"/>
              </w:rPr>
              <w:t>7</w:t>
            </w:r>
            <w:r w:rsidRPr="007440A2">
              <w:rPr>
                <w:rFonts w:ascii="Times New Roman" w:eastAsia="Times New Roman" w:hAnsi="Times New Roman" w:cs="Times New Roman"/>
                <w:sz w:val="20"/>
                <w:szCs w:val="20"/>
              </w:rPr>
              <w:t xml:space="preserve"> Hartimi i nje marreveshjeje mes DPB dhe PP ne lidhje me aksesin ne Rregjistrin e Gjendjes Gjyqesore te DPB </w:t>
            </w:r>
          </w:p>
        </w:tc>
        <w:tc>
          <w:tcPr>
            <w:tcW w:w="1890" w:type="dxa"/>
            <w:tcBorders>
              <w:top w:val="nil"/>
              <w:left w:val="nil"/>
              <w:bottom w:val="single" w:sz="4" w:space="0" w:color="auto"/>
              <w:right w:val="single" w:sz="4" w:space="0" w:color="auto"/>
            </w:tcBorders>
            <w:shd w:val="clear" w:color="auto" w:fill="auto"/>
            <w:vAlign w:val="center"/>
            <w:hideMark/>
          </w:tcPr>
          <w:p w14:paraId="07AC045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MD/DPB, PP</w:t>
            </w:r>
          </w:p>
        </w:tc>
        <w:tc>
          <w:tcPr>
            <w:tcW w:w="1620" w:type="dxa"/>
            <w:tcBorders>
              <w:top w:val="nil"/>
              <w:left w:val="nil"/>
              <w:bottom w:val="single" w:sz="4" w:space="0" w:color="auto"/>
              <w:right w:val="single" w:sz="4" w:space="0" w:color="auto"/>
            </w:tcBorders>
            <w:shd w:val="clear" w:color="auto" w:fill="auto"/>
            <w:vAlign w:val="center"/>
            <w:hideMark/>
          </w:tcPr>
          <w:p w14:paraId="6D2F5C5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4CF559A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B7E425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049BAE62" w14:textId="77777777" w:rsidTr="0018109D">
        <w:trPr>
          <w:trHeight w:val="792"/>
        </w:trPr>
        <w:tc>
          <w:tcPr>
            <w:tcW w:w="1790" w:type="dxa"/>
            <w:vMerge/>
            <w:tcBorders>
              <w:top w:val="nil"/>
              <w:left w:val="single" w:sz="8" w:space="0" w:color="auto"/>
              <w:bottom w:val="single" w:sz="8" w:space="0" w:color="000000"/>
              <w:right w:val="single" w:sz="4" w:space="0" w:color="auto"/>
            </w:tcBorders>
            <w:vAlign w:val="center"/>
            <w:hideMark/>
          </w:tcPr>
          <w:p w14:paraId="4486A9C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D2CAE67" w14:textId="1C4A1D0B"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3.1.5.</w:t>
            </w:r>
            <w:r w:rsidR="001B1A4D">
              <w:rPr>
                <w:rFonts w:ascii="Times New Roman" w:eastAsia="Times New Roman" w:hAnsi="Times New Roman" w:cs="Times New Roman"/>
                <w:sz w:val="20"/>
                <w:szCs w:val="20"/>
              </w:rPr>
              <w:t>8</w:t>
            </w:r>
            <w:r w:rsidRPr="007440A2">
              <w:rPr>
                <w:rFonts w:ascii="Times New Roman" w:eastAsia="Times New Roman" w:hAnsi="Times New Roman" w:cs="Times New Roman"/>
                <w:sz w:val="20"/>
                <w:szCs w:val="20"/>
              </w:rPr>
              <w:t xml:space="preserve"> Hartimi i analizave, duke përfshirë një plan (nga secili institucion), për ekzekutimin në kohë dhe në mënyrë efikase të vendimeve gjyqësore, identifikimin e arsyeve të vonesave dhe sugjerimin e masave korrigjuese </w:t>
            </w:r>
          </w:p>
        </w:tc>
        <w:tc>
          <w:tcPr>
            <w:tcW w:w="1890" w:type="dxa"/>
            <w:tcBorders>
              <w:top w:val="nil"/>
              <w:left w:val="nil"/>
              <w:bottom w:val="single" w:sz="4" w:space="0" w:color="auto"/>
              <w:right w:val="single" w:sz="4" w:space="0" w:color="auto"/>
            </w:tcBorders>
            <w:shd w:val="clear" w:color="auto" w:fill="auto"/>
            <w:vAlign w:val="center"/>
            <w:hideMark/>
          </w:tcPr>
          <w:p w14:paraId="362BA792" w14:textId="10CD239B"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r w:rsidR="001B1A4D">
              <w:rPr>
                <w:rFonts w:ascii="Times New Roman" w:eastAsia="Times New Roman" w:hAnsi="Times New Roman" w:cs="Times New Roman"/>
                <w:sz w:val="20"/>
                <w:szCs w:val="20"/>
              </w:rPr>
              <w:t xml:space="preserve"> </w:t>
            </w:r>
            <w:r w:rsidRPr="007440A2">
              <w:rPr>
                <w:rFonts w:ascii="Times New Roman" w:eastAsia="Times New Roman" w:hAnsi="Times New Roman" w:cs="Times New Roman"/>
                <w:sz w:val="20"/>
                <w:szCs w:val="20"/>
              </w:rPr>
              <w:t>PP, MD/ DPB, DSHP, DPP, ASH</w:t>
            </w:r>
          </w:p>
        </w:tc>
        <w:tc>
          <w:tcPr>
            <w:tcW w:w="1620" w:type="dxa"/>
            <w:tcBorders>
              <w:top w:val="nil"/>
              <w:left w:val="nil"/>
              <w:bottom w:val="single" w:sz="4" w:space="0" w:color="auto"/>
              <w:right w:val="single" w:sz="4" w:space="0" w:color="auto"/>
            </w:tcBorders>
            <w:shd w:val="clear" w:color="auto" w:fill="auto"/>
            <w:vAlign w:val="center"/>
            <w:hideMark/>
          </w:tcPr>
          <w:p w14:paraId="43C8532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772A9AB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387F3ED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3A122840" w14:textId="77777777" w:rsidTr="0018109D">
        <w:trPr>
          <w:trHeight w:val="1104"/>
        </w:trPr>
        <w:tc>
          <w:tcPr>
            <w:tcW w:w="1790" w:type="dxa"/>
            <w:vMerge/>
            <w:tcBorders>
              <w:top w:val="nil"/>
              <w:left w:val="single" w:sz="8" w:space="0" w:color="auto"/>
              <w:bottom w:val="single" w:sz="8" w:space="0" w:color="000000"/>
              <w:right w:val="single" w:sz="4" w:space="0" w:color="auto"/>
            </w:tcBorders>
            <w:vAlign w:val="center"/>
            <w:hideMark/>
          </w:tcPr>
          <w:p w14:paraId="637D900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30A9596" w14:textId="7E72AFBF"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3.1.5.</w:t>
            </w:r>
            <w:r w:rsidR="001B1A4D">
              <w:rPr>
                <w:rFonts w:ascii="Times New Roman" w:eastAsia="Times New Roman" w:hAnsi="Times New Roman" w:cs="Times New Roman"/>
                <w:sz w:val="20"/>
                <w:szCs w:val="20"/>
              </w:rPr>
              <w:t>9</w:t>
            </w:r>
            <w:r w:rsidRPr="007440A2">
              <w:rPr>
                <w:rFonts w:ascii="Times New Roman" w:eastAsia="Times New Roman" w:hAnsi="Times New Roman" w:cs="Times New Roman"/>
                <w:sz w:val="20"/>
                <w:szCs w:val="20"/>
              </w:rPr>
              <w:t xml:space="preserve"> Zbatimi i masave të parashikuara në analiza dhe në plan veprimi për ekzekutimin në kohë dhe në mënyrë efikase të vendimeve gjyqësore.</w:t>
            </w:r>
          </w:p>
        </w:tc>
        <w:tc>
          <w:tcPr>
            <w:tcW w:w="1890" w:type="dxa"/>
            <w:tcBorders>
              <w:top w:val="nil"/>
              <w:left w:val="nil"/>
              <w:bottom w:val="single" w:sz="4" w:space="0" w:color="auto"/>
              <w:right w:val="single" w:sz="4" w:space="0" w:color="auto"/>
            </w:tcBorders>
            <w:shd w:val="clear" w:color="auto" w:fill="auto"/>
            <w:vAlign w:val="center"/>
            <w:hideMark/>
          </w:tcPr>
          <w:p w14:paraId="281974C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PP, MD/ DPB, DSHP, DPP, ASH</w:t>
            </w:r>
          </w:p>
        </w:tc>
        <w:tc>
          <w:tcPr>
            <w:tcW w:w="1620" w:type="dxa"/>
            <w:tcBorders>
              <w:top w:val="nil"/>
              <w:left w:val="nil"/>
              <w:bottom w:val="single" w:sz="4" w:space="0" w:color="auto"/>
              <w:right w:val="single" w:sz="4" w:space="0" w:color="auto"/>
            </w:tcBorders>
            <w:shd w:val="clear" w:color="auto" w:fill="auto"/>
            <w:vAlign w:val="center"/>
            <w:hideMark/>
          </w:tcPr>
          <w:p w14:paraId="73A2F07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4CEF886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1C4FBCF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314D9A03" w14:textId="77777777" w:rsidTr="0018109D">
        <w:trPr>
          <w:trHeight w:val="888"/>
        </w:trPr>
        <w:tc>
          <w:tcPr>
            <w:tcW w:w="1790" w:type="dxa"/>
            <w:vMerge/>
            <w:tcBorders>
              <w:top w:val="nil"/>
              <w:left w:val="single" w:sz="8" w:space="0" w:color="auto"/>
              <w:bottom w:val="single" w:sz="8" w:space="0" w:color="000000"/>
              <w:right w:val="single" w:sz="4" w:space="0" w:color="auto"/>
            </w:tcBorders>
            <w:vAlign w:val="center"/>
            <w:hideMark/>
          </w:tcPr>
          <w:p w14:paraId="659F002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FD4ECDF" w14:textId="08A495F4"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3.1.5.1</w:t>
            </w:r>
            <w:r w:rsidR="001B1A4D">
              <w:rPr>
                <w:rFonts w:ascii="Times New Roman" w:eastAsia="Times New Roman" w:hAnsi="Times New Roman" w:cs="Times New Roman"/>
                <w:sz w:val="20"/>
                <w:szCs w:val="20"/>
              </w:rPr>
              <w:t>0</w:t>
            </w:r>
            <w:r w:rsidRPr="007440A2">
              <w:rPr>
                <w:rFonts w:ascii="Times New Roman" w:eastAsia="Times New Roman" w:hAnsi="Times New Roman" w:cs="Times New Roman"/>
                <w:sz w:val="20"/>
                <w:szCs w:val="20"/>
              </w:rPr>
              <w:t xml:space="preserve"> Organizimi i trajnimeve me qellim ngritjen e nje mekanizmi efikas për vlerësimin e pranueshmërisë dhe arsyetimin e ankesave per te shmangur praktiken e ankimit automatik ne Avokaturen e Shtetit.  </w:t>
            </w:r>
          </w:p>
        </w:tc>
        <w:tc>
          <w:tcPr>
            <w:tcW w:w="1890" w:type="dxa"/>
            <w:tcBorders>
              <w:top w:val="nil"/>
              <w:left w:val="nil"/>
              <w:bottom w:val="single" w:sz="4" w:space="0" w:color="auto"/>
              <w:right w:val="single" w:sz="4" w:space="0" w:color="auto"/>
            </w:tcBorders>
            <w:shd w:val="clear" w:color="auto" w:fill="auto"/>
            <w:vAlign w:val="center"/>
            <w:hideMark/>
          </w:tcPr>
          <w:p w14:paraId="468FFCA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ASH</w:t>
            </w:r>
          </w:p>
        </w:tc>
        <w:tc>
          <w:tcPr>
            <w:tcW w:w="1620" w:type="dxa"/>
            <w:tcBorders>
              <w:top w:val="nil"/>
              <w:left w:val="nil"/>
              <w:bottom w:val="single" w:sz="4" w:space="0" w:color="auto"/>
              <w:right w:val="single" w:sz="4" w:space="0" w:color="auto"/>
            </w:tcBorders>
            <w:shd w:val="clear" w:color="auto" w:fill="auto"/>
            <w:vAlign w:val="center"/>
            <w:hideMark/>
          </w:tcPr>
          <w:p w14:paraId="1CDC841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PP, MD/ DPB, DSHP, DPP</w:t>
            </w:r>
          </w:p>
        </w:tc>
        <w:tc>
          <w:tcPr>
            <w:tcW w:w="1710" w:type="dxa"/>
            <w:tcBorders>
              <w:top w:val="nil"/>
              <w:left w:val="nil"/>
              <w:bottom w:val="single" w:sz="4" w:space="0" w:color="auto"/>
              <w:right w:val="single" w:sz="4" w:space="0" w:color="auto"/>
            </w:tcBorders>
            <w:shd w:val="clear" w:color="000000" w:fill="DDEBF7"/>
            <w:vAlign w:val="center"/>
            <w:hideMark/>
          </w:tcPr>
          <w:p w14:paraId="52C5002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6AA4048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3B020FB" w14:textId="77777777" w:rsidTr="0018109D">
        <w:trPr>
          <w:trHeight w:val="1092"/>
        </w:trPr>
        <w:tc>
          <w:tcPr>
            <w:tcW w:w="1790" w:type="dxa"/>
            <w:vMerge/>
            <w:tcBorders>
              <w:top w:val="nil"/>
              <w:left w:val="single" w:sz="8" w:space="0" w:color="auto"/>
              <w:bottom w:val="single" w:sz="8" w:space="0" w:color="000000"/>
              <w:right w:val="single" w:sz="4" w:space="0" w:color="auto"/>
            </w:tcBorders>
            <w:vAlign w:val="center"/>
            <w:hideMark/>
          </w:tcPr>
          <w:p w14:paraId="091A341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4D4C34E2" w14:textId="43C190A1"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3.1.5.1</w:t>
            </w:r>
            <w:r w:rsidR="001B1A4D">
              <w:rPr>
                <w:rFonts w:ascii="Times New Roman" w:eastAsia="Times New Roman" w:hAnsi="Times New Roman" w:cs="Times New Roman"/>
                <w:sz w:val="20"/>
                <w:szCs w:val="20"/>
              </w:rPr>
              <w:t>1</w:t>
            </w:r>
            <w:r w:rsidRPr="007440A2">
              <w:rPr>
                <w:rFonts w:ascii="Times New Roman" w:eastAsia="Times New Roman" w:hAnsi="Times New Roman" w:cs="Times New Roman"/>
                <w:sz w:val="20"/>
                <w:szCs w:val="20"/>
              </w:rPr>
              <w:t xml:space="preserve"> Përmirësimi i bashkëpunimit dhe koordinimit me institucione te tjera të cilat kanë funksione lidhur me ekzekutimin e vendimeve gjyqësore nëpërmjet organizimit të takimeve të përbashkëta, seminareve, diskutimeve, masave të përbashkëta etj. </w:t>
            </w:r>
            <w:r w:rsidRPr="007440A2">
              <w:rPr>
                <w:rFonts w:ascii="Times New Roman" w:eastAsia="Times New Roman" w:hAnsi="Times New Roman" w:cs="Times New Roman"/>
                <w:b/>
                <w:bCs/>
                <w:sz w:val="20"/>
                <w:szCs w:val="20"/>
              </w:rPr>
              <w:t xml:space="preserve"> </w:t>
            </w:r>
          </w:p>
        </w:tc>
        <w:tc>
          <w:tcPr>
            <w:tcW w:w="1890" w:type="dxa"/>
            <w:tcBorders>
              <w:top w:val="nil"/>
              <w:left w:val="nil"/>
              <w:bottom w:val="single" w:sz="8" w:space="0" w:color="auto"/>
              <w:right w:val="single" w:sz="4" w:space="0" w:color="auto"/>
            </w:tcBorders>
            <w:shd w:val="clear" w:color="auto" w:fill="auto"/>
            <w:vAlign w:val="center"/>
            <w:hideMark/>
          </w:tcPr>
          <w:p w14:paraId="7F95B197" w14:textId="73D6471A"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r w:rsidR="001B1A4D">
              <w:rPr>
                <w:rFonts w:ascii="Times New Roman" w:eastAsia="Times New Roman" w:hAnsi="Times New Roman" w:cs="Times New Roman"/>
                <w:sz w:val="20"/>
                <w:szCs w:val="20"/>
              </w:rPr>
              <w:t xml:space="preserve"> </w:t>
            </w:r>
            <w:r w:rsidRPr="007440A2">
              <w:rPr>
                <w:rFonts w:ascii="Times New Roman" w:eastAsia="Times New Roman" w:hAnsi="Times New Roman" w:cs="Times New Roman"/>
                <w:sz w:val="20"/>
                <w:szCs w:val="20"/>
              </w:rPr>
              <w:t>MD, DPB, DSHP, DPP, ASH</w:t>
            </w:r>
          </w:p>
        </w:tc>
        <w:tc>
          <w:tcPr>
            <w:tcW w:w="1620" w:type="dxa"/>
            <w:tcBorders>
              <w:top w:val="nil"/>
              <w:left w:val="nil"/>
              <w:bottom w:val="single" w:sz="8" w:space="0" w:color="auto"/>
              <w:right w:val="single" w:sz="4" w:space="0" w:color="auto"/>
            </w:tcBorders>
            <w:shd w:val="clear" w:color="auto" w:fill="auto"/>
            <w:vAlign w:val="center"/>
            <w:hideMark/>
          </w:tcPr>
          <w:p w14:paraId="2CCAF8D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01B9749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8" w:space="0" w:color="auto"/>
              <w:right w:val="single" w:sz="8" w:space="0" w:color="auto"/>
            </w:tcBorders>
            <w:shd w:val="clear" w:color="000000" w:fill="DDEBF7"/>
            <w:vAlign w:val="center"/>
            <w:hideMark/>
          </w:tcPr>
          <w:p w14:paraId="42B9F9C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00C5BBAD" w14:textId="77777777" w:rsidTr="0018109D">
        <w:trPr>
          <w:trHeight w:val="1155"/>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46EE3E49" w14:textId="5037C1DF"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3.1.6 Zbatimi i qëndrueshëm dhe ne kohe i vendimeve të GJEDNJ-së, përfshire vendimet ne fushën e pronësisë. </w:t>
            </w:r>
          </w:p>
        </w:tc>
        <w:tc>
          <w:tcPr>
            <w:tcW w:w="2520" w:type="dxa"/>
            <w:tcBorders>
              <w:top w:val="nil"/>
              <w:left w:val="nil"/>
              <w:bottom w:val="single" w:sz="4" w:space="0" w:color="auto"/>
              <w:right w:val="single" w:sz="4" w:space="0" w:color="auto"/>
            </w:tcBorders>
            <w:shd w:val="clear" w:color="auto" w:fill="auto"/>
            <w:vAlign w:val="center"/>
            <w:hideMark/>
          </w:tcPr>
          <w:p w14:paraId="3CD84F2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3.1.6.1 Krijimin e një mekanizmi të posaçëm për monitorimin dhe sigurimin e zbatimit të plotë dhe të shpejtë të vendimeve të GjEDNJ. </w:t>
            </w:r>
          </w:p>
        </w:tc>
        <w:tc>
          <w:tcPr>
            <w:tcW w:w="1890" w:type="dxa"/>
            <w:tcBorders>
              <w:top w:val="nil"/>
              <w:left w:val="nil"/>
              <w:bottom w:val="single" w:sz="4" w:space="0" w:color="auto"/>
              <w:right w:val="single" w:sz="4" w:space="0" w:color="auto"/>
            </w:tcBorders>
            <w:shd w:val="clear" w:color="auto" w:fill="auto"/>
            <w:vAlign w:val="center"/>
            <w:hideMark/>
          </w:tcPr>
          <w:p w14:paraId="5161AD2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ASH</w:t>
            </w:r>
          </w:p>
        </w:tc>
        <w:tc>
          <w:tcPr>
            <w:tcW w:w="1620" w:type="dxa"/>
            <w:tcBorders>
              <w:top w:val="nil"/>
              <w:left w:val="nil"/>
              <w:bottom w:val="single" w:sz="4" w:space="0" w:color="auto"/>
              <w:right w:val="single" w:sz="8" w:space="0" w:color="auto"/>
            </w:tcBorders>
            <w:shd w:val="clear" w:color="auto" w:fill="auto"/>
            <w:vAlign w:val="center"/>
            <w:hideMark/>
          </w:tcPr>
          <w:p w14:paraId="2B3CF2D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C3DAA2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44B577E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39BBCEA0" w14:textId="77777777" w:rsidTr="0018109D">
        <w:trPr>
          <w:trHeight w:val="1164"/>
        </w:trPr>
        <w:tc>
          <w:tcPr>
            <w:tcW w:w="1790" w:type="dxa"/>
            <w:vMerge/>
            <w:tcBorders>
              <w:top w:val="nil"/>
              <w:left w:val="single" w:sz="8" w:space="0" w:color="auto"/>
              <w:bottom w:val="single" w:sz="8" w:space="0" w:color="000000"/>
              <w:right w:val="single" w:sz="4" w:space="0" w:color="auto"/>
            </w:tcBorders>
            <w:vAlign w:val="center"/>
            <w:hideMark/>
          </w:tcPr>
          <w:p w14:paraId="3CBD9EC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1805A2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3.1.6.2 Propozimi dhe zbatimi i një mekanizmi për ekzekutimin e vendimeve të GJEDNJ</w:t>
            </w:r>
          </w:p>
        </w:tc>
        <w:tc>
          <w:tcPr>
            <w:tcW w:w="1890" w:type="dxa"/>
            <w:tcBorders>
              <w:top w:val="nil"/>
              <w:left w:val="nil"/>
              <w:bottom w:val="single" w:sz="4" w:space="0" w:color="auto"/>
              <w:right w:val="single" w:sz="4" w:space="0" w:color="auto"/>
            </w:tcBorders>
            <w:shd w:val="clear" w:color="auto" w:fill="auto"/>
            <w:vAlign w:val="center"/>
            <w:hideMark/>
          </w:tcPr>
          <w:p w14:paraId="44109CF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ASH</w:t>
            </w:r>
          </w:p>
        </w:tc>
        <w:tc>
          <w:tcPr>
            <w:tcW w:w="1620" w:type="dxa"/>
            <w:tcBorders>
              <w:top w:val="nil"/>
              <w:left w:val="nil"/>
              <w:bottom w:val="single" w:sz="4" w:space="0" w:color="auto"/>
              <w:right w:val="single" w:sz="8" w:space="0" w:color="auto"/>
            </w:tcBorders>
            <w:shd w:val="clear" w:color="auto" w:fill="auto"/>
            <w:vAlign w:val="center"/>
            <w:hideMark/>
          </w:tcPr>
          <w:p w14:paraId="4C63363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15234DB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066A5E9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1B60A9C" w14:textId="77777777" w:rsidTr="0018109D">
        <w:trPr>
          <w:trHeight w:val="1404"/>
        </w:trPr>
        <w:tc>
          <w:tcPr>
            <w:tcW w:w="1790" w:type="dxa"/>
            <w:vMerge/>
            <w:tcBorders>
              <w:top w:val="nil"/>
              <w:left w:val="single" w:sz="8" w:space="0" w:color="auto"/>
              <w:bottom w:val="single" w:sz="8" w:space="0" w:color="000000"/>
              <w:right w:val="single" w:sz="4" w:space="0" w:color="auto"/>
            </w:tcBorders>
            <w:vAlign w:val="center"/>
            <w:hideMark/>
          </w:tcPr>
          <w:p w14:paraId="74F2AF0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D32B19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3.1.6.3 Sigurimi i aksesit online në të gjitha vendimet që lidhen me Shqipërinë në faqen e internetit të Avokaturës së Shtetit, duke mundësuar aksesin nëpërmjet elementeve që përmirësojnë kërkueshmërinë e vendimeve online (fjalët kyçe/ndarja sipas lëndës, etj)</w:t>
            </w:r>
          </w:p>
        </w:tc>
        <w:tc>
          <w:tcPr>
            <w:tcW w:w="1890" w:type="dxa"/>
            <w:tcBorders>
              <w:top w:val="nil"/>
              <w:left w:val="nil"/>
              <w:bottom w:val="single" w:sz="4" w:space="0" w:color="auto"/>
              <w:right w:val="single" w:sz="4" w:space="0" w:color="auto"/>
            </w:tcBorders>
            <w:shd w:val="clear" w:color="auto" w:fill="auto"/>
            <w:vAlign w:val="center"/>
            <w:hideMark/>
          </w:tcPr>
          <w:p w14:paraId="3CD47B8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ASH</w:t>
            </w:r>
          </w:p>
        </w:tc>
        <w:tc>
          <w:tcPr>
            <w:tcW w:w="1620" w:type="dxa"/>
            <w:tcBorders>
              <w:top w:val="nil"/>
              <w:left w:val="nil"/>
              <w:bottom w:val="single" w:sz="4" w:space="0" w:color="auto"/>
              <w:right w:val="single" w:sz="8" w:space="0" w:color="auto"/>
            </w:tcBorders>
            <w:shd w:val="clear" w:color="auto" w:fill="auto"/>
            <w:vAlign w:val="center"/>
            <w:hideMark/>
          </w:tcPr>
          <w:p w14:paraId="3E9392F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3E797B3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557918B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8641F86" w14:textId="77777777" w:rsidTr="0018109D">
        <w:trPr>
          <w:trHeight w:val="1239"/>
        </w:trPr>
        <w:tc>
          <w:tcPr>
            <w:tcW w:w="1790" w:type="dxa"/>
            <w:vMerge/>
            <w:tcBorders>
              <w:top w:val="nil"/>
              <w:left w:val="single" w:sz="8" w:space="0" w:color="auto"/>
              <w:bottom w:val="single" w:sz="8" w:space="0" w:color="000000"/>
              <w:right w:val="single" w:sz="4" w:space="0" w:color="auto"/>
            </w:tcBorders>
            <w:vAlign w:val="center"/>
            <w:hideMark/>
          </w:tcPr>
          <w:p w14:paraId="5FC1CC4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28C59B5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3.1.6.4 Koordinimi me institucionet e tjera për të adresuar kërkesat e specifikuara në vendimet e GJEDNJ.</w:t>
            </w:r>
          </w:p>
        </w:tc>
        <w:tc>
          <w:tcPr>
            <w:tcW w:w="1890" w:type="dxa"/>
            <w:tcBorders>
              <w:top w:val="nil"/>
              <w:left w:val="nil"/>
              <w:bottom w:val="single" w:sz="8" w:space="0" w:color="auto"/>
              <w:right w:val="single" w:sz="4" w:space="0" w:color="auto"/>
            </w:tcBorders>
            <w:shd w:val="clear" w:color="auto" w:fill="auto"/>
            <w:vAlign w:val="center"/>
            <w:hideMark/>
          </w:tcPr>
          <w:p w14:paraId="3FE4A47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ASH</w:t>
            </w:r>
          </w:p>
        </w:tc>
        <w:tc>
          <w:tcPr>
            <w:tcW w:w="1620" w:type="dxa"/>
            <w:tcBorders>
              <w:top w:val="nil"/>
              <w:left w:val="nil"/>
              <w:bottom w:val="single" w:sz="8" w:space="0" w:color="auto"/>
              <w:right w:val="single" w:sz="8" w:space="0" w:color="auto"/>
            </w:tcBorders>
            <w:shd w:val="clear" w:color="auto" w:fill="auto"/>
            <w:vAlign w:val="center"/>
            <w:hideMark/>
          </w:tcPr>
          <w:p w14:paraId="4185E62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Institucionet e sistemit të drejtësisë</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48DB7B9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2720979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E5AA379" w14:textId="77777777" w:rsidTr="0018109D">
        <w:trPr>
          <w:trHeight w:val="2304"/>
        </w:trPr>
        <w:tc>
          <w:tcPr>
            <w:tcW w:w="1790" w:type="dxa"/>
            <w:tcBorders>
              <w:top w:val="nil"/>
              <w:left w:val="single" w:sz="8" w:space="0" w:color="auto"/>
              <w:bottom w:val="single" w:sz="8" w:space="0" w:color="auto"/>
              <w:right w:val="single" w:sz="4" w:space="0" w:color="auto"/>
            </w:tcBorders>
            <w:shd w:val="clear" w:color="auto" w:fill="auto"/>
            <w:vAlign w:val="center"/>
            <w:hideMark/>
          </w:tcPr>
          <w:p w14:paraId="241A1CD7"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3.1.7 KLGJ-ja siguron mbledhjen dhe raportimin e të dhënave përkatëse për krimet e urrejtjes duke reflektuar rekomandimet e ODIHR</w:t>
            </w:r>
          </w:p>
        </w:tc>
        <w:tc>
          <w:tcPr>
            <w:tcW w:w="2520" w:type="dxa"/>
            <w:tcBorders>
              <w:top w:val="nil"/>
              <w:left w:val="nil"/>
              <w:bottom w:val="single" w:sz="8" w:space="0" w:color="auto"/>
              <w:right w:val="single" w:sz="4" w:space="0" w:color="auto"/>
            </w:tcBorders>
            <w:shd w:val="clear" w:color="auto" w:fill="auto"/>
            <w:vAlign w:val="center"/>
            <w:hideMark/>
          </w:tcPr>
          <w:p w14:paraId="18D130A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3.1.7.1 Mbledhje te dhenash statistikore te rasteve te krimeve te urrejtjes sipas kategorive te percaktuara ne raportet ODIHR: nr. i vendimeve gjyqesore mbi krimet e urrejtjes ku gjykata ka vendosur denimin e te akuzuarit.</w:t>
            </w:r>
          </w:p>
        </w:tc>
        <w:tc>
          <w:tcPr>
            <w:tcW w:w="1890" w:type="dxa"/>
            <w:tcBorders>
              <w:top w:val="nil"/>
              <w:left w:val="nil"/>
              <w:bottom w:val="single" w:sz="8" w:space="0" w:color="auto"/>
              <w:right w:val="single" w:sz="4" w:space="0" w:color="auto"/>
            </w:tcBorders>
            <w:shd w:val="clear" w:color="auto" w:fill="auto"/>
            <w:vAlign w:val="center"/>
            <w:hideMark/>
          </w:tcPr>
          <w:p w14:paraId="2C45757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8" w:space="0" w:color="auto"/>
              <w:right w:val="single" w:sz="4" w:space="0" w:color="auto"/>
            </w:tcBorders>
            <w:shd w:val="clear" w:color="auto" w:fill="auto"/>
            <w:vAlign w:val="center"/>
            <w:hideMark/>
          </w:tcPr>
          <w:p w14:paraId="7FB8A33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Sistemi Gjyqësor</w:t>
            </w:r>
          </w:p>
        </w:tc>
        <w:tc>
          <w:tcPr>
            <w:tcW w:w="1710" w:type="dxa"/>
            <w:tcBorders>
              <w:top w:val="nil"/>
              <w:left w:val="nil"/>
              <w:bottom w:val="single" w:sz="8" w:space="0" w:color="auto"/>
              <w:right w:val="single" w:sz="4" w:space="0" w:color="auto"/>
            </w:tcBorders>
            <w:shd w:val="clear" w:color="000000" w:fill="DDEBF7"/>
            <w:vAlign w:val="center"/>
            <w:hideMark/>
          </w:tcPr>
          <w:p w14:paraId="695B0D6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8" w:space="0" w:color="auto"/>
              <w:right w:val="single" w:sz="8" w:space="0" w:color="auto"/>
            </w:tcBorders>
            <w:shd w:val="clear" w:color="000000" w:fill="DDEBF7"/>
            <w:vAlign w:val="center"/>
            <w:hideMark/>
          </w:tcPr>
          <w:p w14:paraId="651F570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B71BEB9" w14:textId="77777777" w:rsidTr="0018109D">
        <w:trPr>
          <w:trHeight w:val="888"/>
        </w:trPr>
        <w:tc>
          <w:tcPr>
            <w:tcW w:w="4310" w:type="dxa"/>
            <w:gridSpan w:val="2"/>
            <w:tcBorders>
              <w:top w:val="nil"/>
              <w:left w:val="single" w:sz="8" w:space="0" w:color="auto"/>
              <w:bottom w:val="single" w:sz="8" w:space="0" w:color="auto"/>
              <w:right w:val="nil"/>
            </w:tcBorders>
            <w:shd w:val="clear" w:color="000000" w:fill="9CC2E5"/>
            <w:vAlign w:val="center"/>
            <w:hideMark/>
          </w:tcPr>
          <w:p w14:paraId="763E436D"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3.2:</w:t>
            </w:r>
          </w:p>
        </w:tc>
        <w:tc>
          <w:tcPr>
            <w:tcW w:w="6480" w:type="dxa"/>
            <w:gridSpan w:val="4"/>
            <w:tcBorders>
              <w:top w:val="nil"/>
              <w:left w:val="single" w:sz="8" w:space="0" w:color="auto"/>
              <w:bottom w:val="single" w:sz="8" w:space="0" w:color="auto"/>
              <w:right w:val="single" w:sz="8" w:space="0" w:color="000000"/>
            </w:tcBorders>
            <w:shd w:val="clear" w:color="000000" w:fill="9CC2E5"/>
            <w:vAlign w:val="center"/>
            <w:hideMark/>
          </w:tcPr>
          <w:p w14:paraId="4DADB125"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Përmirësimi i kapacitetit të PP, KLP dhe zyrave të prokurorisë, për zbatimin e masave që rrisin efikasitetin.</w:t>
            </w:r>
          </w:p>
        </w:tc>
      </w:tr>
      <w:tr w:rsidR="007440A2" w:rsidRPr="007440A2" w14:paraId="2781F8BE" w14:textId="77777777" w:rsidTr="0018109D">
        <w:trPr>
          <w:trHeight w:val="1152"/>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75AE705B"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40195941" w14:textId="459ACD02"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Deri ne fund te vitit 2030 garantohet ulja progresive e ngarkeses per prokuror e cila pritet te ndikoje pozitivisht ne eficencën e punës së prokurorisë, si dhe ne cilësine e hetimeve penale.</w:t>
            </w:r>
          </w:p>
        </w:tc>
      </w:tr>
      <w:tr w:rsidR="007440A2" w:rsidRPr="007440A2" w14:paraId="139B2650" w14:textId="77777777" w:rsidTr="0018109D">
        <w:trPr>
          <w:trHeight w:val="540"/>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40305A9A"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1A10AE06"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0CF0DB1F"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0F12FDEB"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66A3E90D"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393078E8"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03F3A854" w14:textId="77777777" w:rsidTr="0018109D">
        <w:trPr>
          <w:trHeight w:val="1305"/>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42199039"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3.2.1  KLP dhe PP hartojnë dhe miratojnë një strategji efikasiteti, shpërndarje të barabartë të ngarkesës për prokuroritë në të gjitha nivelet</w:t>
            </w:r>
          </w:p>
        </w:tc>
        <w:tc>
          <w:tcPr>
            <w:tcW w:w="2520" w:type="dxa"/>
            <w:tcBorders>
              <w:top w:val="nil"/>
              <w:left w:val="nil"/>
              <w:bottom w:val="single" w:sz="4" w:space="0" w:color="auto"/>
              <w:right w:val="single" w:sz="4" w:space="0" w:color="auto"/>
            </w:tcBorders>
            <w:shd w:val="clear" w:color="auto" w:fill="auto"/>
            <w:vAlign w:val="center"/>
            <w:hideMark/>
          </w:tcPr>
          <w:p w14:paraId="69BEA74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3.2.1.1 Ndjekja në vijimësi e plotësimit të vakancave të prokurorëve nga KLP, si dhe të opgj nga ana e Prokurorit të Përgjithshëm</w:t>
            </w:r>
          </w:p>
        </w:tc>
        <w:tc>
          <w:tcPr>
            <w:tcW w:w="1890" w:type="dxa"/>
            <w:tcBorders>
              <w:top w:val="nil"/>
              <w:left w:val="nil"/>
              <w:bottom w:val="single" w:sz="4" w:space="0" w:color="auto"/>
              <w:right w:val="single" w:sz="4" w:space="0" w:color="auto"/>
            </w:tcBorders>
            <w:shd w:val="clear" w:color="auto" w:fill="auto"/>
            <w:vAlign w:val="center"/>
            <w:hideMark/>
          </w:tcPr>
          <w:p w14:paraId="5224676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KLP, PP</w:t>
            </w:r>
          </w:p>
        </w:tc>
        <w:tc>
          <w:tcPr>
            <w:tcW w:w="1620" w:type="dxa"/>
            <w:tcBorders>
              <w:top w:val="nil"/>
              <w:left w:val="nil"/>
              <w:bottom w:val="single" w:sz="4" w:space="0" w:color="auto"/>
              <w:right w:val="single" w:sz="4" w:space="0" w:color="auto"/>
            </w:tcBorders>
            <w:shd w:val="clear" w:color="auto" w:fill="auto"/>
            <w:vAlign w:val="center"/>
            <w:hideMark/>
          </w:tcPr>
          <w:p w14:paraId="59A0742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Prokuroritë</w:t>
            </w:r>
          </w:p>
        </w:tc>
        <w:tc>
          <w:tcPr>
            <w:tcW w:w="1710" w:type="dxa"/>
            <w:tcBorders>
              <w:top w:val="nil"/>
              <w:left w:val="nil"/>
              <w:bottom w:val="single" w:sz="4" w:space="0" w:color="auto"/>
              <w:right w:val="single" w:sz="4" w:space="0" w:color="auto"/>
            </w:tcBorders>
            <w:shd w:val="clear" w:color="000000" w:fill="DDEBF7"/>
            <w:vAlign w:val="center"/>
            <w:hideMark/>
          </w:tcPr>
          <w:p w14:paraId="7B94AE7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1F520B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B3BA28F" w14:textId="77777777" w:rsidTr="0018109D">
        <w:trPr>
          <w:trHeight w:val="1305"/>
        </w:trPr>
        <w:tc>
          <w:tcPr>
            <w:tcW w:w="1790" w:type="dxa"/>
            <w:vMerge/>
            <w:tcBorders>
              <w:top w:val="nil"/>
              <w:left w:val="single" w:sz="8" w:space="0" w:color="auto"/>
              <w:bottom w:val="single" w:sz="8" w:space="0" w:color="000000"/>
              <w:right w:val="single" w:sz="4" w:space="0" w:color="auto"/>
            </w:tcBorders>
            <w:vAlign w:val="center"/>
            <w:hideMark/>
          </w:tcPr>
          <w:p w14:paraId="358D4E5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902754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3.2.1.2 Raportim periodik mbi ndryshimet organike në prokurori lidhur me rishpërndarjen e numrit organik  të prokurorëve apo opgj-ve, por edhe stafit mbështetës në varësi të nevojave të prokurorive.</w:t>
            </w:r>
          </w:p>
        </w:tc>
        <w:tc>
          <w:tcPr>
            <w:tcW w:w="1890" w:type="dxa"/>
            <w:tcBorders>
              <w:top w:val="nil"/>
              <w:left w:val="nil"/>
              <w:bottom w:val="single" w:sz="4" w:space="0" w:color="auto"/>
              <w:right w:val="single" w:sz="4" w:space="0" w:color="auto"/>
            </w:tcBorders>
            <w:shd w:val="clear" w:color="auto" w:fill="auto"/>
            <w:vAlign w:val="center"/>
            <w:hideMark/>
          </w:tcPr>
          <w:p w14:paraId="3E5A2EA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KLP, PP</w:t>
            </w:r>
          </w:p>
        </w:tc>
        <w:tc>
          <w:tcPr>
            <w:tcW w:w="1620" w:type="dxa"/>
            <w:tcBorders>
              <w:top w:val="nil"/>
              <w:left w:val="nil"/>
              <w:bottom w:val="single" w:sz="4" w:space="0" w:color="auto"/>
              <w:right w:val="single" w:sz="4" w:space="0" w:color="auto"/>
            </w:tcBorders>
            <w:shd w:val="clear" w:color="auto" w:fill="auto"/>
            <w:vAlign w:val="center"/>
            <w:hideMark/>
          </w:tcPr>
          <w:p w14:paraId="24BCEBA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Prokuroritë</w:t>
            </w:r>
          </w:p>
        </w:tc>
        <w:tc>
          <w:tcPr>
            <w:tcW w:w="1710" w:type="dxa"/>
            <w:tcBorders>
              <w:top w:val="nil"/>
              <w:left w:val="nil"/>
              <w:bottom w:val="single" w:sz="4" w:space="0" w:color="auto"/>
              <w:right w:val="single" w:sz="4" w:space="0" w:color="auto"/>
            </w:tcBorders>
            <w:shd w:val="clear" w:color="000000" w:fill="DDEBF7"/>
            <w:vAlign w:val="center"/>
            <w:hideMark/>
          </w:tcPr>
          <w:p w14:paraId="7EA837F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167896B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93B79F2" w14:textId="77777777" w:rsidTr="0018109D">
        <w:trPr>
          <w:trHeight w:val="1305"/>
        </w:trPr>
        <w:tc>
          <w:tcPr>
            <w:tcW w:w="1790" w:type="dxa"/>
            <w:vMerge/>
            <w:tcBorders>
              <w:top w:val="nil"/>
              <w:left w:val="single" w:sz="8" w:space="0" w:color="auto"/>
              <w:bottom w:val="single" w:sz="8" w:space="0" w:color="000000"/>
              <w:right w:val="single" w:sz="4" w:space="0" w:color="auto"/>
            </w:tcBorders>
            <w:vAlign w:val="center"/>
            <w:hideMark/>
          </w:tcPr>
          <w:p w14:paraId="29D80FE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60E612F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3.2.1.3 Monitorim periodik nga ana e Drejtorisë së IT në PP, për mirëfunksionimin teknik  të sistemit CAMS i cili kryen ndarjen rastësore të çështjeve.</w:t>
            </w:r>
          </w:p>
        </w:tc>
        <w:tc>
          <w:tcPr>
            <w:tcW w:w="1890" w:type="dxa"/>
            <w:tcBorders>
              <w:top w:val="nil"/>
              <w:left w:val="nil"/>
              <w:bottom w:val="single" w:sz="8" w:space="0" w:color="auto"/>
              <w:right w:val="single" w:sz="4" w:space="0" w:color="auto"/>
            </w:tcBorders>
            <w:shd w:val="clear" w:color="auto" w:fill="auto"/>
            <w:vAlign w:val="center"/>
            <w:hideMark/>
          </w:tcPr>
          <w:p w14:paraId="75725A9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w:t>
            </w:r>
          </w:p>
        </w:tc>
        <w:tc>
          <w:tcPr>
            <w:tcW w:w="1620" w:type="dxa"/>
            <w:tcBorders>
              <w:top w:val="nil"/>
              <w:left w:val="nil"/>
              <w:bottom w:val="single" w:sz="8" w:space="0" w:color="auto"/>
              <w:right w:val="single" w:sz="4" w:space="0" w:color="auto"/>
            </w:tcBorders>
            <w:shd w:val="clear" w:color="auto" w:fill="auto"/>
            <w:vAlign w:val="center"/>
            <w:hideMark/>
          </w:tcPr>
          <w:p w14:paraId="3F0AD41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1D77198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7D19FE3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CF3DA31" w14:textId="77777777" w:rsidTr="0018109D">
        <w:trPr>
          <w:trHeight w:val="1305"/>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29C228A2"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3.2.2 Burimet njerëzore dhe buxheti i duhur për të siguruar zbatimin praktik të strategjisë së efikasitetit/shpërndarjes së ngarkesës së punës.</w:t>
            </w:r>
          </w:p>
        </w:tc>
        <w:tc>
          <w:tcPr>
            <w:tcW w:w="2520" w:type="dxa"/>
            <w:tcBorders>
              <w:top w:val="nil"/>
              <w:left w:val="nil"/>
              <w:bottom w:val="single" w:sz="4" w:space="0" w:color="auto"/>
              <w:right w:val="single" w:sz="4" w:space="0" w:color="auto"/>
            </w:tcBorders>
            <w:shd w:val="clear" w:color="auto" w:fill="auto"/>
            <w:vAlign w:val="center"/>
            <w:hideMark/>
          </w:tcPr>
          <w:p w14:paraId="189DA20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3.2.2.1 Planifikimi i burimeve njerëzore dhe buxhetit të nevojshëm për zbatimin e strategjisë së efikasitetit</w:t>
            </w:r>
            <w:r w:rsidRPr="007440A2">
              <w:rPr>
                <w:rFonts w:ascii="Times New Roman" w:eastAsia="Times New Roman" w:hAnsi="Times New Roman" w:cs="Times New Roman"/>
                <w:strike/>
                <w:sz w:val="20"/>
                <w:szCs w:val="20"/>
              </w:rPr>
              <w:t xml:space="preserve"> </w:t>
            </w:r>
            <w:r w:rsidRPr="007440A2">
              <w:rPr>
                <w:rFonts w:ascii="Times New Roman" w:eastAsia="Times New Roman" w:hAnsi="Times New Roman" w:cs="Times New Roman"/>
                <w:sz w:val="20"/>
                <w:szCs w:val="20"/>
              </w:rPr>
              <w:t xml:space="preserve">çdo vit, duke përfshirë krijimin e një mekanizmi të brendshëm monitorues për zbatimin e planit. </w:t>
            </w:r>
          </w:p>
        </w:tc>
        <w:tc>
          <w:tcPr>
            <w:tcW w:w="1890" w:type="dxa"/>
            <w:tcBorders>
              <w:top w:val="nil"/>
              <w:left w:val="nil"/>
              <w:bottom w:val="single" w:sz="4" w:space="0" w:color="auto"/>
              <w:right w:val="single" w:sz="4" w:space="0" w:color="auto"/>
            </w:tcBorders>
            <w:shd w:val="clear" w:color="auto" w:fill="auto"/>
            <w:vAlign w:val="center"/>
            <w:hideMark/>
          </w:tcPr>
          <w:p w14:paraId="725D8B7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PP</w:t>
            </w:r>
          </w:p>
        </w:tc>
        <w:tc>
          <w:tcPr>
            <w:tcW w:w="1620" w:type="dxa"/>
            <w:tcBorders>
              <w:top w:val="nil"/>
              <w:left w:val="nil"/>
              <w:bottom w:val="single" w:sz="4" w:space="0" w:color="auto"/>
              <w:right w:val="single" w:sz="4" w:space="0" w:color="auto"/>
            </w:tcBorders>
            <w:shd w:val="clear" w:color="auto" w:fill="auto"/>
            <w:vAlign w:val="center"/>
            <w:hideMark/>
          </w:tcPr>
          <w:p w14:paraId="09BCDC9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Prokuroritë</w:t>
            </w:r>
          </w:p>
        </w:tc>
        <w:tc>
          <w:tcPr>
            <w:tcW w:w="1710" w:type="dxa"/>
            <w:tcBorders>
              <w:top w:val="nil"/>
              <w:left w:val="nil"/>
              <w:bottom w:val="single" w:sz="4" w:space="0" w:color="auto"/>
              <w:right w:val="single" w:sz="4" w:space="0" w:color="auto"/>
            </w:tcBorders>
            <w:shd w:val="clear" w:color="000000" w:fill="DDEBF7"/>
            <w:vAlign w:val="center"/>
            <w:hideMark/>
          </w:tcPr>
          <w:p w14:paraId="2D66ED0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609F5E5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5620586" w14:textId="77777777" w:rsidTr="0018109D">
        <w:trPr>
          <w:trHeight w:val="1305"/>
        </w:trPr>
        <w:tc>
          <w:tcPr>
            <w:tcW w:w="1790" w:type="dxa"/>
            <w:vMerge/>
            <w:tcBorders>
              <w:top w:val="nil"/>
              <w:left w:val="single" w:sz="8" w:space="0" w:color="auto"/>
              <w:bottom w:val="single" w:sz="8" w:space="0" w:color="000000"/>
              <w:right w:val="single" w:sz="4" w:space="0" w:color="auto"/>
            </w:tcBorders>
            <w:vAlign w:val="center"/>
            <w:hideMark/>
          </w:tcPr>
          <w:p w14:paraId="120683C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1EFA84C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3.2.2.2 Zbatimi i Planit Vjetor për buxhetin dhe BNJ.</w:t>
            </w:r>
          </w:p>
        </w:tc>
        <w:tc>
          <w:tcPr>
            <w:tcW w:w="1890" w:type="dxa"/>
            <w:tcBorders>
              <w:top w:val="nil"/>
              <w:left w:val="nil"/>
              <w:bottom w:val="single" w:sz="8" w:space="0" w:color="auto"/>
              <w:right w:val="single" w:sz="4" w:space="0" w:color="auto"/>
            </w:tcBorders>
            <w:shd w:val="clear" w:color="auto" w:fill="auto"/>
            <w:vAlign w:val="center"/>
            <w:hideMark/>
          </w:tcPr>
          <w:p w14:paraId="0BC44FB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w:t>
            </w:r>
          </w:p>
        </w:tc>
        <w:tc>
          <w:tcPr>
            <w:tcW w:w="1620" w:type="dxa"/>
            <w:tcBorders>
              <w:top w:val="nil"/>
              <w:left w:val="nil"/>
              <w:bottom w:val="single" w:sz="8" w:space="0" w:color="auto"/>
              <w:right w:val="single" w:sz="4" w:space="0" w:color="auto"/>
            </w:tcBorders>
            <w:shd w:val="clear" w:color="auto" w:fill="auto"/>
            <w:vAlign w:val="center"/>
            <w:hideMark/>
          </w:tcPr>
          <w:p w14:paraId="0533B4C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Prokuroritë</w:t>
            </w:r>
          </w:p>
        </w:tc>
        <w:tc>
          <w:tcPr>
            <w:tcW w:w="1710" w:type="dxa"/>
            <w:tcBorders>
              <w:top w:val="nil"/>
              <w:left w:val="nil"/>
              <w:bottom w:val="single" w:sz="8" w:space="0" w:color="auto"/>
              <w:right w:val="single" w:sz="4" w:space="0" w:color="auto"/>
            </w:tcBorders>
            <w:shd w:val="clear" w:color="000000" w:fill="DDEBF7"/>
            <w:vAlign w:val="center"/>
            <w:hideMark/>
          </w:tcPr>
          <w:p w14:paraId="2BAB8CE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6F48C2B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132196D" w14:textId="77777777" w:rsidTr="0018109D">
        <w:trPr>
          <w:trHeight w:val="1305"/>
        </w:trPr>
        <w:tc>
          <w:tcPr>
            <w:tcW w:w="179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C7ABE06"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3.2.3 KLP-ja përparon me emërimet e prokurorëve  në të gjitha nivelet.</w:t>
            </w:r>
          </w:p>
        </w:tc>
        <w:tc>
          <w:tcPr>
            <w:tcW w:w="2520" w:type="dxa"/>
            <w:tcBorders>
              <w:top w:val="single" w:sz="8" w:space="0" w:color="auto"/>
              <w:left w:val="nil"/>
              <w:bottom w:val="single" w:sz="4" w:space="0" w:color="auto"/>
              <w:right w:val="single" w:sz="4" w:space="0" w:color="auto"/>
            </w:tcBorders>
            <w:shd w:val="clear" w:color="auto" w:fill="auto"/>
            <w:vAlign w:val="center"/>
            <w:hideMark/>
          </w:tcPr>
          <w:p w14:paraId="7BD8A592" w14:textId="2F926955"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3.2.3.1</w:t>
            </w:r>
            <w:r w:rsidR="00BA6A27">
              <w:rPr>
                <w:rFonts w:ascii="Times New Roman" w:eastAsia="Times New Roman" w:hAnsi="Times New Roman" w:cs="Times New Roman"/>
                <w:sz w:val="20"/>
                <w:szCs w:val="20"/>
              </w:rPr>
              <w:t xml:space="preserve"> </w:t>
            </w:r>
            <w:r w:rsidRPr="007440A2">
              <w:rPr>
                <w:rFonts w:ascii="Times New Roman" w:eastAsia="Times New Roman" w:hAnsi="Times New Roman" w:cs="Times New Roman"/>
                <w:sz w:val="20"/>
                <w:szCs w:val="20"/>
              </w:rPr>
              <w:t>Hartimi dhe miratimi i një plani për emërimet dhe caktimet në pozicione të magjistratëve të sapodiplomuar në SHM.</w:t>
            </w:r>
          </w:p>
        </w:tc>
        <w:tc>
          <w:tcPr>
            <w:tcW w:w="1890" w:type="dxa"/>
            <w:tcBorders>
              <w:top w:val="single" w:sz="8" w:space="0" w:color="auto"/>
              <w:left w:val="nil"/>
              <w:bottom w:val="single" w:sz="4" w:space="0" w:color="auto"/>
              <w:right w:val="single" w:sz="4" w:space="0" w:color="auto"/>
            </w:tcBorders>
            <w:shd w:val="clear" w:color="auto" w:fill="auto"/>
            <w:vAlign w:val="center"/>
            <w:hideMark/>
          </w:tcPr>
          <w:p w14:paraId="4154D77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KLP</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6EDB9D3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single" w:sz="8" w:space="0" w:color="auto"/>
              <w:left w:val="nil"/>
              <w:bottom w:val="single" w:sz="4" w:space="0" w:color="auto"/>
              <w:right w:val="single" w:sz="4" w:space="0" w:color="auto"/>
            </w:tcBorders>
            <w:shd w:val="clear" w:color="000000" w:fill="DDEBF7"/>
            <w:vAlign w:val="center"/>
            <w:hideMark/>
          </w:tcPr>
          <w:p w14:paraId="7A2B39C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single" w:sz="8" w:space="0" w:color="auto"/>
              <w:left w:val="nil"/>
              <w:bottom w:val="single" w:sz="4" w:space="0" w:color="auto"/>
              <w:right w:val="single" w:sz="8" w:space="0" w:color="auto"/>
            </w:tcBorders>
            <w:shd w:val="clear" w:color="000000" w:fill="DDEBF7"/>
            <w:vAlign w:val="center"/>
            <w:hideMark/>
          </w:tcPr>
          <w:p w14:paraId="67541EE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76F1C58" w14:textId="77777777" w:rsidTr="0018109D">
        <w:trPr>
          <w:trHeight w:val="1305"/>
        </w:trPr>
        <w:tc>
          <w:tcPr>
            <w:tcW w:w="1790" w:type="dxa"/>
            <w:vMerge/>
            <w:tcBorders>
              <w:top w:val="single" w:sz="8" w:space="0" w:color="auto"/>
              <w:left w:val="single" w:sz="8" w:space="0" w:color="auto"/>
              <w:bottom w:val="single" w:sz="8" w:space="0" w:color="000000"/>
              <w:right w:val="single" w:sz="4" w:space="0" w:color="auto"/>
            </w:tcBorders>
            <w:vAlign w:val="center"/>
            <w:hideMark/>
          </w:tcPr>
          <w:p w14:paraId="1A062319"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87D27E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3.2.3.2 Krijimi i një mekanizmi efikas koordinimi me institucionet që ofrojnë informacionin e nevojshëm për kontrollin e pasurisë dhe të figurës së kandidatëve magjistratë. </w:t>
            </w:r>
          </w:p>
        </w:tc>
        <w:tc>
          <w:tcPr>
            <w:tcW w:w="1890" w:type="dxa"/>
            <w:tcBorders>
              <w:top w:val="nil"/>
              <w:left w:val="nil"/>
              <w:bottom w:val="single" w:sz="4" w:space="0" w:color="auto"/>
              <w:right w:val="single" w:sz="4" w:space="0" w:color="auto"/>
            </w:tcBorders>
            <w:shd w:val="clear" w:color="auto" w:fill="auto"/>
            <w:vAlign w:val="center"/>
            <w:hideMark/>
          </w:tcPr>
          <w:p w14:paraId="7470E77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KLP</w:t>
            </w:r>
          </w:p>
        </w:tc>
        <w:tc>
          <w:tcPr>
            <w:tcW w:w="1620" w:type="dxa"/>
            <w:tcBorders>
              <w:top w:val="nil"/>
              <w:left w:val="nil"/>
              <w:bottom w:val="single" w:sz="4" w:space="0" w:color="auto"/>
              <w:right w:val="single" w:sz="4" w:space="0" w:color="auto"/>
            </w:tcBorders>
            <w:shd w:val="clear" w:color="auto" w:fill="auto"/>
            <w:vAlign w:val="center"/>
            <w:hideMark/>
          </w:tcPr>
          <w:p w14:paraId="2A6CA78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2564DF0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9CC233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613F3CC" w14:textId="77777777" w:rsidTr="0018109D">
        <w:trPr>
          <w:trHeight w:val="1305"/>
        </w:trPr>
        <w:tc>
          <w:tcPr>
            <w:tcW w:w="1790" w:type="dxa"/>
            <w:vMerge/>
            <w:tcBorders>
              <w:top w:val="single" w:sz="8" w:space="0" w:color="auto"/>
              <w:left w:val="single" w:sz="8" w:space="0" w:color="auto"/>
              <w:bottom w:val="single" w:sz="8" w:space="0" w:color="000000"/>
              <w:right w:val="single" w:sz="4" w:space="0" w:color="auto"/>
            </w:tcBorders>
            <w:vAlign w:val="center"/>
            <w:hideMark/>
          </w:tcPr>
          <w:p w14:paraId="1C9F140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1DCFB23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3.2.3.3 Zbatimi i planit të emërimeve dhe caktimeve në pozicione të magjistratëve të sapodiplomuar në SHM.</w:t>
            </w:r>
          </w:p>
        </w:tc>
        <w:tc>
          <w:tcPr>
            <w:tcW w:w="1890" w:type="dxa"/>
            <w:tcBorders>
              <w:top w:val="nil"/>
              <w:left w:val="nil"/>
              <w:bottom w:val="single" w:sz="8" w:space="0" w:color="auto"/>
              <w:right w:val="single" w:sz="4" w:space="0" w:color="auto"/>
            </w:tcBorders>
            <w:shd w:val="clear" w:color="auto" w:fill="auto"/>
            <w:vAlign w:val="center"/>
            <w:hideMark/>
          </w:tcPr>
          <w:p w14:paraId="43F412B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KLP</w:t>
            </w:r>
          </w:p>
        </w:tc>
        <w:tc>
          <w:tcPr>
            <w:tcW w:w="1620" w:type="dxa"/>
            <w:tcBorders>
              <w:top w:val="nil"/>
              <w:left w:val="nil"/>
              <w:bottom w:val="single" w:sz="8" w:space="0" w:color="auto"/>
              <w:right w:val="single" w:sz="4" w:space="0" w:color="auto"/>
            </w:tcBorders>
            <w:shd w:val="clear" w:color="auto" w:fill="auto"/>
            <w:vAlign w:val="center"/>
            <w:hideMark/>
          </w:tcPr>
          <w:p w14:paraId="057EB53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w:t>
            </w:r>
          </w:p>
        </w:tc>
        <w:tc>
          <w:tcPr>
            <w:tcW w:w="1710" w:type="dxa"/>
            <w:tcBorders>
              <w:top w:val="nil"/>
              <w:left w:val="nil"/>
              <w:bottom w:val="single" w:sz="8" w:space="0" w:color="auto"/>
              <w:right w:val="single" w:sz="4" w:space="0" w:color="auto"/>
            </w:tcBorders>
            <w:shd w:val="clear" w:color="000000" w:fill="DDEBF7"/>
            <w:vAlign w:val="center"/>
            <w:hideMark/>
          </w:tcPr>
          <w:p w14:paraId="68FA1A4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5DCEEAD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D78B63F" w14:textId="77777777" w:rsidTr="0018109D">
        <w:trPr>
          <w:trHeight w:val="1464"/>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267CD412"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3.2.4 KLP zgjeron më tej procedurat e vlerësimit dhe avancimit ne karriere të prokuroreve bazuar në kriteret cilësore dhe sasiore dhe rritjen e transparencës së procesit. </w:t>
            </w:r>
          </w:p>
        </w:tc>
        <w:tc>
          <w:tcPr>
            <w:tcW w:w="2520" w:type="dxa"/>
            <w:tcBorders>
              <w:top w:val="nil"/>
              <w:left w:val="nil"/>
              <w:bottom w:val="single" w:sz="4" w:space="0" w:color="auto"/>
              <w:right w:val="single" w:sz="4" w:space="0" w:color="auto"/>
            </w:tcBorders>
            <w:shd w:val="clear" w:color="auto" w:fill="auto"/>
            <w:vAlign w:val="center"/>
            <w:hideMark/>
          </w:tcPr>
          <w:p w14:paraId="1DE06CC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3.2.4.1 Hartimi i analizës nga KLP që synon vlerësimin e brendshëm të proceseve të vlerësimit të performancës dhe avancimit ne karriere të prokuroreve  dhe transparencën e tyre, duke përfshirë rekomandimet për përmirësimin e procedurave dhe përmirësimin e transparencës </w:t>
            </w:r>
          </w:p>
        </w:tc>
        <w:tc>
          <w:tcPr>
            <w:tcW w:w="1890" w:type="dxa"/>
            <w:tcBorders>
              <w:top w:val="nil"/>
              <w:left w:val="nil"/>
              <w:bottom w:val="single" w:sz="4" w:space="0" w:color="auto"/>
              <w:right w:val="single" w:sz="4" w:space="0" w:color="auto"/>
            </w:tcBorders>
            <w:shd w:val="clear" w:color="auto" w:fill="auto"/>
            <w:vAlign w:val="center"/>
            <w:hideMark/>
          </w:tcPr>
          <w:p w14:paraId="45BA485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KLP</w:t>
            </w:r>
          </w:p>
        </w:tc>
        <w:tc>
          <w:tcPr>
            <w:tcW w:w="1620" w:type="dxa"/>
            <w:tcBorders>
              <w:top w:val="nil"/>
              <w:left w:val="nil"/>
              <w:bottom w:val="single" w:sz="4" w:space="0" w:color="auto"/>
              <w:right w:val="single" w:sz="4" w:space="0" w:color="auto"/>
            </w:tcBorders>
            <w:shd w:val="clear" w:color="auto" w:fill="auto"/>
            <w:vAlign w:val="center"/>
            <w:hideMark/>
          </w:tcPr>
          <w:p w14:paraId="16760BF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w:t>
            </w:r>
          </w:p>
        </w:tc>
        <w:tc>
          <w:tcPr>
            <w:tcW w:w="1710" w:type="dxa"/>
            <w:tcBorders>
              <w:top w:val="nil"/>
              <w:left w:val="nil"/>
              <w:bottom w:val="single" w:sz="4" w:space="0" w:color="auto"/>
              <w:right w:val="single" w:sz="4" w:space="0" w:color="auto"/>
            </w:tcBorders>
            <w:shd w:val="clear" w:color="000000" w:fill="DDEBF7"/>
            <w:vAlign w:val="center"/>
            <w:hideMark/>
          </w:tcPr>
          <w:p w14:paraId="49B6052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6F1989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02A37903" w14:textId="77777777" w:rsidTr="0018109D">
        <w:trPr>
          <w:trHeight w:val="1305"/>
        </w:trPr>
        <w:tc>
          <w:tcPr>
            <w:tcW w:w="1790" w:type="dxa"/>
            <w:vMerge/>
            <w:tcBorders>
              <w:top w:val="nil"/>
              <w:left w:val="single" w:sz="8" w:space="0" w:color="auto"/>
              <w:bottom w:val="single" w:sz="8" w:space="0" w:color="000000"/>
              <w:right w:val="single" w:sz="4" w:space="0" w:color="auto"/>
            </w:tcBorders>
            <w:vAlign w:val="center"/>
            <w:hideMark/>
          </w:tcPr>
          <w:p w14:paraId="7AF46859"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D5419E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3.2.4.2 Zbatimi i rekomandimeve të dala nga analiza</w:t>
            </w:r>
          </w:p>
        </w:tc>
        <w:tc>
          <w:tcPr>
            <w:tcW w:w="1890" w:type="dxa"/>
            <w:tcBorders>
              <w:top w:val="nil"/>
              <w:left w:val="nil"/>
              <w:bottom w:val="single" w:sz="4" w:space="0" w:color="auto"/>
              <w:right w:val="single" w:sz="4" w:space="0" w:color="auto"/>
            </w:tcBorders>
            <w:shd w:val="clear" w:color="auto" w:fill="auto"/>
            <w:vAlign w:val="center"/>
            <w:hideMark/>
          </w:tcPr>
          <w:p w14:paraId="6E72078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KLP</w:t>
            </w:r>
          </w:p>
        </w:tc>
        <w:tc>
          <w:tcPr>
            <w:tcW w:w="1620" w:type="dxa"/>
            <w:tcBorders>
              <w:top w:val="nil"/>
              <w:left w:val="nil"/>
              <w:bottom w:val="single" w:sz="4" w:space="0" w:color="auto"/>
              <w:right w:val="single" w:sz="4" w:space="0" w:color="auto"/>
            </w:tcBorders>
            <w:shd w:val="clear" w:color="auto" w:fill="auto"/>
            <w:vAlign w:val="center"/>
            <w:hideMark/>
          </w:tcPr>
          <w:p w14:paraId="2797E61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w:t>
            </w:r>
          </w:p>
        </w:tc>
        <w:tc>
          <w:tcPr>
            <w:tcW w:w="1710" w:type="dxa"/>
            <w:tcBorders>
              <w:top w:val="nil"/>
              <w:left w:val="nil"/>
              <w:bottom w:val="single" w:sz="4" w:space="0" w:color="auto"/>
              <w:right w:val="single" w:sz="4" w:space="0" w:color="auto"/>
            </w:tcBorders>
            <w:shd w:val="clear" w:color="000000" w:fill="DDEBF7"/>
            <w:vAlign w:val="center"/>
            <w:hideMark/>
          </w:tcPr>
          <w:p w14:paraId="0962D99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304282D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709A7191" w14:textId="77777777" w:rsidTr="0018109D">
        <w:trPr>
          <w:trHeight w:val="1305"/>
        </w:trPr>
        <w:tc>
          <w:tcPr>
            <w:tcW w:w="1790" w:type="dxa"/>
            <w:vMerge/>
            <w:tcBorders>
              <w:top w:val="nil"/>
              <w:left w:val="single" w:sz="8" w:space="0" w:color="auto"/>
              <w:bottom w:val="single" w:sz="8" w:space="0" w:color="000000"/>
              <w:right w:val="single" w:sz="4" w:space="0" w:color="auto"/>
            </w:tcBorders>
            <w:vAlign w:val="center"/>
            <w:hideMark/>
          </w:tcPr>
          <w:p w14:paraId="54660CF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A0BD49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3.2.4.3 Vlerësimi i efikasitetit të zbatimit të rekomandimeve dhe ndikimi i tyre në cilësinë, kohëzgjatjen dhe transparencën e procedurave. </w:t>
            </w:r>
          </w:p>
        </w:tc>
        <w:tc>
          <w:tcPr>
            <w:tcW w:w="1890" w:type="dxa"/>
            <w:tcBorders>
              <w:top w:val="nil"/>
              <w:left w:val="nil"/>
              <w:bottom w:val="single" w:sz="4" w:space="0" w:color="auto"/>
              <w:right w:val="single" w:sz="4" w:space="0" w:color="auto"/>
            </w:tcBorders>
            <w:shd w:val="clear" w:color="auto" w:fill="auto"/>
            <w:vAlign w:val="center"/>
            <w:hideMark/>
          </w:tcPr>
          <w:p w14:paraId="62E6AD0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KLP</w:t>
            </w:r>
          </w:p>
        </w:tc>
        <w:tc>
          <w:tcPr>
            <w:tcW w:w="1620" w:type="dxa"/>
            <w:tcBorders>
              <w:top w:val="nil"/>
              <w:left w:val="nil"/>
              <w:bottom w:val="single" w:sz="4" w:space="0" w:color="auto"/>
              <w:right w:val="single" w:sz="4" w:space="0" w:color="auto"/>
            </w:tcBorders>
            <w:shd w:val="clear" w:color="auto" w:fill="auto"/>
            <w:vAlign w:val="center"/>
            <w:hideMark/>
          </w:tcPr>
          <w:p w14:paraId="46896E3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2155168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584F2DB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0E26CABC" w14:textId="77777777" w:rsidTr="0018109D">
        <w:trPr>
          <w:trHeight w:val="1305"/>
        </w:trPr>
        <w:tc>
          <w:tcPr>
            <w:tcW w:w="1790" w:type="dxa"/>
            <w:vMerge/>
            <w:tcBorders>
              <w:top w:val="nil"/>
              <w:left w:val="single" w:sz="8" w:space="0" w:color="auto"/>
              <w:bottom w:val="single" w:sz="8" w:space="0" w:color="000000"/>
              <w:right w:val="single" w:sz="4" w:space="0" w:color="auto"/>
            </w:tcBorders>
            <w:vAlign w:val="center"/>
            <w:hideMark/>
          </w:tcPr>
          <w:p w14:paraId="7003B39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590CD77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3.2.4.4 Publikimi i rregullt dhe ne kohe i vendimeve te Keshillit mbi procedurat e vleresimit te performances dhe avancimit ne karriere te prokuroreve</w:t>
            </w:r>
          </w:p>
        </w:tc>
        <w:tc>
          <w:tcPr>
            <w:tcW w:w="1890" w:type="dxa"/>
            <w:tcBorders>
              <w:top w:val="nil"/>
              <w:left w:val="nil"/>
              <w:bottom w:val="single" w:sz="8" w:space="0" w:color="auto"/>
              <w:right w:val="single" w:sz="4" w:space="0" w:color="auto"/>
            </w:tcBorders>
            <w:shd w:val="clear" w:color="auto" w:fill="auto"/>
            <w:vAlign w:val="center"/>
            <w:hideMark/>
          </w:tcPr>
          <w:p w14:paraId="5CB2813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KLP</w:t>
            </w:r>
          </w:p>
        </w:tc>
        <w:tc>
          <w:tcPr>
            <w:tcW w:w="1620" w:type="dxa"/>
            <w:tcBorders>
              <w:top w:val="nil"/>
              <w:left w:val="nil"/>
              <w:bottom w:val="single" w:sz="8" w:space="0" w:color="auto"/>
              <w:right w:val="single" w:sz="4" w:space="0" w:color="auto"/>
            </w:tcBorders>
            <w:shd w:val="clear" w:color="auto" w:fill="auto"/>
            <w:vAlign w:val="center"/>
            <w:hideMark/>
          </w:tcPr>
          <w:p w14:paraId="4714E3E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0778714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329EB8D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CD8D3CD" w14:textId="77777777" w:rsidTr="0018109D">
        <w:trPr>
          <w:trHeight w:val="1305"/>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013C369D"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3.2.5 Sigurohet zbatimi në kohë dhe efikas i vendimeve gjyqësore të formës së prerë.</w:t>
            </w:r>
          </w:p>
        </w:tc>
        <w:tc>
          <w:tcPr>
            <w:tcW w:w="2520" w:type="dxa"/>
            <w:tcBorders>
              <w:top w:val="nil"/>
              <w:left w:val="nil"/>
              <w:bottom w:val="single" w:sz="4" w:space="0" w:color="auto"/>
              <w:right w:val="single" w:sz="4" w:space="0" w:color="auto"/>
            </w:tcBorders>
            <w:shd w:val="clear" w:color="auto" w:fill="auto"/>
            <w:vAlign w:val="center"/>
            <w:hideMark/>
          </w:tcPr>
          <w:p w14:paraId="7E07CDD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3.2.5.1 Monitorim për zbatimin e Udhëzimit të Prokurorit të Përgjithshëm </w:t>
            </w:r>
            <w:r w:rsidRPr="007440A2">
              <w:rPr>
                <w:rFonts w:ascii="Times New Roman" w:eastAsia="Times New Roman" w:hAnsi="Times New Roman" w:cs="Times New Roman"/>
                <w:sz w:val="20"/>
                <w:szCs w:val="20"/>
              </w:rPr>
              <w:br/>
              <w:t xml:space="preserve">për ekzekutimin e vendimeve të formës së prerë; </w:t>
            </w:r>
          </w:p>
        </w:tc>
        <w:tc>
          <w:tcPr>
            <w:tcW w:w="1890" w:type="dxa"/>
            <w:tcBorders>
              <w:top w:val="nil"/>
              <w:left w:val="nil"/>
              <w:bottom w:val="single" w:sz="4" w:space="0" w:color="auto"/>
              <w:right w:val="single" w:sz="4" w:space="0" w:color="auto"/>
            </w:tcBorders>
            <w:shd w:val="clear" w:color="auto" w:fill="auto"/>
            <w:vAlign w:val="center"/>
            <w:hideMark/>
          </w:tcPr>
          <w:p w14:paraId="0C71BDA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w:t>
            </w:r>
          </w:p>
        </w:tc>
        <w:tc>
          <w:tcPr>
            <w:tcW w:w="1620" w:type="dxa"/>
            <w:tcBorders>
              <w:top w:val="nil"/>
              <w:left w:val="nil"/>
              <w:bottom w:val="single" w:sz="4" w:space="0" w:color="auto"/>
              <w:right w:val="single" w:sz="4" w:space="0" w:color="auto"/>
            </w:tcBorders>
            <w:shd w:val="clear" w:color="auto" w:fill="auto"/>
            <w:vAlign w:val="center"/>
            <w:hideMark/>
          </w:tcPr>
          <w:p w14:paraId="028491C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Prokuroritë</w:t>
            </w:r>
          </w:p>
        </w:tc>
        <w:tc>
          <w:tcPr>
            <w:tcW w:w="1710" w:type="dxa"/>
            <w:tcBorders>
              <w:top w:val="nil"/>
              <w:left w:val="nil"/>
              <w:bottom w:val="single" w:sz="4" w:space="0" w:color="auto"/>
              <w:right w:val="nil"/>
            </w:tcBorders>
            <w:shd w:val="clear" w:color="000000" w:fill="DDEBF7"/>
            <w:vAlign w:val="center"/>
            <w:hideMark/>
          </w:tcPr>
          <w:p w14:paraId="32D9FD7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single" w:sz="4" w:space="0" w:color="auto"/>
              <w:bottom w:val="single" w:sz="4" w:space="0" w:color="auto"/>
              <w:right w:val="single" w:sz="8" w:space="0" w:color="auto"/>
            </w:tcBorders>
            <w:shd w:val="clear" w:color="000000" w:fill="DDEBF7"/>
            <w:vAlign w:val="center"/>
            <w:hideMark/>
          </w:tcPr>
          <w:p w14:paraId="6FDD036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2028</w:t>
            </w:r>
          </w:p>
        </w:tc>
      </w:tr>
      <w:tr w:rsidR="007440A2" w:rsidRPr="007440A2" w14:paraId="3A55C4E9" w14:textId="77777777" w:rsidTr="0018109D">
        <w:trPr>
          <w:trHeight w:val="1500"/>
        </w:trPr>
        <w:tc>
          <w:tcPr>
            <w:tcW w:w="1790" w:type="dxa"/>
            <w:vMerge/>
            <w:tcBorders>
              <w:top w:val="nil"/>
              <w:left w:val="single" w:sz="8" w:space="0" w:color="auto"/>
              <w:bottom w:val="single" w:sz="8" w:space="0" w:color="000000"/>
              <w:right w:val="single" w:sz="4" w:space="0" w:color="auto"/>
            </w:tcBorders>
            <w:vAlign w:val="center"/>
            <w:hideMark/>
          </w:tcPr>
          <w:p w14:paraId="75420E4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22B8DF9" w14:textId="1EDF9C1A"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3.2.5.2 Raportim periodik lidhur me numrin dhe ekzekutimin e vendimeve penale të formës së prerë; </w:t>
            </w:r>
          </w:p>
        </w:tc>
        <w:tc>
          <w:tcPr>
            <w:tcW w:w="1890" w:type="dxa"/>
            <w:tcBorders>
              <w:top w:val="nil"/>
              <w:left w:val="nil"/>
              <w:bottom w:val="single" w:sz="4" w:space="0" w:color="auto"/>
              <w:right w:val="single" w:sz="4" w:space="0" w:color="auto"/>
            </w:tcBorders>
            <w:shd w:val="clear" w:color="auto" w:fill="auto"/>
            <w:vAlign w:val="center"/>
            <w:hideMark/>
          </w:tcPr>
          <w:p w14:paraId="5BF22F7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w:t>
            </w:r>
          </w:p>
        </w:tc>
        <w:tc>
          <w:tcPr>
            <w:tcW w:w="1620" w:type="dxa"/>
            <w:tcBorders>
              <w:top w:val="nil"/>
              <w:left w:val="nil"/>
              <w:bottom w:val="single" w:sz="4" w:space="0" w:color="auto"/>
              <w:right w:val="single" w:sz="4" w:space="0" w:color="auto"/>
            </w:tcBorders>
            <w:shd w:val="clear" w:color="auto" w:fill="auto"/>
            <w:vAlign w:val="center"/>
            <w:hideMark/>
          </w:tcPr>
          <w:p w14:paraId="751305C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Prokuroritë</w:t>
            </w:r>
          </w:p>
        </w:tc>
        <w:tc>
          <w:tcPr>
            <w:tcW w:w="1710" w:type="dxa"/>
            <w:tcBorders>
              <w:top w:val="nil"/>
              <w:left w:val="nil"/>
              <w:bottom w:val="single" w:sz="4" w:space="0" w:color="auto"/>
              <w:right w:val="nil"/>
            </w:tcBorders>
            <w:shd w:val="clear" w:color="000000" w:fill="DDEBF7"/>
            <w:vAlign w:val="center"/>
            <w:hideMark/>
          </w:tcPr>
          <w:p w14:paraId="75D17A3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single" w:sz="4" w:space="0" w:color="auto"/>
              <w:bottom w:val="single" w:sz="4" w:space="0" w:color="auto"/>
              <w:right w:val="single" w:sz="8" w:space="0" w:color="auto"/>
            </w:tcBorders>
            <w:shd w:val="clear" w:color="000000" w:fill="DDEBF7"/>
            <w:vAlign w:val="center"/>
            <w:hideMark/>
          </w:tcPr>
          <w:p w14:paraId="004A381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3399C88" w14:textId="77777777" w:rsidTr="0018109D">
        <w:trPr>
          <w:trHeight w:val="1008"/>
        </w:trPr>
        <w:tc>
          <w:tcPr>
            <w:tcW w:w="1790" w:type="dxa"/>
            <w:vMerge/>
            <w:tcBorders>
              <w:top w:val="nil"/>
              <w:left w:val="single" w:sz="8" w:space="0" w:color="auto"/>
              <w:bottom w:val="single" w:sz="8" w:space="0" w:color="000000"/>
              <w:right w:val="single" w:sz="4" w:space="0" w:color="auto"/>
            </w:tcBorders>
            <w:vAlign w:val="center"/>
            <w:hideMark/>
          </w:tcPr>
          <w:p w14:paraId="076FE53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AB9CE5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3.2.5.3 Kryerja e analizave vjetore mbi gjendjen e kriminalitetit në vend përfshirë zbatimin e vendimeve penale të formës së prerë; </w:t>
            </w:r>
          </w:p>
        </w:tc>
        <w:tc>
          <w:tcPr>
            <w:tcW w:w="1890" w:type="dxa"/>
            <w:tcBorders>
              <w:top w:val="nil"/>
              <w:left w:val="nil"/>
              <w:bottom w:val="single" w:sz="4" w:space="0" w:color="auto"/>
              <w:right w:val="single" w:sz="4" w:space="0" w:color="auto"/>
            </w:tcBorders>
            <w:shd w:val="clear" w:color="auto" w:fill="auto"/>
            <w:vAlign w:val="center"/>
            <w:hideMark/>
          </w:tcPr>
          <w:p w14:paraId="752DCB8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w:t>
            </w:r>
          </w:p>
        </w:tc>
        <w:tc>
          <w:tcPr>
            <w:tcW w:w="1620" w:type="dxa"/>
            <w:tcBorders>
              <w:top w:val="nil"/>
              <w:left w:val="nil"/>
              <w:bottom w:val="single" w:sz="4" w:space="0" w:color="auto"/>
              <w:right w:val="single" w:sz="4" w:space="0" w:color="auto"/>
            </w:tcBorders>
            <w:shd w:val="clear" w:color="auto" w:fill="auto"/>
            <w:vAlign w:val="center"/>
            <w:hideMark/>
          </w:tcPr>
          <w:p w14:paraId="78E4DCE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Prokuroritë</w:t>
            </w:r>
          </w:p>
        </w:tc>
        <w:tc>
          <w:tcPr>
            <w:tcW w:w="1710" w:type="dxa"/>
            <w:tcBorders>
              <w:top w:val="nil"/>
              <w:left w:val="nil"/>
              <w:bottom w:val="single" w:sz="4" w:space="0" w:color="auto"/>
              <w:right w:val="nil"/>
            </w:tcBorders>
            <w:shd w:val="clear" w:color="000000" w:fill="DDEBF7"/>
            <w:vAlign w:val="center"/>
            <w:hideMark/>
          </w:tcPr>
          <w:p w14:paraId="7EFC011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single" w:sz="4" w:space="0" w:color="auto"/>
              <w:bottom w:val="single" w:sz="4" w:space="0" w:color="auto"/>
              <w:right w:val="single" w:sz="8" w:space="0" w:color="auto"/>
            </w:tcBorders>
            <w:shd w:val="clear" w:color="000000" w:fill="DDEBF7"/>
            <w:vAlign w:val="center"/>
            <w:hideMark/>
          </w:tcPr>
          <w:p w14:paraId="24C34BA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A31A94C" w14:textId="77777777" w:rsidTr="0018109D">
        <w:trPr>
          <w:trHeight w:val="612"/>
        </w:trPr>
        <w:tc>
          <w:tcPr>
            <w:tcW w:w="1790" w:type="dxa"/>
            <w:vMerge/>
            <w:tcBorders>
              <w:top w:val="nil"/>
              <w:left w:val="single" w:sz="8" w:space="0" w:color="auto"/>
              <w:bottom w:val="single" w:sz="8" w:space="0" w:color="000000"/>
              <w:right w:val="single" w:sz="4" w:space="0" w:color="auto"/>
            </w:tcBorders>
            <w:vAlign w:val="center"/>
            <w:hideMark/>
          </w:tcPr>
          <w:p w14:paraId="0436F1F7"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AED3B3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3.2.5.4 Hartimi i analizave, duke përfshirë një plan (nga secili institucion), për ekzekutimin në kohë dhe në mënyrë efikase të vendimeve gjyqësore, identifikimin e arsyeve të vonesave dhe sugjerimin e masave korrigjuese </w:t>
            </w:r>
          </w:p>
        </w:tc>
        <w:tc>
          <w:tcPr>
            <w:tcW w:w="1890" w:type="dxa"/>
            <w:tcBorders>
              <w:top w:val="nil"/>
              <w:left w:val="nil"/>
              <w:bottom w:val="single" w:sz="4" w:space="0" w:color="auto"/>
              <w:right w:val="single" w:sz="4" w:space="0" w:color="auto"/>
            </w:tcBorders>
            <w:shd w:val="clear" w:color="auto" w:fill="auto"/>
            <w:vAlign w:val="center"/>
            <w:hideMark/>
          </w:tcPr>
          <w:p w14:paraId="0A05867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DPB, DSHP, DPP</w:t>
            </w:r>
          </w:p>
        </w:tc>
        <w:tc>
          <w:tcPr>
            <w:tcW w:w="1620" w:type="dxa"/>
            <w:tcBorders>
              <w:top w:val="nil"/>
              <w:left w:val="nil"/>
              <w:bottom w:val="single" w:sz="4" w:space="0" w:color="auto"/>
              <w:right w:val="single" w:sz="4" w:space="0" w:color="auto"/>
            </w:tcBorders>
            <w:shd w:val="clear" w:color="auto" w:fill="auto"/>
            <w:vAlign w:val="center"/>
            <w:hideMark/>
          </w:tcPr>
          <w:p w14:paraId="1103989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nil"/>
            </w:tcBorders>
            <w:shd w:val="clear" w:color="000000" w:fill="DDEBF7"/>
            <w:vAlign w:val="center"/>
            <w:hideMark/>
          </w:tcPr>
          <w:p w14:paraId="5202604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single" w:sz="4" w:space="0" w:color="auto"/>
              <w:bottom w:val="single" w:sz="4" w:space="0" w:color="auto"/>
              <w:right w:val="single" w:sz="8" w:space="0" w:color="auto"/>
            </w:tcBorders>
            <w:shd w:val="clear" w:color="000000" w:fill="DDEBF7"/>
            <w:vAlign w:val="center"/>
            <w:hideMark/>
          </w:tcPr>
          <w:p w14:paraId="40355CB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7918C2E5" w14:textId="77777777" w:rsidTr="0018109D">
        <w:trPr>
          <w:trHeight w:val="1008"/>
        </w:trPr>
        <w:tc>
          <w:tcPr>
            <w:tcW w:w="1790" w:type="dxa"/>
            <w:vMerge/>
            <w:tcBorders>
              <w:top w:val="nil"/>
              <w:left w:val="single" w:sz="8" w:space="0" w:color="auto"/>
              <w:bottom w:val="single" w:sz="8" w:space="0" w:color="000000"/>
              <w:right w:val="single" w:sz="4" w:space="0" w:color="auto"/>
            </w:tcBorders>
            <w:vAlign w:val="center"/>
            <w:hideMark/>
          </w:tcPr>
          <w:p w14:paraId="3E38AEE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F9A11F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3.2.5.5 Zbatimi i masave të parashikuara në analiza dhe plane  për ekzekutimin në kohë dhe në mënyrë efikase të vendimeve gjyqësore.</w:t>
            </w:r>
          </w:p>
        </w:tc>
        <w:tc>
          <w:tcPr>
            <w:tcW w:w="1890" w:type="dxa"/>
            <w:tcBorders>
              <w:top w:val="nil"/>
              <w:left w:val="nil"/>
              <w:bottom w:val="single" w:sz="4" w:space="0" w:color="auto"/>
              <w:right w:val="single" w:sz="4" w:space="0" w:color="auto"/>
            </w:tcBorders>
            <w:shd w:val="clear" w:color="auto" w:fill="auto"/>
            <w:vAlign w:val="center"/>
            <w:hideMark/>
          </w:tcPr>
          <w:p w14:paraId="74B0AA0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DPB, DSHP, DPP</w:t>
            </w:r>
          </w:p>
        </w:tc>
        <w:tc>
          <w:tcPr>
            <w:tcW w:w="1620" w:type="dxa"/>
            <w:tcBorders>
              <w:top w:val="nil"/>
              <w:left w:val="nil"/>
              <w:bottom w:val="single" w:sz="4" w:space="0" w:color="auto"/>
              <w:right w:val="single" w:sz="4" w:space="0" w:color="auto"/>
            </w:tcBorders>
            <w:shd w:val="clear" w:color="auto" w:fill="auto"/>
            <w:vAlign w:val="center"/>
            <w:hideMark/>
          </w:tcPr>
          <w:p w14:paraId="3877418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nil"/>
            </w:tcBorders>
            <w:shd w:val="clear" w:color="000000" w:fill="DDEBF7"/>
            <w:vAlign w:val="center"/>
            <w:hideMark/>
          </w:tcPr>
          <w:p w14:paraId="5218DAF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single" w:sz="4" w:space="0" w:color="auto"/>
              <w:bottom w:val="single" w:sz="4" w:space="0" w:color="auto"/>
              <w:right w:val="single" w:sz="8" w:space="0" w:color="auto"/>
            </w:tcBorders>
            <w:shd w:val="clear" w:color="000000" w:fill="DDEBF7"/>
            <w:vAlign w:val="center"/>
            <w:hideMark/>
          </w:tcPr>
          <w:p w14:paraId="1E95EFA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1A560672" w14:textId="77777777" w:rsidTr="0018109D">
        <w:trPr>
          <w:trHeight w:val="1584"/>
        </w:trPr>
        <w:tc>
          <w:tcPr>
            <w:tcW w:w="1790" w:type="dxa"/>
            <w:vMerge/>
            <w:tcBorders>
              <w:top w:val="nil"/>
              <w:left w:val="single" w:sz="8" w:space="0" w:color="auto"/>
              <w:bottom w:val="single" w:sz="8" w:space="0" w:color="000000"/>
              <w:right w:val="single" w:sz="4" w:space="0" w:color="auto"/>
            </w:tcBorders>
            <w:vAlign w:val="center"/>
            <w:hideMark/>
          </w:tcPr>
          <w:p w14:paraId="45F9BF7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1933A7E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3.2.5.6 Përmirësimi i bashkëpunimit dhe koordinimit me institucionet e tjera të cilat kanë funksione lidhur me ekzekutimin e vendimeve gjyqësore nëpërmjet organizimit të takimeve të përbashkëta, seminareve, diskutimeve, masave të përbashkëta etj. </w:t>
            </w:r>
            <w:r w:rsidRPr="007440A2">
              <w:rPr>
                <w:rFonts w:ascii="Times New Roman" w:eastAsia="Times New Roman" w:hAnsi="Times New Roman" w:cs="Times New Roman"/>
                <w:b/>
                <w:bCs/>
                <w:sz w:val="20"/>
                <w:szCs w:val="20"/>
              </w:rPr>
              <w:t xml:space="preserve"> </w:t>
            </w:r>
          </w:p>
        </w:tc>
        <w:tc>
          <w:tcPr>
            <w:tcW w:w="1890" w:type="dxa"/>
            <w:tcBorders>
              <w:top w:val="nil"/>
              <w:left w:val="nil"/>
              <w:bottom w:val="single" w:sz="8" w:space="0" w:color="auto"/>
              <w:right w:val="single" w:sz="4" w:space="0" w:color="auto"/>
            </w:tcBorders>
            <w:shd w:val="clear" w:color="auto" w:fill="auto"/>
            <w:vAlign w:val="center"/>
            <w:hideMark/>
          </w:tcPr>
          <w:p w14:paraId="6DBE0B8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DPB, DSHP, DPP</w:t>
            </w:r>
          </w:p>
        </w:tc>
        <w:tc>
          <w:tcPr>
            <w:tcW w:w="1620" w:type="dxa"/>
            <w:tcBorders>
              <w:top w:val="nil"/>
              <w:left w:val="nil"/>
              <w:bottom w:val="single" w:sz="8" w:space="0" w:color="auto"/>
              <w:right w:val="single" w:sz="4" w:space="0" w:color="auto"/>
            </w:tcBorders>
            <w:shd w:val="clear" w:color="auto" w:fill="auto"/>
            <w:vAlign w:val="center"/>
            <w:hideMark/>
          </w:tcPr>
          <w:p w14:paraId="2ECE4C5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3B533B8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0320BF4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7242A8AD" w14:textId="77777777" w:rsidTr="0018109D">
        <w:trPr>
          <w:trHeight w:val="165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7141F11F"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3.2.6 Drejtoria e Përgjithshme e Policisë dhe PP sigurojnë mbledhjen dhe raportimin e të dhënave përkatëse për krimet e lidhura me gjakmarrjen dhe krimet e urrejtjes bazuar në Udhëzimet e PP-së të vitit 2019 duke reflektuar rekomandimet e ODIHR. </w:t>
            </w:r>
          </w:p>
        </w:tc>
        <w:tc>
          <w:tcPr>
            <w:tcW w:w="2520" w:type="dxa"/>
            <w:tcBorders>
              <w:top w:val="nil"/>
              <w:left w:val="nil"/>
              <w:bottom w:val="single" w:sz="4" w:space="0" w:color="auto"/>
              <w:right w:val="single" w:sz="4" w:space="0" w:color="auto"/>
            </w:tcBorders>
            <w:shd w:val="clear" w:color="auto" w:fill="auto"/>
            <w:vAlign w:val="center"/>
            <w:hideMark/>
          </w:tcPr>
          <w:p w14:paraId="09CC1B7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3.2.6.1 Mbledhje te dhenash statistikore te grupveprave penale lidhur me krimet e urrejtjes sipas KP ne perputhje me kriteret e meposhtme te percaktuara  ne raportet ODIHR: </w:t>
            </w:r>
            <w:r w:rsidRPr="007440A2">
              <w:rPr>
                <w:rFonts w:ascii="Times New Roman" w:eastAsia="Times New Roman" w:hAnsi="Times New Roman" w:cs="Times New Roman"/>
                <w:sz w:val="20"/>
                <w:szCs w:val="20"/>
              </w:rPr>
              <w:br/>
              <w:t>&gt;nr i rasteve te kallzuara dhe raportuara;</w:t>
            </w:r>
            <w:r w:rsidRPr="007440A2">
              <w:rPr>
                <w:rFonts w:ascii="Times New Roman" w:eastAsia="Times New Roman" w:hAnsi="Times New Roman" w:cs="Times New Roman"/>
                <w:sz w:val="20"/>
                <w:szCs w:val="20"/>
              </w:rPr>
              <w:br/>
              <w:t xml:space="preserve">&gt; nr i hetimeve te filluara; </w:t>
            </w:r>
            <w:r w:rsidRPr="007440A2">
              <w:rPr>
                <w:rFonts w:ascii="Times New Roman" w:eastAsia="Times New Roman" w:hAnsi="Times New Roman" w:cs="Times New Roman"/>
                <w:sz w:val="20"/>
                <w:szCs w:val="20"/>
              </w:rPr>
              <w:br/>
              <w:t xml:space="preserve">&gt;nr./% i/e ceshtjeve te percjella ne gjykate; </w:t>
            </w:r>
          </w:p>
        </w:tc>
        <w:tc>
          <w:tcPr>
            <w:tcW w:w="1890" w:type="dxa"/>
            <w:tcBorders>
              <w:top w:val="nil"/>
              <w:left w:val="nil"/>
              <w:bottom w:val="single" w:sz="4" w:space="0" w:color="auto"/>
              <w:right w:val="single" w:sz="4" w:space="0" w:color="auto"/>
            </w:tcBorders>
            <w:shd w:val="clear" w:color="auto" w:fill="auto"/>
            <w:vAlign w:val="center"/>
            <w:hideMark/>
          </w:tcPr>
          <w:p w14:paraId="7646589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w:t>
            </w:r>
          </w:p>
        </w:tc>
        <w:tc>
          <w:tcPr>
            <w:tcW w:w="1620" w:type="dxa"/>
            <w:tcBorders>
              <w:top w:val="nil"/>
              <w:left w:val="nil"/>
              <w:bottom w:val="single" w:sz="4" w:space="0" w:color="auto"/>
              <w:right w:val="single" w:sz="4" w:space="0" w:color="auto"/>
            </w:tcBorders>
            <w:shd w:val="clear" w:color="auto" w:fill="auto"/>
            <w:vAlign w:val="center"/>
            <w:hideMark/>
          </w:tcPr>
          <w:p w14:paraId="03C20AE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Prokuroritë</w:t>
            </w:r>
          </w:p>
        </w:tc>
        <w:tc>
          <w:tcPr>
            <w:tcW w:w="1710" w:type="dxa"/>
            <w:tcBorders>
              <w:top w:val="nil"/>
              <w:left w:val="nil"/>
              <w:bottom w:val="single" w:sz="4" w:space="0" w:color="auto"/>
              <w:right w:val="single" w:sz="4" w:space="0" w:color="auto"/>
            </w:tcBorders>
            <w:shd w:val="clear" w:color="000000" w:fill="DDEBF7"/>
            <w:vAlign w:val="center"/>
            <w:hideMark/>
          </w:tcPr>
          <w:p w14:paraId="462801D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7DADC5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E7186B9" w14:textId="77777777" w:rsidTr="0018109D">
        <w:trPr>
          <w:trHeight w:val="1296"/>
        </w:trPr>
        <w:tc>
          <w:tcPr>
            <w:tcW w:w="1790" w:type="dxa"/>
            <w:vMerge/>
            <w:tcBorders>
              <w:top w:val="nil"/>
              <w:left w:val="single" w:sz="8" w:space="0" w:color="auto"/>
              <w:bottom w:val="single" w:sz="8" w:space="0" w:color="000000"/>
              <w:right w:val="single" w:sz="4" w:space="0" w:color="auto"/>
            </w:tcBorders>
            <w:vAlign w:val="center"/>
            <w:hideMark/>
          </w:tcPr>
          <w:p w14:paraId="024DD6D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F38598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3.2.6.2 Trajnimi i OPGJ dhe prokuroreve ne bashkepunim me SHM mbi administrimin e ceshtjeve lidhur me krimet e lidhura me gjakmarrjen dhe krimet e urrejtjes (nr i trajnimeve/tematiket dhe nr i pjesesemarresve</w:t>
            </w:r>
          </w:p>
        </w:tc>
        <w:tc>
          <w:tcPr>
            <w:tcW w:w="1890" w:type="dxa"/>
            <w:tcBorders>
              <w:top w:val="nil"/>
              <w:left w:val="nil"/>
              <w:bottom w:val="single" w:sz="4" w:space="0" w:color="auto"/>
              <w:right w:val="single" w:sz="4" w:space="0" w:color="auto"/>
            </w:tcBorders>
            <w:shd w:val="clear" w:color="auto" w:fill="auto"/>
            <w:vAlign w:val="center"/>
            <w:hideMark/>
          </w:tcPr>
          <w:p w14:paraId="2FCEDB2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 SHM</w:t>
            </w:r>
          </w:p>
        </w:tc>
        <w:tc>
          <w:tcPr>
            <w:tcW w:w="1620" w:type="dxa"/>
            <w:tcBorders>
              <w:top w:val="nil"/>
              <w:left w:val="nil"/>
              <w:bottom w:val="single" w:sz="4" w:space="0" w:color="auto"/>
              <w:right w:val="single" w:sz="4" w:space="0" w:color="auto"/>
            </w:tcBorders>
            <w:shd w:val="clear" w:color="auto" w:fill="auto"/>
            <w:vAlign w:val="center"/>
            <w:hideMark/>
          </w:tcPr>
          <w:p w14:paraId="2DBA023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Prokuroritë</w:t>
            </w:r>
          </w:p>
        </w:tc>
        <w:tc>
          <w:tcPr>
            <w:tcW w:w="1710" w:type="dxa"/>
            <w:tcBorders>
              <w:top w:val="nil"/>
              <w:left w:val="nil"/>
              <w:bottom w:val="single" w:sz="4" w:space="0" w:color="auto"/>
              <w:right w:val="single" w:sz="4" w:space="0" w:color="auto"/>
            </w:tcBorders>
            <w:shd w:val="clear" w:color="000000" w:fill="DDEBF7"/>
            <w:vAlign w:val="center"/>
            <w:hideMark/>
          </w:tcPr>
          <w:p w14:paraId="53F3E7C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F0F711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B645370" w14:textId="77777777" w:rsidTr="0018109D">
        <w:trPr>
          <w:trHeight w:val="1116"/>
        </w:trPr>
        <w:tc>
          <w:tcPr>
            <w:tcW w:w="1790" w:type="dxa"/>
            <w:vMerge/>
            <w:tcBorders>
              <w:top w:val="nil"/>
              <w:left w:val="single" w:sz="8" w:space="0" w:color="auto"/>
              <w:bottom w:val="single" w:sz="8" w:space="0" w:color="000000"/>
              <w:right w:val="single" w:sz="4" w:space="0" w:color="auto"/>
            </w:tcBorders>
            <w:vAlign w:val="center"/>
            <w:hideMark/>
          </w:tcPr>
          <w:p w14:paraId="044A301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2D24984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3.2.6.3 Mbledhje te dhenash statistikore dhe raportim periodik  mbi krimet e lidhura me gjakmarrjen:</w:t>
            </w:r>
            <w:r w:rsidRPr="007440A2">
              <w:rPr>
                <w:rFonts w:ascii="Times New Roman" w:eastAsia="Times New Roman" w:hAnsi="Times New Roman" w:cs="Times New Roman"/>
                <w:sz w:val="20"/>
                <w:szCs w:val="20"/>
              </w:rPr>
              <w:br/>
              <w:t>&gt;nr i rasteve te kallzuara dhe raportuara;</w:t>
            </w:r>
            <w:r w:rsidRPr="007440A2">
              <w:rPr>
                <w:rFonts w:ascii="Times New Roman" w:eastAsia="Times New Roman" w:hAnsi="Times New Roman" w:cs="Times New Roman"/>
                <w:sz w:val="20"/>
                <w:szCs w:val="20"/>
              </w:rPr>
              <w:br/>
              <w:t xml:space="preserve">&gt; nr i hetimeve te filluara; </w:t>
            </w:r>
            <w:r w:rsidRPr="007440A2">
              <w:rPr>
                <w:rFonts w:ascii="Times New Roman" w:eastAsia="Times New Roman" w:hAnsi="Times New Roman" w:cs="Times New Roman"/>
                <w:sz w:val="20"/>
                <w:szCs w:val="20"/>
              </w:rPr>
              <w:br/>
              <w:t xml:space="preserve">&gt;nr./% i/e ceshtjeve te percjella ne gjykate. </w:t>
            </w:r>
          </w:p>
        </w:tc>
        <w:tc>
          <w:tcPr>
            <w:tcW w:w="1890" w:type="dxa"/>
            <w:tcBorders>
              <w:top w:val="nil"/>
              <w:left w:val="nil"/>
              <w:bottom w:val="single" w:sz="8" w:space="0" w:color="auto"/>
              <w:right w:val="single" w:sz="4" w:space="0" w:color="auto"/>
            </w:tcBorders>
            <w:shd w:val="clear" w:color="auto" w:fill="auto"/>
            <w:vAlign w:val="center"/>
            <w:hideMark/>
          </w:tcPr>
          <w:p w14:paraId="6FF2000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w:t>
            </w:r>
          </w:p>
        </w:tc>
        <w:tc>
          <w:tcPr>
            <w:tcW w:w="1620" w:type="dxa"/>
            <w:tcBorders>
              <w:top w:val="nil"/>
              <w:left w:val="nil"/>
              <w:bottom w:val="single" w:sz="8" w:space="0" w:color="auto"/>
              <w:right w:val="single" w:sz="4" w:space="0" w:color="auto"/>
            </w:tcBorders>
            <w:shd w:val="clear" w:color="auto" w:fill="auto"/>
            <w:vAlign w:val="center"/>
            <w:hideMark/>
          </w:tcPr>
          <w:p w14:paraId="31F7130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Prokuroritë</w:t>
            </w:r>
          </w:p>
        </w:tc>
        <w:tc>
          <w:tcPr>
            <w:tcW w:w="1710" w:type="dxa"/>
            <w:tcBorders>
              <w:top w:val="nil"/>
              <w:left w:val="nil"/>
              <w:bottom w:val="single" w:sz="8" w:space="0" w:color="auto"/>
              <w:right w:val="single" w:sz="4" w:space="0" w:color="auto"/>
            </w:tcBorders>
            <w:shd w:val="clear" w:color="000000" w:fill="DDEBF7"/>
            <w:vAlign w:val="center"/>
            <w:hideMark/>
          </w:tcPr>
          <w:p w14:paraId="6EA11C4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35C5AC0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8FF7950" w14:textId="77777777" w:rsidTr="0018109D">
        <w:trPr>
          <w:trHeight w:val="804"/>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52E1EEEA"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3.2.7 Policia e Shtetit dhe prokuroria e pergjithshme sigurojne informimin dhe ndërgjegjësimin e publikut mbi rastet e sulmeve ndaj gazetareve.</w:t>
            </w:r>
          </w:p>
        </w:tc>
        <w:tc>
          <w:tcPr>
            <w:tcW w:w="2520" w:type="dxa"/>
            <w:tcBorders>
              <w:top w:val="nil"/>
              <w:left w:val="nil"/>
              <w:bottom w:val="single" w:sz="4" w:space="0" w:color="auto"/>
              <w:right w:val="single" w:sz="4" w:space="0" w:color="auto"/>
            </w:tcBorders>
            <w:shd w:val="clear" w:color="auto" w:fill="auto"/>
            <w:vAlign w:val="center"/>
            <w:hideMark/>
          </w:tcPr>
          <w:p w14:paraId="4097715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3.2.7.1 Caktimi një pike qendrore brenda strukturës së PP, përgjegjëse për trajtimin e rasteve te sulmeve ndaj gazetarëve </w:t>
            </w:r>
          </w:p>
        </w:tc>
        <w:tc>
          <w:tcPr>
            <w:tcW w:w="1890" w:type="dxa"/>
            <w:tcBorders>
              <w:top w:val="nil"/>
              <w:left w:val="nil"/>
              <w:bottom w:val="single" w:sz="4" w:space="0" w:color="auto"/>
              <w:right w:val="single" w:sz="4" w:space="0" w:color="auto"/>
            </w:tcBorders>
            <w:shd w:val="clear" w:color="auto" w:fill="auto"/>
            <w:vAlign w:val="center"/>
            <w:hideMark/>
          </w:tcPr>
          <w:p w14:paraId="0CE39A0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w:t>
            </w:r>
          </w:p>
        </w:tc>
        <w:tc>
          <w:tcPr>
            <w:tcW w:w="1620" w:type="dxa"/>
            <w:tcBorders>
              <w:top w:val="nil"/>
              <w:left w:val="nil"/>
              <w:bottom w:val="single" w:sz="4" w:space="0" w:color="auto"/>
              <w:right w:val="single" w:sz="4" w:space="0" w:color="auto"/>
            </w:tcBorders>
            <w:shd w:val="clear" w:color="auto" w:fill="auto"/>
            <w:vAlign w:val="center"/>
            <w:hideMark/>
          </w:tcPr>
          <w:p w14:paraId="1299CC3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13B947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55BAC40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30A0652A" w14:textId="77777777" w:rsidTr="0018109D">
        <w:trPr>
          <w:trHeight w:val="1032"/>
        </w:trPr>
        <w:tc>
          <w:tcPr>
            <w:tcW w:w="1790" w:type="dxa"/>
            <w:vMerge/>
            <w:tcBorders>
              <w:top w:val="nil"/>
              <w:left w:val="single" w:sz="8" w:space="0" w:color="auto"/>
              <w:bottom w:val="single" w:sz="8" w:space="0" w:color="000000"/>
              <w:right w:val="single" w:sz="4" w:space="0" w:color="auto"/>
            </w:tcBorders>
            <w:vAlign w:val="center"/>
            <w:hideMark/>
          </w:tcPr>
          <w:p w14:paraId="7BDDEF6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C36B15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3.2.7.2 Mbledhja e te dhenave periodike</w:t>
            </w:r>
          </w:p>
        </w:tc>
        <w:tc>
          <w:tcPr>
            <w:tcW w:w="1890" w:type="dxa"/>
            <w:tcBorders>
              <w:top w:val="nil"/>
              <w:left w:val="nil"/>
              <w:bottom w:val="single" w:sz="4" w:space="0" w:color="auto"/>
              <w:right w:val="single" w:sz="4" w:space="0" w:color="auto"/>
            </w:tcBorders>
            <w:shd w:val="clear" w:color="auto" w:fill="auto"/>
            <w:vAlign w:val="center"/>
            <w:hideMark/>
          </w:tcPr>
          <w:p w14:paraId="293F205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 DPPSH</w:t>
            </w:r>
          </w:p>
        </w:tc>
        <w:tc>
          <w:tcPr>
            <w:tcW w:w="1620" w:type="dxa"/>
            <w:tcBorders>
              <w:top w:val="nil"/>
              <w:left w:val="nil"/>
              <w:bottom w:val="single" w:sz="4" w:space="0" w:color="auto"/>
              <w:right w:val="single" w:sz="4" w:space="0" w:color="auto"/>
            </w:tcBorders>
            <w:shd w:val="clear" w:color="auto" w:fill="auto"/>
            <w:vAlign w:val="center"/>
            <w:hideMark/>
          </w:tcPr>
          <w:p w14:paraId="75C978F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Prokuroritë</w:t>
            </w:r>
          </w:p>
        </w:tc>
        <w:tc>
          <w:tcPr>
            <w:tcW w:w="1710" w:type="dxa"/>
            <w:tcBorders>
              <w:top w:val="nil"/>
              <w:left w:val="nil"/>
              <w:bottom w:val="single" w:sz="4" w:space="0" w:color="auto"/>
              <w:right w:val="single" w:sz="4" w:space="0" w:color="auto"/>
            </w:tcBorders>
            <w:shd w:val="clear" w:color="000000" w:fill="DDEBF7"/>
            <w:vAlign w:val="center"/>
            <w:hideMark/>
          </w:tcPr>
          <w:p w14:paraId="4D33364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0B6672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F008963" w14:textId="77777777" w:rsidTr="0018109D">
        <w:trPr>
          <w:trHeight w:val="1245"/>
        </w:trPr>
        <w:tc>
          <w:tcPr>
            <w:tcW w:w="1790" w:type="dxa"/>
            <w:vMerge/>
            <w:tcBorders>
              <w:top w:val="nil"/>
              <w:left w:val="single" w:sz="8" w:space="0" w:color="auto"/>
              <w:bottom w:val="single" w:sz="8" w:space="0" w:color="000000"/>
              <w:right w:val="single" w:sz="4" w:space="0" w:color="auto"/>
            </w:tcBorders>
            <w:vAlign w:val="center"/>
            <w:hideMark/>
          </w:tcPr>
          <w:p w14:paraId="1455CAD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3A54222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3.2.7.3 Raportim periodik lidhur me hetimet e çështjeve që përfshijnë gazetarët </w:t>
            </w:r>
          </w:p>
        </w:tc>
        <w:tc>
          <w:tcPr>
            <w:tcW w:w="1890" w:type="dxa"/>
            <w:tcBorders>
              <w:top w:val="nil"/>
              <w:left w:val="nil"/>
              <w:bottom w:val="single" w:sz="8" w:space="0" w:color="auto"/>
              <w:right w:val="single" w:sz="4" w:space="0" w:color="auto"/>
            </w:tcBorders>
            <w:shd w:val="clear" w:color="auto" w:fill="auto"/>
            <w:vAlign w:val="center"/>
            <w:hideMark/>
          </w:tcPr>
          <w:p w14:paraId="48AF0FE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 DPPSH</w:t>
            </w:r>
          </w:p>
        </w:tc>
        <w:tc>
          <w:tcPr>
            <w:tcW w:w="1620" w:type="dxa"/>
            <w:tcBorders>
              <w:top w:val="nil"/>
              <w:left w:val="nil"/>
              <w:bottom w:val="single" w:sz="8" w:space="0" w:color="auto"/>
              <w:right w:val="single" w:sz="4" w:space="0" w:color="auto"/>
            </w:tcBorders>
            <w:shd w:val="clear" w:color="auto" w:fill="auto"/>
            <w:vAlign w:val="center"/>
            <w:hideMark/>
          </w:tcPr>
          <w:p w14:paraId="7F01F3A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Prokuroritë</w:t>
            </w:r>
          </w:p>
        </w:tc>
        <w:tc>
          <w:tcPr>
            <w:tcW w:w="1710" w:type="dxa"/>
            <w:tcBorders>
              <w:top w:val="nil"/>
              <w:left w:val="nil"/>
              <w:bottom w:val="single" w:sz="8" w:space="0" w:color="auto"/>
              <w:right w:val="single" w:sz="4" w:space="0" w:color="auto"/>
            </w:tcBorders>
            <w:shd w:val="clear" w:color="000000" w:fill="DDEBF7"/>
            <w:vAlign w:val="center"/>
            <w:hideMark/>
          </w:tcPr>
          <w:p w14:paraId="08EDF6C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2C20524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DD39ED0" w14:textId="77777777" w:rsidTr="0018109D">
        <w:trPr>
          <w:trHeight w:val="1056"/>
        </w:trPr>
        <w:tc>
          <w:tcPr>
            <w:tcW w:w="4310" w:type="dxa"/>
            <w:gridSpan w:val="2"/>
            <w:tcBorders>
              <w:top w:val="nil"/>
              <w:left w:val="single" w:sz="8" w:space="0" w:color="auto"/>
              <w:bottom w:val="single" w:sz="8" w:space="0" w:color="auto"/>
              <w:right w:val="nil"/>
            </w:tcBorders>
            <w:shd w:val="clear" w:color="000000" w:fill="9CC2E5"/>
            <w:vAlign w:val="center"/>
            <w:hideMark/>
          </w:tcPr>
          <w:p w14:paraId="02A38BE3"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3.3:</w:t>
            </w:r>
          </w:p>
        </w:tc>
        <w:tc>
          <w:tcPr>
            <w:tcW w:w="6480" w:type="dxa"/>
            <w:gridSpan w:val="4"/>
            <w:tcBorders>
              <w:top w:val="nil"/>
              <w:left w:val="single" w:sz="8" w:space="0" w:color="auto"/>
              <w:bottom w:val="single" w:sz="8" w:space="0" w:color="auto"/>
              <w:right w:val="single" w:sz="8" w:space="0" w:color="000000"/>
            </w:tcBorders>
            <w:shd w:val="clear" w:color="000000" w:fill="9CC2E5"/>
            <w:vAlign w:val="center"/>
            <w:hideMark/>
          </w:tcPr>
          <w:p w14:paraId="573A2CC0"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Përmirësimi i kapacitetit të Prokurorisë Speciale Antikorrupsion dhe Byros Kombëtare të Hetimit me qëllim sigurimin e hetimeve dhe procedimeve penale efikase në përputhje me standardet më të mira ndërkombëtare.</w:t>
            </w:r>
          </w:p>
        </w:tc>
      </w:tr>
      <w:tr w:rsidR="007440A2" w:rsidRPr="007440A2" w14:paraId="6A94B2B3" w14:textId="77777777" w:rsidTr="0018109D">
        <w:trPr>
          <w:trHeight w:val="1236"/>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6A8072F8"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5CC7730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Deri ne fund te vitit 2030  sistemi gjyqësor do te forcoje  efektivitetin e trajtimit te sekuestrimeve dhe konfiskimeve në proceset penale lidhur me luftën kundër krimit te organizuar dhe korrupsionit, duke rritur progresivisht numrin e tyre. </w:t>
            </w:r>
          </w:p>
        </w:tc>
      </w:tr>
      <w:tr w:rsidR="007440A2" w:rsidRPr="007440A2" w14:paraId="0A896DC5" w14:textId="77777777" w:rsidTr="0018109D">
        <w:trPr>
          <w:trHeight w:val="540"/>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65987117"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2437670F"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7C796CE8"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595404E7"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074CFF3E"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2FE8A186"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7ABA4E01" w14:textId="77777777" w:rsidTr="0018109D">
        <w:trPr>
          <w:trHeight w:val="948"/>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5544DB1C"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3.3.1 SPAK harton dhe miraton një strategji efikasiteti për shpërndarje të barabartë të ngarkesës për prokurorët dhe OPGJ.</w:t>
            </w:r>
          </w:p>
        </w:tc>
        <w:tc>
          <w:tcPr>
            <w:tcW w:w="2520" w:type="dxa"/>
            <w:tcBorders>
              <w:top w:val="nil"/>
              <w:left w:val="nil"/>
              <w:bottom w:val="single" w:sz="4" w:space="0" w:color="auto"/>
              <w:right w:val="single" w:sz="4" w:space="0" w:color="auto"/>
            </w:tcBorders>
            <w:shd w:val="clear" w:color="auto" w:fill="auto"/>
            <w:vAlign w:val="center"/>
            <w:hideMark/>
          </w:tcPr>
          <w:p w14:paraId="4D96920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3.3.1.1 Analiza e efikasitetit të procedurave qe ndermerren nga Prokuroria e Posacme duke përfshirë kohëzgjatjen e procedurave, rialokimin e cështjeve gjyqesore etj. </w:t>
            </w:r>
          </w:p>
        </w:tc>
        <w:tc>
          <w:tcPr>
            <w:tcW w:w="1890" w:type="dxa"/>
            <w:tcBorders>
              <w:top w:val="nil"/>
              <w:left w:val="nil"/>
              <w:bottom w:val="single" w:sz="4" w:space="0" w:color="auto"/>
              <w:right w:val="single" w:sz="4" w:space="0" w:color="auto"/>
            </w:tcBorders>
            <w:shd w:val="clear" w:color="auto" w:fill="auto"/>
            <w:vAlign w:val="center"/>
            <w:hideMark/>
          </w:tcPr>
          <w:p w14:paraId="246CA34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w:t>
            </w:r>
          </w:p>
        </w:tc>
        <w:tc>
          <w:tcPr>
            <w:tcW w:w="1620" w:type="dxa"/>
            <w:tcBorders>
              <w:top w:val="nil"/>
              <w:left w:val="nil"/>
              <w:bottom w:val="single" w:sz="4" w:space="0" w:color="auto"/>
              <w:right w:val="single" w:sz="8" w:space="0" w:color="auto"/>
            </w:tcBorders>
            <w:shd w:val="clear" w:color="auto" w:fill="auto"/>
            <w:vAlign w:val="center"/>
            <w:hideMark/>
          </w:tcPr>
          <w:p w14:paraId="76C0D65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EEC025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1F221CD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3BFBDF07" w14:textId="77777777" w:rsidTr="0018109D">
        <w:trPr>
          <w:trHeight w:val="888"/>
        </w:trPr>
        <w:tc>
          <w:tcPr>
            <w:tcW w:w="1790" w:type="dxa"/>
            <w:vMerge/>
            <w:tcBorders>
              <w:top w:val="nil"/>
              <w:left w:val="single" w:sz="8" w:space="0" w:color="auto"/>
              <w:bottom w:val="single" w:sz="8" w:space="0" w:color="000000"/>
              <w:right w:val="single" w:sz="4" w:space="0" w:color="auto"/>
            </w:tcBorders>
            <w:vAlign w:val="center"/>
            <w:hideMark/>
          </w:tcPr>
          <w:p w14:paraId="584F890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E47C2F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3.3.1.2 Hartimi dhe implementimi i planit per zbatimin e masave te identifikuara nga analiza per rritjen e efikasitetit te Prokurorise se Posacme  </w:t>
            </w:r>
          </w:p>
        </w:tc>
        <w:tc>
          <w:tcPr>
            <w:tcW w:w="1890" w:type="dxa"/>
            <w:tcBorders>
              <w:top w:val="nil"/>
              <w:left w:val="nil"/>
              <w:bottom w:val="single" w:sz="4" w:space="0" w:color="auto"/>
              <w:right w:val="single" w:sz="4" w:space="0" w:color="auto"/>
            </w:tcBorders>
            <w:shd w:val="clear" w:color="auto" w:fill="auto"/>
            <w:vAlign w:val="center"/>
            <w:hideMark/>
          </w:tcPr>
          <w:p w14:paraId="220EF17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w:t>
            </w:r>
          </w:p>
        </w:tc>
        <w:tc>
          <w:tcPr>
            <w:tcW w:w="1620" w:type="dxa"/>
            <w:tcBorders>
              <w:top w:val="nil"/>
              <w:left w:val="nil"/>
              <w:bottom w:val="single" w:sz="4" w:space="0" w:color="auto"/>
              <w:right w:val="single" w:sz="8" w:space="0" w:color="auto"/>
            </w:tcBorders>
            <w:shd w:val="clear" w:color="auto" w:fill="auto"/>
            <w:vAlign w:val="center"/>
            <w:hideMark/>
          </w:tcPr>
          <w:p w14:paraId="32515DF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768F4F8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72EAFD1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03013B4D" w14:textId="77777777" w:rsidTr="0018109D">
        <w:trPr>
          <w:trHeight w:val="1245"/>
        </w:trPr>
        <w:tc>
          <w:tcPr>
            <w:tcW w:w="1790" w:type="dxa"/>
            <w:vMerge/>
            <w:tcBorders>
              <w:top w:val="nil"/>
              <w:left w:val="single" w:sz="8" w:space="0" w:color="auto"/>
              <w:bottom w:val="single" w:sz="8" w:space="0" w:color="000000"/>
              <w:right w:val="single" w:sz="4" w:space="0" w:color="auto"/>
            </w:tcBorders>
            <w:vAlign w:val="center"/>
            <w:hideMark/>
          </w:tcPr>
          <w:p w14:paraId="48A7E5A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C216CB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3.3.1.3 Pergatitja dhe miratimi i nje plani pune per uljen e backlogut me bashkepunimin e nje eksperti(ekspertizen) nderkombetar nga Prokuroria e Posacme </w:t>
            </w:r>
          </w:p>
        </w:tc>
        <w:tc>
          <w:tcPr>
            <w:tcW w:w="1890" w:type="dxa"/>
            <w:tcBorders>
              <w:top w:val="nil"/>
              <w:left w:val="nil"/>
              <w:bottom w:val="single" w:sz="4" w:space="0" w:color="auto"/>
              <w:right w:val="single" w:sz="4" w:space="0" w:color="auto"/>
            </w:tcBorders>
            <w:shd w:val="clear" w:color="auto" w:fill="auto"/>
            <w:vAlign w:val="center"/>
            <w:hideMark/>
          </w:tcPr>
          <w:p w14:paraId="5955764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w:t>
            </w:r>
          </w:p>
        </w:tc>
        <w:tc>
          <w:tcPr>
            <w:tcW w:w="1620" w:type="dxa"/>
            <w:tcBorders>
              <w:top w:val="nil"/>
              <w:left w:val="nil"/>
              <w:bottom w:val="single" w:sz="4" w:space="0" w:color="auto"/>
              <w:right w:val="single" w:sz="8" w:space="0" w:color="auto"/>
            </w:tcBorders>
            <w:shd w:val="clear" w:color="auto" w:fill="auto"/>
            <w:vAlign w:val="center"/>
            <w:hideMark/>
          </w:tcPr>
          <w:p w14:paraId="3EA7B07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Partnerë vendas dhe ndërkombëtar</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4229152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3D1C554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6B627F97" w14:textId="77777777" w:rsidTr="0018109D">
        <w:trPr>
          <w:trHeight w:val="984"/>
        </w:trPr>
        <w:tc>
          <w:tcPr>
            <w:tcW w:w="1790" w:type="dxa"/>
            <w:vMerge/>
            <w:tcBorders>
              <w:top w:val="nil"/>
              <w:left w:val="single" w:sz="8" w:space="0" w:color="auto"/>
              <w:bottom w:val="single" w:sz="8" w:space="0" w:color="000000"/>
              <w:right w:val="single" w:sz="4" w:space="0" w:color="auto"/>
            </w:tcBorders>
            <w:vAlign w:val="center"/>
            <w:hideMark/>
          </w:tcPr>
          <w:p w14:paraId="614CA1A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3E29C1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3.3.1.4 Zbatimi i Planit per uljen e backlogut nga Prokuroria e Posacme</w:t>
            </w:r>
          </w:p>
        </w:tc>
        <w:tc>
          <w:tcPr>
            <w:tcW w:w="1890" w:type="dxa"/>
            <w:tcBorders>
              <w:top w:val="nil"/>
              <w:left w:val="nil"/>
              <w:bottom w:val="single" w:sz="4" w:space="0" w:color="auto"/>
              <w:right w:val="single" w:sz="4" w:space="0" w:color="auto"/>
            </w:tcBorders>
            <w:shd w:val="clear" w:color="auto" w:fill="auto"/>
            <w:vAlign w:val="center"/>
            <w:hideMark/>
          </w:tcPr>
          <w:p w14:paraId="378A60E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w:t>
            </w:r>
          </w:p>
        </w:tc>
        <w:tc>
          <w:tcPr>
            <w:tcW w:w="1620" w:type="dxa"/>
            <w:tcBorders>
              <w:top w:val="nil"/>
              <w:left w:val="nil"/>
              <w:bottom w:val="single" w:sz="4" w:space="0" w:color="auto"/>
              <w:right w:val="single" w:sz="4" w:space="0" w:color="auto"/>
            </w:tcBorders>
            <w:shd w:val="clear" w:color="auto" w:fill="auto"/>
            <w:vAlign w:val="center"/>
            <w:hideMark/>
          </w:tcPr>
          <w:p w14:paraId="52B4CCF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7D2734E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64249B3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8224BD3" w14:textId="77777777" w:rsidTr="0018109D">
        <w:trPr>
          <w:trHeight w:val="996"/>
        </w:trPr>
        <w:tc>
          <w:tcPr>
            <w:tcW w:w="1790" w:type="dxa"/>
            <w:vMerge/>
            <w:tcBorders>
              <w:top w:val="nil"/>
              <w:left w:val="single" w:sz="8" w:space="0" w:color="auto"/>
              <w:bottom w:val="single" w:sz="8" w:space="0" w:color="000000"/>
              <w:right w:val="single" w:sz="4" w:space="0" w:color="auto"/>
            </w:tcBorders>
            <w:vAlign w:val="center"/>
            <w:hideMark/>
          </w:tcPr>
          <w:p w14:paraId="3CC5A71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05A6D72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3.3.1.5 Monitorimi i rregullt i zbatimit të planit për uljen e backlogut nga Prokuroria e Posacme</w:t>
            </w:r>
          </w:p>
        </w:tc>
        <w:tc>
          <w:tcPr>
            <w:tcW w:w="1890" w:type="dxa"/>
            <w:tcBorders>
              <w:top w:val="nil"/>
              <w:left w:val="nil"/>
              <w:bottom w:val="single" w:sz="8" w:space="0" w:color="auto"/>
              <w:right w:val="single" w:sz="4" w:space="0" w:color="auto"/>
            </w:tcBorders>
            <w:shd w:val="clear" w:color="auto" w:fill="auto"/>
            <w:vAlign w:val="center"/>
            <w:hideMark/>
          </w:tcPr>
          <w:p w14:paraId="6C997BF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w:t>
            </w:r>
          </w:p>
        </w:tc>
        <w:tc>
          <w:tcPr>
            <w:tcW w:w="1620" w:type="dxa"/>
            <w:tcBorders>
              <w:top w:val="nil"/>
              <w:left w:val="nil"/>
              <w:bottom w:val="single" w:sz="8" w:space="0" w:color="auto"/>
              <w:right w:val="single" w:sz="4" w:space="0" w:color="auto"/>
            </w:tcBorders>
            <w:shd w:val="clear" w:color="auto" w:fill="auto"/>
            <w:vAlign w:val="center"/>
            <w:hideMark/>
          </w:tcPr>
          <w:p w14:paraId="5735896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3BE5D43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8" w:space="0" w:color="auto"/>
              <w:right w:val="single" w:sz="8" w:space="0" w:color="auto"/>
            </w:tcBorders>
            <w:shd w:val="clear" w:color="000000" w:fill="DDEBF7"/>
            <w:vAlign w:val="center"/>
            <w:hideMark/>
          </w:tcPr>
          <w:p w14:paraId="7B0B35F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3A2BDFF" w14:textId="77777777" w:rsidTr="0018109D">
        <w:trPr>
          <w:trHeight w:val="984"/>
        </w:trPr>
        <w:tc>
          <w:tcPr>
            <w:tcW w:w="1790" w:type="dxa"/>
            <w:vMerge w:val="restart"/>
            <w:tcBorders>
              <w:top w:val="nil"/>
              <w:left w:val="single" w:sz="8" w:space="0" w:color="auto"/>
              <w:bottom w:val="nil"/>
              <w:right w:val="single" w:sz="4" w:space="0" w:color="auto"/>
            </w:tcBorders>
            <w:shd w:val="clear" w:color="auto" w:fill="auto"/>
            <w:vAlign w:val="center"/>
            <w:hideMark/>
          </w:tcPr>
          <w:p w14:paraId="56C3CAAC"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3.3.2 Burimet njerëzore dhe buxheti i duhur për të siguruar zbatimin praktik të strategjisë së efikasitetit për shpërndarjen e ngarkesës së punës në Prokurorinë Speciale Antikorrupsion dhe Byronë Kombëtare të Hetimit.</w:t>
            </w:r>
          </w:p>
        </w:tc>
        <w:tc>
          <w:tcPr>
            <w:tcW w:w="2520" w:type="dxa"/>
            <w:tcBorders>
              <w:top w:val="nil"/>
              <w:left w:val="nil"/>
              <w:bottom w:val="single" w:sz="4" w:space="0" w:color="auto"/>
              <w:right w:val="single" w:sz="4" w:space="0" w:color="auto"/>
            </w:tcBorders>
            <w:shd w:val="clear" w:color="auto" w:fill="auto"/>
            <w:vAlign w:val="center"/>
            <w:hideMark/>
          </w:tcPr>
          <w:p w14:paraId="30430D6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3.3.2.1 Planifikimi i burimeve njerëzore dhe buxhetit të nevojshëm për zbatimin e strategjisë së efikasitetit çdo vit, duke përfshirë krijimin e një mekanizmi të brendshëm monitorues për zbatimin e planit. </w:t>
            </w:r>
          </w:p>
        </w:tc>
        <w:tc>
          <w:tcPr>
            <w:tcW w:w="1890" w:type="dxa"/>
            <w:tcBorders>
              <w:top w:val="nil"/>
              <w:left w:val="nil"/>
              <w:bottom w:val="single" w:sz="4" w:space="0" w:color="auto"/>
              <w:right w:val="single" w:sz="4" w:space="0" w:color="auto"/>
            </w:tcBorders>
            <w:shd w:val="clear" w:color="auto" w:fill="auto"/>
            <w:vAlign w:val="center"/>
            <w:hideMark/>
          </w:tcPr>
          <w:p w14:paraId="176668B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w:t>
            </w:r>
          </w:p>
        </w:tc>
        <w:tc>
          <w:tcPr>
            <w:tcW w:w="1620" w:type="dxa"/>
            <w:tcBorders>
              <w:top w:val="nil"/>
              <w:left w:val="nil"/>
              <w:bottom w:val="single" w:sz="4" w:space="0" w:color="auto"/>
              <w:right w:val="single" w:sz="4" w:space="0" w:color="auto"/>
            </w:tcBorders>
            <w:shd w:val="clear" w:color="auto" w:fill="auto"/>
            <w:vAlign w:val="center"/>
            <w:hideMark/>
          </w:tcPr>
          <w:p w14:paraId="4ECADED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7D47D3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DD51C1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446E598" w14:textId="77777777" w:rsidTr="0018109D">
        <w:trPr>
          <w:trHeight w:val="924"/>
        </w:trPr>
        <w:tc>
          <w:tcPr>
            <w:tcW w:w="1790" w:type="dxa"/>
            <w:vMerge/>
            <w:tcBorders>
              <w:top w:val="nil"/>
              <w:left w:val="single" w:sz="8" w:space="0" w:color="auto"/>
              <w:bottom w:val="nil"/>
              <w:right w:val="single" w:sz="4" w:space="0" w:color="auto"/>
            </w:tcBorders>
            <w:vAlign w:val="center"/>
            <w:hideMark/>
          </w:tcPr>
          <w:p w14:paraId="555FC93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6B6F3D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3.3.2.2 Zbatimi i Planit Vjetor për buxhetin dhe BNJ.</w:t>
            </w:r>
          </w:p>
        </w:tc>
        <w:tc>
          <w:tcPr>
            <w:tcW w:w="1890" w:type="dxa"/>
            <w:tcBorders>
              <w:top w:val="nil"/>
              <w:left w:val="nil"/>
              <w:bottom w:val="single" w:sz="4" w:space="0" w:color="auto"/>
              <w:right w:val="single" w:sz="4" w:space="0" w:color="auto"/>
            </w:tcBorders>
            <w:shd w:val="clear" w:color="auto" w:fill="auto"/>
            <w:vAlign w:val="center"/>
            <w:hideMark/>
          </w:tcPr>
          <w:p w14:paraId="43B51CB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w:t>
            </w:r>
          </w:p>
        </w:tc>
        <w:tc>
          <w:tcPr>
            <w:tcW w:w="1620" w:type="dxa"/>
            <w:tcBorders>
              <w:top w:val="nil"/>
              <w:left w:val="nil"/>
              <w:bottom w:val="single" w:sz="4" w:space="0" w:color="auto"/>
              <w:right w:val="single" w:sz="4" w:space="0" w:color="auto"/>
            </w:tcBorders>
            <w:shd w:val="clear" w:color="auto" w:fill="auto"/>
            <w:vAlign w:val="center"/>
            <w:hideMark/>
          </w:tcPr>
          <w:p w14:paraId="161AF59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234B7CC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1FF254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523213F" w14:textId="77777777" w:rsidTr="0018109D">
        <w:trPr>
          <w:trHeight w:val="1545"/>
        </w:trPr>
        <w:tc>
          <w:tcPr>
            <w:tcW w:w="1790" w:type="dxa"/>
            <w:vMerge/>
            <w:tcBorders>
              <w:top w:val="nil"/>
              <w:left w:val="single" w:sz="8" w:space="0" w:color="auto"/>
              <w:bottom w:val="nil"/>
              <w:right w:val="single" w:sz="4" w:space="0" w:color="auto"/>
            </w:tcBorders>
            <w:vAlign w:val="center"/>
            <w:hideMark/>
          </w:tcPr>
          <w:p w14:paraId="3EE2E44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15BDBB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3.3.2.3 Plotesimi i vakancave pranë SPAK </w:t>
            </w:r>
          </w:p>
        </w:tc>
        <w:tc>
          <w:tcPr>
            <w:tcW w:w="1890" w:type="dxa"/>
            <w:tcBorders>
              <w:top w:val="nil"/>
              <w:left w:val="nil"/>
              <w:bottom w:val="single" w:sz="4" w:space="0" w:color="auto"/>
              <w:right w:val="single" w:sz="4" w:space="0" w:color="auto"/>
            </w:tcBorders>
            <w:shd w:val="clear" w:color="auto" w:fill="auto"/>
            <w:vAlign w:val="center"/>
            <w:hideMark/>
          </w:tcPr>
          <w:p w14:paraId="5C08111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w:t>
            </w:r>
          </w:p>
        </w:tc>
        <w:tc>
          <w:tcPr>
            <w:tcW w:w="1620" w:type="dxa"/>
            <w:tcBorders>
              <w:top w:val="nil"/>
              <w:left w:val="nil"/>
              <w:bottom w:val="single" w:sz="4" w:space="0" w:color="auto"/>
              <w:right w:val="single" w:sz="4" w:space="0" w:color="auto"/>
            </w:tcBorders>
            <w:shd w:val="clear" w:color="auto" w:fill="auto"/>
            <w:vAlign w:val="center"/>
            <w:hideMark/>
          </w:tcPr>
          <w:p w14:paraId="3C842F2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612449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75DEF32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5AFA6CA6" w14:textId="77777777" w:rsidTr="0018109D">
        <w:trPr>
          <w:trHeight w:val="1008"/>
        </w:trPr>
        <w:tc>
          <w:tcPr>
            <w:tcW w:w="1790" w:type="dxa"/>
            <w:vMerge/>
            <w:tcBorders>
              <w:top w:val="nil"/>
              <w:left w:val="single" w:sz="8" w:space="0" w:color="auto"/>
              <w:bottom w:val="nil"/>
              <w:right w:val="single" w:sz="4" w:space="0" w:color="auto"/>
            </w:tcBorders>
            <w:vAlign w:val="center"/>
            <w:hideMark/>
          </w:tcPr>
          <w:p w14:paraId="2FBF2DF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452A8BB"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3.3.2.4 Trajnimi i stafit te SPAK ne bashkepunim me SHM  sipas pozicionit te tyre te punes perfshire edhe fushen e hetimeve financiare</w:t>
            </w:r>
          </w:p>
        </w:tc>
        <w:tc>
          <w:tcPr>
            <w:tcW w:w="1890" w:type="dxa"/>
            <w:tcBorders>
              <w:top w:val="nil"/>
              <w:left w:val="nil"/>
              <w:bottom w:val="single" w:sz="4" w:space="0" w:color="auto"/>
              <w:right w:val="single" w:sz="4" w:space="0" w:color="auto"/>
            </w:tcBorders>
            <w:shd w:val="clear" w:color="auto" w:fill="auto"/>
            <w:vAlign w:val="center"/>
            <w:hideMark/>
          </w:tcPr>
          <w:p w14:paraId="021FE58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w:t>
            </w:r>
          </w:p>
        </w:tc>
        <w:tc>
          <w:tcPr>
            <w:tcW w:w="1620" w:type="dxa"/>
            <w:tcBorders>
              <w:top w:val="nil"/>
              <w:left w:val="nil"/>
              <w:bottom w:val="single" w:sz="4" w:space="0" w:color="auto"/>
              <w:right w:val="single" w:sz="4" w:space="0" w:color="auto"/>
            </w:tcBorders>
            <w:shd w:val="clear" w:color="auto" w:fill="auto"/>
            <w:vAlign w:val="center"/>
            <w:hideMark/>
          </w:tcPr>
          <w:p w14:paraId="1CB52C7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6D784C9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B20236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0937EB6" w14:textId="77777777" w:rsidTr="0018109D">
        <w:trPr>
          <w:trHeight w:val="708"/>
        </w:trPr>
        <w:tc>
          <w:tcPr>
            <w:tcW w:w="1790" w:type="dxa"/>
            <w:vMerge/>
            <w:tcBorders>
              <w:top w:val="nil"/>
              <w:left w:val="single" w:sz="8" w:space="0" w:color="auto"/>
              <w:bottom w:val="nil"/>
              <w:right w:val="single" w:sz="4" w:space="0" w:color="auto"/>
            </w:tcBorders>
            <w:vAlign w:val="center"/>
            <w:hideMark/>
          </w:tcPr>
          <w:p w14:paraId="5426F46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57B9E1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3.3.2.5 Rritja e bashkëpunimit me ekspertë ndërkombëtarë për të ndarë eksperienca në çështje të ngjashme.</w:t>
            </w:r>
          </w:p>
        </w:tc>
        <w:tc>
          <w:tcPr>
            <w:tcW w:w="1890" w:type="dxa"/>
            <w:tcBorders>
              <w:top w:val="nil"/>
              <w:left w:val="nil"/>
              <w:bottom w:val="single" w:sz="4" w:space="0" w:color="auto"/>
              <w:right w:val="single" w:sz="4" w:space="0" w:color="auto"/>
            </w:tcBorders>
            <w:shd w:val="clear" w:color="auto" w:fill="auto"/>
            <w:vAlign w:val="center"/>
            <w:hideMark/>
          </w:tcPr>
          <w:p w14:paraId="226C9D7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SHM</w:t>
            </w:r>
          </w:p>
        </w:tc>
        <w:tc>
          <w:tcPr>
            <w:tcW w:w="1620" w:type="dxa"/>
            <w:tcBorders>
              <w:top w:val="nil"/>
              <w:left w:val="nil"/>
              <w:bottom w:val="single" w:sz="4" w:space="0" w:color="auto"/>
              <w:right w:val="single" w:sz="4" w:space="0" w:color="auto"/>
            </w:tcBorders>
            <w:shd w:val="clear" w:color="auto" w:fill="auto"/>
            <w:vAlign w:val="center"/>
            <w:hideMark/>
          </w:tcPr>
          <w:p w14:paraId="3BE0BDC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7DE8C2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6FB3D23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64B39FB4" w14:textId="77777777" w:rsidTr="0018109D">
        <w:trPr>
          <w:trHeight w:val="1104"/>
        </w:trPr>
        <w:tc>
          <w:tcPr>
            <w:tcW w:w="1790" w:type="dxa"/>
            <w:vMerge/>
            <w:tcBorders>
              <w:top w:val="nil"/>
              <w:left w:val="single" w:sz="8" w:space="0" w:color="auto"/>
              <w:bottom w:val="nil"/>
              <w:right w:val="single" w:sz="4" w:space="0" w:color="auto"/>
            </w:tcBorders>
            <w:vAlign w:val="center"/>
            <w:hideMark/>
          </w:tcPr>
          <w:p w14:paraId="1570EEF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88BAA2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3.3.2.6 Paisja me programe kompjuterike të specializuara për hetimin financiar dhe ngritja e kapaciteteve njerëzore në përdorimin e tyre.</w:t>
            </w:r>
          </w:p>
        </w:tc>
        <w:tc>
          <w:tcPr>
            <w:tcW w:w="1890" w:type="dxa"/>
            <w:tcBorders>
              <w:top w:val="nil"/>
              <w:left w:val="nil"/>
              <w:bottom w:val="single" w:sz="4" w:space="0" w:color="auto"/>
              <w:right w:val="single" w:sz="4" w:space="0" w:color="auto"/>
            </w:tcBorders>
            <w:shd w:val="clear" w:color="auto" w:fill="auto"/>
            <w:vAlign w:val="center"/>
            <w:hideMark/>
          </w:tcPr>
          <w:p w14:paraId="110B9E1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BKH</w:t>
            </w:r>
          </w:p>
        </w:tc>
        <w:tc>
          <w:tcPr>
            <w:tcW w:w="1620" w:type="dxa"/>
            <w:tcBorders>
              <w:top w:val="nil"/>
              <w:left w:val="nil"/>
              <w:bottom w:val="single" w:sz="4" w:space="0" w:color="auto"/>
              <w:right w:val="single" w:sz="4" w:space="0" w:color="auto"/>
            </w:tcBorders>
            <w:shd w:val="clear" w:color="auto" w:fill="auto"/>
            <w:vAlign w:val="center"/>
            <w:hideMark/>
          </w:tcPr>
          <w:p w14:paraId="05BDB9B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Partnerë vendas dhe ndërkombëtar</w:t>
            </w:r>
          </w:p>
        </w:tc>
        <w:tc>
          <w:tcPr>
            <w:tcW w:w="1710" w:type="dxa"/>
            <w:tcBorders>
              <w:top w:val="nil"/>
              <w:left w:val="nil"/>
              <w:bottom w:val="single" w:sz="4" w:space="0" w:color="auto"/>
              <w:right w:val="single" w:sz="4" w:space="0" w:color="auto"/>
            </w:tcBorders>
            <w:shd w:val="clear" w:color="000000" w:fill="DDEBF7"/>
            <w:vAlign w:val="center"/>
            <w:hideMark/>
          </w:tcPr>
          <w:p w14:paraId="5A8A92F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c>
          <w:tcPr>
            <w:tcW w:w="1260" w:type="dxa"/>
            <w:tcBorders>
              <w:top w:val="nil"/>
              <w:left w:val="nil"/>
              <w:bottom w:val="single" w:sz="4" w:space="0" w:color="auto"/>
              <w:right w:val="single" w:sz="8" w:space="0" w:color="auto"/>
            </w:tcBorders>
            <w:shd w:val="clear" w:color="000000" w:fill="DDEBF7"/>
            <w:vAlign w:val="center"/>
            <w:hideMark/>
          </w:tcPr>
          <w:p w14:paraId="1136219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r>
      <w:tr w:rsidR="007440A2" w:rsidRPr="007440A2" w14:paraId="6C4BA204" w14:textId="77777777" w:rsidTr="0018109D">
        <w:trPr>
          <w:trHeight w:val="1104"/>
        </w:trPr>
        <w:tc>
          <w:tcPr>
            <w:tcW w:w="1790" w:type="dxa"/>
            <w:vMerge/>
            <w:tcBorders>
              <w:top w:val="nil"/>
              <w:left w:val="single" w:sz="8" w:space="0" w:color="auto"/>
              <w:bottom w:val="nil"/>
              <w:right w:val="single" w:sz="4" w:space="0" w:color="auto"/>
            </w:tcBorders>
            <w:vAlign w:val="center"/>
            <w:hideMark/>
          </w:tcPr>
          <w:p w14:paraId="5A02B44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4CAD33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3.3.2.7 Hartimi i një analize mbi nevojat e burimeve njerezore prane BKH </w:t>
            </w:r>
          </w:p>
        </w:tc>
        <w:tc>
          <w:tcPr>
            <w:tcW w:w="1890" w:type="dxa"/>
            <w:tcBorders>
              <w:top w:val="nil"/>
              <w:left w:val="nil"/>
              <w:bottom w:val="single" w:sz="4" w:space="0" w:color="auto"/>
              <w:right w:val="single" w:sz="4" w:space="0" w:color="auto"/>
            </w:tcBorders>
            <w:shd w:val="clear" w:color="auto" w:fill="auto"/>
            <w:vAlign w:val="center"/>
            <w:hideMark/>
          </w:tcPr>
          <w:p w14:paraId="6416EE5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BKH</w:t>
            </w:r>
          </w:p>
        </w:tc>
        <w:tc>
          <w:tcPr>
            <w:tcW w:w="1620" w:type="dxa"/>
            <w:tcBorders>
              <w:top w:val="nil"/>
              <w:left w:val="nil"/>
              <w:bottom w:val="single" w:sz="4" w:space="0" w:color="auto"/>
              <w:right w:val="single" w:sz="4" w:space="0" w:color="auto"/>
            </w:tcBorders>
            <w:shd w:val="clear" w:color="auto" w:fill="auto"/>
            <w:vAlign w:val="center"/>
            <w:hideMark/>
          </w:tcPr>
          <w:p w14:paraId="5EC2E40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75B40CD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75D2B1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73DE98B1" w14:textId="77777777" w:rsidTr="0018109D">
        <w:trPr>
          <w:trHeight w:val="1164"/>
        </w:trPr>
        <w:tc>
          <w:tcPr>
            <w:tcW w:w="1790" w:type="dxa"/>
            <w:vMerge/>
            <w:tcBorders>
              <w:top w:val="nil"/>
              <w:left w:val="single" w:sz="8" w:space="0" w:color="auto"/>
              <w:bottom w:val="nil"/>
              <w:right w:val="single" w:sz="4" w:space="0" w:color="auto"/>
            </w:tcBorders>
            <w:vAlign w:val="center"/>
            <w:hideMark/>
          </w:tcPr>
          <w:p w14:paraId="2C93734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FBA6680"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3.3.2.8 Hartimi dhe miratimi i urdhrit te perbashket te dy drejtuesve (BKH dhe PP) per riorganizimin e struktures se BKH.</w:t>
            </w:r>
          </w:p>
        </w:tc>
        <w:tc>
          <w:tcPr>
            <w:tcW w:w="1890" w:type="dxa"/>
            <w:tcBorders>
              <w:top w:val="nil"/>
              <w:left w:val="nil"/>
              <w:bottom w:val="single" w:sz="4" w:space="0" w:color="auto"/>
              <w:right w:val="single" w:sz="4" w:space="0" w:color="auto"/>
            </w:tcBorders>
            <w:shd w:val="clear" w:color="auto" w:fill="auto"/>
            <w:vAlign w:val="center"/>
            <w:hideMark/>
          </w:tcPr>
          <w:p w14:paraId="1CFB121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BKH</w:t>
            </w:r>
          </w:p>
        </w:tc>
        <w:tc>
          <w:tcPr>
            <w:tcW w:w="1620" w:type="dxa"/>
            <w:tcBorders>
              <w:top w:val="nil"/>
              <w:left w:val="nil"/>
              <w:bottom w:val="single" w:sz="4" w:space="0" w:color="auto"/>
              <w:right w:val="single" w:sz="4" w:space="0" w:color="auto"/>
            </w:tcBorders>
            <w:shd w:val="clear" w:color="auto" w:fill="auto"/>
            <w:vAlign w:val="center"/>
            <w:hideMark/>
          </w:tcPr>
          <w:p w14:paraId="66F100A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46B2BE6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523FC7B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6E96FABF" w14:textId="77777777" w:rsidTr="0018109D">
        <w:trPr>
          <w:trHeight w:val="1200"/>
        </w:trPr>
        <w:tc>
          <w:tcPr>
            <w:tcW w:w="1790" w:type="dxa"/>
            <w:vMerge/>
            <w:tcBorders>
              <w:top w:val="nil"/>
              <w:left w:val="single" w:sz="8" w:space="0" w:color="auto"/>
              <w:bottom w:val="nil"/>
              <w:right w:val="single" w:sz="4" w:space="0" w:color="auto"/>
            </w:tcBorders>
            <w:vAlign w:val="center"/>
            <w:hideMark/>
          </w:tcPr>
          <w:p w14:paraId="3D94A1E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A131E0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3.3.2.9 Ndjekja e procesit te rekrutimit (shpallja e thirrjeve, caktimi i komisioneve, intervistat dhe fazat e testimit etj.), ne perputhje me rregullat dhe procedurat e parashikuara me ligjin 95/2016 dhe akte nënligjore (perfshire procesin e vetting-ut te kandidateve)</w:t>
            </w:r>
          </w:p>
        </w:tc>
        <w:tc>
          <w:tcPr>
            <w:tcW w:w="1890" w:type="dxa"/>
            <w:tcBorders>
              <w:top w:val="nil"/>
              <w:left w:val="nil"/>
              <w:bottom w:val="single" w:sz="4" w:space="0" w:color="auto"/>
              <w:right w:val="single" w:sz="4" w:space="0" w:color="auto"/>
            </w:tcBorders>
            <w:shd w:val="clear" w:color="auto" w:fill="auto"/>
            <w:vAlign w:val="center"/>
            <w:hideMark/>
          </w:tcPr>
          <w:p w14:paraId="1A733AC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BKH, PP</w:t>
            </w:r>
          </w:p>
        </w:tc>
        <w:tc>
          <w:tcPr>
            <w:tcW w:w="1620" w:type="dxa"/>
            <w:tcBorders>
              <w:top w:val="nil"/>
              <w:left w:val="nil"/>
              <w:bottom w:val="single" w:sz="4" w:space="0" w:color="auto"/>
              <w:right w:val="single" w:sz="4" w:space="0" w:color="auto"/>
            </w:tcBorders>
            <w:shd w:val="clear" w:color="auto" w:fill="auto"/>
            <w:vAlign w:val="center"/>
            <w:hideMark/>
          </w:tcPr>
          <w:p w14:paraId="51A3788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0754AE4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56AE0F8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3D5BE144" w14:textId="77777777" w:rsidTr="00BA6A27">
        <w:trPr>
          <w:trHeight w:val="900"/>
        </w:trPr>
        <w:tc>
          <w:tcPr>
            <w:tcW w:w="1790" w:type="dxa"/>
            <w:vMerge/>
            <w:tcBorders>
              <w:top w:val="nil"/>
              <w:left w:val="single" w:sz="8" w:space="0" w:color="auto"/>
              <w:bottom w:val="nil"/>
              <w:right w:val="single" w:sz="4" w:space="0" w:color="auto"/>
            </w:tcBorders>
            <w:vAlign w:val="center"/>
            <w:hideMark/>
          </w:tcPr>
          <w:p w14:paraId="311E548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39D31C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3.3.2.10 Hartimi i një analize të nevojave për trajnim (ANT) çdo vit, të ndarë sipas nevojave të grupeve përkatëse në  BKH. </w:t>
            </w:r>
          </w:p>
        </w:tc>
        <w:tc>
          <w:tcPr>
            <w:tcW w:w="1890" w:type="dxa"/>
            <w:tcBorders>
              <w:top w:val="nil"/>
              <w:left w:val="single" w:sz="4" w:space="0" w:color="auto"/>
              <w:bottom w:val="single" w:sz="4" w:space="0" w:color="auto"/>
              <w:right w:val="single" w:sz="4" w:space="0" w:color="auto"/>
            </w:tcBorders>
            <w:shd w:val="clear" w:color="auto" w:fill="auto"/>
            <w:vAlign w:val="center"/>
            <w:hideMark/>
          </w:tcPr>
          <w:p w14:paraId="708B99B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BKH</w:t>
            </w:r>
          </w:p>
        </w:tc>
        <w:tc>
          <w:tcPr>
            <w:tcW w:w="1620" w:type="dxa"/>
            <w:tcBorders>
              <w:top w:val="nil"/>
              <w:left w:val="nil"/>
              <w:bottom w:val="single" w:sz="4" w:space="0" w:color="auto"/>
              <w:right w:val="single" w:sz="4" w:space="0" w:color="auto"/>
            </w:tcBorders>
            <w:shd w:val="clear" w:color="auto" w:fill="auto"/>
            <w:vAlign w:val="center"/>
            <w:hideMark/>
          </w:tcPr>
          <w:p w14:paraId="369546E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7CE70D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65CB251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8B990A7" w14:textId="77777777" w:rsidTr="0018109D">
        <w:trPr>
          <w:trHeight w:val="828"/>
        </w:trPr>
        <w:tc>
          <w:tcPr>
            <w:tcW w:w="1790" w:type="dxa"/>
            <w:vMerge/>
            <w:tcBorders>
              <w:top w:val="nil"/>
              <w:left w:val="single" w:sz="8" w:space="0" w:color="auto"/>
              <w:bottom w:val="nil"/>
              <w:right w:val="single" w:sz="4" w:space="0" w:color="auto"/>
            </w:tcBorders>
            <w:vAlign w:val="center"/>
            <w:hideMark/>
          </w:tcPr>
          <w:p w14:paraId="08DDC0B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nil"/>
              <w:right w:val="single" w:sz="4" w:space="0" w:color="auto"/>
            </w:tcBorders>
            <w:shd w:val="clear" w:color="auto" w:fill="auto"/>
            <w:vAlign w:val="center"/>
            <w:hideMark/>
          </w:tcPr>
          <w:p w14:paraId="3E375CF0"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3.3.2.11 Zbatimi i rekomandimeve te nxjerra nga analiza e nevojave per trajnim ne nje Plan Rritje Kapacitetesh ne bashkepunim me SHM</w:t>
            </w:r>
          </w:p>
        </w:tc>
        <w:tc>
          <w:tcPr>
            <w:tcW w:w="1890" w:type="dxa"/>
            <w:tcBorders>
              <w:top w:val="nil"/>
              <w:left w:val="nil"/>
              <w:bottom w:val="nil"/>
              <w:right w:val="single" w:sz="4" w:space="0" w:color="auto"/>
            </w:tcBorders>
            <w:shd w:val="clear" w:color="auto" w:fill="auto"/>
            <w:vAlign w:val="center"/>
            <w:hideMark/>
          </w:tcPr>
          <w:p w14:paraId="6CF533F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BKH</w:t>
            </w:r>
          </w:p>
        </w:tc>
        <w:tc>
          <w:tcPr>
            <w:tcW w:w="1620" w:type="dxa"/>
            <w:tcBorders>
              <w:top w:val="nil"/>
              <w:left w:val="nil"/>
              <w:bottom w:val="nil"/>
              <w:right w:val="single" w:sz="4" w:space="0" w:color="auto"/>
            </w:tcBorders>
            <w:shd w:val="clear" w:color="auto" w:fill="auto"/>
            <w:vAlign w:val="center"/>
            <w:hideMark/>
          </w:tcPr>
          <w:p w14:paraId="15D736D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nil"/>
              <w:right w:val="single" w:sz="4" w:space="0" w:color="auto"/>
            </w:tcBorders>
            <w:shd w:val="clear" w:color="000000" w:fill="DDEBF7"/>
            <w:vAlign w:val="center"/>
            <w:hideMark/>
          </w:tcPr>
          <w:p w14:paraId="7C6095A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nil"/>
              <w:right w:val="single" w:sz="8" w:space="0" w:color="auto"/>
            </w:tcBorders>
            <w:shd w:val="clear" w:color="000000" w:fill="DDEBF7"/>
            <w:vAlign w:val="center"/>
            <w:hideMark/>
          </w:tcPr>
          <w:p w14:paraId="205ADC1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6A3D774" w14:textId="77777777" w:rsidTr="0018109D">
        <w:trPr>
          <w:trHeight w:val="1110"/>
        </w:trPr>
        <w:tc>
          <w:tcPr>
            <w:tcW w:w="179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1EF4902"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3.3.3 Përmirësimi i funksionimit te SPAK dhe specializimi i brendshëm institucional për të kryer hetime proaktive (perfshire hetime financiare) gjate ndjekjes penale te korrupsionit.</w:t>
            </w:r>
          </w:p>
        </w:tc>
        <w:tc>
          <w:tcPr>
            <w:tcW w:w="2520" w:type="dxa"/>
            <w:tcBorders>
              <w:top w:val="single" w:sz="8" w:space="0" w:color="auto"/>
              <w:left w:val="nil"/>
              <w:bottom w:val="single" w:sz="4" w:space="0" w:color="auto"/>
              <w:right w:val="single" w:sz="4" w:space="0" w:color="auto"/>
            </w:tcBorders>
            <w:shd w:val="clear" w:color="auto" w:fill="auto"/>
            <w:vAlign w:val="center"/>
            <w:hideMark/>
          </w:tcPr>
          <w:p w14:paraId="33D0B29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3.3.3.1 Hartimi i një udhëzimi të përgjithshem për hetimin financiar </w:t>
            </w:r>
          </w:p>
        </w:tc>
        <w:tc>
          <w:tcPr>
            <w:tcW w:w="1890" w:type="dxa"/>
            <w:tcBorders>
              <w:top w:val="single" w:sz="8" w:space="0" w:color="auto"/>
              <w:left w:val="nil"/>
              <w:bottom w:val="single" w:sz="4" w:space="0" w:color="auto"/>
              <w:right w:val="single" w:sz="4" w:space="0" w:color="auto"/>
            </w:tcBorders>
            <w:shd w:val="clear" w:color="auto" w:fill="auto"/>
            <w:vAlign w:val="center"/>
            <w:hideMark/>
          </w:tcPr>
          <w:p w14:paraId="6860DF3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675F307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single" w:sz="8" w:space="0" w:color="auto"/>
              <w:left w:val="nil"/>
              <w:bottom w:val="single" w:sz="4" w:space="0" w:color="auto"/>
              <w:right w:val="single" w:sz="4" w:space="0" w:color="auto"/>
            </w:tcBorders>
            <w:shd w:val="clear" w:color="000000" w:fill="DDEBF7"/>
            <w:vAlign w:val="center"/>
            <w:hideMark/>
          </w:tcPr>
          <w:p w14:paraId="49D2507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single" w:sz="8" w:space="0" w:color="auto"/>
              <w:left w:val="nil"/>
              <w:bottom w:val="single" w:sz="4" w:space="0" w:color="auto"/>
              <w:right w:val="single" w:sz="8" w:space="0" w:color="auto"/>
            </w:tcBorders>
            <w:shd w:val="clear" w:color="000000" w:fill="DDEBF7"/>
            <w:vAlign w:val="center"/>
            <w:hideMark/>
          </w:tcPr>
          <w:p w14:paraId="2466CBC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0BCC15C3" w14:textId="77777777" w:rsidTr="0018109D">
        <w:trPr>
          <w:trHeight w:val="1110"/>
        </w:trPr>
        <w:tc>
          <w:tcPr>
            <w:tcW w:w="1790" w:type="dxa"/>
            <w:vMerge/>
            <w:tcBorders>
              <w:top w:val="single" w:sz="8" w:space="0" w:color="auto"/>
              <w:left w:val="single" w:sz="8" w:space="0" w:color="auto"/>
              <w:bottom w:val="single" w:sz="8" w:space="0" w:color="000000"/>
              <w:right w:val="single" w:sz="4" w:space="0" w:color="auto"/>
            </w:tcBorders>
            <w:vAlign w:val="center"/>
            <w:hideMark/>
          </w:tcPr>
          <w:p w14:paraId="268D27E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0417E1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3.3.3.2 Implementimi i udhëzimeve për hetimin financiar</w:t>
            </w:r>
          </w:p>
        </w:tc>
        <w:tc>
          <w:tcPr>
            <w:tcW w:w="1890" w:type="dxa"/>
            <w:tcBorders>
              <w:top w:val="nil"/>
              <w:left w:val="nil"/>
              <w:bottom w:val="single" w:sz="4" w:space="0" w:color="auto"/>
              <w:right w:val="single" w:sz="4" w:space="0" w:color="auto"/>
            </w:tcBorders>
            <w:shd w:val="clear" w:color="auto" w:fill="auto"/>
            <w:vAlign w:val="center"/>
            <w:hideMark/>
          </w:tcPr>
          <w:p w14:paraId="3B8E639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BKH</w:t>
            </w:r>
          </w:p>
        </w:tc>
        <w:tc>
          <w:tcPr>
            <w:tcW w:w="1620" w:type="dxa"/>
            <w:tcBorders>
              <w:top w:val="nil"/>
              <w:left w:val="nil"/>
              <w:bottom w:val="single" w:sz="4" w:space="0" w:color="auto"/>
              <w:right w:val="single" w:sz="4" w:space="0" w:color="auto"/>
            </w:tcBorders>
            <w:shd w:val="clear" w:color="auto" w:fill="auto"/>
            <w:vAlign w:val="center"/>
            <w:hideMark/>
          </w:tcPr>
          <w:p w14:paraId="6090472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A06FAE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18D3AE2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2866D58" w14:textId="77777777" w:rsidTr="0018109D">
        <w:trPr>
          <w:trHeight w:val="1110"/>
        </w:trPr>
        <w:tc>
          <w:tcPr>
            <w:tcW w:w="1790" w:type="dxa"/>
            <w:vMerge/>
            <w:tcBorders>
              <w:top w:val="single" w:sz="8" w:space="0" w:color="auto"/>
              <w:left w:val="single" w:sz="8" w:space="0" w:color="auto"/>
              <w:bottom w:val="single" w:sz="8" w:space="0" w:color="000000"/>
              <w:right w:val="single" w:sz="4" w:space="0" w:color="auto"/>
            </w:tcBorders>
            <w:vAlign w:val="center"/>
            <w:hideMark/>
          </w:tcPr>
          <w:p w14:paraId="2F6B914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CB1873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3.3.3.3 Krijimi i partneritetit  me institucione financiare private për të përdorur burimet e tyre për hetimin në kohë të indiceve të pastrimit të parave </w:t>
            </w:r>
          </w:p>
        </w:tc>
        <w:tc>
          <w:tcPr>
            <w:tcW w:w="1890" w:type="dxa"/>
            <w:tcBorders>
              <w:top w:val="nil"/>
              <w:left w:val="nil"/>
              <w:bottom w:val="single" w:sz="4" w:space="0" w:color="auto"/>
              <w:right w:val="single" w:sz="4" w:space="0" w:color="auto"/>
            </w:tcBorders>
            <w:shd w:val="clear" w:color="auto" w:fill="auto"/>
            <w:vAlign w:val="center"/>
            <w:hideMark/>
          </w:tcPr>
          <w:p w14:paraId="519E3AA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BKH</w:t>
            </w:r>
          </w:p>
        </w:tc>
        <w:tc>
          <w:tcPr>
            <w:tcW w:w="1620" w:type="dxa"/>
            <w:tcBorders>
              <w:top w:val="nil"/>
              <w:left w:val="nil"/>
              <w:bottom w:val="single" w:sz="4" w:space="0" w:color="auto"/>
              <w:right w:val="single" w:sz="4" w:space="0" w:color="auto"/>
            </w:tcBorders>
            <w:shd w:val="clear" w:color="auto" w:fill="auto"/>
            <w:vAlign w:val="center"/>
            <w:hideMark/>
          </w:tcPr>
          <w:p w14:paraId="3E3DE0E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66EADB6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5AEF1F0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6C8CC9E6" w14:textId="77777777" w:rsidTr="0018109D">
        <w:trPr>
          <w:trHeight w:val="1110"/>
        </w:trPr>
        <w:tc>
          <w:tcPr>
            <w:tcW w:w="1790" w:type="dxa"/>
            <w:vMerge/>
            <w:tcBorders>
              <w:top w:val="single" w:sz="8" w:space="0" w:color="auto"/>
              <w:left w:val="single" w:sz="8" w:space="0" w:color="auto"/>
              <w:bottom w:val="single" w:sz="8" w:space="0" w:color="000000"/>
              <w:right w:val="single" w:sz="4" w:space="0" w:color="auto"/>
            </w:tcBorders>
            <w:vAlign w:val="center"/>
            <w:hideMark/>
          </w:tcPr>
          <w:p w14:paraId="1A1D90F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B4F8FA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3.3.3.4 Ndërtimi i marrëdhënieve të ngushta me institucione financiare ndërkombëtare (perfshire bashkepunimin me FIU) për shkëmbim të të dhënave dhe informacioneve financiare </w:t>
            </w:r>
          </w:p>
        </w:tc>
        <w:tc>
          <w:tcPr>
            <w:tcW w:w="1890" w:type="dxa"/>
            <w:tcBorders>
              <w:top w:val="nil"/>
              <w:left w:val="nil"/>
              <w:bottom w:val="single" w:sz="4" w:space="0" w:color="auto"/>
              <w:right w:val="single" w:sz="4" w:space="0" w:color="auto"/>
            </w:tcBorders>
            <w:shd w:val="clear" w:color="auto" w:fill="auto"/>
            <w:vAlign w:val="center"/>
            <w:hideMark/>
          </w:tcPr>
          <w:p w14:paraId="3646C26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BKH</w:t>
            </w:r>
          </w:p>
        </w:tc>
        <w:tc>
          <w:tcPr>
            <w:tcW w:w="1620" w:type="dxa"/>
            <w:tcBorders>
              <w:top w:val="nil"/>
              <w:left w:val="nil"/>
              <w:bottom w:val="single" w:sz="4" w:space="0" w:color="auto"/>
              <w:right w:val="single" w:sz="4" w:space="0" w:color="auto"/>
            </w:tcBorders>
            <w:shd w:val="clear" w:color="auto" w:fill="auto"/>
            <w:vAlign w:val="center"/>
            <w:hideMark/>
          </w:tcPr>
          <w:p w14:paraId="539D917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Partnerë vendas dhe ndërkombëtar</w:t>
            </w:r>
          </w:p>
        </w:tc>
        <w:tc>
          <w:tcPr>
            <w:tcW w:w="1710" w:type="dxa"/>
            <w:tcBorders>
              <w:top w:val="nil"/>
              <w:left w:val="nil"/>
              <w:bottom w:val="single" w:sz="4" w:space="0" w:color="auto"/>
              <w:right w:val="single" w:sz="4" w:space="0" w:color="auto"/>
            </w:tcBorders>
            <w:shd w:val="clear" w:color="000000" w:fill="DDEBF7"/>
            <w:vAlign w:val="center"/>
            <w:hideMark/>
          </w:tcPr>
          <w:p w14:paraId="5EE228B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2541E8C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497AF216" w14:textId="77777777" w:rsidTr="0018109D">
        <w:trPr>
          <w:trHeight w:val="1584"/>
        </w:trPr>
        <w:tc>
          <w:tcPr>
            <w:tcW w:w="1790" w:type="dxa"/>
            <w:vMerge/>
            <w:tcBorders>
              <w:top w:val="single" w:sz="8" w:space="0" w:color="auto"/>
              <w:left w:val="single" w:sz="8" w:space="0" w:color="auto"/>
              <w:bottom w:val="single" w:sz="8" w:space="0" w:color="000000"/>
              <w:right w:val="single" w:sz="4" w:space="0" w:color="auto"/>
            </w:tcBorders>
            <w:vAlign w:val="center"/>
            <w:hideMark/>
          </w:tcPr>
          <w:p w14:paraId="702A7D0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90C6FB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3.3.3.5 Monitorimi i udhëzimit për hetimin financiar dhe nxjerrja e rekomandimeve për përmirësim në varësi të nevojës</w:t>
            </w:r>
          </w:p>
        </w:tc>
        <w:tc>
          <w:tcPr>
            <w:tcW w:w="1890" w:type="dxa"/>
            <w:tcBorders>
              <w:top w:val="nil"/>
              <w:left w:val="nil"/>
              <w:bottom w:val="single" w:sz="4" w:space="0" w:color="auto"/>
              <w:right w:val="single" w:sz="4" w:space="0" w:color="auto"/>
            </w:tcBorders>
            <w:shd w:val="clear" w:color="auto" w:fill="auto"/>
            <w:vAlign w:val="center"/>
            <w:hideMark/>
          </w:tcPr>
          <w:p w14:paraId="5D2642B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w:t>
            </w:r>
          </w:p>
        </w:tc>
        <w:tc>
          <w:tcPr>
            <w:tcW w:w="1620" w:type="dxa"/>
            <w:tcBorders>
              <w:top w:val="nil"/>
              <w:left w:val="nil"/>
              <w:bottom w:val="single" w:sz="4" w:space="0" w:color="auto"/>
              <w:right w:val="single" w:sz="4" w:space="0" w:color="auto"/>
            </w:tcBorders>
            <w:shd w:val="clear" w:color="auto" w:fill="auto"/>
            <w:vAlign w:val="center"/>
            <w:hideMark/>
          </w:tcPr>
          <w:p w14:paraId="1FD9C5F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008C4EA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2027, 2029</w:t>
            </w:r>
          </w:p>
        </w:tc>
        <w:tc>
          <w:tcPr>
            <w:tcW w:w="1260" w:type="dxa"/>
            <w:tcBorders>
              <w:top w:val="nil"/>
              <w:left w:val="nil"/>
              <w:bottom w:val="single" w:sz="4" w:space="0" w:color="auto"/>
              <w:right w:val="single" w:sz="8" w:space="0" w:color="auto"/>
            </w:tcBorders>
            <w:shd w:val="clear" w:color="000000" w:fill="DDEBF7"/>
            <w:vAlign w:val="center"/>
            <w:hideMark/>
          </w:tcPr>
          <w:p w14:paraId="21B21FC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2027, 2029</w:t>
            </w:r>
          </w:p>
        </w:tc>
      </w:tr>
      <w:tr w:rsidR="007440A2" w:rsidRPr="007440A2" w14:paraId="0118D5B3" w14:textId="77777777" w:rsidTr="0018109D">
        <w:trPr>
          <w:trHeight w:val="1512"/>
        </w:trPr>
        <w:tc>
          <w:tcPr>
            <w:tcW w:w="1790" w:type="dxa"/>
            <w:vMerge/>
            <w:tcBorders>
              <w:top w:val="single" w:sz="8" w:space="0" w:color="auto"/>
              <w:left w:val="single" w:sz="8" w:space="0" w:color="auto"/>
              <w:bottom w:val="single" w:sz="8" w:space="0" w:color="000000"/>
              <w:right w:val="single" w:sz="4" w:space="0" w:color="auto"/>
            </w:tcBorders>
            <w:vAlign w:val="center"/>
            <w:hideMark/>
          </w:tcPr>
          <w:p w14:paraId="0CA6099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8CA2AD0"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3.3.3.6 Pajisja me programe kompjuterike të specializuara për hetimin financiar dhe ngritja e kapaciteteve njerëzore në përdorimin e tyre.</w:t>
            </w:r>
          </w:p>
        </w:tc>
        <w:tc>
          <w:tcPr>
            <w:tcW w:w="1890" w:type="dxa"/>
            <w:tcBorders>
              <w:top w:val="nil"/>
              <w:left w:val="nil"/>
              <w:bottom w:val="single" w:sz="4" w:space="0" w:color="auto"/>
              <w:right w:val="single" w:sz="4" w:space="0" w:color="auto"/>
            </w:tcBorders>
            <w:shd w:val="clear" w:color="auto" w:fill="auto"/>
            <w:vAlign w:val="center"/>
            <w:hideMark/>
          </w:tcPr>
          <w:p w14:paraId="5ED9424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BKH</w:t>
            </w:r>
          </w:p>
        </w:tc>
        <w:tc>
          <w:tcPr>
            <w:tcW w:w="1620" w:type="dxa"/>
            <w:tcBorders>
              <w:top w:val="nil"/>
              <w:left w:val="nil"/>
              <w:bottom w:val="single" w:sz="4" w:space="0" w:color="auto"/>
              <w:right w:val="single" w:sz="4" w:space="0" w:color="auto"/>
            </w:tcBorders>
            <w:shd w:val="clear" w:color="auto" w:fill="auto"/>
            <w:vAlign w:val="center"/>
            <w:hideMark/>
          </w:tcPr>
          <w:p w14:paraId="4FD194E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649872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3DD3CAD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ED975CB" w14:textId="77777777" w:rsidTr="0018109D">
        <w:trPr>
          <w:trHeight w:val="1536"/>
        </w:trPr>
        <w:tc>
          <w:tcPr>
            <w:tcW w:w="1790" w:type="dxa"/>
            <w:vMerge/>
            <w:tcBorders>
              <w:top w:val="single" w:sz="8" w:space="0" w:color="auto"/>
              <w:left w:val="single" w:sz="8" w:space="0" w:color="auto"/>
              <w:bottom w:val="single" w:sz="8" w:space="0" w:color="000000"/>
              <w:right w:val="single" w:sz="4" w:space="0" w:color="auto"/>
            </w:tcBorders>
            <w:vAlign w:val="center"/>
            <w:hideMark/>
          </w:tcPr>
          <w:p w14:paraId="30CAEDB9"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40EA6C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3.3.3.7 Bashkepunimi i ngushte me institucionet bashkepergjegjese per rritjen e efektivitetit ne konfiskimin e te ardhurave qe rrjedhin nga veprat penale te korrupsionit</w:t>
            </w:r>
          </w:p>
        </w:tc>
        <w:tc>
          <w:tcPr>
            <w:tcW w:w="1890" w:type="dxa"/>
            <w:tcBorders>
              <w:top w:val="nil"/>
              <w:left w:val="nil"/>
              <w:bottom w:val="single" w:sz="4" w:space="0" w:color="auto"/>
              <w:right w:val="single" w:sz="4" w:space="0" w:color="auto"/>
            </w:tcBorders>
            <w:shd w:val="clear" w:color="auto" w:fill="auto"/>
            <w:vAlign w:val="center"/>
            <w:hideMark/>
          </w:tcPr>
          <w:p w14:paraId="7121EE9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BKH</w:t>
            </w:r>
          </w:p>
        </w:tc>
        <w:tc>
          <w:tcPr>
            <w:tcW w:w="1620" w:type="dxa"/>
            <w:tcBorders>
              <w:top w:val="nil"/>
              <w:left w:val="nil"/>
              <w:bottom w:val="single" w:sz="4" w:space="0" w:color="auto"/>
              <w:right w:val="single" w:sz="4" w:space="0" w:color="auto"/>
            </w:tcBorders>
            <w:shd w:val="clear" w:color="auto" w:fill="auto"/>
            <w:vAlign w:val="center"/>
            <w:hideMark/>
          </w:tcPr>
          <w:p w14:paraId="3DCAC62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271FF7D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1074E09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8F74AE8" w14:textId="77777777" w:rsidTr="0018109D">
        <w:trPr>
          <w:trHeight w:val="1488"/>
        </w:trPr>
        <w:tc>
          <w:tcPr>
            <w:tcW w:w="1790" w:type="dxa"/>
            <w:vMerge/>
            <w:tcBorders>
              <w:top w:val="single" w:sz="8" w:space="0" w:color="auto"/>
              <w:left w:val="single" w:sz="8" w:space="0" w:color="auto"/>
              <w:bottom w:val="single" w:sz="8" w:space="0" w:color="000000"/>
              <w:right w:val="single" w:sz="4" w:space="0" w:color="auto"/>
            </w:tcBorders>
            <w:vAlign w:val="center"/>
            <w:hideMark/>
          </w:tcPr>
          <w:p w14:paraId="2788E4A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49B7E64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3.3.3.8 Raportim i rregullt dhe berja e tyre transparente lidhur me pasurite e sekuestruara per veprat penale qe rrjedhin nga korrupsioni</w:t>
            </w:r>
          </w:p>
        </w:tc>
        <w:tc>
          <w:tcPr>
            <w:tcW w:w="1890" w:type="dxa"/>
            <w:tcBorders>
              <w:top w:val="nil"/>
              <w:left w:val="nil"/>
              <w:bottom w:val="single" w:sz="8" w:space="0" w:color="auto"/>
              <w:right w:val="single" w:sz="4" w:space="0" w:color="auto"/>
            </w:tcBorders>
            <w:shd w:val="clear" w:color="auto" w:fill="auto"/>
            <w:vAlign w:val="center"/>
            <w:hideMark/>
          </w:tcPr>
          <w:p w14:paraId="2F0B14C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BKH</w:t>
            </w:r>
          </w:p>
        </w:tc>
        <w:tc>
          <w:tcPr>
            <w:tcW w:w="1620" w:type="dxa"/>
            <w:tcBorders>
              <w:top w:val="nil"/>
              <w:left w:val="nil"/>
              <w:bottom w:val="single" w:sz="8" w:space="0" w:color="auto"/>
              <w:right w:val="single" w:sz="4" w:space="0" w:color="auto"/>
            </w:tcBorders>
            <w:shd w:val="clear" w:color="auto" w:fill="auto"/>
            <w:vAlign w:val="center"/>
            <w:hideMark/>
          </w:tcPr>
          <w:p w14:paraId="5729EDD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7E96241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60F4C35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2CABA3E" w14:textId="77777777" w:rsidTr="0018109D">
        <w:trPr>
          <w:trHeight w:val="1992"/>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32017FBF"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3.3.4 Sigurohet zbatimi në kohë dhe efikas i vendimeve gjyqësore të formës së prerë</w:t>
            </w:r>
          </w:p>
        </w:tc>
        <w:tc>
          <w:tcPr>
            <w:tcW w:w="2520" w:type="dxa"/>
            <w:tcBorders>
              <w:top w:val="nil"/>
              <w:left w:val="nil"/>
              <w:bottom w:val="single" w:sz="4" w:space="0" w:color="auto"/>
              <w:right w:val="single" w:sz="4" w:space="0" w:color="auto"/>
            </w:tcBorders>
            <w:shd w:val="clear" w:color="auto" w:fill="auto"/>
            <w:vAlign w:val="center"/>
            <w:hideMark/>
          </w:tcPr>
          <w:p w14:paraId="7E8E979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3.3.3.1 Hartimi i analizave duke perfshire nje plan (nga secili institucion), per ekzekutimin ne kohe dhe menyre efikase te vendimeve gjyqesore, identifikimin e arsyeve te vonesave dhe sugjerimin e masave korrigjuese.</w:t>
            </w:r>
          </w:p>
        </w:tc>
        <w:tc>
          <w:tcPr>
            <w:tcW w:w="1890" w:type="dxa"/>
            <w:tcBorders>
              <w:top w:val="nil"/>
              <w:left w:val="nil"/>
              <w:bottom w:val="single" w:sz="4" w:space="0" w:color="auto"/>
              <w:right w:val="single" w:sz="4" w:space="0" w:color="auto"/>
            </w:tcBorders>
            <w:shd w:val="clear" w:color="auto" w:fill="auto"/>
            <w:vAlign w:val="center"/>
            <w:hideMark/>
          </w:tcPr>
          <w:p w14:paraId="3F59F6C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MD, DPB, DSHP, DPP, KLGJ, GJKKO</w:t>
            </w:r>
          </w:p>
        </w:tc>
        <w:tc>
          <w:tcPr>
            <w:tcW w:w="1620" w:type="dxa"/>
            <w:tcBorders>
              <w:top w:val="nil"/>
              <w:left w:val="nil"/>
              <w:bottom w:val="single" w:sz="4" w:space="0" w:color="auto"/>
              <w:right w:val="single" w:sz="4" w:space="0" w:color="auto"/>
            </w:tcBorders>
            <w:shd w:val="clear" w:color="auto" w:fill="auto"/>
            <w:vAlign w:val="center"/>
            <w:hideMark/>
          </w:tcPr>
          <w:p w14:paraId="795C633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68562C2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4CE9075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4FBE32E5" w14:textId="77777777" w:rsidTr="0018109D">
        <w:trPr>
          <w:trHeight w:val="1224"/>
        </w:trPr>
        <w:tc>
          <w:tcPr>
            <w:tcW w:w="1790" w:type="dxa"/>
            <w:vMerge/>
            <w:tcBorders>
              <w:top w:val="nil"/>
              <w:left w:val="single" w:sz="8" w:space="0" w:color="auto"/>
              <w:bottom w:val="single" w:sz="8" w:space="0" w:color="000000"/>
              <w:right w:val="single" w:sz="4" w:space="0" w:color="auto"/>
            </w:tcBorders>
            <w:vAlign w:val="center"/>
            <w:hideMark/>
          </w:tcPr>
          <w:p w14:paraId="5657B41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DA5A35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3.3.3.2 Hartimi i analizes mbi nevojen e ndryshimeve ligjore lidhur me dispozitat e ekzekutimit te vendimeve te gjykatave speciale.</w:t>
            </w:r>
          </w:p>
        </w:tc>
        <w:tc>
          <w:tcPr>
            <w:tcW w:w="1890" w:type="dxa"/>
            <w:tcBorders>
              <w:top w:val="nil"/>
              <w:left w:val="nil"/>
              <w:bottom w:val="single" w:sz="4" w:space="0" w:color="auto"/>
              <w:right w:val="single" w:sz="4" w:space="0" w:color="auto"/>
            </w:tcBorders>
            <w:shd w:val="clear" w:color="auto" w:fill="auto"/>
            <w:vAlign w:val="center"/>
            <w:hideMark/>
          </w:tcPr>
          <w:p w14:paraId="5677FC2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MD, DPB, DSHP, DPP, KLGJ, GJKKO</w:t>
            </w:r>
          </w:p>
        </w:tc>
        <w:tc>
          <w:tcPr>
            <w:tcW w:w="1620" w:type="dxa"/>
            <w:tcBorders>
              <w:top w:val="nil"/>
              <w:left w:val="nil"/>
              <w:bottom w:val="single" w:sz="4" w:space="0" w:color="auto"/>
              <w:right w:val="single" w:sz="4" w:space="0" w:color="auto"/>
            </w:tcBorders>
            <w:shd w:val="clear" w:color="auto" w:fill="auto"/>
            <w:vAlign w:val="center"/>
            <w:hideMark/>
          </w:tcPr>
          <w:p w14:paraId="54120D6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3993E6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38FCA7C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536678F4" w14:textId="77777777" w:rsidTr="0018109D">
        <w:trPr>
          <w:trHeight w:val="1620"/>
        </w:trPr>
        <w:tc>
          <w:tcPr>
            <w:tcW w:w="1790" w:type="dxa"/>
            <w:vMerge/>
            <w:tcBorders>
              <w:top w:val="nil"/>
              <w:left w:val="single" w:sz="8" w:space="0" w:color="auto"/>
              <w:bottom w:val="single" w:sz="8" w:space="0" w:color="000000"/>
              <w:right w:val="single" w:sz="4" w:space="0" w:color="auto"/>
            </w:tcBorders>
            <w:vAlign w:val="center"/>
            <w:hideMark/>
          </w:tcPr>
          <w:p w14:paraId="4EB369B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3EB41E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3.3.3.3 Zbatimi i masave të përbashkëta të parashikuara në analiza lidhur me</w:t>
            </w:r>
            <w:r w:rsidRPr="007440A2">
              <w:rPr>
                <w:rFonts w:ascii="Times New Roman" w:eastAsia="Times New Roman" w:hAnsi="Times New Roman" w:cs="Times New Roman"/>
                <w:b/>
                <w:bCs/>
                <w:sz w:val="20"/>
                <w:szCs w:val="20"/>
              </w:rPr>
              <w:t xml:space="preserve"> </w:t>
            </w:r>
            <w:r w:rsidRPr="007440A2">
              <w:rPr>
                <w:rFonts w:ascii="Times New Roman" w:eastAsia="Times New Roman" w:hAnsi="Times New Roman" w:cs="Times New Roman"/>
                <w:sz w:val="20"/>
                <w:szCs w:val="20"/>
              </w:rPr>
              <w:t>dispozitat e ekzekutimit te vendimeve te gjykatave speciale.</w:t>
            </w:r>
          </w:p>
        </w:tc>
        <w:tc>
          <w:tcPr>
            <w:tcW w:w="1890" w:type="dxa"/>
            <w:tcBorders>
              <w:top w:val="nil"/>
              <w:left w:val="nil"/>
              <w:bottom w:val="single" w:sz="4" w:space="0" w:color="auto"/>
              <w:right w:val="single" w:sz="4" w:space="0" w:color="auto"/>
            </w:tcBorders>
            <w:shd w:val="clear" w:color="auto" w:fill="auto"/>
            <w:vAlign w:val="center"/>
            <w:hideMark/>
          </w:tcPr>
          <w:p w14:paraId="034B61F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MD, DPB, DSHP, DPP, KLGJ, GJKKO</w:t>
            </w:r>
          </w:p>
        </w:tc>
        <w:tc>
          <w:tcPr>
            <w:tcW w:w="1620" w:type="dxa"/>
            <w:tcBorders>
              <w:top w:val="nil"/>
              <w:left w:val="nil"/>
              <w:bottom w:val="single" w:sz="4" w:space="0" w:color="auto"/>
              <w:right w:val="single" w:sz="8" w:space="0" w:color="auto"/>
            </w:tcBorders>
            <w:shd w:val="clear" w:color="auto" w:fill="auto"/>
            <w:vAlign w:val="center"/>
            <w:hideMark/>
          </w:tcPr>
          <w:p w14:paraId="7DFA9CB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125B241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4D83C69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4A3B9687" w14:textId="77777777" w:rsidTr="0018109D">
        <w:trPr>
          <w:trHeight w:val="2400"/>
        </w:trPr>
        <w:tc>
          <w:tcPr>
            <w:tcW w:w="1790" w:type="dxa"/>
            <w:vMerge/>
            <w:tcBorders>
              <w:top w:val="nil"/>
              <w:left w:val="single" w:sz="8" w:space="0" w:color="auto"/>
              <w:bottom w:val="single" w:sz="8" w:space="0" w:color="000000"/>
              <w:right w:val="single" w:sz="4" w:space="0" w:color="auto"/>
            </w:tcBorders>
            <w:vAlign w:val="center"/>
            <w:hideMark/>
          </w:tcPr>
          <w:p w14:paraId="1D3B0A4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7D05ECE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3.3.3.4 Përmirësimi i bashkëpunimit dhe koordinimit me institucionet e tjera të cilat kanë funksione lidhur me ekzekutimin e vendimeve gjyqësore nëpërmjet organizimit të takimeve të përbashkëta, seminareve, diskutimeve, masave të përbashkëta etj. </w:t>
            </w:r>
            <w:r w:rsidRPr="007440A2">
              <w:rPr>
                <w:rFonts w:ascii="Times New Roman" w:eastAsia="Times New Roman" w:hAnsi="Times New Roman" w:cs="Times New Roman"/>
                <w:b/>
                <w:bCs/>
                <w:sz w:val="20"/>
                <w:szCs w:val="20"/>
              </w:rPr>
              <w:t xml:space="preserve"> </w:t>
            </w:r>
          </w:p>
        </w:tc>
        <w:tc>
          <w:tcPr>
            <w:tcW w:w="1890" w:type="dxa"/>
            <w:tcBorders>
              <w:top w:val="nil"/>
              <w:left w:val="nil"/>
              <w:bottom w:val="single" w:sz="8" w:space="0" w:color="auto"/>
              <w:right w:val="single" w:sz="4" w:space="0" w:color="auto"/>
            </w:tcBorders>
            <w:shd w:val="clear" w:color="auto" w:fill="auto"/>
            <w:vAlign w:val="center"/>
            <w:hideMark/>
          </w:tcPr>
          <w:p w14:paraId="675E531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MD, DPB, DSHP, DPP, KLGJ, GJKKO</w:t>
            </w:r>
          </w:p>
        </w:tc>
        <w:tc>
          <w:tcPr>
            <w:tcW w:w="1620" w:type="dxa"/>
            <w:tcBorders>
              <w:top w:val="nil"/>
              <w:left w:val="nil"/>
              <w:bottom w:val="single" w:sz="8" w:space="0" w:color="auto"/>
              <w:right w:val="single" w:sz="8" w:space="0" w:color="auto"/>
            </w:tcBorders>
            <w:shd w:val="clear" w:color="auto" w:fill="auto"/>
            <w:vAlign w:val="center"/>
            <w:hideMark/>
          </w:tcPr>
          <w:p w14:paraId="28A5F52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Institucionet e sistemit të drejtësisë</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01BB305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8" w:space="0" w:color="auto"/>
              <w:right w:val="single" w:sz="8" w:space="0" w:color="auto"/>
            </w:tcBorders>
            <w:shd w:val="clear" w:color="000000" w:fill="DDEBF7"/>
            <w:vAlign w:val="center"/>
            <w:hideMark/>
          </w:tcPr>
          <w:p w14:paraId="053B2D0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4F77FA8" w14:textId="77777777" w:rsidTr="0018109D">
        <w:trPr>
          <w:trHeight w:val="1104"/>
        </w:trPr>
        <w:tc>
          <w:tcPr>
            <w:tcW w:w="4310" w:type="dxa"/>
            <w:gridSpan w:val="2"/>
            <w:tcBorders>
              <w:top w:val="nil"/>
              <w:left w:val="single" w:sz="8" w:space="0" w:color="auto"/>
              <w:bottom w:val="single" w:sz="8" w:space="0" w:color="auto"/>
              <w:right w:val="nil"/>
            </w:tcBorders>
            <w:shd w:val="clear" w:color="000000" w:fill="9CC2E5"/>
            <w:vAlign w:val="center"/>
            <w:hideMark/>
          </w:tcPr>
          <w:p w14:paraId="6B0A84DC"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3.4:</w:t>
            </w:r>
          </w:p>
        </w:tc>
        <w:tc>
          <w:tcPr>
            <w:tcW w:w="6480" w:type="dxa"/>
            <w:gridSpan w:val="4"/>
            <w:tcBorders>
              <w:top w:val="nil"/>
              <w:left w:val="single" w:sz="8" w:space="0" w:color="auto"/>
              <w:bottom w:val="single" w:sz="8" w:space="0" w:color="auto"/>
              <w:right w:val="single" w:sz="8" w:space="0" w:color="000000"/>
            </w:tcBorders>
            <w:shd w:val="clear" w:color="000000" w:fill="9CC2E5"/>
            <w:vAlign w:val="center"/>
            <w:hideMark/>
          </w:tcPr>
          <w:p w14:paraId="0D97D5F3"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Përkrahja/promovimi dhe rritja e përdorimit të mekanizmave të zgjidhjes alternative të mosmarrëveshjeve.</w:t>
            </w:r>
          </w:p>
        </w:tc>
      </w:tr>
      <w:tr w:rsidR="007440A2" w:rsidRPr="007440A2" w14:paraId="46B03FE1" w14:textId="77777777" w:rsidTr="0018109D">
        <w:trPr>
          <w:trHeight w:val="2124"/>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75E9023B"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0707861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Deri ne fund te vitit 2030, krahasuar me vitin 2024, 30% me shume e ceshtjeve te referuara nga gjykatat, do te zgjidhen me ndermjetesim, duke forcuar  keshtu efikasitetin dhe efektivitetin e sistemit të ndërmjetësimit në trajtimin e çështjeve gjyqësore; </w:t>
            </w:r>
            <w:r w:rsidRPr="007440A2">
              <w:rPr>
                <w:rFonts w:ascii="Times New Roman" w:eastAsia="Times New Roman" w:hAnsi="Times New Roman" w:cs="Times New Roman"/>
                <w:sz w:val="20"/>
                <w:szCs w:val="20"/>
              </w:rPr>
              <w:br/>
            </w:r>
            <w:r w:rsidRPr="007440A2">
              <w:rPr>
                <w:rFonts w:ascii="Times New Roman" w:eastAsia="Times New Roman" w:hAnsi="Times New Roman" w:cs="Times New Roman"/>
                <w:sz w:val="20"/>
                <w:szCs w:val="20"/>
              </w:rPr>
              <w:br/>
              <w:t xml:space="preserve">Deri ne fund te vitit 2030, krahasuar me vitin 2024, do te  zgjidhen me ndermjetesim 30% me shume e ceshtjeve te filluara me ndermjetesim. </w:t>
            </w:r>
          </w:p>
        </w:tc>
      </w:tr>
      <w:tr w:rsidR="007440A2" w:rsidRPr="007440A2" w14:paraId="039927CD" w14:textId="77777777" w:rsidTr="0018109D">
        <w:trPr>
          <w:trHeight w:val="540"/>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728F698F"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02D19674"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3D858B3A"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473AF48F"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3BC4DD2E"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0A65EF47"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6C06A59A"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25988F02"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3.4.1 Dhoma e Ndërmjetësve vazhdon të forcojë sistemin e ndërmjetësimit duke:  ofruar trajnime fillestare dhe të vazhduara për kandidatët ndërmjetës dhe ndërmjetësit e akredituar; kryer fushata ndërgjegjësuese për ndërmjetësimin dhe rritur numrin e ndërmjetësve</w:t>
            </w:r>
          </w:p>
        </w:tc>
        <w:tc>
          <w:tcPr>
            <w:tcW w:w="2520" w:type="dxa"/>
            <w:tcBorders>
              <w:top w:val="nil"/>
              <w:left w:val="nil"/>
              <w:bottom w:val="single" w:sz="4" w:space="0" w:color="auto"/>
              <w:right w:val="single" w:sz="4" w:space="0" w:color="auto"/>
            </w:tcBorders>
            <w:shd w:val="clear" w:color="auto" w:fill="auto"/>
            <w:vAlign w:val="center"/>
            <w:hideMark/>
          </w:tcPr>
          <w:p w14:paraId="68B307A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3.4.1.1 Hartimi dhe miratimi i Analizës së Nevojave për Trajnim (ANT) dhe Planit të Ngritjes së Kapaciteteve (PNK)  për trajnimin fillestar dhe të vazhduar të ndërmjetësuesve (Raportim periodik me baze vjetore)</w:t>
            </w:r>
          </w:p>
        </w:tc>
        <w:tc>
          <w:tcPr>
            <w:tcW w:w="1890" w:type="dxa"/>
            <w:tcBorders>
              <w:top w:val="nil"/>
              <w:left w:val="nil"/>
              <w:bottom w:val="single" w:sz="4" w:space="0" w:color="auto"/>
              <w:right w:val="single" w:sz="4" w:space="0" w:color="auto"/>
            </w:tcBorders>
            <w:shd w:val="clear" w:color="auto" w:fill="auto"/>
            <w:vAlign w:val="center"/>
            <w:hideMark/>
          </w:tcPr>
          <w:p w14:paraId="3739A04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DHKND</w:t>
            </w:r>
          </w:p>
        </w:tc>
        <w:tc>
          <w:tcPr>
            <w:tcW w:w="1620" w:type="dxa"/>
            <w:tcBorders>
              <w:top w:val="nil"/>
              <w:left w:val="nil"/>
              <w:bottom w:val="single" w:sz="4" w:space="0" w:color="auto"/>
              <w:right w:val="single" w:sz="4" w:space="0" w:color="auto"/>
            </w:tcBorders>
            <w:shd w:val="clear" w:color="auto" w:fill="auto"/>
            <w:vAlign w:val="center"/>
            <w:hideMark/>
          </w:tcPr>
          <w:p w14:paraId="38C5D0D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7EA22F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C4C73E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258A0850"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560BF27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36294D5" w14:textId="77777777" w:rsidR="0018109D" w:rsidRPr="007440A2" w:rsidRDefault="0018109D" w:rsidP="0018109D">
            <w:pPr>
              <w:spacing w:after="24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3.4.1.2 Zbatimi i PNK-së  nëpërmjet organizimit dhe ofrimit të trajnimeve dhe aktiviteteve të tjera për ngritjen e kapaciteteve të përfshira në trajnimin fillestar dhe të vazhduar të ndërmjetësve (Raportim periodik me baze vjetore)</w:t>
            </w:r>
          </w:p>
        </w:tc>
        <w:tc>
          <w:tcPr>
            <w:tcW w:w="1890" w:type="dxa"/>
            <w:tcBorders>
              <w:top w:val="nil"/>
              <w:left w:val="nil"/>
              <w:bottom w:val="single" w:sz="4" w:space="0" w:color="auto"/>
              <w:right w:val="single" w:sz="4" w:space="0" w:color="auto"/>
            </w:tcBorders>
            <w:shd w:val="clear" w:color="auto" w:fill="auto"/>
            <w:vAlign w:val="center"/>
            <w:hideMark/>
          </w:tcPr>
          <w:p w14:paraId="17F466A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DHKND</w:t>
            </w:r>
          </w:p>
        </w:tc>
        <w:tc>
          <w:tcPr>
            <w:tcW w:w="1620" w:type="dxa"/>
            <w:tcBorders>
              <w:top w:val="nil"/>
              <w:left w:val="nil"/>
              <w:bottom w:val="single" w:sz="4" w:space="0" w:color="auto"/>
              <w:right w:val="single" w:sz="4" w:space="0" w:color="auto"/>
            </w:tcBorders>
            <w:shd w:val="clear" w:color="auto" w:fill="auto"/>
            <w:vAlign w:val="center"/>
            <w:hideMark/>
          </w:tcPr>
          <w:p w14:paraId="1613D6A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21DF24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1E33C3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4B1B120"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3B6DA1F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7EBE78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3.4.1.3 Ngritja e Grupit të Punës për  hartimin e rregullave të zbatueshme në zbatim të marrëveshjes së nënshkruar ndërmjet Këshillit të Ministrave të RSH dhe Qeverisë së RKS “Për njohjen e të drejtës së ushtrimit të profesioneve të avokatit dhe ndërmjetësit në zgjidhjen e mosmarrëveshjeve”, e ratifikuar nga të dy palët.</w:t>
            </w:r>
          </w:p>
        </w:tc>
        <w:tc>
          <w:tcPr>
            <w:tcW w:w="1890" w:type="dxa"/>
            <w:tcBorders>
              <w:top w:val="nil"/>
              <w:left w:val="nil"/>
              <w:bottom w:val="single" w:sz="4" w:space="0" w:color="auto"/>
              <w:right w:val="single" w:sz="4" w:space="0" w:color="auto"/>
            </w:tcBorders>
            <w:shd w:val="clear" w:color="auto" w:fill="auto"/>
            <w:vAlign w:val="center"/>
            <w:hideMark/>
          </w:tcPr>
          <w:p w14:paraId="301D517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DHKND</w:t>
            </w:r>
          </w:p>
        </w:tc>
        <w:tc>
          <w:tcPr>
            <w:tcW w:w="1620" w:type="dxa"/>
            <w:tcBorders>
              <w:top w:val="nil"/>
              <w:left w:val="nil"/>
              <w:bottom w:val="single" w:sz="4" w:space="0" w:color="auto"/>
              <w:right w:val="single" w:sz="4" w:space="0" w:color="auto"/>
            </w:tcBorders>
            <w:shd w:val="clear" w:color="auto" w:fill="auto"/>
            <w:vAlign w:val="center"/>
            <w:hideMark/>
          </w:tcPr>
          <w:p w14:paraId="6FCA7FE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469A3DB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63EDD0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1E001F05"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3FE50E3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15E210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3.4.1.4 Miratimi i Rregullores në zbatim të marrëveshjes së nënshkruar ndërmjet Këshillit të Ministrave të RSH dhe Qeverisë së RKS “Për njohjen e të drejtës së ushtrimit të profesioneve të avokatit dhe ndërmjetësit në zgjidhjen e mosmarrëveshjeve”, e ratifikuar nga të dy palët.</w:t>
            </w:r>
          </w:p>
        </w:tc>
        <w:tc>
          <w:tcPr>
            <w:tcW w:w="1890" w:type="dxa"/>
            <w:tcBorders>
              <w:top w:val="nil"/>
              <w:left w:val="nil"/>
              <w:bottom w:val="single" w:sz="4" w:space="0" w:color="auto"/>
              <w:right w:val="single" w:sz="4" w:space="0" w:color="auto"/>
            </w:tcBorders>
            <w:shd w:val="clear" w:color="auto" w:fill="auto"/>
            <w:vAlign w:val="center"/>
            <w:hideMark/>
          </w:tcPr>
          <w:p w14:paraId="2326D2D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DHKND</w:t>
            </w:r>
          </w:p>
        </w:tc>
        <w:tc>
          <w:tcPr>
            <w:tcW w:w="1620" w:type="dxa"/>
            <w:tcBorders>
              <w:top w:val="nil"/>
              <w:left w:val="nil"/>
              <w:bottom w:val="single" w:sz="4" w:space="0" w:color="auto"/>
              <w:right w:val="single" w:sz="4" w:space="0" w:color="auto"/>
            </w:tcBorders>
            <w:shd w:val="clear" w:color="auto" w:fill="auto"/>
            <w:vAlign w:val="center"/>
            <w:hideMark/>
          </w:tcPr>
          <w:p w14:paraId="2373DAF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2EA3696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4E0E848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09E50882"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05B2B7B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43ECA7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3.4.1.5 Zhvillimi i trajnimeve te perbashketa  per ndermjetesit shqiptare dhe kosovare ne zbatim  të marrëveshjes së nënshkruar ndërmjet Këshillit të Ministrave të RSH dhe Qeverisë së RKS “Për njohjen e të drejtës së ushtrimit të profesioneve të avokatit dhe ndërmjetësit në zgjidhjen e mosmarrëveshjeve”, e ratifikuar nga të dy palët.rregullores mbi unifikimin e licensimit. </w:t>
            </w:r>
          </w:p>
        </w:tc>
        <w:tc>
          <w:tcPr>
            <w:tcW w:w="1890" w:type="dxa"/>
            <w:tcBorders>
              <w:top w:val="nil"/>
              <w:left w:val="nil"/>
              <w:bottom w:val="single" w:sz="4" w:space="0" w:color="auto"/>
              <w:right w:val="single" w:sz="4" w:space="0" w:color="auto"/>
            </w:tcBorders>
            <w:shd w:val="clear" w:color="auto" w:fill="auto"/>
            <w:vAlign w:val="center"/>
            <w:hideMark/>
          </w:tcPr>
          <w:p w14:paraId="67E9E8A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DHKND</w:t>
            </w:r>
          </w:p>
        </w:tc>
        <w:tc>
          <w:tcPr>
            <w:tcW w:w="1620" w:type="dxa"/>
            <w:tcBorders>
              <w:top w:val="nil"/>
              <w:left w:val="nil"/>
              <w:bottom w:val="single" w:sz="4" w:space="0" w:color="auto"/>
              <w:right w:val="single" w:sz="4" w:space="0" w:color="auto"/>
            </w:tcBorders>
            <w:shd w:val="clear" w:color="auto" w:fill="auto"/>
            <w:vAlign w:val="center"/>
            <w:hideMark/>
          </w:tcPr>
          <w:p w14:paraId="139056E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23634AF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333EC3A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6858B18"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32841C19"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136BFC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3.4.1.6 Zhvillimi i te pakten 4  takimeve, konferencave, tryezave te perbashketa me aktoret e sistemit te drejtesise qe perfshihen  ne zgjidhjet e konflikteve (duke perfshire bashkite, NJMF (njesia e mbrojtjes se femijeve), policia, gjykata, prokurorine dhe me grupet e interesit).  </w:t>
            </w:r>
          </w:p>
        </w:tc>
        <w:tc>
          <w:tcPr>
            <w:tcW w:w="1890" w:type="dxa"/>
            <w:tcBorders>
              <w:top w:val="nil"/>
              <w:left w:val="nil"/>
              <w:bottom w:val="single" w:sz="4" w:space="0" w:color="auto"/>
              <w:right w:val="single" w:sz="4" w:space="0" w:color="auto"/>
            </w:tcBorders>
            <w:shd w:val="clear" w:color="auto" w:fill="auto"/>
            <w:vAlign w:val="center"/>
            <w:hideMark/>
          </w:tcPr>
          <w:p w14:paraId="7C670C5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DHKND</w:t>
            </w:r>
          </w:p>
        </w:tc>
        <w:tc>
          <w:tcPr>
            <w:tcW w:w="1620" w:type="dxa"/>
            <w:tcBorders>
              <w:top w:val="nil"/>
              <w:left w:val="nil"/>
              <w:bottom w:val="single" w:sz="4" w:space="0" w:color="auto"/>
              <w:right w:val="single" w:sz="4" w:space="0" w:color="auto"/>
            </w:tcBorders>
            <w:shd w:val="clear" w:color="auto" w:fill="auto"/>
            <w:vAlign w:val="center"/>
            <w:hideMark/>
          </w:tcPr>
          <w:p w14:paraId="1850DBB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7109D63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16BFAE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34D8728"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0C35F86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D8660DB"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3.4.1.7 Fushata periodike ndërgjegjësuese mbi ndërmjetësimin si një mjet alternativ për zgjidhjen e mosmarrëveshjeve për të promovuar profesionin dhe për të rritur shkallën e referimit të çështjeve (fletepalosje/broshura informuese etj). </w:t>
            </w:r>
          </w:p>
        </w:tc>
        <w:tc>
          <w:tcPr>
            <w:tcW w:w="1890" w:type="dxa"/>
            <w:tcBorders>
              <w:top w:val="nil"/>
              <w:left w:val="nil"/>
              <w:bottom w:val="single" w:sz="4" w:space="0" w:color="auto"/>
              <w:right w:val="single" w:sz="4" w:space="0" w:color="auto"/>
            </w:tcBorders>
            <w:shd w:val="clear" w:color="auto" w:fill="auto"/>
            <w:vAlign w:val="center"/>
            <w:hideMark/>
          </w:tcPr>
          <w:p w14:paraId="773E6D3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DHKND</w:t>
            </w:r>
          </w:p>
        </w:tc>
        <w:tc>
          <w:tcPr>
            <w:tcW w:w="1620" w:type="dxa"/>
            <w:tcBorders>
              <w:top w:val="nil"/>
              <w:left w:val="nil"/>
              <w:bottom w:val="single" w:sz="4" w:space="0" w:color="auto"/>
              <w:right w:val="single" w:sz="4" w:space="0" w:color="auto"/>
            </w:tcBorders>
            <w:shd w:val="clear" w:color="auto" w:fill="auto"/>
            <w:vAlign w:val="center"/>
            <w:hideMark/>
          </w:tcPr>
          <w:p w14:paraId="30F02DD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091B9C1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34042C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DC570FC" w14:textId="77777777" w:rsidTr="0018109D">
        <w:trPr>
          <w:trHeight w:val="984"/>
        </w:trPr>
        <w:tc>
          <w:tcPr>
            <w:tcW w:w="1790" w:type="dxa"/>
            <w:vMerge/>
            <w:tcBorders>
              <w:top w:val="nil"/>
              <w:left w:val="single" w:sz="8" w:space="0" w:color="auto"/>
              <w:bottom w:val="single" w:sz="8" w:space="0" w:color="000000"/>
              <w:right w:val="single" w:sz="4" w:space="0" w:color="auto"/>
            </w:tcBorders>
            <w:vAlign w:val="center"/>
            <w:hideMark/>
          </w:tcPr>
          <w:p w14:paraId="6046E75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B25F55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3.4.1.8 Analiza mbi nevojen e kandidateve per ndermjetes sipas ndryshimeve te hartes gjyqesore </w:t>
            </w:r>
          </w:p>
        </w:tc>
        <w:tc>
          <w:tcPr>
            <w:tcW w:w="1890" w:type="dxa"/>
            <w:tcBorders>
              <w:top w:val="nil"/>
              <w:left w:val="nil"/>
              <w:bottom w:val="single" w:sz="4" w:space="0" w:color="auto"/>
              <w:right w:val="single" w:sz="4" w:space="0" w:color="auto"/>
            </w:tcBorders>
            <w:shd w:val="clear" w:color="auto" w:fill="auto"/>
            <w:vAlign w:val="center"/>
            <w:hideMark/>
          </w:tcPr>
          <w:p w14:paraId="1A4199F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DHKND</w:t>
            </w:r>
          </w:p>
        </w:tc>
        <w:tc>
          <w:tcPr>
            <w:tcW w:w="1620" w:type="dxa"/>
            <w:tcBorders>
              <w:top w:val="nil"/>
              <w:left w:val="nil"/>
              <w:bottom w:val="single" w:sz="4" w:space="0" w:color="auto"/>
              <w:right w:val="single" w:sz="4" w:space="0" w:color="auto"/>
            </w:tcBorders>
            <w:shd w:val="clear" w:color="auto" w:fill="auto"/>
            <w:vAlign w:val="center"/>
            <w:hideMark/>
          </w:tcPr>
          <w:p w14:paraId="61BC7BA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6DFED1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796584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FA3F08A" w14:textId="77777777" w:rsidTr="0018109D">
        <w:trPr>
          <w:trHeight w:val="1080"/>
        </w:trPr>
        <w:tc>
          <w:tcPr>
            <w:tcW w:w="1790" w:type="dxa"/>
            <w:vMerge/>
            <w:tcBorders>
              <w:top w:val="nil"/>
              <w:left w:val="single" w:sz="8" w:space="0" w:color="auto"/>
              <w:bottom w:val="single" w:sz="8" w:space="0" w:color="000000"/>
              <w:right w:val="single" w:sz="4" w:space="0" w:color="auto"/>
            </w:tcBorders>
            <w:vAlign w:val="center"/>
            <w:hideMark/>
          </w:tcPr>
          <w:p w14:paraId="2A8C618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686DDD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3.4.1.9 Zbatimi i rekomandimeve/gjetjeve te analizes mbi nevojen e rritjen e numrit te ndermjetesve. </w:t>
            </w:r>
          </w:p>
        </w:tc>
        <w:tc>
          <w:tcPr>
            <w:tcW w:w="1890" w:type="dxa"/>
            <w:tcBorders>
              <w:top w:val="nil"/>
              <w:left w:val="nil"/>
              <w:bottom w:val="single" w:sz="4" w:space="0" w:color="auto"/>
              <w:right w:val="single" w:sz="4" w:space="0" w:color="auto"/>
            </w:tcBorders>
            <w:shd w:val="clear" w:color="auto" w:fill="auto"/>
            <w:vAlign w:val="center"/>
            <w:hideMark/>
          </w:tcPr>
          <w:p w14:paraId="5EF9AB3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DHKND</w:t>
            </w:r>
          </w:p>
        </w:tc>
        <w:tc>
          <w:tcPr>
            <w:tcW w:w="1620" w:type="dxa"/>
            <w:tcBorders>
              <w:top w:val="nil"/>
              <w:left w:val="nil"/>
              <w:bottom w:val="single" w:sz="4" w:space="0" w:color="auto"/>
              <w:right w:val="single" w:sz="4" w:space="0" w:color="auto"/>
            </w:tcBorders>
            <w:shd w:val="clear" w:color="auto" w:fill="auto"/>
            <w:vAlign w:val="center"/>
            <w:hideMark/>
          </w:tcPr>
          <w:p w14:paraId="2B295D1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6CE49FC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9D29B7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BE22DCA" w14:textId="77777777" w:rsidTr="0018109D">
        <w:trPr>
          <w:trHeight w:val="1152"/>
        </w:trPr>
        <w:tc>
          <w:tcPr>
            <w:tcW w:w="1790" w:type="dxa"/>
            <w:vMerge/>
            <w:tcBorders>
              <w:top w:val="nil"/>
              <w:left w:val="single" w:sz="8" w:space="0" w:color="auto"/>
              <w:bottom w:val="single" w:sz="8" w:space="0" w:color="000000"/>
              <w:right w:val="single" w:sz="4" w:space="0" w:color="auto"/>
            </w:tcBorders>
            <w:vAlign w:val="center"/>
            <w:hideMark/>
          </w:tcPr>
          <w:p w14:paraId="0F4FA7B7"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7DE1D930"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3.4.1.10 Zhvillimi aktiviteteve ne  zbatim të marrëveshjes së nënshkruar ndërmjet Këshillit të Ministrave të RSH dhe Qeverisë së RKS “Për njohjen e të drejtës së ushtrimit të profesioneve të avokatit dhe ndërmjetësit në zgjidhjen e mosmarrëveshjeve”, e ratifikuar nga të dy palët.</w:t>
            </w:r>
          </w:p>
        </w:tc>
        <w:tc>
          <w:tcPr>
            <w:tcW w:w="1890" w:type="dxa"/>
            <w:tcBorders>
              <w:top w:val="nil"/>
              <w:left w:val="nil"/>
              <w:bottom w:val="single" w:sz="8" w:space="0" w:color="auto"/>
              <w:right w:val="single" w:sz="4" w:space="0" w:color="auto"/>
            </w:tcBorders>
            <w:shd w:val="clear" w:color="auto" w:fill="auto"/>
            <w:vAlign w:val="center"/>
            <w:hideMark/>
          </w:tcPr>
          <w:p w14:paraId="5C56121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DHKND</w:t>
            </w:r>
          </w:p>
        </w:tc>
        <w:tc>
          <w:tcPr>
            <w:tcW w:w="1620" w:type="dxa"/>
            <w:tcBorders>
              <w:top w:val="nil"/>
              <w:left w:val="nil"/>
              <w:bottom w:val="single" w:sz="8" w:space="0" w:color="auto"/>
              <w:right w:val="single" w:sz="4" w:space="0" w:color="auto"/>
            </w:tcBorders>
            <w:shd w:val="clear" w:color="auto" w:fill="auto"/>
            <w:vAlign w:val="center"/>
            <w:hideMark/>
          </w:tcPr>
          <w:p w14:paraId="6D015F7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68B820E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7AD36BF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754DA7F" w14:textId="77777777" w:rsidTr="0018109D">
        <w:trPr>
          <w:trHeight w:val="936"/>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4F035B73"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3.4.2 Forcimi i transparencës së procedurave të licencimit me synim rritjen e numrit të ndërmjetësuesve</w:t>
            </w:r>
          </w:p>
        </w:tc>
        <w:tc>
          <w:tcPr>
            <w:tcW w:w="2520" w:type="dxa"/>
            <w:tcBorders>
              <w:top w:val="nil"/>
              <w:left w:val="nil"/>
              <w:bottom w:val="single" w:sz="4" w:space="0" w:color="auto"/>
              <w:right w:val="single" w:sz="4" w:space="0" w:color="auto"/>
            </w:tcBorders>
            <w:shd w:val="clear" w:color="auto" w:fill="auto"/>
            <w:vAlign w:val="center"/>
            <w:hideMark/>
          </w:tcPr>
          <w:p w14:paraId="4ED8260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3.4.2.1 Përgatitja e analizës mbi gjetjet konkrete dhe propozimet për ndryshime në provimin pranues, duke parashikuar një legjislacioni të qartë dhe të përmbledhur që përcakton qartë kriteret dhe procedurat për licencim;</w:t>
            </w:r>
          </w:p>
        </w:tc>
        <w:tc>
          <w:tcPr>
            <w:tcW w:w="1890" w:type="dxa"/>
            <w:tcBorders>
              <w:top w:val="nil"/>
              <w:left w:val="nil"/>
              <w:bottom w:val="single" w:sz="4" w:space="0" w:color="auto"/>
              <w:right w:val="single" w:sz="4" w:space="0" w:color="auto"/>
            </w:tcBorders>
            <w:shd w:val="clear" w:color="auto" w:fill="auto"/>
            <w:vAlign w:val="center"/>
            <w:hideMark/>
          </w:tcPr>
          <w:p w14:paraId="5538309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DHKND/ MD</w:t>
            </w:r>
          </w:p>
        </w:tc>
        <w:tc>
          <w:tcPr>
            <w:tcW w:w="1620" w:type="dxa"/>
            <w:tcBorders>
              <w:top w:val="nil"/>
              <w:left w:val="nil"/>
              <w:bottom w:val="single" w:sz="4" w:space="0" w:color="auto"/>
              <w:right w:val="single" w:sz="4" w:space="0" w:color="auto"/>
            </w:tcBorders>
            <w:shd w:val="clear" w:color="auto" w:fill="auto"/>
            <w:vAlign w:val="center"/>
            <w:hideMark/>
          </w:tcPr>
          <w:p w14:paraId="67ADCED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1E5568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635C1B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2C8339E" w14:textId="77777777" w:rsidTr="0018109D">
        <w:trPr>
          <w:trHeight w:val="936"/>
        </w:trPr>
        <w:tc>
          <w:tcPr>
            <w:tcW w:w="1790" w:type="dxa"/>
            <w:vMerge/>
            <w:tcBorders>
              <w:top w:val="nil"/>
              <w:left w:val="single" w:sz="8" w:space="0" w:color="auto"/>
              <w:bottom w:val="single" w:sz="8" w:space="0" w:color="000000"/>
              <w:right w:val="single" w:sz="4" w:space="0" w:color="auto"/>
            </w:tcBorders>
            <w:vAlign w:val="center"/>
            <w:hideMark/>
          </w:tcPr>
          <w:p w14:paraId="0D4F3E9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421C5E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3.4.2.2 Zhvillimi i një platforme online ku aplikantët mund të dorëzojnë aplikimet e tyre, të ndjekin statusin e tyre dhe të marrin informacione të përditësuara;</w:t>
            </w:r>
          </w:p>
        </w:tc>
        <w:tc>
          <w:tcPr>
            <w:tcW w:w="1890" w:type="dxa"/>
            <w:tcBorders>
              <w:top w:val="nil"/>
              <w:left w:val="nil"/>
              <w:bottom w:val="single" w:sz="4" w:space="0" w:color="auto"/>
              <w:right w:val="single" w:sz="4" w:space="0" w:color="auto"/>
            </w:tcBorders>
            <w:shd w:val="clear" w:color="auto" w:fill="auto"/>
            <w:vAlign w:val="center"/>
            <w:hideMark/>
          </w:tcPr>
          <w:p w14:paraId="0EB229F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DHKND/ MD</w:t>
            </w:r>
          </w:p>
        </w:tc>
        <w:tc>
          <w:tcPr>
            <w:tcW w:w="1620" w:type="dxa"/>
            <w:tcBorders>
              <w:top w:val="nil"/>
              <w:left w:val="nil"/>
              <w:bottom w:val="single" w:sz="4" w:space="0" w:color="auto"/>
              <w:right w:val="single" w:sz="4" w:space="0" w:color="auto"/>
            </w:tcBorders>
            <w:shd w:val="clear" w:color="auto" w:fill="auto"/>
            <w:vAlign w:val="center"/>
            <w:hideMark/>
          </w:tcPr>
          <w:p w14:paraId="640032D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76ABE4C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B73C13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6AE81DE" w14:textId="77777777" w:rsidTr="0018109D">
        <w:trPr>
          <w:trHeight w:val="1584"/>
        </w:trPr>
        <w:tc>
          <w:tcPr>
            <w:tcW w:w="1790" w:type="dxa"/>
            <w:vMerge/>
            <w:tcBorders>
              <w:top w:val="nil"/>
              <w:left w:val="single" w:sz="8" w:space="0" w:color="auto"/>
              <w:bottom w:val="single" w:sz="8" w:space="0" w:color="000000"/>
              <w:right w:val="single" w:sz="4" w:space="0" w:color="auto"/>
            </w:tcBorders>
            <w:vAlign w:val="center"/>
            <w:hideMark/>
          </w:tcPr>
          <w:p w14:paraId="3571300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24C718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3.4.2.3 Publikimi i udhëzuesve të qarta dhe detajuara për procesin e licencimit dhe kërkesat për licencë në faqet zyrtare të internetit;</w:t>
            </w:r>
          </w:p>
        </w:tc>
        <w:tc>
          <w:tcPr>
            <w:tcW w:w="1890" w:type="dxa"/>
            <w:tcBorders>
              <w:top w:val="nil"/>
              <w:left w:val="nil"/>
              <w:bottom w:val="single" w:sz="4" w:space="0" w:color="auto"/>
              <w:right w:val="single" w:sz="4" w:space="0" w:color="auto"/>
            </w:tcBorders>
            <w:shd w:val="clear" w:color="auto" w:fill="auto"/>
            <w:vAlign w:val="center"/>
            <w:hideMark/>
          </w:tcPr>
          <w:p w14:paraId="59AB507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DHKND/ MD</w:t>
            </w:r>
          </w:p>
        </w:tc>
        <w:tc>
          <w:tcPr>
            <w:tcW w:w="1620" w:type="dxa"/>
            <w:tcBorders>
              <w:top w:val="nil"/>
              <w:left w:val="nil"/>
              <w:bottom w:val="single" w:sz="4" w:space="0" w:color="auto"/>
              <w:right w:val="single" w:sz="4" w:space="0" w:color="auto"/>
            </w:tcBorders>
            <w:shd w:val="clear" w:color="auto" w:fill="auto"/>
            <w:vAlign w:val="center"/>
            <w:hideMark/>
          </w:tcPr>
          <w:p w14:paraId="1C3A763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09D6E4E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418CE4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2DD3CD40"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3FB8CFB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006079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3.4.2.4 Krijimi i një databaze të hapur ku mund të shihen të gjitha licencat e lëshuara dhe aplikimet në proces;</w:t>
            </w:r>
          </w:p>
        </w:tc>
        <w:tc>
          <w:tcPr>
            <w:tcW w:w="1890" w:type="dxa"/>
            <w:tcBorders>
              <w:top w:val="nil"/>
              <w:left w:val="nil"/>
              <w:bottom w:val="single" w:sz="4" w:space="0" w:color="auto"/>
              <w:right w:val="single" w:sz="4" w:space="0" w:color="auto"/>
            </w:tcBorders>
            <w:shd w:val="clear" w:color="auto" w:fill="auto"/>
            <w:vAlign w:val="center"/>
            <w:hideMark/>
          </w:tcPr>
          <w:p w14:paraId="725EBAD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DHKND/ MD</w:t>
            </w:r>
          </w:p>
        </w:tc>
        <w:tc>
          <w:tcPr>
            <w:tcW w:w="1620" w:type="dxa"/>
            <w:tcBorders>
              <w:top w:val="nil"/>
              <w:left w:val="nil"/>
              <w:bottom w:val="single" w:sz="4" w:space="0" w:color="auto"/>
              <w:right w:val="single" w:sz="4" w:space="0" w:color="auto"/>
            </w:tcBorders>
            <w:shd w:val="clear" w:color="auto" w:fill="auto"/>
            <w:vAlign w:val="center"/>
            <w:hideMark/>
          </w:tcPr>
          <w:p w14:paraId="3733D6A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ABD9B4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36F9F25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27AD4D3C"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3175E69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131B2C1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3.4.2.5 Vendosja e mekanizmave të monitorimit për të siguruar që procedurat ndiqen në mënyrë të drejtë dhe të paanshme dhe për të pranuar dhe trajtuar ankesat dhe sugjerimet nga aplikantët dhe palët e tjera të interesuara.</w:t>
            </w:r>
          </w:p>
        </w:tc>
        <w:tc>
          <w:tcPr>
            <w:tcW w:w="1890" w:type="dxa"/>
            <w:tcBorders>
              <w:top w:val="nil"/>
              <w:left w:val="nil"/>
              <w:bottom w:val="single" w:sz="8" w:space="0" w:color="auto"/>
              <w:right w:val="single" w:sz="4" w:space="0" w:color="auto"/>
            </w:tcBorders>
            <w:shd w:val="clear" w:color="auto" w:fill="auto"/>
            <w:vAlign w:val="center"/>
            <w:hideMark/>
          </w:tcPr>
          <w:p w14:paraId="1477E31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DHKND/ MD</w:t>
            </w:r>
          </w:p>
        </w:tc>
        <w:tc>
          <w:tcPr>
            <w:tcW w:w="1620" w:type="dxa"/>
            <w:tcBorders>
              <w:top w:val="nil"/>
              <w:left w:val="nil"/>
              <w:bottom w:val="single" w:sz="8" w:space="0" w:color="auto"/>
              <w:right w:val="single" w:sz="4" w:space="0" w:color="auto"/>
            </w:tcBorders>
            <w:shd w:val="clear" w:color="auto" w:fill="auto"/>
            <w:vAlign w:val="center"/>
            <w:hideMark/>
          </w:tcPr>
          <w:p w14:paraId="564F0C8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31A0222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674A47B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C08F795" w14:textId="77777777" w:rsidTr="0018109D">
        <w:trPr>
          <w:trHeight w:val="1296"/>
        </w:trPr>
        <w:tc>
          <w:tcPr>
            <w:tcW w:w="1790" w:type="dxa"/>
            <w:tcBorders>
              <w:top w:val="nil"/>
              <w:left w:val="single" w:sz="8" w:space="0" w:color="auto"/>
              <w:bottom w:val="single" w:sz="8" w:space="0" w:color="auto"/>
              <w:right w:val="single" w:sz="4" w:space="0" w:color="auto"/>
            </w:tcBorders>
            <w:shd w:val="clear" w:color="auto" w:fill="auto"/>
            <w:vAlign w:val="center"/>
            <w:hideMark/>
          </w:tcPr>
          <w:p w14:paraId="3E78BAE8"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3.4.3 Detyrimi ligjor i gjykatave për të informuar siç duhet palët për mundësinë e përdorimit të ndërmjetësimit vlerësohet nga KLGJ-ja në vlerësimin e performancës.</w:t>
            </w:r>
          </w:p>
        </w:tc>
        <w:tc>
          <w:tcPr>
            <w:tcW w:w="2520" w:type="dxa"/>
            <w:tcBorders>
              <w:top w:val="nil"/>
              <w:left w:val="nil"/>
              <w:bottom w:val="single" w:sz="8" w:space="0" w:color="auto"/>
              <w:right w:val="single" w:sz="4" w:space="0" w:color="auto"/>
            </w:tcBorders>
            <w:shd w:val="clear" w:color="auto" w:fill="auto"/>
            <w:vAlign w:val="center"/>
            <w:hideMark/>
          </w:tcPr>
          <w:p w14:paraId="38A7346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3.4.3.1 Rishikimi i akteve nënligjore të KLGJ-së lidhur me vlerësimin e performancës së gjyqtarëve për të përfshirë një tregues shtesë mbi detyrimin ligjor të gjyqtarëve për të informuar palët për mundësinë e përdorimit të ndërmjetësimit</w:t>
            </w:r>
          </w:p>
        </w:tc>
        <w:tc>
          <w:tcPr>
            <w:tcW w:w="1890" w:type="dxa"/>
            <w:tcBorders>
              <w:top w:val="nil"/>
              <w:left w:val="nil"/>
              <w:bottom w:val="single" w:sz="8" w:space="0" w:color="auto"/>
              <w:right w:val="single" w:sz="4" w:space="0" w:color="auto"/>
            </w:tcBorders>
            <w:shd w:val="clear" w:color="auto" w:fill="auto"/>
            <w:vAlign w:val="center"/>
            <w:hideMark/>
          </w:tcPr>
          <w:p w14:paraId="0191BF9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8" w:space="0" w:color="auto"/>
              <w:right w:val="single" w:sz="4" w:space="0" w:color="auto"/>
            </w:tcBorders>
            <w:shd w:val="clear" w:color="auto" w:fill="auto"/>
            <w:vAlign w:val="center"/>
            <w:hideMark/>
          </w:tcPr>
          <w:p w14:paraId="4F6ECBF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DHKND</w:t>
            </w:r>
          </w:p>
        </w:tc>
        <w:tc>
          <w:tcPr>
            <w:tcW w:w="1710" w:type="dxa"/>
            <w:tcBorders>
              <w:top w:val="nil"/>
              <w:left w:val="nil"/>
              <w:bottom w:val="single" w:sz="8" w:space="0" w:color="auto"/>
              <w:right w:val="single" w:sz="4" w:space="0" w:color="auto"/>
            </w:tcBorders>
            <w:shd w:val="clear" w:color="000000" w:fill="DDEBF7"/>
            <w:vAlign w:val="center"/>
            <w:hideMark/>
          </w:tcPr>
          <w:p w14:paraId="68943FC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1A5F108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30785259"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0F0EFD5A"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3.4.4 Detyrimi ligjor i gjykatave për të informuar siç duhet palët për mundësinë e përdorimit të ndërmjetësimit vlerësohet nga ILD-ja në kuadër të inspektimeve tematike </w:t>
            </w:r>
          </w:p>
        </w:tc>
        <w:tc>
          <w:tcPr>
            <w:tcW w:w="2520" w:type="dxa"/>
            <w:tcBorders>
              <w:top w:val="nil"/>
              <w:left w:val="nil"/>
              <w:bottom w:val="single" w:sz="4" w:space="0" w:color="auto"/>
              <w:right w:val="single" w:sz="4" w:space="0" w:color="auto"/>
            </w:tcBorders>
            <w:shd w:val="clear" w:color="auto" w:fill="auto"/>
            <w:vAlign w:val="center"/>
            <w:hideMark/>
          </w:tcPr>
          <w:p w14:paraId="4D1A209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3.4.4.1 Të përfshihet në planin vjetor të inspektimeve tematike të gjykatave (si detyrë më vete ose si inspektim tematik i veçantë) zbatimi i detyrimit ligjor që gjykatat të informojnë palët për mundësinë e përdorimit të ndërmjetësimit. </w:t>
            </w:r>
          </w:p>
        </w:tc>
        <w:tc>
          <w:tcPr>
            <w:tcW w:w="1890" w:type="dxa"/>
            <w:tcBorders>
              <w:top w:val="nil"/>
              <w:left w:val="nil"/>
              <w:bottom w:val="single" w:sz="4" w:space="0" w:color="auto"/>
              <w:right w:val="single" w:sz="4" w:space="0" w:color="auto"/>
            </w:tcBorders>
            <w:shd w:val="clear" w:color="auto" w:fill="auto"/>
            <w:vAlign w:val="center"/>
            <w:hideMark/>
          </w:tcPr>
          <w:p w14:paraId="7E6111D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w:t>
            </w:r>
          </w:p>
        </w:tc>
        <w:tc>
          <w:tcPr>
            <w:tcW w:w="1620" w:type="dxa"/>
            <w:tcBorders>
              <w:top w:val="nil"/>
              <w:left w:val="nil"/>
              <w:bottom w:val="single" w:sz="4" w:space="0" w:color="auto"/>
              <w:right w:val="single" w:sz="8" w:space="0" w:color="auto"/>
            </w:tcBorders>
            <w:shd w:val="clear" w:color="auto" w:fill="auto"/>
            <w:vAlign w:val="center"/>
            <w:hideMark/>
          </w:tcPr>
          <w:p w14:paraId="6CF6BF9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DHKND</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1211D8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E76D93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22FD2FC0"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12FBF6E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73AC15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3.4.4.2 Publikimi i gjetjeve dhe rekomandimeve të inspektimeve tematike lidhur me ndërmjetësimin. </w:t>
            </w:r>
          </w:p>
        </w:tc>
        <w:tc>
          <w:tcPr>
            <w:tcW w:w="1890" w:type="dxa"/>
            <w:tcBorders>
              <w:top w:val="nil"/>
              <w:left w:val="nil"/>
              <w:bottom w:val="single" w:sz="4" w:space="0" w:color="auto"/>
              <w:right w:val="single" w:sz="4" w:space="0" w:color="auto"/>
            </w:tcBorders>
            <w:shd w:val="clear" w:color="auto" w:fill="auto"/>
            <w:vAlign w:val="center"/>
            <w:hideMark/>
          </w:tcPr>
          <w:p w14:paraId="5418423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w:t>
            </w:r>
          </w:p>
        </w:tc>
        <w:tc>
          <w:tcPr>
            <w:tcW w:w="1620" w:type="dxa"/>
            <w:tcBorders>
              <w:top w:val="nil"/>
              <w:left w:val="nil"/>
              <w:bottom w:val="single" w:sz="4" w:space="0" w:color="auto"/>
              <w:right w:val="single" w:sz="8" w:space="0" w:color="auto"/>
            </w:tcBorders>
            <w:shd w:val="clear" w:color="auto" w:fill="auto"/>
            <w:vAlign w:val="center"/>
            <w:hideMark/>
          </w:tcPr>
          <w:p w14:paraId="41B1B58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DHKND</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98E3C6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0AF5FD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2A209E64"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661D8E6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16ECBAF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3.4.4.3 Kryerja e dy analizave mbi rezultatet e inspektimeve tematike në lidhje me ndërmjetësimin duke përfshirë një vlerësim të zbatimit të rekomandimeve të inspektimeve tematike </w:t>
            </w:r>
          </w:p>
        </w:tc>
        <w:tc>
          <w:tcPr>
            <w:tcW w:w="1890" w:type="dxa"/>
            <w:tcBorders>
              <w:top w:val="nil"/>
              <w:left w:val="nil"/>
              <w:bottom w:val="single" w:sz="8" w:space="0" w:color="auto"/>
              <w:right w:val="single" w:sz="4" w:space="0" w:color="auto"/>
            </w:tcBorders>
            <w:shd w:val="clear" w:color="auto" w:fill="auto"/>
            <w:vAlign w:val="center"/>
            <w:hideMark/>
          </w:tcPr>
          <w:p w14:paraId="12CE773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DHKND/MD</w:t>
            </w:r>
          </w:p>
        </w:tc>
        <w:tc>
          <w:tcPr>
            <w:tcW w:w="1620" w:type="dxa"/>
            <w:tcBorders>
              <w:top w:val="nil"/>
              <w:left w:val="nil"/>
              <w:bottom w:val="single" w:sz="8" w:space="0" w:color="auto"/>
              <w:right w:val="single" w:sz="8" w:space="0" w:color="auto"/>
            </w:tcBorders>
            <w:shd w:val="clear" w:color="auto" w:fill="auto"/>
            <w:vAlign w:val="center"/>
            <w:hideMark/>
          </w:tcPr>
          <w:p w14:paraId="15C15E9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365785C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2026, 2028</w:t>
            </w:r>
          </w:p>
        </w:tc>
        <w:tc>
          <w:tcPr>
            <w:tcW w:w="1260" w:type="dxa"/>
            <w:tcBorders>
              <w:top w:val="nil"/>
              <w:left w:val="nil"/>
              <w:bottom w:val="single" w:sz="8" w:space="0" w:color="auto"/>
              <w:right w:val="single" w:sz="8" w:space="0" w:color="auto"/>
            </w:tcBorders>
            <w:shd w:val="clear" w:color="000000" w:fill="DDEBF7"/>
            <w:vAlign w:val="center"/>
            <w:hideMark/>
          </w:tcPr>
          <w:p w14:paraId="56B2F2F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2026, 2028</w:t>
            </w:r>
          </w:p>
        </w:tc>
      </w:tr>
      <w:tr w:rsidR="007440A2" w:rsidRPr="007440A2" w14:paraId="41B266C9" w14:textId="77777777" w:rsidTr="0018109D">
        <w:trPr>
          <w:trHeight w:val="840"/>
        </w:trPr>
        <w:tc>
          <w:tcPr>
            <w:tcW w:w="4310" w:type="dxa"/>
            <w:gridSpan w:val="2"/>
            <w:tcBorders>
              <w:top w:val="nil"/>
              <w:left w:val="single" w:sz="8" w:space="0" w:color="auto"/>
              <w:bottom w:val="single" w:sz="8" w:space="0" w:color="auto"/>
              <w:right w:val="nil"/>
            </w:tcBorders>
            <w:shd w:val="clear" w:color="000000" w:fill="9CC2E5"/>
            <w:vAlign w:val="center"/>
            <w:hideMark/>
          </w:tcPr>
          <w:p w14:paraId="40692AEF"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3.5:</w:t>
            </w:r>
          </w:p>
        </w:tc>
        <w:tc>
          <w:tcPr>
            <w:tcW w:w="6480" w:type="dxa"/>
            <w:gridSpan w:val="4"/>
            <w:tcBorders>
              <w:top w:val="nil"/>
              <w:left w:val="single" w:sz="8" w:space="0" w:color="auto"/>
              <w:bottom w:val="single" w:sz="8" w:space="0" w:color="auto"/>
              <w:right w:val="single" w:sz="8" w:space="0" w:color="000000"/>
            </w:tcBorders>
            <w:shd w:val="clear" w:color="000000" w:fill="9CC2E5"/>
            <w:vAlign w:val="center"/>
            <w:hideMark/>
          </w:tcPr>
          <w:p w14:paraId="1DA0ED0A"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Rritja e efikasitetit në gjykata dhe prokurori me anë të mjeteve të Teknologjisë së Informacionit dhe komunikimit.</w:t>
            </w:r>
          </w:p>
        </w:tc>
      </w:tr>
      <w:tr w:rsidR="007440A2" w:rsidRPr="007440A2" w14:paraId="0B522069" w14:textId="77777777" w:rsidTr="0018109D">
        <w:trPr>
          <w:trHeight w:val="1044"/>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741DF1CD"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3BD23BEF" w14:textId="4B9D9786"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Deri ne fund te vitit 2027  ka perfunduar zhvillimi i soft</w:t>
            </w:r>
            <w:r w:rsidR="00CE1035" w:rsidRPr="007440A2">
              <w:rPr>
                <w:rFonts w:ascii="Times New Roman" w:eastAsia="Times New Roman" w:hAnsi="Times New Roman" w:cs="Times New Roman"/>
                <w:sz w:val="20"/>
                <w:szCs w:val="20"/>
              </w:rPr>
              <w:t>ë</w:t>
            </w:r>
            <w:r w:rsidRPr="007440A2">
              <w:rPr>
                <w:rFonts w:ascii="Times New Roman" w:eastAsia="Times New Roman" w:hAnsi="Times New Roman" w:cs="Times New Roman"/>
                <w:sz w:val="20"/>
                <w:szCs w:val="20"/>
              </w:rPr>
              <w:t xml:space="preserve">are-it per sstemin e ri te integruar te menaxhimit te ceshtjeve gjyqesore (ICMS), dhe deri ne fund te vitit 2029  garantohet  implementimi i plote me te gjitha funksionalitetet i ICMS. </w:t>
            </w:r>
          </w:p>
        </w:tc>
      </w:tr>
      <w:tr w:rsidR="007440A2" w:rsidRPr="007440A2" w14:paraId="7E60F351" w14:textId="77777777" w:rsidTr="0018109D">
        <w:trPr>
          <w:trHeight w:val="540"/>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68B214CA"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12D46F83"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7AC6BE2B"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357A5FB3"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32B6150B"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0E52179F"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6BF617B0"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68637258"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3.5.1 Forcimi i efikasitetit te SPAK nepermjet perdorimit te mjeteve te Teknologjise se Informacionit.</w:t>
            </w:r>
          </w:p>
        </w:tc>
        <w:tc>
          <w:tcPr>
            <w:tcW w:w="2520" w:type="dxa"/>
            <w:tcBorders>
              <w:top w:val="nil"/>
              <w:left w:val="nil"/>
              <w:bottom w:val="single" w:sz="4" w:space="0" w:color="auto"/>
              <w:right w:val="single" w:sz="4" w:space="0" w:color="auto"/>
            </w:tcBorders>
            <w:shd w:val="clear" w:color="auto" w:fill="auto"/>
            <w:vAlign w:val="center"/>
            <w:hideMark/>
          </w:tcPr>
          <w:p w14:paraId="4A2686F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3.5.1.1 Perditesimi i platformes per mbledhjen e te dhenave mbi krimin e organizuar dhe veprat penale objekt të veprimtarisë së SPAK</w:t>
            </w:r>
          </w:p>
        </w:tc>
        <w:tc>
          <w:tcPr>
            <w:tcW w:w="1890" w:type="dxa"/>
            <w:tcBorders>
              <w:top w:val="nil"/>
              <w:left w:val="nil"/>
              <w:bottom w:val="single" w:sz="4" w:space="0" w:color="auto"/>
              <w:right w:val="single" w:sz="4" w:space="0" w:color="auto"/>
            </w:tcBorders>
            <w:shd w:val="clear" w:color="auto" w:fill="auto"/>
            <w:vAlign w:val="center"/>
            <w:hideMark/>
          </w:tcPr>
          <w:p w14:paraId="43157CC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BKH</w:t>
            </w:r>
          </w:p>
        </w:tc>
        <w:tc>
          <w:tcPr>
            <w:tcW w:w="1620" w:type="dxa"/>
            <w:tcBorders>
              <w:top w:val="nil"/>
              <w:left w:val="nil"/>
              <w:bottom w:val="single" w:sz="4" w:space="0" w:color="auto"/>
              <w:right w:val="single" w:sz="4" w:space="0" w:color="auto"/>
            </w:tcBorders>
            <w:shd w:val="clear" w:color="auto" w:fill="auto"/>
            <w:vAlign w:val="center"/>
            <w:hideMark/>
          </w:tcPr>
          <w:p w14:paraId="2A60316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47546A8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C88822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50FF864"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5AF7AF0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B017AC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3.5.1.2 Prezantimi dhe perdorimi i mjeteve te IT si pjese e metodave te hetimit te krimit te organizuar</w:t>
            </w:r>
          </w:p>
        </w:tc>
        <w:tc>
          <w:tcPr>
            <w:tcW w:w="1890" w:type="dxa"/>
            <w:tcBorders>
              <w:top w:val="nil"/>
              <w:left w:val="nil"/>
              <w:bottom w:val="single" w:sz="4" w:space="0" w:color="auto"/>
              <w:right w:val="single" w:sz="4" w:space="0" w:color="auto"/>
            </w:tcBorders>
            <w:shd w:val="clear" w:color="auto" w:fill="auto"/>
            <w:vAlign w:val="center"/>
            <w:hideMark/>
          </w:tcPr>
          <w:p w14:paraId="32CFEDB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BKH</w:t>
            </w:r>
          </w:p>
        </w:tc>
        <w:tc>
          <w:tcPr>
            <w:tcW w:w="1620" w:type="dxa"/>
            <w:tcBorders>
              <w:top w:val="nil"/>
              <w:left w:val="nil"/>
              <w:bottom w:val="single" w:sz="4" w:space="0" w:color="auto"/>
              <w:right w:val="single" w:sz="4" w:space="0" w:color="auto"/>
            </w:tcBorders>
            <w:shd w:val="clear" w:color="auto" w:fill="auto"/>
            <w:vAlign w:val="center"/>
            <w:hideMark/>
          </w:tcPr>
          <w:p w14:paraId="6DDFAC5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8E3998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0E85260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49A3BF95"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70B8C9C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C20B82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3.5.1.3 Pilotimi fillestar i sistemit të ri për menaxhimin e cështjeve</w:t>
            </w:r>
          </w:p>
        </w:tc>
        <w:tc>
          <w:tcPr>
            <w:tcW w:w="1890" w:type="dxa"/>
            <w:tcBorders>
              <w:top w:val="nil"/>
              <w:left w:val="nil"/>
              <w:bottom w:val="single" w:sz="4" w:space="0" w:color="auto"/>
              <w:right w:val="single" w:sz="4" w:space="0" w:color="auto"/>
            </w:tcBorders>
            <w:shd w:val="clear" w:color="auto" w:fill="auto"/>
            <w:vAlign w:val="center"/>
            <w:hideMark/>
          </w:tcPr>
          <w:p w14:paraId="0E4544C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BKH</w:t>
            </w:r>
          </w:p>
        </w:tc>
        <w:tc>
          <w:tcPr>
            <w:tcW w:w="1620" w:type="dxa"/>
            <w:tcBorders>
              <w:top w:val="nil"/>
              <w:left w:val="nil"/>
              <w:bottom w:val="single" w:sz="4" w:space="0" w:color="auto"/>
              <w:right w:val="single" w:sz="4" w:space="0" w:color="auto"/>
            </w:tcBorders>
            <w:shd w:val="clear" w:color="auto" w:fill="auto"/>
            <w:vAlign w:val="center"/>
            <w:hideMark/>
          </w:tcPr>
          <w:p w14:paraId="126C37F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CAC0F5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4FD56C2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1904A3A4"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29F98AA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549D6A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3.5.1.4 Vlerësimi i sistemit pas një viti funksionalitet dhe hartimi i një manuali bazuar në funksionalitetin e sistemit nëse është e nevojshme</w:t>
            </w:r>
          </w:p>
        </w:tc>
        <w:tc>
          <w:tcPr>
            <w:tcW w:w="1890" w:type="dxa"/>
            <w:tcBorders>
              <w:top w:val="nil"/>
              <w:left w:val="nil"/>
              <w:bottom w:val="single" w:sz="4" w:space="0" w:color="auto"/>
              <w:right w:val="single" w:sz="4" w:space="0" w:color="auto"/>
            </w:tcBorders>
            <w:shd w:val="clear" w:color="auto" w:fill="auto"/>
            <w:vAlign w:val="center"/>
            <w:hideMark/>
          </w:tcPr>
          <w:p w14:paraId="5CBBB8C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BKH</w:t>
            </w:r>
          </w:p>
        </w:tc>
        <w:tc>
          <w:tcPr>
            <w:tcW w:w="1620" w:type="dxa"/>
            <w:tcBorders>
              <w:top w:val="nil"/>
              <w:left w:val="nil"/>
              <w:bottom w:val="single" w:sz="4" w:space="0" w:color="auto"/>
              <w:right w:val="single" w:sz="4" w:space="0" w:color="auto"/>
            </w:tcBorders>
            <w:shd w:val="clear" w:color="auto" w:fill="auto"/>
            <w:vAlign w:val="center"/>
            <w:hideMark/>
          </w:tcPr>
          <w:p w14:paraId="28AC7F6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7CA0C62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3EDF567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7F7E353D"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62069BF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2999D2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3.5.1.5 Përditësimi i sistemit bazuar në gjetjet e fazës së pilotimit dhe vlerësimit</w:t>
            </w:r>
          </w:p>
        </w:tc>
        <w:tc>
          <w:tcPr>
            <w:tcW w:w="1890" w:type="dxa"/>
            <w:tcBorders>
              <w:top w:val="nil"/>
              <w:left w:val="nil"/>
              <w:bottom w:val="single" w:sz="4" w:space="0" w:color="auto"/>
              <w:right w:val="single" w:sz="4" w:space="0" w:color="auto"/>
            </w:tcBorders>
            <w:shd w:val="clear" w:color="auto" w:fill="auto"/>
            <w:vAlign w:val="center"/>
            <w:hideMark/>
          </w:tcPr>
          <w:p w14:paraId="4A2EE63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BKH</w:t>
            </w:r>
          </w:p>
        </w:tc>
        <w:tc>
          <w:tcPr>
            <w:tcW w:w="1620" w:type="dxa"/>
            <w:tcBorders>
              <w:top w:val="nil"/>
              <w:left w:val="nil"/>
              <w:bottom w:val="single" w:sz="4" w:space="0" w:color="auto"/>
              <w:right w:val="single" w:sz="4" w:space="0" w:color="auto"/>
            </w:tcBorders>
            <w:shd w:val="clear" w:color="auto" w:fill="auto"/>
            <w:vAlign w:val="center"/>
            <w:hideMark/>
          </w:tcPr>
          <w:p w14:paraId="0443A2C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1C8865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74D737A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2F9BAB9D" w14:textId="77777777" w:rsidTr="0018109D">
        <w:trPr>
          <w:trHeight w:val="1008"/>
        </w:trPr>
        <w:tc>
          <w:tcPr>
            <w:tcW w:w="1790" w:type="dxa"/>
            <w:vMerge/>
            <w:tcBorders>
              <w:top w:val="nil"/>
              <w:left w:val="single" w:sz="8" w:space="0" w:color="auto"/>
              <w:bottom w:val="single" w:sz="8" w:space="0" w:color="000000"/>
              <w:right w:val="single" w:sz="4" w:space="0" w:color="auto"/>
            </w:tcBorders>
            <w:vAlign w:val="center"/>
            <w:hideMark/>
          </w:tcPr>
          <w:p w14:paraId="27CD5AE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C2404A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3.5.1.6 Trajnimi i stafit përdorues të sistemit për përdorimin e Sistemit të menaxhimit të çështjeve</w:t>
            </w:r>
          </w:p>
        </w:tc>
        <w:tc>
          <w:tcPr>
            <w:tcW w:w="1890" w:type="dxa"/>
            <w:tcBorders>
              <w:top w:val="nil"/>
              <w:left w:val="nil"/>
              <w:bottom w:val="single" w:sz="4" w:space="0" w:color="auto"/>
              <w:right w:val="single" w:sz="4" w:space="0" w:color="auto"/>
            </w:tcBorders>
            <w:shd w:val="clear" w:color="auto" w:fill="auto"/>
            <w:vAlign w:val="center"/>
            <w:hideMark/>
          </w:tcPr>
          <w:p w14:paraId="5CD2C31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BKH</w:t>
            </w:r>
          </w:p>
        </w:tc>
        <w:tc>
          <w:tcPr>
            <w:tcW w:w="1620" w:type="dxa"/>
            <w:tcBorders>
              <w:top w:val="nil"/>
              <w:left w:val="nil"/>
              <w:bottom w:val="single" w:sz="4" w:space="0" w:color="auto"/>
              <w:right w:val="single" w:sz="4" w:space="0" w:color="auto"/>
            </w:tcBorders>
            <w:shd w:val="clear" w:color="auto" w:fill="auto"/>
            <w:vAlign w:val="center"/>
            <w:hideMark/>
          </w:tcPr>
          <w:p w14:paraId="1C926BE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843032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7DDD589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332524B"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0213601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3C5ABCE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3.5.1.7 Mirembajtja e sistemit te menaxhimit të çështjeve</w:t>
            </w:r>
          </w:p>
        </w:tc>
        <w:tc>
          <w:tcPr>
            <w:tcW w:w="1890" w:type="dxa"/>
            <w:tcBorders>
              <w:top w:val="nil"/>
              <w:left w:val="nil"/>
              <w:bottom w:val="single" w:sz="8" w:space="0" w:color="auto"/>
              <w:right w:val="single" w:sz="4" w:space="0" w:color="auto"/>
            </w:tcBorders>
            <w:shd w:val="clear" w:color="auto" w:fill="auto"/>
            <w:vAlign w:val="center"/>
            <w:hideMark/>
          </w:tcPr>
          <w:p w14:paraId="000CF21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SPAK, BKH</w:t>
            </w:r>
          </w:p>
        </w:tc>
        <w:tc>
          <w:tcPr>
            <w:tcW w:w="1620" w:type="dxa"/>
            <w:tcBorders>
              <w:top w:val="nil"/>
              <w:left w:val="nil"/>
              <w:bottom w:val="single" w:sz="8" w:space="0" w:color="auto"/>
              <w:right w:val="single" w:sz="4" w:space="0" w:color="auto"/>
            </w:tcBorders>
            <w:shd w:val="clear" w:color="auto" w:fill="auto"/>
            <w:vAlign w:val="center"/>
            <w:hideMark/>
          </w:tcPr>
          <w:p w14:paraId="0BB0FC0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1FC0986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3AA4112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490605A"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7C8BD445"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3.5.2 Dizenjimi i Sistemit për Menaxhimin e Integruar të Çështjeve (ICMIS), duke përfshirë hartëzimin e të gjitha proceseve, detajet e funksionaliteteve nga Bordi i Qendrës së QTI-së </w:t>
            </w:r>
          </w:p>
        </w:tc>
        <w:tc>
          <w:tcPr>
            <w:tcW w:w="2520" w:type="dxa"/>
            <w:tcBorders>
              <w:top w:val="nil"/>
              <w:left w:val="nil"/>
              <w:bottom w:val="single" w:sz="4" w:space="0" w:color="auto"/>
              <w:right w:val="single" w:sz="4" w:space="0" w:color="auto"/>
            </w:tcBorders>
            <w:shd w:val="clear" w:color="auto" w:fill="auto"/>
            <w:vAlign w:val="center"/>
            <w:hideMark/>
          </w:tcPr>
          <w:p w14:paraId="1B5B50C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3.5.2.1 Miratimi i Udhërrëfyesit për digjitalizimin e sistemit të drejtësisë nga Bordi i Qendrës së TI-s;           </w:t>
            </w:r>
          </w:p>
        </w:tc>
        <w:tc>
          <w:tcPr>
            <w:tcW w:w="1890" w:type="dxa"/>
            <w:tcBorders>
              <w:top w:val="nil"/>
              <w:left w:val="nil"/>
              <w:bottom w:val="nil"/>
              <w:right w:val="single" w:sz="4" w:space="0" w:color="auto"/>
            </w:tcBorders>
            <w:shd w:val="clear" w:color="auto" w:fill="auto"/>
            <w:vAlign w:val="center"/>
            <w:hideMark/>
          </w:tcPr>
          <w:p w14:paraId="1936C9E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QTI</w:t>
            </w:r>
          </w:p>
        </w:tc>
        <w:tc>
          <w:tcPr>
            <w:tcW w:w="1620" w:type="dxa"/>
            <w:tcBorders>
              <w:top w:val="nil"/>
              <w:left w:val="nil"/>
              <w:bottom w:val="nil"/>
              <w:right w:val="single" w:sz="8" w:space="0" w:color="auto"/>
            </w:tcBorders>
            <w:shd w:val="clear" w:color="auto" w:fill="auto"/>
            <w:vAlign w:val="center"/>
            <w:hideMark/>
          </w:tcPr>
          <w:p w14:paraId="65ED1E3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KLGJ</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4AD797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E191D9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A1DBF8C"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71CD2F4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679B23F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3.5.2.2 Zbatimi i Udhërrëfyesit dhe dizenjimi i sistemeve informatike, të çdo institucioni të sistemit të drejtësisë, sipas referencave nga çdo grup pune sektorial dhe grupi ndërinstitucional; </w:t>
            </w:r>
          </w:p>
        </w:tc>
        <w:tc>
          <w:tcPr>
            <w:tcW w:w="1890" w:type="dxa"/>
            <w:tcBorders>
              <w:top w:val="single" w:sz="4" w:space="0" w:color="auto"/>
              <w:left w:val="nil"/>
              <w:bottom w:val="single" w:sz="8" w:space="0" w:color="auto"/>
              <w:right w:val="single" w:sz="4" w:space="0" w:color="auto"/>
            </w:tcBorders>
            <w:shd w:val="clear" w:color="auto" w:fill="auto"/>
            <w:vAlign w:val="center"/>
            <w:hideMark/>
          </w:tcPr>
          <w:p w14:paraId="45C0641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 ILD, PP, BKH, SPAK, Gjykatat e Posacme, MD</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14:paraId="00CDD07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QTI</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72C3C2A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8" w:space="0" w:color="auto"/>
              <w:right w:val="single" w:sz="8" w:space="0" w:color="auto"/>
            </w:tcBorders>
            <w:shd w:val="clear" w:color="000000" w:fill="DDEBF7"/>
            <w:vAlign w:val="center"/>
            <w:hideMark/>
          </w:tcPr>
          <w:p w14:paraId="5B0F041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49496971" w14:textId="77777777" w:rsidTr="0018109D">
        <w:trPr>
          <w:trHeight w:val="1056"/>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124A5719"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3.5.3 Përmirësimi i infrastrukturës së teknologjisë së informacionit në gjykata dhe prokurori</w:t>
            </w:r>
          </w:p>
        </w:tc>
        <w:tc>
          <w:tcPr>
            <w:tcW w:w="2520" w:type="dxa"/>
            <w:tcBorders>
              <w:top w:val="nil"/>
              <w:left w:val="nil"/>
              <w:bottom w:val="single" w:sz="4" w:space="0" w:color="auto"/>
              <w:right w:val="single" w:sz="4" w:space="0" w:color="auto"/>
            </w:tcBorders>
            <w:shd w:val="clear" w:color="auto" w:fill="auto"/>
            <w:vAlign w:val="center"/>
            <w:hideMark/>
          </w:tcPr>
          <w:p w14:paraId="48FC098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3.5.3.1 Zbatimi i standardeve TIK, miratuar nga Bordi i QTI-së.                                                                                                                                                               </w:t>
            </w:r>
          </w:p>
        </w:tc>
        <w:tc>
          <w:tcPr>
            <w:tcW w:w="1890" w:type="dxa"/>
            <w:tcBorders>
              <w:top w:val="nil"/>
              <w:left w:val="nil"/>
              <w:bottom w:val="single" w:sz="4" w:space="0" w:color="auto"/>
              <w:right w:val="single" w:sz="4" w:space="0" w:color="auto"/>
            </w:tcBorders>
            <w:shd w:val="clear" w:color="auto" w:fill="auto"/>
            <w:vAlign w:val="center"/>
            <w:hideMark/>
          </w:tcPr>
          <w:p w14:paraId="0805BF9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QTI</w:t>
            </w:r>
          </w:p>
        </w:tc>
        <w:tc>
          <w:tcPr>
            <w:tcW w:w="1620" w:type="dxa"/>
            <w:tcBorders>
              <w:top w:val="nil"/>
              <w:left w:val="nil"/>
              <w:bottom w:val="single" w:sz="4" w:space="0" w:color="auto"/>
              <w:right w:val="single" w:sz="8" w:space="0" w:color="auto"/>
            </w:tcBorders>
            <w:shd w:val="clear" w:color="auto" w:fill="auto"/>
            <w:vAlign w:val="center"/>
            <w:hideMark/>
          </w:tcPr>
          <w:p w14:paraId="5F946F0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C754C7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B027B8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FD40D54" w14:textId="77777777" w:rsidTr="0018109D">
        <w:trPr>
          <w:trHeight w:val="264"/>
        </w:trPr>
        <w:tc>
          <w:tcPr>
            <w:tcW w:w="1790" w:type="dxa"/>
            <w:vMerge/>
            <w:tcBorders>
              <w:top w:val="nil"/>
              <w:left w:val="single" w:sz="8" w:space="0" w:color="auto"/>
              <w:bottom w:val="single" w:sz="8" w:space="0" w:color="000000"/>
              <w:right w:val="single" w:sz="4" w:space="0" w:color="auto"/>
            </w:tcBorders>
            <w:vAlign w:val="center"/>
            <w:hideMark/>
          </w:tcPr>
          <w:p w14:paraId="205F02D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7FDF14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3.5.3.2 Përditësimi periodik i dokumentit me praktikat më të mira.     </w:t>
            </w:r>
          </w:p>
        </w:tc>
        <w:tc>
          <w:tcPr>
            <w:tcW w:w="1890" w:type="dxa"/>
            <w:tcBorders>
              <w:top w:val="nil"/>
              <w:left w:val="nil"/>
              <w:bottom w:val="single" w:sz="4" w:space="0" w:color="auto"/>
              <w:right w:val="single" w:sz="4" w:space="0" w:color="auto"/>
            </w:tcBorders>
            <w:shd w:val="clear" w:color="auto" w:fill="auto"/>
            <w:vAlign w:val="center"/>
            <w:hideMark/>
          </w:tcPr>
          <w:p w14:paraId="641E7A4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QTI</w:t>
            </w:r>
          </w:p>
        </w:tc>
        <w:tc>
          <w:tcPr>
            <w:tcW w:w="1620" w:type="dxa"/>
            <w:tcBorders>
              <w:top w:val="nil"/>
              <w:left w:val="nil"/>
              <w:bottom w:val="single" w:sz="4" w:space="0" w:color="auto"/>
              <w:right w:val="single" w:sz="8" w:space="0" w:color="auto"/>
            </w:tcBorders>
            <w:shd w:val="clear" w:color="auto" w:fill="auto"/>
            <w:vAlign w:val="center"/>
            <w:hideMark/>
          </w:tcPr>
          <w:p w14:paraId="0045B9E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0DF9B10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3F0938C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632A1C5C" w14:textId="77777777" w:rsidTr="0018109D">
        <w:trPr>
          <w:trHeight w:val="540"/>
        </w:trPr>
        <w:tc>
          <w:tcPr>
            <w:tcW w:w="1790" w:type="dxa"/>
            <w:vMerge/>
            <w:tcBorders>
              <w:top w:val="nil"/>
              <w:left w:val="single" w:sz="8" w:space="0" w:color="auto"/>
              <w:bottom w:val="single" w:sz="8" w:space="0" w:color="000000"/>
              <w:right w:val="single" w:sz="4" w:space="0" w:color="auto"/>
            </w:tcBorders>
            <w:vAlign w:val="center"/>
            <w:hideMark/>
          </w:tcPr>
          <w:p w14:paraId="6510362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39FAE39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3.5.3.3 Zbatimi i standardeve për ndërtimin e dhomës së serverave nga institucionet e sistemit të drejtësisë.</w:t>
            </w:r>
          </w:p>
        </w:tc>
        <w:tc>
          <w:tcPr>
            <w:tcW w:w="1890" w:type="dxa"/>
            <w:tcBorders>
              <w:top w:val="nil"/>
              <w:left w:val="nil"/>
              <w:bottom w:val="single" w:sz="8" w:space="0" w:color="auto"/>
              <w:right w:val="single" w:sz="4" w:space="0" w:color="auto"/>
            </w:tcBorders>
            <w:shd w:val="clear" w:color="auto" w:fill="auto"/>
            <w:vAlign w:val="center"/>
            <w:hideMark/>
          </w:tcPr>
          <w:p w14:paraId="68FAEFA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QTI</w:t>
            </w:r>
          </w:p>
        </w:tc>
        <w:tc>
          <w:tcPr>
            <w:tcW w:w="1620" w:type="dxa"/>
            <w:tcBorders>
              <w:top w:val="nil"/>
              <w:left w:val="nil"/>
              <w:bottom w:val="single" w:sz="8" w:space="0" w:color="auto"/>
              <w:right w:val="single" w:sz="8" w:space="0" w:color="auto"/>
            </w:tcBorders>
            <w:shd w:val="clear" w:color="auto" w:fill="auto"/>
            <w:vAlign w:val="center"/>
            <w:hideMark/>
          </w:tcPr>
          <w:p w14:paraId="7DC7B50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71798B1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5ED9C36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702A10D1" w14:textId="77777777" w:rsidTr="0018109D">
        <w:trPr>
          <w:trHeight w:val="1224"/>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618EDC5F" w14:textId="66396F59"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3.5.4  Ngritja e sistemit të menaxhimit të çështjeve të prokurorisë me standardet aktuale teknologjike e legjislative dhe mirëmbajtja e soft</w:t>
            </w:r>
            <w:r w:rsidR="00CE1035" w:rsidRPr="007440A2">
              <w:rPr>
                <w:rFonts w:ascii="Times New Roman" w:eastAsia="Times New Roman" w:hAnsi="Times New Roman" w:cs="Times New Roman"/>
                <w:b/>
                <w:bCs/>
                <w:sz w:val="20"/>
                <w:szCs w:val="20"/>
              </w:rPr>
              <w:t>ë</w:t>
            </w:r>
            <w:r w:rsidRPr="007440A2">
              <w:rPr>
                <w:rFonts w:ascii="Times New Roman" w:eastAsia="Times New Roman" w:hAnsi="Times New Roman" w:cs="Times New Roman"/>
                <w:b/>
                <w:bCs/>
                <w:sz w:val="20"/>
                <w:szCs w:val="20"/>
              </w:rPr>
              <w:t>are-t të sistemit.</w:t>
            </w:r>
          </w:p>
        </w:tc>
        <w:tc>
          <w:tcPr>
            <w:tcW w:w="2520" w:type="dxa"/>
            <w:tcBorders>
              <w:top w:val="nil"/>
              <w:left w:val="nil"/>
              <w:bottom w:val="single" w:sz="4" w:space="0" w:color="auto"/>
              <w:right w:val="single" w:sz="4" w:space="0" w:color="auto"/>
            </w:tcBorders>
            <w:shd w:val="clear" w:color="auto" w:fill="auto"/>
            <w:vAlign w:val="center"/>
            <w:hideMark/>
          </w:tcPr>
          <w:p w14:paraId="40A9186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3.5.4.1 Hartimi i Kërkesave të Biznesit të sistemit të ri informatik nga PP dhe miratimi  në Bordin Drejtues të QTI-së.                                                                                                       </w:t>
            </w:r>
          </w:p>
        </w:tc>
        <w:tc>
          <w:tcPr>
            <w:tcW w:w="1890" w:type="dxa"/>
            <w:tcBorders>
              <w:top w:val="nil"/>
              <w:left w:val="nil"/>
              <w:bottom w:val="single" w:sz="4" w:space="0" w:color="auto"/>
              <w:right w:val="single" w:sz="4" w:space="0" w:color="auto"/>
            </w:tcBorders>
            <w:shd w:val="clear" w:color="auto" w:fill="auto"/>
            <w:vAlign w:val="center"/>
            <w:hideMark/>
          </w:tcPr>
          <w:p w14:paraId="3219225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PP,QTI</w:t>
            </w:r>
          </w:p>
        </w:tc>
        <w:tc>
          <w:tcPr>
            <w:tcW w:w="1620" w:type="dxa"/>
            <w:tcBorders>
              <w:top w:val="nil"/>
              <w:left w:val="nil"/>
              <w:bottom w:val="single" w:sz="4" w:space="0" w:color="auto"/>
              <w:right w:val="single" w:sz="8" w:space="0" w:color="auto"/>
            </w:tcBorders>
            <w:shd w:val="clear" w:color="auto" w:fill="auto"/>
            <w:vAlign w:val="center"/>
            <w:hideMark/>
          </w:tcPr>
          <w:p w14:paraId="0947736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SHM, KLGJ, ILD, KLP</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1522B2F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F38C6A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4CAF4BEC"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18D4107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A87BC4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3.5.4.2 Hartimi i dokumentit teknik për standardet e dizenjimit dhe standardet për specifikimet teknike të këtij sistemi dhe miratimi në Bordin Drejtues të QTI-së.  </w:t>
            </w:r>
          </w:p>
        </w:tc>
        <w:tc>
          <w:tcPr>
            <w:tcW w:w="1890" w:type="dxa"/>
            <w:tcBorders>
              <w:top w:val="nil"/>
              <w:left w:val="nil"/>
              <w:bottom w:val="single" w:sz="4" w:space="0" w:color="auto"/>
              <w:right w:val="single" w:sz="4" w:space="0" w:color="auto"/>
            </w:tcBorders>
            <w:shd w:val="clear" w:color="auto" w:fill="auto"/>
            <w:vAlign w:val="center"/>
            <w:hideMark/>
          </w:tcPr>
          <w:p w14:paraId="644DF77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PP,QTI</w:t>
            </w:r>
          </w:p>
        </w:tc>
        <w:tc>
          <w:tcPr>
            <w:tcW w:w="1620" w:type="dxa"/>
            <w:tcBorders>
              <w:top w:val="nil"/>
              <w:left w:val="nil"/>
              <w:bottom w:val="single" w:sz="4" w:space="0" w:color="auto"/>
              <w:right w:val="single" w:sz="8" w:space="0" w:color="auto"/>
            </w:tcBorders>
            <w:shd w:val="clear" w:color="auto" w:fill="auto"/>
            <w:vAlign w:val="center"/>
            <w:hideMark/>
          </w:tcPr>
          <w:p w14:paraId="1E1B284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SHM, KLGJ, ILD, KLP</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12E537C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7E98F30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2590CDE0"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7C007F9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A2AA78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3.5.4.3 Hartimi i Dokumentit Standard të Tenderit nga PP  </w:t>
            </w:r>
          </w:p>
        </w:tc>
        <w:tc>
          <w:tcPr>
            <w:tcW w:w="1890" w:type="dxa"/>
            <w:tcBorders>
              <w:top w:val="nil"/>
              <w:left w:val="nil"/>
              <w:bottom w:val="single" w:sz="4" w:space="0" w:color="auto"/>
              <w:right w:val="single" w:sz="4" w:space="0" w:color="auto"/>
            </w:tcBorders>
            <w:shd w:val="clear" w:color="auto" w:fill="auto"/>
            <w:vAlign w:val="center"/>
            <w:hideMark/>
          </w:tcPr>
          <w:p w14:paraId="116AD05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w:t>
            </w:r>
          </w:p>
        </w:tc>
        <w:tc>
          <w:tcPr>
            <w:tcW w:w="1620" w:type="dxa"/>
            <w:tcBorders>
              <w:top w:val="nil"/>
              <w:left w:val="nil"/>
              <w:bottom w:val="single" w:sz="4" w:space="0" w:color="auto"/>
              <w:right w:val="single" w:sz="8" w:space="0" w:color="auto"/>
            </w:tcBorders>
            <w:shd w:val="clear" w:color="auto" w:fill="auto"/>
            <w:vAlign w:val="center"/>
            <w:hideMark/>
          </w:tcPr>
          <w:p w14:paraId="49C6BC8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QTI</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683C09C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24FAC4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331B2A9B"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3F36D90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363196E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3.5.4.4 Kryerja e procesit te prokurimit perfshire nënshkrimin e kontrates së prokurimit midis Autoritetit Kontraktor dhe Operatorit Ekonomik fitues dhe ndjekja e zbatimit të kontratës</w:t>
            </w:r>
          </w:p>
        </w:tc>
        <w:tc>
          <w:tcPr>
            <w:tcW w:w="1890" w:type="dxa"/>
            <w:tcBorders>
              <w:top w:val="nil"/>
              <w:left w:val="nil"/>
              <w:bottom w:val="single" w:sz="8" w:space="0" w:color="auto"/>
              <w:right w:val="single" w:sz="4" w:space="0" w:color="auto"/>
            </w:tcBorders>
            <w:shd w:val="clear" w:color="auto" w:fill="auto"/>
            <w:vAlign w:val="center"/>
            <w:hideMark/>
          </w:tcPr>
          <w:p w14:paraId="2777B55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PP,QTI</w:t>
            </w:r>
          </w:p>
        </w:tc>
        <w:tc>
          <w:tcPr>
            <w:tcW w:w="1620" w:type="dxa"/>
            <w:tcBorders>
              <w:top w:val="nil"/>
              <w:left w:val="nil"/>
              <w:bottom w:val="single" w:sz="8" w:space="0" w:color="auto"/>
              <w:right w:val="single" w:sz="8" w:space="0" w:color="auto"/>
            </w:tcBorders>
            <w:shd w:val="clear" w:color="auto" w:fill="auto"/>
            <w:vAlign w:val="center"/>
            <w:hideMark/>
          </w:tcPr>
          <w:p w14:paraId="3674FA7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40B9669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23A2AED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568616A5"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343E3960"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3.5.5  Mirëmbajtja e sistemeve te menaxhimit të çështjeve</w:t>
            </w:r>
          </w:p>
        </w:tc>
        <w:tc>
          <w:tcPr>
            <w:tcW w:w="2520" w:type="dxa"/>
            <w:tcBorders>
              <w:top w:val="nil"/>
              <w:left w:val="nil"/>
              <w:bottom w:val="single" w:sz="4" w:space="0" w:color="auto"/>
              <w:right w:val="single" w:sz="4" w:space="0" w:color="auto"/>
            </w:tcBorders>
            <w:shd w:val="clear" w:color="auto" w:fill="auto"/>
            <w:vAlign w:val="center"/>
            <w:hideMark/>
          </w:tcPr>
          <w:p w14:paraId="522BF323" w14:textId="528B379A"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3.5.5.1 Investime dhe mirëmbajtje për sistemin e menaxhimit të çështjeve dhe pajiset dhe soft</w:t>
            </w:r>
            <w:r w:rsidR="00CE1035" w:rsidRPr="007440A2">
              <w:rPr>
                <w:rFonts w:ascii="Times New Roman" w:eastAsia="Times New Roman" w:hAnsi="Times New Roman" w:cs="Times New Roman"/>
                <w:sz w:val="20"/>
                <w:szCs w:val="20"/>
              </w:rPr>
              <w:t>ë</w:t>
            </w:r>
            <w:r w:rsidRPr="007440A2">
              <w:rPr>
                <w:rFonts w:ascii="Times New Roman" w:eastAsia="Times New Roman" w:hAnsi="Times New Roman" w:cs="Times New Roman"/>
                <w:sz w:val="20"/>
                <w:szCs w:val="20"/>
              </w:rPr>
              <w:t>are-t respektive për gjykatat,/KLGJ-në/ILD-në/PP-në.</w:t>
            </w:r>
          </w:p>
        </w:tc>
        <w:tc>
          <w:tcPr>
            <w:tcW w:w="1890" w:type="dxa"/>
            <w:tcBorders>
              <w:top w:val="nil"/>
              <w:left w:val="nil"/>
              <w:bottom w:val="single" w:sz="4" w:space="0" w:color="auto"/>
              <w:right w:val="single" w:sz="4" w:space="0" w:color="auto"/>
            </w:tcBorders>
            <w:shd w:val="clear" w:color="auto" w:fill="auto"/>
            <w:vAlign w:val="center"/>
            <w:hideMark/>
          </w:tcPr>
          <w:p w14:paraId="7B1B68B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QTI, KLGJ, </w:t>
            </w:r>
            <w:r w:rsidRPr="007440A2">
              <w:rPr>
                <w:rFonts w:ascii="Times New Roman" w:eastAsia="Times New Roman" w:hAnsi="Times New Roman" w:cs="Times New Roman"/>
                <w:sz w:val="20"/>
                <w:szCs w:val="20"/>
              </w:rPr>
              <w:br/>
              <w:t xml:space="preserve">PP, ILD, </w:t>
            </w:r>
          </w:p>
        </w:tc>
        <w:tc>
          <w:tcPr>
            <w:tcW w:w="1620" w:type="dxa"/>
            <w:tcBorders>
              <w:top w:val="nil"/>
              <w:left w:val="nil"/>
              <w:bottom w:val="single" w:sz="4" w:space="0" w:color="auto"/>
              <w:right w:val="single" w:sz="4" w:space="0" w:color="auto"/>
            </w:tcBorders>
            <w:shd w:val="clear" w:color="auto" w:fill="auto"/>
            <w:vAlign w:val="center"/>
            <w:hideMark/>
          </w:tcPr>
          <w:p w14:paraId="658C4C7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Gjykatat/ Prokuroritë</w:t>
            </w:r>
          </w:p>
        </w:tc>
        <w:tc>
          <w:tcPr>
            <w:tcW w:w="1710" w:type="dxa"/>
            <w:tcBorders>
              <w:top w:val="nil"/>
              <w:left w:val="nil"/>
              <w:bottom w:val="single" w:sz="4" w:space="0" w:color="auto"/>
              <w:right w:val="single" w:sz="4" w:space="0" w:color="auto"/>
            </w:tcBorders>
            <w:shd w:val="clear" w:color="000000" w:fill="DDEBF7"/>
            <w:vAlign w:val="center"/>
            <w:hideMark/>
          </w:tcPr>
          <w:p w14:paraId="525EE00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CC5421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98544E5" w14:textId="77777777" w:rsidTr="0018109D">
        <w:trPr>
          <w:trHeight w:val="1152"/>
        </w:trPr>
        <w:tc>
          <w:tcPr>
            <w:tcW w:w="1790" w:type="dxa"/>
            <w:vMerge/>
            <w:tcBorders>
              <w:top w:val="nil"/>
              <w:left w:val="single" w:sz="8" w:space="0" w:color="auto"/>
              <w:bottom w:val="single" w:sz="8" w:space="0" w:color="000000"/>
              <w:right w:val="single" w:sz="4" w:space="0" w:color="auto"/>
            </w:tcBorders>
            <w:vAlign w:val="center"/>
            <w:hideMark/>
          </w:tcPr>
          <w:p w14:paraId="711F960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63CC4FF4" w14:textId="6F0119A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3.5.5.2 Investime dhe mirëmbajtje për sistemin e menaxhimit të çështjeve dhe pajijset dhe soft</w:t>
            </w:r>
            <w:r w:rsidR="00CE1035" w:rsidRPr="007440A2">
              <w:rPr>
                <w:rFonts w:ascii="Times New Roman" w:eastAsia="Times New Roman" w:hAnsi="Times New Roman" w:cs="Times New Roman"/>
                <w:sz w:val="20"/>
                <w:szCs w:val="20"/>
              </w:rPr>
              <w:t>ë</w:t>
            </w:r>
            <w:r w:rsidRPr="007440A2">
              <w:rPr>
                <w:rFonts w:ascii="Times New Roman" w:eastAsia="Times New Roman" w:hAnsi="Times New Roman" w:cs="Times New Roman"/>
                <w:sz w:val="20"/>
                <w:szCs w:val="20"/>
              </w:rPr>
              <w:t>are-t respektive për Ministrinë e Drejtësisë dhe institucionet e saj të varësisë.</w:t>
            </w:r>
          </w:p>
        </w:tc>
        <w:tc>
          <w:tcPr>
            <w:tcW w:w="1890" w:type="dxa"/>
            <w:tcBorders>
              <w:top w:val="nil"/>
              <w:left w:val="nil"/>
              <w:bottom w:val="single" w:sz="8" w:space="0" w:color="auto"/>
              <w:right w:val="single" w:sz="4" w:space="0" w:color="auto"/>
            </w:tcBorders>
            <w:shd w:val="clear" w:color="auto" w:fill="auto"/>
            <w:vAlign w:val="center"/>
            <w:hideMark/>
          </w:tcPr>
          <w:p w14:paraId="30243EC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QTI, MD</w:t>
            </w:r>
          </w:p>
        </w:tc>
        <w:tc>
          <w:tcPr>
            <w:tcW w:w="1620" w:type="dxa"/>
            <w:tcBorders>
              <w:top w:val="nil"/>
              <w:left w:val="nil"/>
              <w:bottom w:val="single" w:sz="8" w:space="0" w:color="auto"/>
              <w:right w:val="single" w:sz="4" w:space="0" w:color="auto"/>
            </w:tcBorders>
            <w:shd w:val="clear" w:color="auto" w:fill="auto"/>
            <w:vAlign w:val="center"/>
            <w:hideMark/>
          </w:tcPr>
          <w:p w14:paraId="79880FE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73D828E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46A6011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CDEC31F" w14:textId="77777777" w:rsidTr="0018109D">
        <w:trPr>
          <w:trHeight w:val="720"/>
        </w:trPr>
        <w:tc>
          <w:tcPr>
            <w:tcW w:w="1790" w:type="dxa"/>
            <w:tcBorders>
              <w:top w:val="nil"/>
              <w:left w:val="single" w:sz="8" w:space="0" w:color="auto"/>
              <w:bottom w:val="single" w:sz="8" w:space="0" w:color="auto"/>
              <w:right w:val="single" w:sz="4" w:space="0" w:color="auto"/>
            </w:tcBorders>
            <w:shd w:val="clear" w:color="auto" w:fill="auto"/>
            <w:vAlign w:val="center"/>
            <w:hideMark/>
          </w:tcPr>
          <w:p w14:paraId="38B0E819"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3.5.6 Plani strategjik për zbatimin e sistemit të teknologjisë së informacionit duke përfshirë ndërveprueshmërinë në sistemin e drejtësisë, duke përfshirë prokurorinë, gjykatat dhe institucionet e tjera të drejtësisë, miratohet nga Bordi i Qendrës së TI-së.</w:t>
            </w:r>
          </w:p>
        </w:tc>
        <w:tc>
          <w:tcPr>
            <w:tcW w:w="2520" w:type="dxa"/>
            <w:tcBorders>
              <w:top w:val="nil"/>
              <w:left w:val="nil"/>
              <w:bottom w:val="single" w:sz="8" w:space="0" w:color="auto"/>
              <w:right w:val="single" w:sz="4" w:space="0" w:color="auto"/>
            </w:tcBorders>
            <w:shd w:val="clear" w:color="auto" w:fill="auto"/>
            <w:vAlign w:val="center"/>
            <w:hideMark/>
          </w:tcPr>
          <w:p w14:paraId="75C4D7E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3.5.6.1 Hartimi i një plani strategjik dhe plani veprimi për zbatimin e tij në lidhje me qëllimet strategjike dhe masat që duhen marrë për zbatimin e sistemit të teknologjisë së informacionit duke përfshirë ndërveprueshmërinë në sistemin e drejtësisë.</w:t>
            </w:r>
          </w:p>
        </w:tc>
        <w:tc>
          <w:tcPr>
            <w:tcW w:w="1890" w:type="dxa"/>
            <w:tcBorders>
              <w:top w:val="nil"/>
              <w:left w:val="nil"/>
              <w:bottom w:val="single" w:sz="8" w:space="0" w:color="auto"/>
              <w:right w:val="single" w:sz="4" w:space="0" w:color="auto"/>
            </w:tcBorders>
            <w:shd w:val="clear" w:color="auto" w:fill="auto"/>
            <w:vAlign w:val="center"/>
            <w:hideMark/>
          </w:tcPr>
          <w:p w14:paraId="1B9C9EE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QTI</w:t>
            </w:r>
          </w:p>
        </w:tc>
        <w:tc>
          <w:tcPr>
            <w:tcW w:w="1620" w:type="dxa"/>
            <w:tcBorders>
              <w:top w:val="nil"/>
              <w:left w:val="nil"/>
              <w:bottom w:val="single" w:sz="8" w:space="0" w:color="auto"/>
              <w:right w:val="single" w:sz="4" w:space="0" w:color="auto"/>
            </w:tcBorders>
            <w:shd w:val="clear" w:color="auto" w:fill="auto"/>
            <w:vAlign w:val="center"/>
            <w:hideMark/>
          </w:tcPr>
          <w:p w14:paraId="6289BF7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710" w:type="dxa"/>
            <w:tcBorders>
              <w:top w:val="nil"/>
              <w:left w:val="nil"/>
              <w:bottom w:val="single" w:sz="8" w:space="0" w:color="auto"/>
              <w:right w:val="single" w:sz="4" w:space="0" w:color="auto"/>
            </w:tcBorders>
            <w:shd w:val="clear" w:color="000000" w:fill="DDEBF7"/>
            <w:vAlign w:val="center"/>
            <w:hideMark/>
          </w:tcPr>
          <w:p w14:paraId="5982279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7136C2D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42989BE8"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68F05B7E"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3.5.7 Burimet e duhura njerëzore dhe mbështetja buxhetore i dedikohet krijimit të një ICMIS-i që garanton ndërlidhje të sigurt me bazat e të dhënave dhe sistemet përkatëse dhe ndërveprimet bazuar në parashikimet vjetore. </w:t>
            </w:r>
          </w:p>
        </w:tc>
        <w:tc>
          <w:tcPr>
            <w:tcW w:w="2520" w:type="dxa"/>
            <w:tcBorders>
              <w:top w:val="nil"/>
              <w:left w:val="nil"/>
              <w:bottom w:val="single" w:sz="4" w:space="0" w:color="auto"/>
              <w:right w:val="single" w:sz="4" w:space="0" w:color="auto"/>
            </w:tcBorders>
            <w:shd w:val="clear" w:color="auto" w:fill="auto"/>
            <w:vAlign w:val="center"/>
            <w:hideMark/>
          </w:tcPr>
          <w:p w14:paraId="67F2EBC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3.5.7.1 Sigurimi i mbështetjes financiare </w:t>
            </w:r>
          </w:p>
        </w:tc>
        <w:tc>
          <w:tcPr>
            <w:tcW w:w="1890" w:type="dxa"/>
            <w:tcBorders>
              <w:top w:val="nil"/>
              <w:left w:val="nil"/>
              <w:bottom w:val="single" w:sz="4" w:space="0" w:color="auto"/>
              <w:right w:val="single" w:sz="4" w:space="0" w:color="auto"/>
            </w:tcBorders>
            <w:shd w:val="clear" w:color="auto" w:fill="auto"/>
            <w:vAlign w:val="center"/>
            <w:hideMark/>
          </w:tcPr>
          <w:p w14:paraId="6D4D216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QTI</w:t>
            </w:r>
          </w:p>
        </w:tc>
        <w:tc>
          <w:tcPr>
            <w:tcW w:w="1620" w:type="dxa"/>
            <w:tcBorders>
              <w:top w:val="nil"/>
              <w:left w:val="nil"/>
              <w:bottom w:val="single" w:sz="4" w:space="0" w:color="auto"/>
              <w:right w:val="single" w:sz="8" w:space="0" w:color="auto"/>
            </w:tcBorders>
            <w:shd w:val="clear" w:color="auto" w:fill="auto"/>
            <w:vAlign w:val="center"/>
            <w:hideMark/>
          </w:tcPr>
          <w:p w14:paraId="4307C8B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1CABA27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F85945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AC8D1C1"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73A1E61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5045C1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3.5.7.2 Ngritja e grupeve të punës për cdo institucion të ndërlidhur, pas miratimit të Udhërrëfyesit </w:t>
            </w:r>
          </w:p>
        </w:tc>
        <w:tc>
          <w:tcPr>
            <w:tcW w:w="1890" w:type="dxa"/>
            <w:tcBorders>
              <w:top w:val="nil"/>
              <w:left w:val="nil"/>
              <w:bottom w:val="single" w:sz="4" w:space="0" w:color="auto"/>
              <w:right w:val="single" w:sz="4" w:space="0" w:color="auto"/>
            </w:tcBorders>
            <w:shd w:val="clear" w:color="auto" w:fill="auto"/>
            <w:vAlign w:val="center"/>
            <w:hideMark/>
          </w:tcPr>
          <w:p w14:paraId="334DBB7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QTI</w:t>
            </w:r>
          </w:p>
        </w:tc>
        <w:tc>
          <w:tcPr>
            <w:tcW w:w="1620" w:type="dxa"/>
            <w:tcBorders>
              <w:top w:val="nil"/>
              <w:left w:val="nil"/>
              <w:bottom w:val="single" w:sz="4" w:space="0" w:color="auto"/>
              <w:right w:val="single" w:sz="8" w:space="0" w:color="auto"/>
            </w:tcBorders>
            <w:shd w:val="clear" w:color="auto" w:fill="auto"/>
            <w:vAlign w:val="center"/>
            <w:hideMark/>
          </w:tcPr>
          <w:p w14:paraId="481EA22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KLP, ILD, PP, BKH, SPAK, Gjykatat e Posacme,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A3F495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48ECAD8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47B80289"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4523B32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59DABE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3.5.7.3 Përcaktimi i aspekteve teknike nga grupet e punës </w:t>
            </w:r>
          </w:p>
        </w:tc>
        <w:tc>
          <w:tcPr>
            <w:tcW w:w="1890" w:type="dxa"/>
            <w:tcBorders>
              <w:top w:val="nil"/>
              <w:left w:val="nil"/>
              <w:bottom w:val="single" w:sz="4" w:space="0" w:color="auto"/>
              <w:right w:val="single" w:sz="4" w:space="0" w:color="auto"/>
            </w:tcBorders>
            <w:shd w:val="clear" w:color="auto" w:fill="auto"/>
            <w:vAlign w:val="center"/>
            <w:hideMark/>
          </w:tcPr>
          <w:p w14:paraId="0CD9702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QTI</w:t>
            </w:r>
          </w:p>
        </w:tc>
        <w:tc>
          <w:tcPr>
            <w:tcW w:w="1620" w:type="dxa"/>
            <w:tcBorders>
              <w:top w:val="nil"/>
              <w:left w:val="nil"/>
              <w:bottom w:val="single" w:sz="4" w:space="0" w:color="auto"/>
              <w:right w:val="single" w:sz="8" w:space="0" w:color="auto"/>
            </w:tcBorders>
            <w:shd w:val="clear" w:color="auto" w:fill="auto"/>
            <w:vAlign w:val="center"/>
            <w:hideMark/>
          </w:tcPr>
          <w:p w14:paraId="0CAF4AF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3BDC1A0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05DE999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6B824F86"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79462E3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466E14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3.5.7.4 Ngritja e grupit të punës për ndryshime ligjore </w:t>
            </w:r>
          </w:p>
        </w:tc>
        <w:tc>
          <w:tcPr>
            <w:tcW w:w="1890" w:type="dxa"/>
            <w:tcBorders>
              <w:top w:val="nil"/>
              <w:left w:val="nil"/>
              <w:bottom w:val="single" w:sz="4" w:space="0" w:color="auto"/>
              <w:right w:val="single" w:sz="4" w:space="0" w:color="auto"/>
            </w:tcBorders>
            <w:shd w:val="clear" w:color="auto" w:fill="auto"/>
            <w:vAlign w:val="center"/>
            <w:hideMark/>
          </w:tcPr>
          <w:p w14:paraId="49DCFB6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3DA517A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QTI, KLGJ, KLP, ILD, PP, BKH, SPAK, Gjykatat e Posacme,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018A145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293B85A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540D632D"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0131AB7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698B1BE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3.5.7.5 Ngritja e grupit të punës ndërinstitucional për koordinimin </w:t>
            </w:r>
          </w:p>
        </w:tc>
        <w:tc>
          <w:tcPr>
            <w:tcW w:w="1890" w:type="dxa"/>
            <w:tcBorders>
              <w:top w:val="nil"/>
              <w:left w:val="nil"/>
              <w:bottom w:val="single" w:sz="8" w:space="0" w:color="auto"/>
              <w:right w:val="single" w:sz="4" w:space="0" w:color="auto"/>
            </w:tcBorders>
            <w:shd w:val="clear" w:color="auto" w:fill="auto"/>
            <w:vAlign w:val="center"/>
            <w:hideMark/>
          </w:tcPr>
          <w:p w14:paraId="18B9CDC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QTI</w:t>
            </w:r>
          </w:p>
        </w:tc>
        <w:tc>
          <w:tcPr>
            <w:tcW w:w="1620" w:type="dxa"/>
            <w:tcBorders>
              <w:top w:val="nil"/>
              <w:left w:val="nil"/>
              <w:bottom w:val="single" w:sz="8" w:space="0" w:color="auto"/>
              <w:right w:val="single" w:sz="8" w:space="0" w:color="auto"/>
            </w:tcBorders>
            <w:shd w:val="clear" w:color="auto" w:fill="auto"/>
            <w:vAlign w:val="center"/>
            <w:hideMark/>
          </w:tcPr>
          <w:p w14:paraId="2B170E7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KLP, ILD, PP, BKH, SPAK, Gjykatat e Posacme, </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2E931BF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8" w:space="0" w:color="auto"/>
              <w:right w:val="single" w:sz="8" w:space="0" w:color="auto"/>
            </w:tcBorders>
            <w:shd w:val="clear" w:color="000000" w:fill="DDEBF7"/>
            <w:vAlign w:val="center"/>
            <w:hideMark/>
          </w:tcPr>
          <w:p w14:paraId="5CA57F3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5407C5F1"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20A2902A"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3.5.8 Qendra e TI-së siguron koordinimin e duhur në zbatimin e sistemeve të menaxhimit të çështjeve duke siguruar ndërveprueshmëri;</w:t>
            </w:r>
          </w:p>
        </w:tc>
        <w:tc>
          <w:tcPr>
            <w:tcW w:w="2520" w:type="dxa"/>
            <w:tcBorders>
              <w:top w:val="nil"/>
              <w:left w:val="nil"/>
              <w:bottom w:val="single" w:sz="4" w:space="0" w:color="auto"/>
              <w:right w:val="single" w:sz="4" w:space="0" w:color="auto"/>
            </w:tcBorders>
            <w:shd w:val="clear" w:color="auto" w:fill="auto"/>
            <w:vAlign w:val="center"/>
            <w:hideMark/>
          </w:tcPr>
          <w:p w14:paraId="1781546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3.5.8.1 Zbatimi i vendimit të Bordit nr. 9/2023 mbi "Kornizën e Ndërveprimit për Sistemin e Drejtësisë në Republikën e Shqipërisë" </w:t>
            </w:r>
          </w:p>
        </w:tc>
        <w:tc>
          <w:tcPr>
            <w:tcW w:w="1890" w:type="dxa"/>
            <w:tcBorders>
              <w:top w:val="nil"/>
              <w:left w:val="nil"/>
              <w:bottom w:val="single" w:sz="4" w:space="0" w:color="auto"/>
              <w:right w:val="single" w:sz="4" w:space="0" w:color="auto"/>
            </w:tcBorders>
            <w:shd w:val="clear" w:color="auto" w:fill="auto"/>
            <w:vAlign w:val="center"/>
            <w:hideMark/>
          </w:tcPr>
          <w:p w14:paraId="5790CA2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QTI</w:t>
            </w:r>
          </w:p>
        </w:tc>
        <w:tc>
          <w:tcPr>
            <w:tcW w:w="1620" w:type="dxa"/>
            <w:tcBorders>
              <w:top w:val="nil"/>
              <w:left w:val="nil"/>
              <w:bottom w:val="single" w:sz="4" w:space="0" w:color="auto"/>
              <w:right w:val="single" w:sz="4" w:space="0" w:color="auto"/>
            </w:tcBorders>
            <w:shd w:val="clear" w:color="auto" w:fill="auto"/>
            <w:vAlign w:val="center"/>
            <w:hideMark/>
          </w:tcPr>
          <w:p w14:paraId="68A79A2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00D274B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4D32A3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C0EBB0A"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49418FD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7338392B"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3.5.8.2 Raportim i GNP të ngritur nga QTI mbi udhëheqjen e projektit të digjitalizimit të sistemit të drejtësisë; </w:t>
            </w:r>
          </w:p>
        </w:tc>
        <w:tc>
          <w:tcPr>
            <w:tcW w:w="1890" w:type="dxa"/>
            <w:tcBorders>
              <w:top w:val="nil"/>
              <w:left w:val="nil"/>
              <w:bottom w:val="single" w:sz="8" w:space="0" w:color="auto"/>
              <w:right w:val="single" w:sz="4" w:space="0" w:color="auto"/>
            </w:tcBorders>
            <w:shd w:val="clear" w:color="auto" w:fill="auto"/>
            <w:vAlign w:val="center"/>
            <w:hideMark/>
          </w:tcPr>
          <w:p w14:paraId="4EF60F7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QTI</w:t>
            </w:r>
          </w:p>
        </w:tc>
        <w:tc>
          <w:tcPr>
            <w:tcW w:w="1620" w:type="dxa"/>
            <w:tcBorders>
              <w:top w:val="nil"/>
              <w:left w:val="nil"/>
              <w:bottom w:val="single" w:sz="8" w:space="0" w:color="auto"/>
              <w:right w:val="single" w:sz="4" w:space="0" w:color="auto"/>
            </w:tcBorders>
            <w:shd w:val="clear" w:color="auto" w:fill="auto"/>
            <w:vAlign w:val="center"/>
            <w:hideMark/>
          </w:tcPr>
          <w:p w14:paraId="50BB66C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KLP, ILD, PP, BKH, SPAK, Gjykatat e Posacme, </w:t>
            </w:r>
          </w:p>
        </w:tc>
        <w:tc>
          <w:tcPr>
            <w:tcW w:w="1710" w:type="dxa"/>
            <w:tcBorders>
              <w:top w:val="nil"/>
              <w:left w:val="nil"/>
              <w:bottom w:val="single" w:sz="8" w:space="0" w:color="auto"/>
              <w:right w:val="single" w:sz="4" w:space="0" w:color="auto"/>
            </w:tcBorders>
            <w:shd w:val="clear" w:color="000000" w:fill="DDEBF7"/>
            <w:vAlign w:val="center"/>
            <w:hideMark/>
          </w:tcPr>
          <w:p w14:paraId="4061A18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7C7E805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43A6F91"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7C2A26E7"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3.5.9 Qendra e TI-së është e pajisur me burimet e nevojshme njerëzore dhe gëzon kompetenca ekzekutive për të funksionuar në mënyrë efikase.</w:t>
            </w:r>
          </w:p>
        </w:tc>
        <w:tc>
          <w:tcPr>
            <w:tcW w:w="2520" w:type="dxa"/>
            <w:tcBorders>
              <w:top w:val="nil"/>
              <w:left w:val="nil"/>
              <w:bottom w:val="single" w:sz="4" w:space="0" w:color="auto"/>
              <w:right w:val="single" w:sz="4" w:space="0" w:color="auto"/>
            </w:tcBorders>
            <w:shd w:val="clear" w:color="auto" w:fill="auto"/>
            <w:vAlign w:val="center"/>
            <w:hideMark/>
          </w:tcPr>
          <w:p w14:paraId="78235590"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3.5.9.1 Plotësimi i organikës së institucionit</w:t>
            </w:r>
          </w:p>
        </w:tc>
        <w:tc>
          <w:tcPr>
            <w:tcW w:w="1890" w:type="dxa"/>
            <w:tcBorders>
              <w:top w:val="nil"/>
              <w:left w:val="nil"/>
              <w:bottom w:val="single" w:sz="4" w:space="0" w:color="auto"/>
              <w:right w:val="single" w:sz="4" w:space="0" w:color="auto"/>
            </w:tcBorders>
            <w:shd w:val="clear" w:color="auto" w:fill="auto"/>
            <w:vAlign w:val="center"/>
            <w:hideMark/>
          </w:tcPr>
          <w:p w14:paraId="7E967A0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QTI</w:t>
            </w:r>
          </w:p>
        </w:tc>
        <w:tc>
          <w:tcPr>
            <w:tcW w:w="1620" w:type="dxa"/>
            <w:tcBorders>
              <w:top w:val="nil"/>
              <w:left w:val="nil"/>
              <w:bottom w:val="single" w:sz="4" w:space="0" w:color="auto"/>
              <w:right w:val="single" w:sz="4" w:space="0" w:color="auto"/>
            </w:tcBorders>
            <w:shd w:val="clear" w:color="auto" w:fill="auto"/>
            <w:vAlign w:val="center"/>
            <w:hideMark/>
          </w:tcPr>
          <w:p w14:paraId="6DD392F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710" w:type="dxa"/>
            <w:tcBorders>
              <w:top w:val="nil"/>
              <w:left w:val="nil"/>
              <w:bottom w:val="single" w:sz="4" w:space="0" w:color="auto"/>
              <w:right w:val="single" w:sz="4" w:space="0" w:color="auto"/>
            </w:tcBorders>
            <w:shd w:val="clear" w:color="000000" w:fill="DDEBF7"/>
            <w:vAlign w:val="center"/>
            <w:hideMark/>
          </w:tcPr>
          <w:p w14:paraId="68B8F6E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1AE4BD2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60494986"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60D6F00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30C435E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3.5.9.2 Vlerësim i ndërmjetëm i strukturës dhe kapaciteteve të QTI duke përfshirë propozime për ndryshime</w:t>
            </w:r>
          </w:p>
        </w:tc>
        <w:tc>
          <w:tcPr>
            <w:tcW w:w="1890" w:type="dxa"/>
            <w:tcBorders>
              <w:top w:val="nil"/>
              <w:left w:val="nil"/>
              <w:bottom w:val="single" w:sz="8" w:space="0" w:color="auto"/>
              <w:right w:val="single" w:sz="4" w:space="0" w:color="auto"/>
            </w:tcBorders>
            <w:shd w:val="clear" w:color="auto" w:fill="auto"/>
            <w:vAlign w:val="center"/>
            <w:hideMark/>
          </w:tcPr>
          <w:p w14:paraId="7253EF0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QTI</w:t>
            </w:r>
          </w:p>
        </w:tc>
        <w:tc>
          <w:tcPr>
            <w:tcW w:w="1620" w:type="dxa"/>
            <w:tcBorders>
              <w:top w:val="nil"/>
              <w:left w:val="nil"/>
              <w:bottom w:val="single" w:sz="8" w:space="0" w:color="auto"/>
              <w:right w:val="single" w:sz="4" w:space="0" w:color="auto"/>
            </w:tcBorders>
            <w:shd w:val="clear" w:color="auto" w:fill="auto"/>
            <w:vAlign w:val="center"/>
            <w:hideMark/>
          </w:tcPr>
          <w:p w14:paraId="1906984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710" w:type="dxa"/>
            <w:tcBorders>
              <w:top w:val="nil"/>
              <w:left w:val="nil"/>
              <w:bottom w:val="single" w:sz="8" w:space="0" w:color="auto"/>
              <w:right w:val="single" w:sz="4" w:space="0" w:color="auto"/>
            </w:tcBorders>
            <w:shd w:val="clear" w:color="000000" w:fill="DDEBF7"/>
            <w:vAlign w:val="center"/>
            <w:hideMark/>
          </w:tcPr>
          <w:p w14:paraId="2D0D55A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c>
          <w:tcPr>
            <w:tcW w:w="1260" w:type="dxa"/>
            <w:tcBorders>
              <w:top w:val="nil"/>
              <w:left w:val="nil"/>
              <w:bottom w:val="single" w:sz="8" w:space="0" w:color="auto"/>
              <w:right w:val="single" w:sz="8" w:space="0" w:color="auto"/>
            </w:tcBorders>
            <w:shd w:val="clear" w:color="000000" w:fill="DDEBF7"/>
            <w:vAlign w:val="center"/>
            <w:hideMark/>
          </w:tcPr>
          <w:p w14:paraId="739CC54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r>
      <w:tr w:rsidR="007440A2" w:rsidRPr="007440A2" w14:paraId="015FD8A0"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769688F2"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3.5.10 Ofrimi i trajnimeve për funksionet dhe përdorimin e sistemit të integruar të menaxhimit të çështjeve.</w:t>
            </w:r>
          </w:p>
        </w:tc>
        <w:tc>
          <w:tcPr>
            <w:tcW w:w="2520" w:type="dxa"/>
            <w:tcBorders>
              <w:top w:val="nil"/>
              <w:left w:val="nil"/>
              <w:bottom w:val="single" w:sz="4" w:space="0" w:color="auto"/>
              <w:right w:val="single" w:sz="4" w:space="0" w:color="auto"/>
            </w:tcBorders>
            <w:shd w:val="clear" w:color="auto" w:fill="auto"/>
            <w:vAlign w:val="center"/>
            <w:hideMark/>
          </w:tcPr>
          <w:p w14:paraId="0810A20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3.5.10.1 Hartimi dhe miratimi i Analizës së Nevojave për Trajnim (ANT) dhe planit vjetor të ngritjes së kapaciteteve për çdo projekt zhvillimi, në kuadër të digjitalizimit të sistemit të drejtësisë </w:t>
            </w:r>
          </w:p>
        </w:tc>
        <w:tc>
          <w:tcPr>
            <w:tcW w:w="1890" w:type="dxa"/>
            <w:tcBorders>
              <w:top w:val="nil"/>
              <w:left w:val="nil"/>
              <w:bottom w:val="single" w:sz="4" w:space="0" w:color="auto"/>
              <w:right w:val="single" w:sz="4" w:space="0" w:color="auto"/>
            </w:tcBorders>
            <w:shd w:val="clear" w:color="auto" w:fill="auto"/>
            <w:vAlign w:val="center"/>
            <w:hideMark/>
          </w:tcPr>
          <w:p w14:paraId="0123BE0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QTI, KLGJ, KLP, PP, BKH, SPAK, Gjykatat e Posaçme, ILD</w:t>
            </w:r>
          </w:p>
        </w:tc>
        <w:tc>
          <w:tcPr>
            <w:tcW w:w="1620" w:type="dxa"/>
            <w:tcBorders>
              <w:top w:val="nil"/>
              <w:left w:val="nil"/>
              <w:bottom w:val="single" w:sz="4" w:space="0" w:color="auto"/>
              <w:right w:val="single" w:sz="4" w:space="0" w:color="auto"/>
            </w:tcBorders>
            <w:shd w:val="clear" w:color="auto" w:fill="auto"/>
            <w:vAlign w:val="center"/>
            <w:hideMark/>
          </w:tcPr>
          <w:p w14:paraId="533DFF3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0C73BCD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4F1F5DD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598982D"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55062B9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68C34C4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3.5.10.2 Çdo institucion i sistemit të drejtësisë harton analize te nevojave lidhur me  trajnimin dhe garanton dokumentimin e këtyre kurrikulave në manuale përdorimi të brendshëm, bazuar në ANT e miratuar nga Bordi i QTI-së për secilin projekt.</w:t>
            </w:r>
          </w:p>
        </w:tc>
        <w:tc>
          <w:tcPr>
            <w:tcW w:w="1890" w:type="dxa"/>
            <w:tcBorders>
              <w:top w:val="nil"/>
              <w:left w:val="nil"/>
              <w:bottom w:val="single" w:sz="8" w:space="0" w:color="auto"/>
              <w:right w:val="single" w:sz="4" w:space="0" w:color="auto"/>
            </w:tcBorders>
            <w:shd w:val="clear" w:color="auto" w:fill="auto"/>
            <w:vAlign w:val="center"/>
            <w:hideMark/>
          </w:tcPr>
          <w:p w14:paraId="2751E78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QTI</w:t>
            </w:r>
            <w:r w:rsidRPr="007440A2">
              <w:rPr>
                <w:rFonts w:ascii="Times New Roman" w:eastAsia="Times New Roman" w:hAnsi="Times New Roman" w:cs="Times New Roman"/>
                <w:sz w:val="20"/>
                <w:szCs w:val="20"/>
              </w:rPr>
              <w:br/>
              <w:t>KLGJ, KLP, PP, BKH, SPAK, Gjykatat e Posaçme, ILD</w:t>
            </w:r>
          </w:p>
        </w:tc>
        <w:tc>
          <w:tcPr>
            <w:tcW w:w="1620" w:type="dxa"/>
            <w:tcBorders>
              <w:top w:val="nil"/>
              <w:left w:val="nil"/>
              <w:bottom w:val="single" w:sz="8" w:space="0" w:color="auto"/>
              <w:right w:val="single" w:sz="4" w:space="0" w:color="auto"/>
            </w:tcBorders>
            <w:shd w:val="clear" w:color="auto" w:fill="auto"/>
            <w:vAlign w:val="center"/>
            <w:hideMark/>
          </w:tcPr>
          <w:p w14:paraId="0C2B240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6E128E3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58E6B41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F545970"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6A12AF71"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 3.5.11 Zhvillimi i kapaciteteve Teknologjise se Informacionit te GJK dhe mundesimi i aksesit ne praktiken gjyqesore</w:t>
            </w:r>
          </w:p>
        </w:tc>
        <w:tc>
          <w:tcPr>
            <w:tcW w:w="2520" w:type="dxa"/>
            <w:tcBorders>
              <w:top w:val="nil"/>
              <w:left w:val="nil"/>
              <w:bottom w:val="single" w:sz="4" w:space="0" w:color="auto"/>
              <w:right w:val="single" w:sz="4" w:space="0" w:color="auto"/>
            </w:tcBorders>
            <w:shd w:val="clear" w:color="auto" w:fill="auto"/>
            <w:vAlign w:val="center"/>
            <w:hideMark/>
          </w:tcPr>
          <w:p w14:paraId="69E16B9F" w14:textId="77777777" w:rsidR="0018109D" w:rsidRPr="007440A2" w:rsidRDefault="0018109D" w:rsidP="0018109D">
            <w:pPr>
              <w:spacing w:after="24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3.5.11.1 Kryerja e një studimi dhe specifikimi i kërkesave të Gjykatës Kushtetuese në lidhje me teknologjinë e informacionit,  menaxhimin e çështjeve, arkivimin elektronik, nevojën për staf të specializuar etj.</w:t>
            </w:r>
            <w:r w:rsidRPr="007440A2">
              <w:rPr>
                <w:rFonts w:ascii="Times New Roman" w:eastAsia="Times New Roman" w:hAnsi="Times New Roman" w:cs="Times New Roman"/>
                <w:sz w:val="20"/>
                <w:szCs w:val="20"/>
              </w:rPr>
              <w:br/>
            </w:r>
            <w:r w:rsidRPr="007440A2">
              <w:rPr>
                <w:rFonts w:ascii="Times New Roman" w:eastAsia="Times New Roman" w:hAnsi="Times New Roman" w:cs="Times New Roman"/>
                <w:sz w:val="20"/>
                <w:szCs w:val="20"/>
              </w:rPr>
              <w:br/>
            </w:r>
            <w:r w:rsidRPr="007440A2">
              <w:rPr>
                <w:rFonts w:ascii="Times New Roman" w:eastAsia="Times New Roman" w:hAnsi="Times New Roman" w:cs="Times New Roman"/>
                <w:sz w:val="20"/>
                <w:szCs w:val="20"/>
              </w:rPr>
              <w:br/>
            </w:r>
          </w:p>
        </w:tc>
        <w:tc>
          <w:tcPr>
            <w:tcW w:w="1890" w:type="dxa"/>
            <w:tcBorders>
              <w:top w:val="nil"/>
              <w:left w:val="nil"/>
              <w:bottom w:val="single" w:sz="4" w:space="0" w:color="auto"/>
              <w:right w:val="single" w:sz="4" w:space="0" w:color="auto"/>
            </w:tcBorders>
            <w:shd w:val="clear" w:color="auto" w:fill="auto"/>
            <w:vAlign w:val="center"/>
            <w:hideMark/>
          </w:tcPr>
          <w:p w14:paraId="07EAB05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w:t>
            </w:r>
          </w:p>
        </w:tc>
        <w:tc>
          <w:tcPr>
            <w:tcW w:w="1620" w:type="dxa"/>
            <w:tcBorders>
              <w:top w:val="nil"/>
              <w:left w:val="nil"/>
              <w:bottom w:val="single" w:sz="4" w:space="0" w:color="auto"/>
              <w:right w:val="single" w:sz="4" w:space="0" w:color="auto"/>
            </w:tcBorders>
            <w:shd w:val="clear" w:color="auto" w:fill="auto"/>
            <w:vAlign w:val="center"/>
            <w:hideMark/>
          </w:tcPr>
          <w:p w14:paraId="517BE3E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8E3F1A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BB9BB5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0076E646" w14:textId="77777777" w:rsidTr="0018109D">
        <w:trPr>
          <w:trHeight w:val="1056"/>
        </w:trPr>
        <w:tc>
          <w:tcPr>
            <w:tcW w:w="1790" w:type="dxa"/>
            <w:vMerge/>
            <w:tcBorders>
              <w:top w:val="nil"/>
              <w:left w:val="single" w:sz="8" w:space="0" w:color="auto"/>
              <w:bottom w:val="single" w:sz="8" w:space="0" w:color="000000"/>
              <w:right w:val="single" w:sz="4" w:space="0" w:color="auto"/>
            </w:tcBorders>
            <w:vAlign w:val="center"/>
            <w:hideMark/>
          </w:tcPr>
          <w:p w14:paraId="01F7E1F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DA3ECF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3.5.11.2 Ngritja e sistemit të menaxhimit të çështjeve </w:t>
            </w:r>
          </w:p>
        </w:tc>
        <w:tc>
          <w:tcPr>
            <w:tcW w:w="1890" w:type="dxa"/>
            <w:tcBorders>
              <w:top w:val="nil"/>
              <w:left w:val="nil"/>
              <w:bottom w:val="single" w:sz="4" w:space="0" w:color="auto"/>
              <w:right w:val="single" w:sz="4" w:space="0" w:color="auto"/>
            </w:tcBorders>
            <w:shd w:val="clear" w:color="auto" w:fill="auto"/>
            <w:vAlign w:val="center"/>
            <w:hideMark/>
          </w:tcPr>
          <w:p w14:paraId="34C6705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w:t>
            </w:r>
          </w:p>
        </w:tc>
        <w:tc>
          <w:tcPr>
            <w:tcW w:w="1620" w:type="dxa"/>
            <w:tcBorders>
              <w:top w:val="nil"/>
              <w:left w:val="nil"/>
              <w:bottom w:val="single" w:sz="4" w:space="0" w:color="auto"/>
              <w:right w:val="single" w:sz="4" w:space="0" w:color="auto"/>
            </w:tcBorders>
            <w:shd w:val="clear" w:color="auto" w:fill="auto"/>
            <w:vAlign w:val="center"/>
            <w:hideMark/>
          </w:tcPr>
          <w:p w14:paraId="3BD165D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6B3CE2F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c>
          <w:tcPr>
            <w:tcW w:w="1260" w:type="dxa"/>
            <w:tcBorders>
              <w:top w:val="nil"/>
              <w:left w:val="nil"/>
              <w:bottom w:val="single" w:sz="4" w:space="0" w:color="auto"/>
              <w:right w:val="single" w:sz="8" w:space="0" w:color="auto"/>
            </w:tcBorders>
            <w:shd w:val="clear" w:color="000000" w:fill="DDEBF7"/>
            <w:vAlign w:val="center"/>
            <w:hideMark/>
          </w:tcPr>
          <w:p w14:paraId="19DAF85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r>
      <w:tr w:rsidR="007440A2" w:rsidRPr="007440A2" w14:paraId="348236D4"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6C6CC0C7"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32C78B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3.5.11.3 Plotësimi i vendeve të lira me staf të specializuar për përdorimin dhe administrimin e sistemit të menaxhimit të çështjeve. </w:t>
            </w:r>
          </w:p>
        </w:tc>
        <w:tc>
          <w:tcPr>
            <w:tcW w:w="1890" w:type="dxa"/>
            <w:tcBorders>
              <w:top w:val="nil"/>
              <w:left w:val="nil"/>
              <w:bottom w:val="single" w:sz="4" w:space="0" w:color="auto"/>
              <w:right w:val="single" w:sz="4" w:space="0" w:color="auto"/>
            </w:tcBorders>
            <w:shd w:val="clear" w:color="auto" w:fill="auto"/>
            <w:vAlign w:val="center"/>
            <w:hideMark/>
          </w:tcPr>
          <w:p w14:paraId="7C201BE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w:t>
            </w:r>
          </w:p>
        </w:tc>
        <w:tc>
          <w:tcPr>
            <w:tcW w:w="1620" w:type="dxa"/>
            <w:tcBorders>
              <w:top w:val="nil"/>
              <w:left w:val="nil"/>
              <w:bottom w:val="single" w:sz="4" w:space="0" w:color="auto"/>
              <w:right w:val="single" w:sz="4" w:space="0" w:color="auto"/>
            </w:tcBorders>
            <w:shd w:val="clear" w:color="auto" w:fill="auto"/>
            <w:vAlign w:val="center"/>
            <w:hideMark/>
          </w:tcPr>
          <w:p w14:paraId="76DB972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6142A76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c>
          <w:tcPr>
            <w:tcW w:w="1260" w:type="dxa"/>
            <w:tcBorders>
              <w:top w:val="nil"/>
              <w:left w:val="nil"/>
              <w:bottom w:val="single" w:sz="4" w:space="0" w:color="auto"/>
              <w:right w:val="single" w:sz="8" w:space="0" w:color="auto"/>
            </w:tcBorders>
            <w:shd w:val="clear" w:color="000000" w:fill="DDEBF7"/>
            <w:vAlign w:val="center"/>
            <w:hideMark/>
          </w:tcPr>
          <w:p w14:paraId="551C29F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2028</w:t>
            </w:r>
          </w:p>
        </w:tc>
      </w:tr>
      <w:tr w:rsidR="007440A2" w:rsidRPr="007440A2" w14:paraId="4D069A0B"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027E3DE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4019AD6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3.5.11.4 Digjitalizimi/Krijimi i arkivës elektronike të Gjykatës Kushtetuese </w:t>
            </w:r>
          </w:p>
        </w:tc>
        <w:tc>
          <w:tcPr>
            <w:tcW w:w="1890" w:type="dxa"/>
            <w:tcBorders>
              <w:top w:val="nil"/>
              <w:left w:val="nil"/>
              <w:bottom w:val="single" w:sz="8" w:space="0" w:color="auto"/>
              <w:right w:val="single" w:sz="4" w:space="0" w:color="auto"/>
            </w:tcBorders>
            <w:shd w:val="clear" w:color="auto" w:fill="auto"/>
            <w:vAlign w:val="center"/>
            <w:hideMark/>
          </w:tcPr>
          <w:p w14:paraId="341ECE4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w:t>
            </w:r>
          </w:p>
        </w:tc>
        <w:tc>
          <w:tcPr>
            <w:tcW w:w="1620" w:type="dxa"/>
            <w:tcBorders>
              <w:top w:val="nil"/>
              <w:left w:val="nil"/>
              <w:bottom w:val="single" w:sz="8" w:space="0" w:color="auto"/>
              <w:right w:val="single" w:sz="4" w:space="0" w:color="auto"/>
            </w:tcBorders>
            <w:shd w:val="clear" w:color="auto" w:fill="auto"/>
            <w:vAlign w:val="center"/>
            <w:hideMark/>
          </w:tcPr>
          <w:p w14:paraId="1CDCFDB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64FE59F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2028</w:t>
            </w:r>
          </w:p>
        </w:tc>
        <w:tc>
          <w:tcPr>
            <w:tcW w:w="1260" w:type="dxa"/>
            <w:tcBorders>
              <w:top w:val="nil"/>
              <w:left w:val="nil"/>
              <w:bottom w:val="single" w:sz="8" w:space="0" w:color="auto"/>
              <w:right w:val="single" w:sz="8" w:space="0" w:color="auto"/>
            </w:tcBorders>
            <w:shd w:val="clear" w:color="000000" w:fill="DDEBF7"/>
            <w:vAlign w:val="center"/>
            <w:hideMark/>
          </w:tcPr>
          <w:p w14:paraId="0CCDC4E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2028</w:t>
            </w:r>
          </w:p>
        </w:tc>
      </w:tr>
      <w:tr w:rsidR="007440A2" w:rsidRPr="007440A2" w14:paraId="42706E01"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11507B94"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3.5.12 Permiresimi i statistikave kombetare te drejtesise nepermjet miratimit dhe zbatimit te Udhezimit te Ministrit per statistikat kombetare te drejtesise, bazuar ne metodologjine e CEPEJ ne konsultim me institucionet e qeverisjes se sistemit te drejtesise </w:t>
            </w:r>
          </w:p>
        </w:tc>
        <w:tc>
          <w:tcPr>
            <w:tcW w:w="2520" w:type="dxa"/>
            <w:tcBorders>
              <w:top w:val="nil"/>
              <w:left w:val="nil"/>
              <w:bottom w:val="single" w:sz="4" w:space="0" w:color="auto"/>
              <w:right w:val="single" w:sz="4" w:space="0" w:color="auto"/>
            </w:tcBorders>
            <w:shd w:val="clear" w:color="auto" w:fill="auto"/>
            <w:vAlign w:val="center"/>
            <w:hideMark/>
          </w:tcPr>
          <w:p w14:paraId="57A19F9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3.5.12.1 Kryerja e një analize për hartimin dhe percaktimin e objektit të projekt-udhëzimit të ri të MD </w:t>
            </w:r>
          </w:p>
        </w:tc>
        <w:tc>
          <w:tcPr>
            <w:tcW w:w="1890" w:type="dxa"/>
            <w:tcBorders>
              <w:top w:val="nil"/>
              <w:left w:val="nil"/>
              <w:bottom w:val="single" w:sz="4" w:space="0" w:color="auto"/>
              <w:right w:val="single" w:sz="4" w:space="0" w:color="auto"/>
            </w:tcBorders>
            <w:shd w:val="clear" w:color="auto" w:fill="auto"/>
            <w:vAlign w:val="center"/>
            <w:hideMark/>
          </w:tcPr>
          <w:p w14:paraId="6E74B1A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4" w:space="0" w:color="auto"/>
              <w:right w:val="single" w:sz="4" w:space="0" w:color="auto"/>
            </w:tcBorders>
            <w:shd w:val="clear" w:color="auto" w:fill="auto"/>
            <w:vAlign w:val="center"/>
            <w:hideMark/>
          </w:tcPr>
          <w:p w14:paraId="0DD15F2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43BB68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1D639B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735BE450"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6E38FE7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B862C5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3.5.12.2 Konsultimi i MD me Këshillin e Lartë Gjyqësor lidhur me projekt-udhëzimin e ri për statistikat gjyqësore kombëtare </w:t>
            </w:r>
          </w:p>
        </w:tc>
        <w:tc>
          <w:tcPr>
            <w:tcW w:w="1890" w:type="dxa"/>
            <w:tcBorders>
              <w:top w:val="nil"/>
              <w:left w:val="nil"/>
              <w:bottom w:val="single" w:sz="4" w:space="0" w:color="auto"/>
              <w:right w:val="single" w:sz="4" w:space="0" w:color="auto"/>
            </w:tcBorders>
            <w:shd w:val="clear" w:color="auto" w:fill="auto"/>
            <w:vAlign w:val="center"/>
            <w:hideMark/>
          </w:tcPr>
          <w:p w14:paraId="055FBFA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KLGJ</w:t>
            </w:r>
          </w:p>
        </w:tc>
        <w:tc>
          <w:tcPr>
            <w:tcW w:w="1620" w:type="dxa"/>
            <w:tcBorders>
              <w:top w:val="nil"/>
              <w:left w:val="nil"/>
              <w:bottom w:val="single" w:sz="4" w:space="0" w:color="auto"/>
              <w:right w:val="single" w:sz="4" w:space="0" w:color="auto"/>
            </w:tcBorders>
            <w:shd w:val="clear" w:color="auto" w:fill="auto"/>
            <w:vAlign w:val="center"/>
            <w:hideMark/>
          </w:tcPr>
          <w:p w14:paraId="454920E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2180C5B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42ED2D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710C4C31" w14:textId="77777777" w:rsidTr="0018109D">
        <w:trPr>
          <w:trHeight w:val="2172"/>
        </w:trPr>
        <w:tc>
          <w:tcPr>
            <w:tcW w:w="1790" w:type="dxa"/>
            <w:vMerge/>
            <w:tcBorders>
              <w:top w:val="nil"/>
              <w:left w:val="single" w:sz="8" w:space="0" w:color="auto"/>
              <w:bottom w:val="single" w:sz="8" w:space="0" w:color="000000"/>
              <w:right w:val="single" w:sz="4" w:space="0" w:color="auto"/>
            </w:tcBorders>
            <w:vAlign w:val="center"/>
            <w:hideMark/>
          </w:tcPr>
          <w:p w14:paraId="2752B937"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B98390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3.5.12.3 Tryezë e rrumbullakët me të gjitha institucionet e qeverisjes te sistemit te drejtesise dhe aktorët përkatës (KLGJ, PP, ASH, Drejtoria e Përgjithshme e Shërbimit Shtetëror të Përmbarimit, INSTAT, ILD, SHM, SPAK etj) për përmirësimin e mëtejshëm të projekt-udhëzimit </w:t>
            </w:r>
          </w:p>
        </w:tc>
        <w:tc>
          <w:tcPr>
            <w:tcW w:w="1890" w:type="dxa"/>
            <w:tcBorders>
              <w:top w:val="nil"/>
              <w:left w:val="nil"/>
              <w:bottom w:val="single" w:sz="4" w:space="0" w:color="auto"/>
              <w:right w:val="single" w:sz="4" w:space="0" w:color="auto"/>
            </w:tcBorders>
            <w:shd w:val="clear" w:color="auto" w:fill="auto"/>
            <w:vAlign w:val="center"/>
            <w:hideMark/>
          </w:tcPr>
          <w:p w14:paraId="09D1081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3330B49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PP, ASH, Drejtoria e Përgjithshme e Shërbimit Shtetëror të Përmbarimit, INSTAT, SHM, ILD, SPAK</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6E8E162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5BF56AB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343D2FEC"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7FD3DFD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E3F5EF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3.5.12.4 Miratimi i Udhëzimit te ri i MD-së në koordinim me Këshillin e Lartë Gjyqësor</w:t>
            </w:r>
          </w:p>
        </w:tc>
        <w:tc>
          <w:tcPr>
            <w:tcW w:w="1890" w:type="dxa"/>
            <w:tcBorders>
              <w:top w:val="nil"/>
              <w:left w:val="nil"/>
              <w:bottom w:val="single" w:sz="4" w:space="0" w:color="auto"/>
              <w:right w:val="single" w:sz="4" w:space="0" w:color="auto"/>
            </w:tcBorders>
            <w:shd w:val="clear" w:color="auto" w:fill="auto"/>
            <w:vAlign w:val="center"/>
            <w:hideMark/>
          </w:tcPr>
          <w:p w14:paraId="602B59E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7A2434C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A0A866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0D3B11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27C8F37B" w14:textId="77777777" w:rsidTr="0018109D">
        <w:trPr>
          <w:trHeight w:val="1356"/>
        </w:trPr>
        <w:tc>
          <w:tcPr>
            <w:tcW w:w="1790" w:type="dxa"/>
            <w:vMerge/>
            <w:tcBorders>
              <w:top w:val="nil"/>
              <w:left w:val="single" w:sz="8" w:space="0" w:color="auto"/>
              <w:bottom w:val="single" w:sz="8" w:space="0" w:color="000000"/>
              <w:right w:val="single" w:sz="4" w:space="0" w:color="auto"/>
            </w:tcBorders>
            <w:vAlign w:val="center"/>
            <w:hideMark/>
          </w:tcPr>
          <w:p w14:paraId="2A643A8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622696C0"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3.5.12.5 Sigurimi i burimeve njerezore te specializuara (p.sh ngritja e njesise se dedikuar per mbledhjen dhe analizimin e statistikave) , me qellim analizimin e te dhenave statistikore dhe pergatitjen e propozimeve te politikave te nevojshme bazuar ne gjetjet e analizes.</w:t>
            </w:r>
          </w:p>
        </w:tc>
        <w:tc>
          <w:tcPr>
            <w:tcW w:w="1890" w:type="dxa"/>
            <w:tcBorders>
              <w:top w:val="nil"/>
              <w:left w:val="nil"/>
              <w:bottom w:val="single" w:sz="8" w:space="0" w:color="auto"/>
              <w:right w:val="single" w:sz="4" w:space="0" w:color="auto"/>
            </w:tcBorders>
            <w:shd w:val="clear" w:color="auto" w:fill="auto"/>
            <w:vAlign w:val="center"/>
            <w:hideMark/>
          </w:tcPr>
          <w:p w14:paraId="7D721CB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8" w:space="0" w:color="auto"/>
              <w:right w:val="single" w:sz="8" w:space="0" w:color="auto"/>
            </w:tcBorders>
            <w:shd w:val="clear" w:color="auto" w:fill="auto"/>
            <w:vAlign w:val="center"/>
            <w:hideMark/>
          </w:tcPr>
          <w:p w14:paraId="1DC37D1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DAP</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6FA24CE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406CC4D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68973EEE" w14:textId="77777777" w:rsidTr="0018109D">
        <w:trPr>
          <w:trHeight w:val="1092"/>
        </w:trPr>
        <w:tc>
          <w:tcPr>
            <w:tcW w:w="4310" w:type="dxa"/>
            <w:gridSpan w:val="2"/>
            <w:tcBorders>
              <w:top w:val="nil"/>
              <w:left w:val="single" w:sz="8" w:space="0" w:color="auto"/>
              <w:bottom w:val="single" w:sz="8" w:space="0" w:color="auto"/>
              <w:right w:val="nil"/>
            </w:tcBorders>
            <w:shd w:val="clear" w:color="000000" w:fill="9CC2E5"/>
            <w:vAlign w:val="center"/>
            <w:hideMark/>
          </w:tcPr>
          <w:p w14:paraId="63317B11"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3.6:</w:t>
            </w:r>
          </w:p>
        </w:tc>
        <w:tc>
          <w:tcPr>
            <w:tcW w:w="6480" w:type="dxa"/>
            <w:gridSpan w:val="4"/>
            <w:tcBorders>
              <w:top w:val="nil"/>
              <w:left w:val="single" w:sz="8" w:space="0" w:color="auto"/>
              <w:bottom w:val="single" w:sz="8" w:space="0" w:color="auto"/>
              <w:right w:val="single" w:sz="8" w:space="0" w:color="000000"/>
            </w:tcBorders>
            <w:shd w:val="clear" w:color="000000" w:fill="9CC2E5"/>
            <w:vAlign w:val="center"/>
            <w:hideMark/>
          </w:tcPr>
          <w:p w14:paraId="7C4B1CA7"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Përmirësimi i kapacitetit të MD dhe institucioneve të varësisë për të përforcuar aksesin në drejtësi</w:t>
            </w:r>
          </w:p>
        </w:tc>
      </w:tr>
      <w:tr w:rsidR="007440A2" w:rsidRPr="007440A2" w14:paraId="75AAE299" w14:textId="77777777" w:rsidTr="0018109D">
        <w:trPr>
          <w:trHeight w:val="2844"/>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0D5631DE"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3EC3B95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Deri ne fund te vitit 2030 pritet te kete rritje progresive te numrit të të burgosurve të përfshirë në aktivitetet rehabilituese kundrejt numrit total të personave që vuajnë dënimin,  duke forcuar keshtu  rehabilitimin e tyre dhe integrimin e mëvonshëm në shoqëri;</w:t>
            </w:r>
            <w:r w:rsidRPr="007440A2">
              <w:rPr>
                <w:rFonts w:ascii="Times New Roman" w:eastAsia="Times New Roman" w:hAnsi="Times New Roman" w:cs="Times New Roman"/>
                <w:sz w:val="20"/>
                <w:szCs w:val="20"/>
              </w:rPr>
              <w:br/>
            </w:r>
            <w:r w:rsidRPr="007440A2">
              <w:rPr>
                <w:rFonts w:ascii="Times New Roman" w:eastAsia="Times New Roman" w:hAnsi="Times New Roman" w:cs="Times New Roman"/>
                <w:sz w:val="20"/>
                <w:szCs w:val="20"/>
              </w:rPr>
              <w:br/>
              <w:t>Deri ne fund te vitit 2030  do te kete permiresim progresiv te situates se mbipopullimit ne burgje si rrjedhoje e adresimit te sfidave në sistemin e drejtësise dhe politikave efektive të paraburgimit.</w:t>
            </w:r>
            <w:r w:rsidRPr="007440A2">
              <w:rPr>
                <w:rFonts w:ascii="Times New Roman" w:eastAsia="Times New Roman" w:hAnsi="Times New Roman" w:cs="Times New Roman"/>
                <w:sz w:val="20"/>
                <w:szCs w:val="20"/>
              </w:rPr>
              <w:br/>
            </w:r>
            <w:r w:rsidRPr="007440A2">
              <w:rPr>
                <w:rFonts w:ascii="Times New Roman" w:eastAsia="Times New Roman" w:hAnsi="Times New Roman" w:cs="Times New Roman"/>
                <w:sz w:val="20"/>
                <w:szCs w:val="20"/>
              </w:rPr>
              <w:br/>
              <w:t xml:space="preserve">Deri ne fund te vitit 2030 do te reduktohet progresivisht kohëzgjatja mesatare e dhenjes se ndihmes juridike paresore falas duke garantuar ne kete menyre moszvarritjen e procedurave, dhe akses efektiv në drejtësi per  qytetaret.  </w:t>
            </w:r>
          </w:p>
        </w:tc>
      </w:tr>
      <w:tr w:rsidR="007440A2" w:rsidRPr="007440A2" w14:paraId="13422F71" w14:textId="77777777" w:rsidTr="0018109D">
        <w:trPr>
          <w:trHeight w:val="540"/>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37C4022A"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7593E563"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45D408E4"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7265EB77"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4B072FDD"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6DC40008"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0B8F1885"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6D22B154"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3.6.1 Konsolidimi i Masterplanit te Burgjeve duke përfshirë ndër të tjera masa për rinovimin e infrastrukturës së burgjeve dhe rritjen e kapaciteteve akomoduese për të dënuarit me burgim .</w:t>
            </w:r>
          </w:p>
        </w:tc>
        <w:tc>
          <w:tcPr>
            <w:tcW w:w="2520" w:type="dxa"/>
            <w:tcBorders>
              <w:top w:val="nil"/>
              <w:left w:val="nil"/>
              <w:bottom w:val="single" w:sz="4" w:space="0" w:color="auto"/>
              <w:right w:val="single" w:sz="4" w:space="0" w:color="auto"/>
            </w:tcBorders>
            <w:shd w:val="clear" w:color="auto" w:fill="auto"/>
            <w:vAlign w:val="center"/>
            <w:hideMark/>
          </w:tcPr>
          <w:p w14:paraId="66F9D4F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3.6.1.1 Krijimi i nje ambjenti te sigurte dhe promovues duke miratuar dhe zbatuar nje plan per ndertimin dhe rinovimin e burgjeve </w:t>
            </w:r>
          </w:p>
        </w:tc>
        <w:tc>
          <w:tcPr>
            <w:tcW w:w="1890" w:type="dxa"/>
            <w:tcBorders>
              <w:top w:val="nil"/>
              <w:left w:val="nil"/>
              <w:bottom w:val="single" w:sz="4" w:space="0" w:color="auto"/>
              <w:right w:val="single" w:sz="4" w:space="0" w:color="auto"/>
            </w:tcBorders>
            <w:shd w:val="clear" w:color="auto" w:fill="auto"/>
            <w:vAlign w:val="center"/>
            <w:hideMark/>
          </w:tcPr>
          <w:p w14:paraId="196B952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DPB</w:t>
            </w:r>
          </w:p>
        </w:tc>
        <w:tc>
          <w:tcPr>
            <w:tcW w:w="1620" w:type="dxa"/>
            <w:tcBorders>
              <w:top w:val="nil"/>
              <w:left w:val="nil"/>
              <w:bottom w:val="single" w:sz="4" w:space="0" w:color="auto"/>
              <w:right w:val="single" w:sz="4" w:space="0" w:color="auto"/>
            </w:tcBorders>
            <w:shd w:val="clear" w:color="auto" w:fill="auto"/>
            <w:vAlign w:val="center"/>
            <w:hideMark/>
          </w:tcPr>
          <w:p w14:paraId="4F45739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6718A0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CC924A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071E394"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0BAC6C9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0CF11F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3.6.1.2 Ngritja e nje ekipi te qendrueshem, me integritet, te motivuar dhe profesional nepermjet aktiviteteve te rregullta dhe specifike per rritjen e kapaciteteve dhe zhvillimi i nje sistemi per vleresimin e perfomances dhe promovimit te stafit </w:t>
            </w:r>
          </w:p>
        </w:tc>
        <w:tc>
          <w:tcPr>
            <w:tcW w:w="1890" w:type="dxa"/>
            <w:tcBorders>
              <w:top w:val="nil"/>
              <w:left w:val="nil"/>
              <w:bottom w:val="single" w:sz="4" w:space="0" w:color="auto"/>
              <w:right w:val="single" w:sz="4" w:space="0" w:color="auto"/>
            </w:tcBorders>
            <w:shd w:val="clear" w:color="auto" w:fill="auto"/>
            <w:vAlign w:val="center"/>
            <w:hideMark/>
          </w:tcPr>
          <w:p w14:paraId="52F0BED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DPB</w:t>
            </w:r>
          </w:p>
        </w:tc>
        <w:tc>
          <w:tcPr>
            <w:tcW w:w="1620" w:type="dxa"/>
            <w:tcBorders>
              <w:top w:val="nil"/>
              <w:left w:val="nil"/>
              <w:bottom w:val="single" w:sz="4" w:space="0" w:color="auto"/>
              <w:right w:val="single" w:sz="4" w:space="0" w:color="auto"/>
            </w:tcBorders>
            <w:shd w:val="clear" w:color="auto" w:fill="auto"/>
            <w:vAlign w:val="center"/>
            <w:hideMark/>
          </w:tcPr>
          <w:p w14:paraId="78D5377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26BD740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D19C39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F103B33"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5C348F89"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677374D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3.6.1.3 Forcimi i procesit te rehabilitimit dhe ri-integrimit te te burgosurve nepermjet zbatimit te instrumenteve edukativ dhe perfshirjes se institucioneve te tjera </w:t>
            </w:r>
          </w:p>
        </w:tc>
        <w:tc>
          <w:tcPr>
            <w:tcW w:w="1890" w:type="dxa"/>
            <w:tcBorders>
              <w:top w:val="nil"/>
              <w:left w:val="nil"/>
              <w:bottom w:val="single" w:sz="8" w:space="0" w:color="auto"/>
              <w:right w:val="single" w:sz="4" w:space="0" w:color="auto"/>
            </w:tcBorders>
            <w:shd w:val="clear" w:color="auto" w:fill="auto"/>
            <w:vAlign w:val="center"/>
            <w:hideMark/>
          </w:tcPr>
          <w:p w14:paraId="5355BEB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DPB</w:t>
            </w:r>
          </w:p>
        </w:tc>
        <w:tc>
          <w:tcPr>
            <w:tcW w:w="1620" w:type="dxa"/>
            <w:tcBorders>
              <w:top w:val="nil"/>
              <w:left w:val="nil"/>
              <w:bottom w:val="single" w:sz="8" w:space="0" w:color="auto"/>
              <w:right w:val="single" w:sz="4" w:space="0" w:color="auto"/>
            </w:tcBorders>
            <w:shd w:val="clear" w:color="auto" w:fill="auto"/>
            <w:vAlign w:val="center"/>
            <w:hideMark/>
          </w:tcPr>
          <w:p w14:paraId="1B83045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0C4A79D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2030E6B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416044A"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7CBBCDE5"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3.6.2 Miratimi i Planit te Integritetit që adreson risqet e integritetit në sistemin penitenciar</w:t>
            </w:r>
          </w:p>
        </w:tc>
        <w:tc>
          <w:tcPr>
            <w:tcW w:w="2520" w:type="dxa"/>
            <w:tcBorders>
              <w:top w:val="nil"/>
              <w:left w:val="nil"/>
              <w:bottom w:val="single" w:sz="4" w:space="0" w:color="auto"/>
              <w:right w:val="single" w:sz="4" w:space="0" w:color="auto"/>
            </w:tcBorders>
            <w:shd w:val="clear" w:color="auto" w:fill="auto"/>
            <w:vAlign w:val="center"/>
            <w:hideMark/>
          </w:tcPr>
          <w:p w14:paraId="4BD6B72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3.6.2.1 Hartimi dhe miratimi i Planit te Integritetit </w:t>
            </w:r>
          </w:p>
        </w:tc>
        <w:tc>
          <w:tcPr>
            <w:tcW w:w="1890" w:type="dxa"/>
            <w:tcBorders>
              <w:top w:val="nil"/>
              <w:left w:val="nil"/>
              <w:bottom w:val="single" w:sz="4" w:space="0" w:color="auto"/>
              <w:right w:val="single" w:sz="4" w:space="0" w:color="auto"/>
            </w:tcBorders>
            <w:shd w:val="clear" w:color="auto" w:fill="auto"/>
            <w:vAlign w:val="center"/>
            <w:hideMark/>
          </w:tcPr>
          <w:p w14:paraId="073C97C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MD, DPB</w:t>
            </w:r>
          </w:p>
        </w:tc>
        <w:tc>
          <w:tcPr>
            <w:tcW w:w="1620" w:type="dxa"/>
            <w:tcBorders>
              <w:top w:val="nil"/>
              <w:left w:val="nil"/>
              <w:bottom w:val="single" w:sz="4" w:space="0" w:color="auto"/>
              <w:right w:val="single" w:sz="4" w:space="0" w:color="auto"/>
            </w:tcBorders>
            <w:shd w:val="clear" w:color="auto" w:fill="auto"/>
            <w:vAlign w:val="center"/>
            <w:hideMark/>
          </w:tcPr>
          <w:p w14:paraId="3A96790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9AD673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C5E98B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3E2A9AA4"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3BAF7A3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5F0D9C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3.6.2.2 Monitorimi i zbatimit te Planit te Integritetit</w:t>
            </w:r>
          </w:p>
        </w:tc>
        <w:tc>
          <w:tcPr>
            <w:tcW w:w="1890" w:type="dxa"/>
            <w:tcBorders>
              <w:top w:val="nil"/>
              <w:left w:val="nil"/>
              <w:bottom w:val="single" w:sz="4" w:space="0" w:color="auto"/>
              <w:right w:val="single" w:sz="4" w:space="0" w:color="auto"/>
            </w:tcBorders>
            <w:shd w:val="clear" w:color="auto" w:fill="auto"/>
            <w:vAlign w:val="center"/>
            <w:hideMark/>
          </w:tcPr>
          <w:p w14:paraId="13DEEDC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MD, DPB</w:t>
            </w:r>
          </w:p>
        </w:tc>
        <w:tc>
          <w:tcPr>
            <w:tcW w:w="1620" w:type="dxa"/>
            <w:tcBorders>
              <w:top w:val="nil"/>
              <w:left w:val="nil"/>
              <w:bottom w:val="single" w:sz="4" w:space="0" w:color="auto"/>
              <w:right w:val="single" w:sz="4" w:space="0" w:color="auto"/>
            </w:tcBorders>
            <w:shd w:val="clear" w:color="auto" w:fill="auto"/>
            <w:vAlign w:val="center"/>
            <w:hideMark/>
          </w:tcPr>
          <w:p w14:paraId="6A53A56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25FD6BA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617126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8805433"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037B648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2FCBD4C0"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3.6.2.3 Vleresimi i zbatimit te Planit te Integritetit dhe efekti i masave te percaktuara nga plani per integritetin e personelit dhe imazhit te institucionit</w:t>
            </w:r>
          </w:p>
        </w:tc>
        <w:tc>
          <w:tcPr>
            <w:tcW w:w="1890" w:type="dxa"/>
            <w:tcBorders>
              <w:top w:val="nil"/>
              <w:left w:val="nil"/>
              <w:bottom w:val="single" w:sz="8" w:space="0" w:color="auto"/>
              <w:right w:val="single" w:sz="4" w:space="0" w:color="auto"/>
            </w:tcBorders>
            <w:shd w:val="clear" w:color="auto" w:fill="auto"/>
            <w:vAlign w:val="center"/>
            <w:hideMark/>
          </w:tcPr>
          <w:p w14:paraId="39AD977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MD, DPB</w:t>
            </w:r>
          </w:p>
        </w:tc>
        <w:tc>
          <w:tcPr>
            <w:tcW w:w="1620" w:type="dxa"/>
            <w:tcBorders>
              <w:top w:val="nil"/>
              <w:left w:val="nil"/>
              <w:bottom w:val="single" w:sz="8" w:space="0" w:color="auto"/>
              <w:right w:val="single" w:sz="4" w:space="0" w:color="auto"/>
            </w:tcBorders>
            <w:shd w:val="clear" w:color="auto" w:fill="auto"/>
            <w:vAlign w:val="center"/>
            <w:hideMark/>
          </w:tcPr>
          <w:p w14:paraId="5397FE7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090A772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2026, 2028, 2030</w:t>
            </w:r>
          </w:p>
        </w:tc>
        <w:tc>
          <w:tcPr>
            <w:tcW w:w="1260" w:type="dxa"/>
            <w:tcBorders>
              <w:top w:val="nil"/>
              <w:left w:val="nil"/>
              <w:bottom w:val="single" w:sz="8" w:space="0" w:color="auto"/>
              <w:right w:val="single" w:sz="8" w:space="0" w:color="auto"/>
            </w:tcBorders>
            <w:shd w:val="clear" w:color="000000" w:fill="DDEBF7"/>
            <w:vAlign w:val="center"/>
            <w:hideMark/>
          </w:tcPr>
          <w:p w14:paraId="7189A4B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2026, 2028, 2030</w:t>
            </w:r>
          </w:p>
        </w:tc>
      </w:tr>
      <w:tr w:rsidR="007440A2" w:rsidRPr="007440A2" w14:paraId="7E5DE7CD"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7E2AF507"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3.6.3 Drejtoria e Përgjithshme e Burgjeve miraton rregullat e brendshme për çdo institucion të ekzekutimit të vendimeve penale, duke synuar adresimin e rekomandimeve të Avokatit të Popullit dhe CPT. </w:t>
            </w:r>
          </w:p>
        </w:tc>
        <w:tc>
          <w:tcPr>
            <w:tcW w:w="2520" w:type="dxa"/>
            <w:tcBorders>
              <w:top w:val="nil"/>
              <w:left w:val="nil"/>
              <w:bottom w:val="single" w:sz="4" w:space="0" w:color="auto"/>
              <w:right w:val="single" w:sz="4" w:space="0" w:color="auto"/>
            </w:tcBorders>
            <w:shd w:val="clear" w:color="auto" w:fill="auto"/>
            <w:vAlign w:val="center"/>
            <w:hideMark/>
          </w:tcPr>
          <w:p w14:paraId="5106F8D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3.6.3.1 Hartimi dhe miratimi i Rregullave te brendshme per cdo IEVP </w:t>
            </w:r>
          </w:p>
        </w:tc>
        <w:tc>
          <w:tcPr>
            <w:tcW w:w="1890" w:type="dxa"/>
            <w:tcBorders>
              <w:top w:val="nil"/>
              <w:left w:val="nil"/>
              <w:bottom w:val="single" w:sz="4" w:space="0" w:color="auto"/>
              <w:right w:val="single" w:sz="4" w:space="0" w:color="auto"/>
            </w:tcBorders>
            <w:shd w:val="clear" w:color="auto" w:fill="auto"/>
            <w:vAlign w:val="center"/>
            <w:hideMark/>
          </w:tcPr>
          <w:p w14:paraId="13852E2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DPB</w:t>
            </w:r>
          </w:p>
        </w:tc>
        <w:tc>
          <w:tcPr>
            <w:tcW w:w="1620" w:type="dxa"/>
            <w:tcBorders>
              <w:top w:val="nil"/>
              <w:left w:val="nil"/>
              <w:bottom w:val="single" w:sz="4" w:space="0" w:color="auto"/>
              <w:right w:val="single" w:sz="4" w:space="0" w:color="auto"/>
            </w:tcBorders>
            <w:shd w:val="clear" w:color="auto" w:fill="auto"/>
            <w:vAlign w:val="center"/>
            <w:hideMark/>
          </w:tcPr>
          <w:p w14:paraId="7747F35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E4F4FC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63B3A8C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F5A630A"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73928EB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87919C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3.6.3.2 Vleresimi i zbatimit te Rregullave te Brendshme dhe permiresimi sipas nevojave </w:t>
            </w:r>
          </w:p>
        </w:tc>
        <w:tc>
          <w:tcPr>
            <w:tcW w:w="1890" w:type="dxa"/>
            <w:tcBorders>
              <w:top w:val="nil"/>
              <w:left w:val="nil"/>
              <w:bottom w:val="single" w:sz="4" w:space="0" w:color="auto"/>
              <w:right w:val="single" w:sz="4" w:space="0" w:color="auto"/>
            </w:tcBorders>
            <w:shd w:val="clear" w:color="auto" w:fill="auto"/>
            <w:vAlign w:val="center"/>
            <w:hideMark/>
          </w:tcPr>
          <w:p w14:paraId="38DFD74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DPB</w:t>
            </w:r>
          </w:p>
        </w:tc>
        <w:tc>
          <w:tcPr>
            <w:tcW w:w="1620" w:type="dxa"/>
            <w:tcBorders>
              <w:top w:val="nil"/>
              <w:left w:val="nil"/>
              <w:bottom w:val="single" w:sz="4" w:space="0" w:color="auto"/>
              <w:right w:val="single" w:sz="4" w:space="0" w:color="auto"/>
            </w:tcBorders>
            <w:shd w:val="clear" w:color="auto" w:fill="auto"/>
            <w:vAlign w:val="center"/>
            <w:hideMark/>
          </w:tcPr>
          <w:p w14:paraId="7E5226F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0ADB4B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12FA820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4EAF02A2"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3996481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5558121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3.6.3.3 Rritje e kapaciteteve te stafit per implementimin e Rregullave te Brendshme</w:t>
            </w:r>
          </w:p>
        </w:tc>
        <w:tc>
          <w:tcPr>
            <w:tcW w:w="1890" w:type="dxa"/>
            <w:tcBorders>
              <w:top w:val="nil"/>
              <w:left w:val="nil"/>
              <w:bottom w:val="single" w:sz="8" w:space="0" w:color="auto"/>
              <w:right w:val="single" w:sz="4" w:space="0" w:color="auto"/>
            </w:tcBorders>
            <w:shd w:val="clear" w:color="auto" w:fill="auto"/>
            <w:vAlign w:val="center"/>
            <w:hideMark/>
          </w:tcPr>
          <w:p w14:paraId="2EBBBD2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DPB</w:t>
            </w:r>
          </w:p>
        </w:tc>
        <w:tc>
          <w:tcPr>
            <w:tcW w:w="1620" w:type="dxa"/>
            <w:tcBorders>
              <w:top w:val="nil"/>
              <w:left w:val="nil"/>
              <w:bottom w:val="single" w:sz="8" w:space="0" w:color="auto"/>
              <w:right w:val="single" w:sz="4" w:space="0" w:color="auto"/>
            </w:tcBorders>
            <w:shd w:val="clear" w:color="auto" w:fill="auto"/>
            <w:vAlign w:val="center"/>
            <w:hideMark/>
          </w:tcPr>
          <w:p w14:paraId="73533F4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5BAE772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4F1E0B9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6AE31066"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2B04E0D6"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3.6.4 Drejtoria e Përgjithshme e Burgjeve dhe Ministria e Drejtësisë vazhdojnë të ndërmarrin masa për ngritjen e kapaciteteve për të rritur aftësinë raportuese dhe zbatuese të rekomandimeve të CPT-së.</w:t>
            </w:r>
          </w:p>
        </w:tc>
        <w:tc>
          <w:tcPr>
            <w:tcW w:w="2520" w:type="dxa"/>
            <w:tcBorders>
              <w:top w:val="nil"/>
              <w:left w:val="nil"/>
              <w:bottom w:val="single" w:sz="4" w:space="0" w:color="auto"/>
              <w:right w:val="single" w:sz="4" w:space="0" w:color="auto"/>
            </w:tcBorders>
            <w:shd w:val="clear" w:color="auto" w:fill="auto"/>
            <w:vAlign w:val="center"/>
            <w:hideMark/>
          </w:tcPr>
          <w:p w14:paraId="75323F5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3.6.4.1 Krijimi i nje njesie vetem per raportimin ne lidhje me Integrimin Europian </w:t>
            </w:r>
          </w:p>
        </w:tc>
        <w:tc>
          <w:tcPr>
            <w:tcW w:w="1890" w:type="dxa"/>
            <w:tcBorders>
              <w:top w:val="nil"/>
              <w:left w:val="nil"/>
              <w:bottom w:val="single" w:sz="4" w:space="0" w:color="auto"/>
              <w:right w:val="single" w:sz="4" w:space="0" w:color="auto"/>
            </w:tcBorders>
            <w:shd w:val="clear" w:color="auto" w:fill="auto"/>
            <w:vAlign w:val="center"/>
            <w:hideMark/>
          </w:tcPr>
          <w:p w14:paraId="23B5D9E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DPB</w:t>
            </w:r>
          </w:p>
        </w:tc>
        <w:tc>
          <w:tcPr>
            <w:tcW w:w="1620" w:type="dxa"/>
            <w:tcBorders>
              <w:top w:val="nil"/>
              <w:left w:val="nil"/>
              <w:bottom w:val="single" w:sz="4" w:space="0" w:color="auto"/>
              <w:right w:val="single" w:sz="4" w:space="0" w:color="auto"/>
            </w:tcBorders>
            <w:shd w:val="clear" w:color="auto" w:fill="auto"/>
            <w:vAlign w:val="center"/>
            <w:hideMark/>
          </w:tcPr>
          <w:p w14:paraId="127479C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96FEC5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5CA3F1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1B5F1E05" w14:textId="77777777" w:rsidTr="0018109D">
        <w:trPr>
          <w:trHeight w:val="1368"/>
        </w:trPr>
        <w:tc>
          <w:tcPr>
            <w:tcW w:w="1790" w:type="dxa"/>
            <w:vMerge/>
            <w:tcBorders>
              <w:top w:val="nil"/>
              <w:left w:val="single" w:sz="8" w:space="0" w:color="auto"/>
              <w:bottom w:val="single" w:sz="8" w:space="0" w:color="000000"/>
              <w:right w:val="single" w:sz="4" w:space="0" w:color="auto"/>
            </w:tcBorders>
            <w:vAlign w:val="center"/>
            <w:hideMark/>
          </w:tcPr>
          <w:p w14:paraId="23F8F7F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214E842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3.6.4.2 Rritja e kapaciteteve dhe specializimi i anetareve te njesise raportuese </w:t>
            </w:r>
          </w:p>
        </w:tc>
        <w:tc>
          <w:tcPr>
            <w:tcW w:w="1890" w:type="dxa"/>
            <w:tcBorders>
              <w:top w:val="nil"/>
              <w:left w:val="nil"/>
              <w:bottom w:val="single" w:sz="8" w:space="0" w:color="auto"/>
              <w:right w:val="single" w:sz="4" w:space="0" w:color="auto"/>
            </w:tcBorders>
            <w:shd w:val="clear" w:color="auto" w:fill="auto"/>
            <w:vAlign w:val="center"/>
            <w:hideMark/>
          </w:tcPr>
          <w:p w14:paraId="5C30541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DPB</w:t>
            </w:r>
          </w:p>
        </w:tc>
        <w:tc>
          <w:tcPr>
            <w:tcW w:w="1620" w:type="dxa"/>
            <w:tcBorders>
              <w:top w:val="nil"/>
              <w:left w:val="nil"/>
              <w:bottom w:val="single" w:sz="8" w:space="0" w:color="auto"/>
              <w:right w:val="single" w:sz="4" w:space="0" w:color="auto"/>
            </w:tcBorders>
            <w:shd w:val="clear" w:color="auto" w:fill="auto"/>
            <w:vAlign w:val="center"/>
            <w:hideMark/>
          </w:tcPr>
          <w:p w14:paraId="451799C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357243F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7BA59C0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607C80C"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2B0F7445"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3.6.5 Optimizimi i ndërhyrjes dhe pasurimi i portofolit të stafit me instrumente psiko-edukative dhe terapeutike, këshillim klinik, qasje terapeutike, maksimizimi i mbështetjes psiko-sociale . </w:t>
            </w:r>
          </w:p>
        </w:tc>
        <w:tc>
          <w:tcPr>
            <w:tcW w:w="2520" w:type="dxa"/>
            <w:tcBorders>
              <w:top w:val="nil"/>
              <w:left w:val="nil"/>
              <w:bottom w:val="single" w:sz="4" w:space="0" w:color="auto"/>
              <w:right w:val="single" w:sz="4" w:space="0" w:color="auto"/>
            </w:tcBorders>
            <w:shd w:val="clear" w:color="000000" w:fill="FFFFFF"/>
            <w:vAlign w:val="center"/>
            <w:hideMark/>
          </w:tcPr>
          <w:p w14:paraId="0AEC355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3.6.5.1 Permiresimi i protokolleve per funksionimit te seksionit te Kujdesit te Vecante per te burgosurit me probleme te shendetit mendor</w:t>
            </w:r>
          </w:p>
        </w:tc>
        <w:tc>
          <w:tcPr>
            <w:tcW w:w="1890" w:type="dxa"/>
            <w:tcBorders>
              <w:top w:val="nil"/>
              <w:left w:val="nil"/>
              <w:bottom w:val="single" w:sz="4" w:space="0" w:color="auto"/>
              <w:right w:val="single" w:sz="4" w:space="0" w:color="auto"/>
            </w:tcBorders>
            <w:shd w:val="clear" w:color="auto" w:fill="auto"/>
            <w:vAlign w:val="center"/>
            <w:hideMark/>
          </w:tcPr>
          <w:p w14:paraId="22C7F06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DPB</w:t>
            </w:r>
          </w:p>
        </w:tc>
        <w:tc>
          <w:tcPr>
            <w:tcW w:w="1620" w:type="dxa"/>
            <w:tcBorders>
              <w:top w:val="nil"/>
              <w:left w:val="nil"/>
              <w:bottom w:val="single" w:sz="4" w:space="0" w:color="auto"/>
              <w:right w:val="single" w:sz="4" w:space="0" w:color="auto"/>
            </w:tcBorders>
            <w:shd w:val="clear" w:color="auto" w:fill="auto"/>
            <w:vAlign w:val="center"/>
            <w:hideMark/>
          </w:tcPr>
          <w:p w14:paraId="6B5E5B0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DD83EC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BECC9D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2334753B"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43923BC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000000" w:fill="FFFFFF"/>
            <w:vAlign w:val="center"/>
            <w:hideMark/>
          </w:tcPr>
          <w:p w14:paraId="5C0BAC0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3.6.5.2 Rritja e kapaciteteve te stafit ne lidhje me qasjen terapeutike dhe mbështetjen psiko-sociale nepermjet trajnimit te vazhdueshem nga qendra e trajnimeve</w:t>
            </w:r>
          </w:p>
        </w:tc>
        <w:tc>
          <w:tcPr>
            <w:tcW w:w="1890" w:type="dxa"/>
            <w:tcBorders>
              <w:top w:val="nil"/>
              <w:left w:val="nil"/>
              <w:bottom w:val="single" w:sz="4" w:space="0" w:color="auto"/>
              <w:right w:val="single" w:sz="4" w:space="0" w:color="auto"/>
            </w:tcBorders>
            <w:shd w:val="clear" w:color="auto" w:fill="auto"/>
            <w:vAlign w:val="center"/>
            <w:hideMark/>
          </w:tcPr>
          <w:p w14:paraId="46D2D8D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DPB</w:t>
            </w:r>
          </w:p>
        </w:tc>
        <w:tc>
          <w:tcPr>
            <w:tcW w:w="1620" w:type="dxa"/>
            <w:tcBorders>
              <w:top w:val="nil"/>
              <w:left w:val="nil"/>
              <w:bottom w:val="single" w:sz="4" w:space="0" w:color="auto"/>
              <w:right w:val="single" w:sz="4" w:space="0" w:color="auto"/>
            </w:tcBorders>
            <w:shd w:val="clear" w:color="auto" w:fill="auto"/>
            <w:vAlign w:val="center"/>
            <w:hideMark/>
          </w:tcPr>
          <w:p w14:paraId="21D488B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718DB68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4A1833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r>
      <w:tr w:rsidR="007440A2" w:rsidRPr="007440A2" w14:paraId="138B690E"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2E82298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000000" w:fill="FFFFFF"/>
            <w:vAlign w:val="center"/>
            <w:hideMark/>
          </w:tcPr>
          <w:p w14:paraId="527F283B"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3.6.5.3 Zbatimi i programeve te nderhyrjes sipas problematikave te identifikuara</w:t>
            </w:r>
          </w:p>
        </w:tc>
        <w:tc>
          <w:tcPr>
            <w:tcW w:w="1890" w:type="dxa"/>
            <w:tcBorders>
              <w:top w:val="nil"/>
              <w:left w:val="nil"/>
              <w:bottom w:val="single" w:sz="8" w:space="0" w:color="auto"/>
              <w:right w:val="single" w:sz="4" w:space="0" w:color="auto"/>
            </w:tcBorders>
            <w:shd w:val="clear" w:color="auto" w:fill="auto"/>
            <w:vAlign w:val="center"/>
            <w:hideMark/>
          </w:tcPr>
          <w:p w14:paraId="73374EA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DPB</w:t>
            </w:r>
          </w:p>
        </w:tc>
        <w:tc>
          <w:tcPr>
            <w:tcW w:w="1620" w:type="dxa"/>
            <w:tcBorders>
              <w:top w:val="nil"/>
              <w:left w:val="nil"/>
              <w:bottom w:val="single" w:sz="8" w:space="0" w:color="auto"/>
              <w:right w:val="single" w:sz="4" w:space="0" w:color="auto"/>
            </w:tcBorders>
            <w:shd w:val="clear" w:color="auto" w:fill="auto"/>
            <w:vAlign w:val="center"/>
            <w:hideMark/>
          </w:tcPr>
          <w:p w14:paraId="2BD03F3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6F1715B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63AA33A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F73DA37"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6649EF16"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3.6.6 Qeveria siguron burime të përshtatshme dhe siguron ndërtimin ose rinovimin e IEVP-ve </w:t>
            </w:r>
          </w:p>
        </w:tc>
        <w:tc>
          <w:tcPr>
            <w:tcW w:w="2520" w:type="dxa"/>
            <w:tcBorders>
              <w:top w:val="nil"/>
              <w:left w:val="nil"/>
              <w:bottom w:val="single" w:sz="4" w:space="0" w:color="auto"/>
              <w:right w:val="single" w:sz="4" w:space="0" w:color="auto"/>
            </w:tcBorders>
            <w:shd w:val="clear" w:color="000000" w:fill="FFFFFF"/>
            <w:vAlign w:val="center"/>
            <w:hideMark/>
          </w:tcPr>
          <w:p w14:paraId="3D66174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3.6.6.1 Venia ne funksion e IEVP-së së Pojskës</w:t>
            </w:r>
          </w:p>
        </w:tc>
        <w:tc>
          <w:tcPr>
            <w:tcW w:w="1890" w:type="dxa"/>
            <w:tcBorders>
              <w:top w:val="nil"/>
              <w:left w:val="nil"/>
              <w:bottom w:val="single" w:sz="4" w:space="0" w:color="auto"/>
              <w:right w:val="single" w:sz="4" w:space="0" w:color="auto"/>
            </w:tcBorders>
            <w:shd w:val="clear" w:color="auto" w:fill="auto"/>
            <w:vAlign w:val="center"/>
            <w:hideMark/>
          </w:tcPr>
          <w:p w14:paraId="1096E08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DPB</w:t>
            </w:r>
          </w:p>
        </w:tc>
        <w:tc>
          <w:tcPr>
            <w:tcW w:w="1620" w:type="dxa"/>
            <w:tcBorders>
              <w:top w:val="nil"/>
              <w:left w:val="nil"/>
              <w:bottom w:val="single" w:sz="4" w:space="0" w:color="auto"/>
              <w:right w:val="single" w:sz="4" w:space="0" w:color="auto"/>
            </w:tcBorders>
            <w:shd w:val="clear" w:color="auto" w:fill="auto"/>
            <w:vAlign w:val="center"/>
            <w:hideMark/>
          </w:tcPr>
          <w:p w14:paraId="07311CB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0227B21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7E7B76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5DD2FEC8"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3A873AC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000000" w:fill="FFFFFF"/>
            <w:vAlign w:val="center"/>
            <w:hideMark/>
          </w:tcPr>
          <w:p w14:paraId="70E608F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3.6.6.2 Rinovimi i 3 IEVP-ve</w:t>
            </w:r>
          </w:p>
        </w:tc>
        <w:tc>
          <w:tcPr>
            <w:tcW w:w="1890" w:type="dxa"/>
            <w:tcBorders>
              <w:top w:val="nil"/>
              <w:left w:val="nil"/>
              <w:bottom w:val="single" w:sz="8" w:space="0" w:color="auto"/>
              <w:right w:val="single" w:sz="4" w:space="0" w:color="auto"/>
            </w:tcBorders>
            <w:shd w:val="clear" w:color="auto" w:fill="auto"/>
            <w:vAlign w:val="center"/>
            <w:hideMark/>
          </w:tcPr>
          <w:p w14:paraId="43F268B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DPB</w:t>
            </w:r>
          </w:p>
        </w:tc>
        <w:tc>
          <w:tcPr>
            <w:tcW w:w="1620" w:type="dxa"/>
            <w:tcBorders>
              <w:top w:val="nil"/>
              <w:left w:val="nil"/>
              <w:bottom w:val="single" w:sz="8" w:space="0" w:color="auto"/>
              <w:right w:val="single" w:sz="4" w:space="0" w:color="auto"/>
            </w:tcBorders>
            <w:shd w:val="clear" w:color="auto" w:fill="auto"/>
            <w:vAlign w:val="center"/>
            <w:hideMark/>
          </w:tcPr>
          <w:p w14:paraId="45A8C3F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7671F7F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0D42FC3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00A2827B"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028523F7"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3.6.7 Ngritja dhe funksionimi institucionit per trajtimin e pacienteve te psikiatrise ligjore ne bashkepunim me Ministrine e Shendetesise dhe Mbrojtjes Sociale</w:t>
            </w:r>
          </w:p>
        </w:tc>
        <w:tc>
          <w:tcPr>
            <w:tcW w:w="2520" w:type="dxa"/>
            <w:tcBorders>
              <w:top w:val="nil"/>
              <w:left w:val="nil"/>
              <w:bottom w:val="single" w:sz="4" w:space="0" w:color="auto"/>
              <w:right w:val="single" w:sz="4" w:space="0" w:color="auto"/>
            </w:tcBorders>
            <w:shd w:val="clear" w:color="auto" w:fill="auto"/>
            <w:vAlign w:val="center"/>
            <w:hideMark/>
          </w:tcPr>
          <w:p w14:paraId="48C15E0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3.6.7.1 Sigurimi i burimeve të nevojshme për ngritjen dhe funksionimin e Institucionit të Posaçëm Mjekësor për trajtimin e pacientëve të psikiatrisë ligjore .</w:t>
            </w:r>
          </w:p>
        </w:tc>
        <w:tc>
          <w:tcPr>
            <w:tcW w:w="1890" w:type="dxa"/>
            <w:tcBorders>
              <w:top w:val="nil"/>
              <w:left w:val="nil"/>
              <w:bottom w:val="single" w:sz="4" w:space="0" w:color="auto"/>
              <w:right w:val="single" w:sz="4" w:space="0" w:color="auto"/>
            </w:tcBorders>
            <w:shd w:val="clear" w:color="auto" w:fill="auto"/>
            <w:vAlign w:val="center"/>
            <w:hideMark/>
          </w:tcPr>
          <w:p w14:paraId="3D40D4D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MSHMS, MD, DPB</w:t>
            </w:r>
          </w:p>
        </w:tc>
        <w:tc>
          <w:tcPr>
            <w:tcW w:w="1620" w:type="dxa"/>
            <w:tcBorders>
              <w:top w:val="nil"/>
              <w:left w:val="nil"/>
              <w:bottom w:val="single" w:sz="4" w:space="0" w:color="auto"/>
              <w:right w:val="single" w:sz="4" w:space="0" w:color="auto"/>
            </w:tcBorders>
            <w:shd w:val="clear" w:color="auto" w:fill="auto"/>
            <w:vAlign w:val="center"/>
            <w:hideMark/>
          </w:tcPr>
          <w:p w14:paraId="7B32F41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6CCB972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5971DFC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2028</w:t>
            </w:r>
          </w:p>
        </w:tc>
      </w:tr>
      <w:tr w:rsidR="007440A2" w:rsidRPr="007440A2" w14:paraId="6137D938" w14:textId="77777777" w:rsidTr="0018109D">
        <w:trPr>
          <w:trHeight w:val="1260"/>
        </w:trPr>
        <w:tc>
          <w:tcPr>
            <w:tcW w:w="1790" w:type="dxa"/>
            <w:vMerge/>
            <w:tcBorders>
              <w:top w:val="nil"/>
              <w:left w:val="single" w:sz="8" w:space="0" w:color="auto"/>
              <w:bottom w:val="single" w:sz="8" w:space="0" w:color="000000"/>
              <w:right w:val="single" w:sz="4" w:space="0" w:color="auto"/>
            </w:tcBorders>
            <w:vAlign w:val="center"/>
            <w:hideMark/>
          </w:tcPr>
          <w:p w14:paraId="75744A19"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094BA1B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3.6.7.2 Bashkëpunim efikas ndërmjet Ministrisë së Shëndetësisë dhe Mbrojtjes Sociale dhe Ministrisë së Drejtësisë me fokus pacientët mjeko-ligjorë.</w:t>
            </w:r>
          </w:p>
        </w:tc>
        <w:tc>
          <w:tcPr>
            <w:tcW w:w="1890" w:type="dxa"/>
            <w:tcBorders>
              <w:top w:val="nil"/>
              <w:left w:val="nil"/>
              <w:bottom w:val="single" w:sz="8" w:space="0" w:color="auto"/>
              <w:right w:val="single" w:sz="4" w:space="0" w:color="auto"/>
            </w:tcBorders>
            <w:shd w:val="clear" w:color="auto" w:fill="auto"/>
            <w:vAlign w:val="center"/>
            <w:hideMark/>
          </w:tcPr>
          <w:p w14:paraId="35888A0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MSHMS, MD, DPB</w:t>
            </w:r>
          </w:p>
        </w:tc>
        <w:tc>
          <w:tcPr>
            <w:tcW w:w="1620" w:type="dxa"/>
            <w:tcBorders>
              <w:top w:val="nil"/>
              <w:left w:val="nil"/>
              <w:bottom w:val="single" w:sz="8" w:space="0" w:color="auto"/>
              <w:right w:val="single" w:sz="4" w:space="0" w:color="auto"/>
            </w:tcBorders>
            <w:shd w:val="clear" w:color="auto" w:fill="auto"/>
            <w:vAlign w:val="center"/>
            <w:hideMark/>
          </w:tcPr>
          <w:p w14:paraId="52241B7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4E3F684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7190F5E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2028</w:t>
            </w:r>
          </w:p>
        </w:tc>
      </w:tr>
      <w:tr w:rsidR="007440A2" w:rsidRPr="007440A2" w14:paraId="50CA29C0"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36951BE0"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3.6.8 Rritja e efektivitetit te IEVP-ve nepermjet rekomandimeve te inspektimeve te brendshme</w:t>
            </w:r>
          </w:p>
        </w:tc>
        <w:tc>
          <w:tcPr>
            <w:tcW w:w="2520" w:type="dxa"/>
            <w:tcBorders>
              <w:top w:val="nil"/>
              <w:left w:val="nil"/>
              <w:bottom w:val="single" w:sz="4" w:space="0" w:color="auto"/>
              <w:right w:val="single" w:sz="4" w:space="0" w:color="auto"/>
            </w:tcBorders>
            <w:shd w:val="clear" w:color="auto" w:fill="auto"/>
            <w:vAlign w:val="center"/>
            <w:hideMark/>
          </w:tcPr>
          <w:p w14:paraId="115B34B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3.6.8.1 Hartimi i analizes se punes se Drejtorise se Inspektimeve</w:t>
            </w:r>
          </w:p>
        </w:tc>
        <w:tc>
          <w:tcPr>
            <w:tcW w:w="1890" w:type="dxa"/>
            <w:tcBorders>
              <w:top w:val="nil"/>
              <w:left w:val="nil"/>
              <w:bottom w:val="single" w:sz="4" w:space="0" w:color="auto"/>
              <w:right w:val="single" w:sz="4" w:space="0" w:color="auto"/>
            </w:tcBorders>
            <w:shd w:val="clear" w:color="auto" w:fill="auto"/>
            <w:vAlign w:val="center"/>
            <w:hideMark/>
          </w:tcPr>
          <w:p w14:paraId="73034B1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DPB</w:t>
            </w:r>
          </w:p>
        </w:tc>
        <w:tc>
          <w:tcPr>
            <w:tcW w:w="1620" w:type="dxa"/>
            <w:tcBorders>
              <w:top w:val="nil"/>
              <w:left w:val="nil"/>
              <w:bottom w:val="single" w:sz="4" w:space="0" w:color="auto"/>
              <w:right w:val="single" w:sz="4" w:space="0" w:color="auto"/>
            </w:tcBorders>
            <w:shd w:val="clear" w:color="auto" w:fill="auto"/>
            <w:vAlign w:val="center"/>
            <w:hideMark/>
          </w:tcPr>
          <w:p w14:paraId="6064AB0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10277E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6BD8CA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57DCCEFD"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76B09C57"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06A9D8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3.6.8.2 Raportim mbi implementimin e rekomandimeve te nxjerra nga analiza</w:t>
            </w:r>
          </w:p>
        </w:tc>
        <w:tc>
          <w:tcPr>
            <w:tcW w:w="1890" w:type="dxa"/>
            <w:tcBorders>
              <w:top w:val="nil"/>
              <w:left w:val="nil"/>
              <w:bottom w:val="single" w:sz="4" w:space="0" w:color="auto"/>
              <w:right w:val="single" w:sz="4" w:space="0" w:color="auto"/>
            </w:tcBorders>
            <w:shd w:val="clear" w:color="auto" w:fill="auto"/>
            <w:vAlign w:val="center"/>
            <w:hideMark/>
          </w:tcPr>
          <w:p w14:paraId="452A41D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DPB</w:t>
            </w:r>
          </w:p>
        </w:tc>
        <w:tc>
          <w:tcPr>
            <w:tcW w:w="1620" w:type="dxa"/>
            <w:tcBorders>
              <w:top w:val="nil"/>
              <w:left w:val="nil"/>
              <w:bottom w:val="single" w:sz="4" w:space="0" w:color="auto"/>
              <w:right w:val="single" w:sz="4" w:space="0" w:color="auto"/>
            </w:tcBorders>
            <w:shd w:val="clear" w:color="auto" w:fill="auto"/>
            <w:vAlign w:val="center"/>
            <w:hideMark/>
          </w:tcPr>
          <w:p w14:paraId="012CFAC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59D48B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DFB2C3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6E25B5B2"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4CFDADF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B08498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3.6.8.3 Miratimi i planit vjetor per inspektimet e brendshme</w:t>
            </w:r>
          </w:p>
        </w:tc>
        <w:tc>
          <w:tcPr>
            <w:tcW w:w="1890" w:type="dxa"/>
            <w:tcBorders>
              <w:top w:val="nil"/>
              <w:left w:val="nil"/>
              <w:bottom w:val="single" w:sz="4" w:space="0" w:color="auto"/>
              <w:right w:val="single" w:sz="4" w:space="0" w:color="auto"/>
            </w:tcBorders>
            <w:shd w:val="clear" w:color="auto" w:fill="auto"/>
            <w:vAlign w:val="center"/>
            <w:hideMark/>
          </w:tcPr>
          <w:p w14:paraId="47F8B31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DPB</w:t>
            </w:r>
          </w:p>
        </w:tc>
        <w:tc>
          <w:tcPr>
            <w:tcW w:w="1620" w:type="dxa"/>
            <w:tcBorders>
              <w:top w:val="nil"/>
              <w:left w:val="nil"/>
              <w:bottom w:val="single" w:sz="4" w:space="0" w:color="auto"/>
              <w:right w:val="single" w:sz="4" w:space="0" w:color="auto"/>
            </w:tcBorders>
            <w:shd w:val="clear" w:color="auto" w:fill="auto"/>
            <w:vAlign w:val="center"/>
            <w:hideMark/>
          </w:tcPr>
          <w:p w14:paraId="2AFBD31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9DE3A1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7D66DC7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83E60F6"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37B86B7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38FFB38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3.6.8.4 Monitorimi i planit vjetor per inspektimet e brendshme </w:t>
            </w:r>
          </w:p>
        </w:tc>
        <w:tc>
          <w:tcPr>
            <w:tcW w:w="1890" w:type="dxa"/>
            <w:tcBorders>
              <w:top w:val="nil"/>
              <w:left w:val="nil"/>
              <w:bottom w:val="single" w:sz="8" w:space="0" w:color="auto"/>
              <w:right w:val="single" w:sz="4" w:space="0" w:color="auto"/>
            </w:tcBorders>
            <w:shd w:val="clear" w:color="auto" w:fill="auto"/>
            <w:vAlign w:val="center"/>
            <w:hideMark/>
          </w:tcPr>
          <w:p w14:paraId="4497598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DPB</w:t>
            </w:r>
          </w:p>
        </w:tc>
        <w:tc>
          <w:tcPr>
            <w:tcW w:w="1620" w:type="dxa"/>
            <w:tcBorders>
              <w:top w:val="nil"/>
              <w:left w:val="nil"/>
              <w:bottom w:val="single" w:sz="8" w:space="0" w:color="auto"/>
              <w:right w:val="single" w:sz="4" w:space="0" w:color="auto"/>
            </w:tcBorders>
            <w:shd w:val="clear" w:color="auto" w:fill="auto"/>
            <w:vAlign w:val="center"/>
            <w:hideMark/>
          </w:tcPr>
          <w:p w14:paraId="7D53345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7C0BB75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68852DE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BCB1149"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6C1AB51A"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3.6.9  Rritje e efikasitetit te Sherbimit te Proves nepermjet permiresimit te organizimit te punes dhe forcimit te kapaciteteve</w:t>
            </w:r>
          </w:p>
        </w:tc>
        <w:tc>
          <w:tcPr>
            <w:tcW w:w="2520" w:type="dxa"/>
            <w:tcBorders>
              <w:top w:val="nil"/>
              <w:left w:val="nil"/>
              <w:bottom w:val="single" w:sz="4" w:space="0" w:color="auto"/>
              <w:right w:val="single" w:sz="4" w:space="0" w:color="auto"/>
            </w:tcBorders>
            <w:shd w:val="clear" w:color="auto" w:fill="auto"/>
            <w:vAlign w:val="center"/>
            <w:hideMark/>
          </w:tcPr>
          <w:p w14:paraId="57A28A53" w14:textId="6EADFC1F"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3.6.9.1 Zgjerimi </w:t>
            </w:r>
            <w:r w:rsidR="006D221A">
              <w:rPr>
                <w:rFonts w:ascii="Times New Roman" w:eastAsia="Times New Roman" w:hAnsi="Times New Roman" w:cs="Times New Roman"/>
                <w:sz w:val="20"/>
                <w:szCs w:val="20"/>
              </w:rPr>
              <w:t>i</w:t>
            </w:r>
            <w:r w:rsidRPr="007440A2">
              <w:rPr>
                <w:rFonts w:ascii="Times New Roman" w:eastAsia="Times New Roman" w:hAnsi="Times New Roman" w:cs="Times New Roman"/>
                <w:sz w:val="20"/>
                <w:szCs w:val="20"/>
              </w:rPr>
              <w:t xml:space="preserve"> struktures ne zyrat lokale nepermjet rritjes se numrit te punonjesve </w:t>
            </w:r>
          </w:p>
        </w:tc>
        <w:tc>
          <w:tcPr>
            <w:tcW w:w="1890" w:type="dxa"/>
            <w:tcBorders>
              <w:top w:val="nil"/>
              <w:left w:val="nil"/>
              <w:bottom w:val="single" w:sz="4" w:space="0" w:color="auto"/>
              <w:right w:val="single" w:sz="4" w:space="0" w:color="auto"/>
            </w:tcBorders>
            <w:shd w:val="clear" w:color="auto" w:fill="auto"/>
            <w:vAlign w:val="center"/>
            <w:hideMark/>
          </w:tcPr>
          <w:p w14:paraId="11A170F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DSHP</w:t>
            </w:r>
          </w:p>
        </w:tc>
        <w:tc>
          <w:tcPr>
            <w:tcW w:w="1620" w:type="dxa"/>
            <w:tcBorders>
              <w:top w:val="nil"/>
              <w:left w:val="nil"/>
              <w:bottom w:val="single" w:sz="4" w:space="0" w:color="auto"/>
              <w:right w:val="single" w:sz="4" w:space="0" w:color="auto"/>
            </w:tcBorders>
            <w:shd w:val="clear" w:color="auto" w:fill="auto"/>
            <w:vAlign w:val="center"/>
            <w:hideMark/>
          </w:tcPr>
          <w:p w14:paraId="7976786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0F62A1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2028</w:t>
            </w:r>
          </w:p>
        </w:tc>
        <w:tc>
          <w:tcPr>
            <w:tcW w:w="1260" w:type="dxa"/>
            <w:tcBorders>
              <w:top w:val="nil"/>
              <w:left w:val="nil"/>
              <w:bottom w:val="single" w:sz="4" w:space="0" w:color="auto"/>
              <w:right w:val="single" w:sz="8" w:space="0" w:color="auto"/>
            </w:tcBorders>
            <w:shd w:val="clear" w:color="000000" w:fill="DDEBF7"/>
            <w:vAlign w:val="center"/>
            <w:hideMark/>
          </w:tcPr>
          <w:p w14:paraId="0EB9750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2028</w:t>
            </w:r>
          </w:p>
        </w:tc>
      </w:tr>
      <w:tr w:rsidR="007440A2" w:rsidRPr="007440A2" w14:paraId="0C9208B6"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386320D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DF0CE8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3.6.9.2 Permiresimi i infrastruktures kapaciteteve logjistike ne zyrat lokale </w:t>
            </w:r>
          </w:p>
        </w:tc>
        <w:tc>
          <w:tcPr>
            <w:tcW w:w="1890" w:type="dxa"/>
            <w:tcBorders>
              <w:top w:val="nil"/>
              <w:left w:val="nil"/>
              <w:bottom w:val="single" w:sz="4" w:space="0" w:color="auto"/>
              <w:right w:val="single" w:sz="4" w:space="0" w:color="auto"/>
            </w:tcBorders>
            <w:shd w:val="clear" w:color="auto" w:fill="auto"/>
            <w:vAlign w:val="center"/>
            <w:hideMark/>
          </w:tcPr>
          <w:p w14:paraId="2A2FB76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DSHP</w:t>
            </w:r>
          </w:p>
        </w:tc>
        <w:tc>
          <w:tcPr>
            <w:tcW w:w="1620" w:type="dxa"/>
            <w:tcBorders>
              <w:top w:val="nil"/>
              <w:left w:val="nil"/>
              <w:bottom w:val="single" w:sz="4" w:space="0" w:color="auto"/>
              <w:right w:val="single" w:sz="4" w:space="0" w:color="auto"/>
            </w:tcBorders>
            <w:shd w:val="clear" w:color="auto" w:fill="auto"/>
            <w:vAlign w:val="center"/>
            <w:hideMark/>
          </w:tcPr>
          <w:p w14:paraId="039BEAA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0F84A77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6F1826B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4EB3730D"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5964D38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C12EE3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3.6.9.3 Zhvillimi i metejshem i sistemit te administrimit te ceshtjeve ne perputhje me standartet TIK</w:t>
            </w:r>
          </w:p>
        </w:tc>
        <w:tc>
          <w:tcPr>
            <w:tcW w:w="1890" w:type="dxa"/>
            <w:tcBorders>
              <w:top w:val="nil"/>
              <w:left w:val="nil"/>
              <w:bottom w:val="single" w:sz="4" w:space="0" w:color="auto"/>
              <w:right w:val="single" w:sz="4" w:space="0" w:color="auto"/>
            </w:tcBorders>
            <w:shd w:val="clear" w:color="auto" w:fill="auto"/>
            <w:vAlign w:val="center"/>
            <w:hideMark/>
          </w:tcPr>
          <w:p w14:paraId="4D4921C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DSHP</w:t>
            </w:r>
          </w:p>
        </w:tc>
        <w:tc>
          <w:tcPr>
            <w:tcW w:w="1620" w:type="dxa"/>
            <w:tcBorders>
              <w:top w:val="nil"/>
              <w:left w:val="nil"/>
              <w:bottom w:val="single" w:sz="4" w:space="0" w:color="auto"/>
              <w:right w:val="single" w:sz="4" w:space="0" w:color="auto"/>
            </w:tcBorders>
            <w:shd w:val="clear" w:color="auto" w:fill="auto"/>
            <w:vAlign w:val="center"/>
            <w:hideMark/>
          </w:tcPr>
          <w:p w14:paraId="09A17D7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3567A6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77A34C4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32D1FD5B"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5551996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367702E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3.6.9.4 Rritja e kapaciteteve nepermjet zhvillimit te trajnimeve specifike dhe te vazhdueshme </w:t>
            </w:r>
          </w:p>
        </w:tc>
        <w:tc>
          <w:tcPr>
            <w:tcW w:w="1890" w:type="dxa"/>
            <w:tcBorders>
              <w:top w:val="nil"/>
              <w:left w:val="nil"/>
              <w:bottom w:val="single" w:sz="8" w:space="0" w:color="auto"/>
              <w:right w:val="single" w:sz="4" w:space="0" w:color="auto"/>
            </w:tcBorders>
            <w:shd w:val="clear" w:color="auto" w:fill="auto"/>
            <w:vAlign w:val="center"/>
            <w:hideMark/>
          </w:tcPr>
          <w:p w14:paraId="0EB6FC6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DSHP</w:t>
            </w:r>
          </w:p>
        </w:tc>
        <w:tc>
          <w:tcPr>
            <w:tcW w:w="1620" w:type="dxa"/>
            <w:tcBorders>
              <w:top w:val="nil"/>
              <w:left w:val="nil"/>
              <w:bottom w:val="single" w:sz="8" w:space="0" w:color="auto"/>
              <w:right w:val="single" w:sz="4" w:space="0" w:color="auto"/>
            </w:tcBorders>
            <w:shd w:val="clear" w:color="auto" w:fill="auto"/>
            <w:vAlign w:val="center"/>
            <w:hideMark/>
          </w:tcPr>
          <w:p w14:paraId="1CFE0D3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ASPA</w:t>
            </w:r>
          </w:p>
        </w:tc>
        <w:tc>
          <w:tcPr>
            <w:tcW w:w="1710" w:type="dxa"/>
            <w:tcBorders>
              <w:top w:val="nil"/>
              <w:left w:val="nil"/>
              <w:bottom w:val="single" w:sz="8" w:space="0" w:color="auto"/>
              <w:right w:val="single" w:sz="4" w:space="0" w:color="auto"/>
            </w:tcBorders>
            <w:shd w:val="clear" w:color="000000" w:fill="DDEBF7"/>
            <w:vAlign w:val="center"/>
            <w:hideMark/>
          </w:tcPr>
          <w:p w14:paraId="594E560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2D47B40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232207E"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3CF16839"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3.6.10 Rritja e kapaciteteve njerezore dhe infrastrukturore per mirefunksionimin e DNJF</w:t>
            </w:r>
          </w:p>
        </w:tc>
        <w:tc>
          <w:tcPr>
            <w:tcW w:w="2520" w:type="dxa"/>
            <w:tcBorders>
              <w:top w:val="nil"/>
              <w:left w:val="nil"/>
              <w:bottom w:val="single" w:sz="4" w:space="0" w:color="auto"/>
              <w:right w:val="single" w:sz="4" w:space="0" w:color="auto"/>
            </w:tcBorders>
            <w:shd w:val="clear" w:color="000000" w:fill="FFFFFF"/>
            <w:vAlign w:val="center"/>
            <w:hideMark/>
          </w:tcPr>
          <w:p w14:paraId="1438163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3.6.10.1 Analize mbi nevojat per rritjen e burimeve njerezore per mirefunksionimin e struktures se DNJF </w:t>
            </w:r>
          </w:p>
        </w:tc>
        <w:tc>
          <w:tcPr>
            <w:tcW w:w="1890" w:type="dxa"/>
            <w:tcBorders>
              <w:top w:val="nil"/>
              <w:left w:val="nil"/>
              <w:bottom w:val="single" w:sz="4" w:space="0" w:color="auto"/>
              <w:right w:val="single" w:sz="4" w:space="0" w:color="auto"/>
            </w:tcBorders>
            <w:shd w:val="clear" w:color="auto" w:fill="auto"/>
            <w:vAlign w:val="center"/>
            <w:hideMark/>
          </w:tcPr>
          <w:p w14:paraId="46B92F1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DNJF</w:t>
            </w:r>
          </w:p>
        </w:tc>
        <w:tc>
          <w:tcPr>
            <w:tcW w:w="1620" w:type="dxa"/>
            <w:tcBorders>
              <w:top w:val="nil"/>
              <w:left w:val="nil"/>
              <w:bottom w:val="single" w:sz="4" w:space="0" w:color="auto"/>
              <w:right w:val="single" w:sz="8" w:space="0" w:color="auto"/>
            </w:tcBorders>
            <w:shd w:val="clear" w:color="auto" w:fill="auto"/>
            <w:vAlign w:val="center"/>
            <w:hideMark/>
          </w:tcPr>
          <w:p w14:paraId="494F9F6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0EA21DE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Qershor 2025,  Dhjetor 2027</w:t>
            </w:r>
          </w:p>
        </w:tc>
        <w:tc>
          <w:tcPr>
            <w:tcW w:w="1260" w:type="dxa"/>
            <w:tcBorders>
              <w:top w:val="nil"/>
              <w:left w:val="nil"/>
              <w:bottom w:val="single" w:sz="4" w:space="0" w:color="auto"/>
              <w:right w:val="single" w:sz="8" w:space="0" w:color="auto"/>
            </w:tcBorders>
            <w:shd w:val="clear" w:color="000000" w:fill="DDEBF7"/>
            <w:vAlign w:val="center"/>
            <w:hideMark/>
          </w:tcPr>
          <w:p w14:paraId="7C624D0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Qershor 2025,  Dhjetor 2027</w:t>
            </w:r>
          </w:p>
        </w:tc>
      </w:tr>
      <w:tr w:rsidR="007440A2" w:rsidRPr="007440A2" w14:paraId="7B2CBC9E"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381573E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000000" w:fill="FFFFFF"/>
            <w:vAlign w:val="center"/>
            <w:hideMark/>
          </w:tcPr>
          <w:p w14:paraId="2A0BBDC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3.6.10.2 Plotësimi i vendeve vakante të DNJF bazuar në gjetjet e analizës</w:t>
            </w:r>
          </w:p>
        </w:tc>
        <w:tc>
          <w:tcPr>
            <w:tcW w:w="1890" w:type="dxa"/>
            <w:tcBorders>
              <w:top w:val="nil"/>
              <w:left w:val="nil"/>
              <w:bottom w:val="single" w:sz="4" w:space="0" w:color="auto"/>
              <w:right w:val="single" w:sz="4" w:space="0" w:color="auto"/>
            </w:tcBorders>
            <w:shd w:val="clear" w:color="auto" w:fill="auto"/>
            <w:vAlign w:val="center"/>
            <w:hideMark/>
          </w:tcPr>
          <w:p w14:paraId="1F7D68B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DNJF</w:t>
            </w:r>
          </w:p>
        </w:tc>
        <w:tc>
          <w:tcPr>
            <w:tcW w:w="1620" w:type="dxa"/>
            <w:tcBorders>
              <w:top w:val="nil"/>
              <w:left w:val="nil"/>
              <w:bottom w:val="single" w:sz="4" w:space="0" w:color="auto"/>
              <w:right w:val="single" w:sz="8" w:space="0" w:color="auto"/>
            </w:tcBorders>
            <w:shd w:val="clear" w:color="auto" w:fill="auto"/>
            <w:vAlign w:val="center"/>
            <w:hideMark/>
          </w:tcPr>
          <w:p w14:paraId="29272F5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DAP</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F50D86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3B8BBF0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0517BC1"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7E4CFF5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000000" w:fill="FFFFFF"/>
            <w:vAlign w:val="center"/>
            <w:hideMark/>
          </w:tcPr>
          <w:p w14:paraId="6AEDB0A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3.6.10.3 Analize mbi nevojat per trajnimin e punonjesve te struktures se DNJF </w:t>
            </w:r>
          </w:p>
        </w:tc>
        <w:tc>
          <w:tcPr>
            <w:tcW w:w="1890" w:type="dxa"/>
            <w:tcBorders>
              <w:top w:val="nil"/>
              <w:left w:val="nil"/>
              <w:bottom w:val="single" w:sz="4" w:space="0" w:color="auto"/>
              <w:right w:val="single" w:sz="4" w:space="0" w:color="auto"/>
            </w:tcBorders>
            <w:shd w:val="clear" w:color="auto" w:fill="auto"/>
            <w:vAlign w:val="center"/>
            <w:hideMark/>
          </w:tcPr>
          <w:p w14:paraId="3B9F127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DNJF</w:t>
            </w:r>
          </w:p>
        </w:tc>
        <w:tc>
          <w:tcPr>
            <w:tcW w:w="1620" w:type="dxa"/>
            <w:tcBorders>
              <w:top w:val="nil"/>
              <w:left w:val="nil"/>
              <w:bottom w:val="single" w:sz="4" w:space="0" w:color="auto"/>
              <w:right w:val="single" w:sz="8" w:space="0" w:color="auto"/>
            </w:tcBorders>
            <w:shd w:val="clear" w:color="auto" w:fill="auto"/>
            <w:vAlign w:val="center"/>
            <w:hideMark/>
          </w:tcPr>
          <w:p w14:paraId="60936B2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ASPA</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12831C9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AECFA7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9BCE357"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51054A6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000000" w:fill="FFFFFF"/>
            <w:vAlign w:val="center"/>
            <w:hideMark/>
          </w:tcPr>
          <w:p w14:paraId="5303CFC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3.6.10.4 Zbatimi i gjetjeve te analizes mbi nevojat per trajnim.</w:t>
            </w:r>
          </w:p>
        </w:tc>
        <w:tc>
          <w:tcPr>
            <w:tcW w:w="1890" w:type="dxa"/>
            <w:tcBorders>
              <w:top w:val="nil"/>
              <w:left w:val="nil"/>
              <w:bottom w:val="single" w:sz="4" w:space="0" w:color="auto"/>
              <w:right w:val="single" w:sz="4" w:space="0" w:color="auto"/>
            </w:tcBorders>
            <w:shd w:val="clear" w:color="auto" w:fill="auto"/>
            <w:vAlign w:val="center"/>
            <w:hideMark/>
          </w:tcPr>
          <w:p w14:paraId="5446A0F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DNJF</w:t>
            </w:r>
          </w:p>
        </w:tc>
        <w:tc>
          <w:tcPr>
            <w:tcW w:w="1620" w:type="dxa"/>
            <w:tcBorders>
              <w:top w:val="nil"/>
              <w:left w:val="nil"/>
              <w:bottom w:val="single" w:sz="4" w:space="0" w:color="auto"/>
              <w:right w:val="single" w:sz="8" w:space="0" w:color="auto"/>
            </w:tcBorders>
            <w:shd w:val="clear" w:color="auto" w:fill="auto"/>
            <w:vAlign w:val="center"/>
            <w:hideMark/>
          </w:tcPr>
          <w:p w14:paraId="3499185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ASPA</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7048875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97C1EF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A606505"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7E6A52E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000000" w:fill="FFFFFF"/>
            <w:vAlign w:val="center"/>
            <w:hideMark/>
          </w:tcPr>
          <w:p w14:paraId="4FFA462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3.6.10.5 Hartimi i një analize mbi nevojat infrastrukturore të DNJF</w:t>
            </w:r>
          </w:p>
        </w:tc>
        <w:tc>
          <w:tcPr>
            <w:tcW w:w="1890" w:type="dxa"/>
            <w:tcBorders>
              <w:top w:val="nil"/>
              <w:left w:val="nil"/>
              <w:bottom w:val="single" w:sz="4" w:space="0" w:color="auto"/>
              <w:right w:val="single" w:sz="4" w:space="0" w:color="auto"/>
            </w:tcBorders>
            <w:shd w:val="clear" w:color="auto" w:fill="auto"/>
            <w:vAlign w:val="center"/>
            <w:hideMark/>
          </w:tcPr>
          <w:p w14:paraId="4F61F38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DNJF</w:t>
            </w:r>
          </w:p>
        </w:tc>
        <w:tc>
          <w:tcPr>
            <w:tcW w:w="1620" w:type="dxa"/>
            <w:tcBorders>
              <w:top w:val="nil"/>
              <w:left w:val="nil"/>
              <w:bottom w:val="single" w:sz="4" w:space="0" w:color="auto"/>
              <w:right w:val="single" w:sz="8" w:space="0" w:color="auto"/>
            </w:tcBorders>
            <w:shd w:val="clear" w:color="auto" w:fill="auto"/>
            <w:vAlign w:val="center"/>
            <w:hideMark/>
          </w:tcPr>
          <w:p w14:paraId="7BC74B3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279D756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c>
          <w:tcPr>
            <w:tcW w:w="1260" w:type="dxa"/>
            <w:tcBorders>
              <w:top w:val="nil"/>
              <w:left w:val="nil"/>
              <w:bottom w:val="single" w:sz="4" w:space="0" w:color="auto"/>
              <w:right w:val="single" w:sz="8" w:space="0" w:color="auto"/>
            </w:tcBorders>
            <w:shd w:val="clear" w:color="000000" w:fill="DDEBF7"/>
            <w:vAlign w:val="center"/>
            <w:hideMark/>
          </w:tcPr>
          <w:p w14:paraId="5EAD534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r>
      <w:tr w:rsidR="007440A2" w:rsidRPr="007440A2" w14:paraId="4AAF30FB" w14:textId="77777777" w:rsidTr="0018109D">
        <w:trPr>
          <w:trHeight w:val="1236"/>
        </w:trPr>
        <w:tc>
          <w:tcPr>
            <w:tcW w:w="1790" w:type="dxa"/>
            <w:vMerge/>
            <w:tcBorders>
              <w:top w:val="nil"/>
              <w:left w:val="single" w:sz="8" w:space="0" w:color="auto"/>
              <w:bottom w:val="single" w:sz="8" w:space="0" w:color="000000"/>
              <w:right w:val="single" w:sz="4" w:space="0" w:color="auto"/>
            </w:tcBorders>
            <w:vAlign w:val="center"/>
            <w:hideMark/>
          </w:tcPr>
          <w:p w14:paraId="1F103A5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000000" w:fill="FFFFFF"/>
            <w:vAlign w:val="center"/>
            <w:hideMark/>
          </w:tcPr>
          <w:p w14:paraId="4C9A3CE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3.6.10.6 Zbatimi i gjetjeve te analizes me qellim sigurimin e mjediseve, infrastrukturës, pajisjeve, mjeteve të transportit, të mjaftueshme dhe të përshtatshme, dhe mbështetje të qëndrueshme buxhetore për funksionimin efektiv të sistemit të DNJF-së </w:t>
            </w:r>
          </w:p>
        </w:tc>
        <w:tc>
          <w:tcPr>
            <w:tcW w:w="1890" w:type="dxa"/>
            <w:tcBorders>
              <w:top w:val="nil"/>
              <w:left w:val="nil"/>
              <w:bottom w:val="single" w:sz="8" w:space="0" w:color="auto"/>
              <w:right w:val="single" w:sz="4" w:space="0" w:color="auto"/>
            </w:tcBorders>
            <w:shd w:val="clear" w:color="auto" w:fill="auto"/>
            <w:vAlign w:val="center"/>
            <w:hideMark/>
          </w:tcPr>
          <w:p w14:paraId="541F069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DNJF</w:t>
            </w:r>
          </w:p>
        </w:tc>
        <w:tc>
          <w:tcPr>
            <w:tcW w:w="1620" w:type="dxa"/>
            <w:tcBorders>
              <w:top w:val="nil"/>
              <w:left w:val="nil"/>
              <w:bottom w:val="single" w:sz="8" w:space="0" w:color="auto"/>
              <w:right w:val="single" w:sz="8" w:space="0" w:color="auto"/>
            </w:tcBorders>
            <w:shd w:val="clear" w:color="auto" w:fill="auto"/>
            <w:vAlign w:val="center"/>
            <w:hideMark/>
          </w:tcPr>
          <w:p w14:paraId="454DA4A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4EB3736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c>
          <w:tcPr>
            <w:tcW w:w="1260" w:type="dxa"/>
            <w:tcBorders>
              <w:top w:val="nil"/>
              <w:left w:val="nil"/>
              <w:bottom w:val="single" w:sz="8" w:space="0" w:color="auto"/>
              <w:right w:val="single" w:sz="8" w:space="0" w:color="auto"/>
            </w:tcBorders>
            <w:shd w:val="clear" w:color="000000" w:fill="DDEBF7"/>
            <w:vAlign w:val="center"/>
            <w:hideMark/>
          </w:tcPr>
          <w:p w14:paraId="555F78E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C6FB192"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3DF6E3F3"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3.6.11 Rishikimi i paketes rregullatore  ne lidhje me konsolidimin e praktikes per ofrimin e ndihmes ligjore</w:t>
            </w:r>
          </w:p>
        </w:tc>
        <w:tc>
          <w:tcPr>
            <w:tcW w:w="2520" w:type="dxa"/>
            <w:tcBorders>
              <w:top w:val="nil"/>
              <w:left w:val="nil"/>
              <w:bottom w:val="single" w:sz="4" w:space="0" w:color="auto"/>
              <w:right w:val="single" w:sz="4" w:space="0" w:color="auto"/>
            </w:tcBorders>
            <w:shd w:val="clear" w:color="000000" w:fill="FFFFFF"/>
            <w:vAlign w:val="center"/>
            <w:hideMark/>
          </w:tcPr>
          <w:p w14:paraId="4393C82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3.6.11.1 Analize per ndryshimet ligjore dhe nenligjore ne lidhje me konsolidimin e praktikes per ofrimin e ndihmes ligjore</w:t>
            </w:r>
          </w:p>
        </w:tc>
        <w:tc>
          <w:tcPr>
            <w:tcW w:w="1890" w:type="dxa"/>
            <w:tcBorders>
              <w:top w:val="nil"/>
              <w:left w:val="nil"/>
              <w:bottom w:val="single" w:sz="4" w:space="0" w:color="auto"/>
              <w:right w:val="single" w:sz="4" w:space="0" w:color="auto"/>
            </w:tcBorders>
            <w:shd w:val="clear" w:color="auto" w:fill="auto"/>
            <w:vAlign w:val="center"/>
            <w:hideMark/>
          </w:tcPr>
          <w:p w14:paraId="1772691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DNJF</w:t>
            </w:r>
          </w:p>
        </w:tc>
        <w:tc>
          <w:tcPr>
            <w:tcW w:w="1620" w:type="dxa"/>
            <w:tcBorders>
              <w:top w:val="nil"/>
              <w:left w:val="nil"/>
              <w:bottom w:val="single" w:sz="4" w:space="0" w:color="auto"/>
              <w:right w:val="single" w:sz="4" w:space="0" w:color="auto"/>
            </w:tcBorders>
            <w:shd w:val="clear" w:color="auto" w:fill="auto"/>
            <w:vAlign w:val="center"/>
            <w:hideMark/>
          </w:tcPr>
          <w:p w14:paraId="1B35966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71D7D67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2024, 2026, 2028, 2030</w:t>
            </w:r>
          </w:p>
        </w:tc>
        <w:tc>
          <w:tcPr>
            <w:tcW w:w="1260" w:type="dxa"/>
            <w:tcBorders>
              <w:top w:val="nil"/>
              <w:left w:val="nil"/>
              <w:bottom w:val="single" w:sz="4" w:space="0" w:color="auto"/>
              <w:right w:val="single" w:sz="8" w:space="0" w:color="auto"/>
            </w:tcBorders>
            <w:shd w:val="clear" w:color="000000" w:fill="DDEBF7"/>
            <w:vAlign w:val="center"/>
            <w:hideMark/>
          </w:tcPr>
          <w:p w14:paraId="004B866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2024, 2026, 2028, 2030</w:t>
            </w:r>
          </w:p>
        </w:tc>
      </w:tr>
      <w:tr w:rsidR="007440A2" w:rsidRPr="007440A2" w14:paraId="1D2CCF5F"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13FC28E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000000" w:fill="FFFFFF"/>
            <w:vAlign w:val="center"/>
            <w:hideMark/>
          </w:tcPr>
          <w:p w14:paraId="4BBAC9C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3.6.11.2 Hartimi  i paketes ligjore/nenligjore ne lidhje me konsolidimin e praktikes per ofrimin e ndihmes ligjore</w:t>
            </w:r>
          </w:p>
        </w:tc>
        <w:tc>
          <w:tcPr>
            <w:tcW w:w="1890" w:type="dxa"/>
            <w:tcBorders>
              <w:top w:val="nil"/>
              <w:left w:val="nil"/>
              <w:bottom w:val="single" w:sz="8" w:space="0" w:color="auto"/>
              <w:right w:val="single" w:sz="4" w:space="0" w:color="auto"/>
            </w:tcBorders>
            <w:shd w:val="clear" w:color="auto" w:fill="auto"/>
            <w:vAlign w:val="center"/>
            <w:hideMark/>
          </w:tcPr>
          <w:p w14:paraId="57DB2A7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DNJF, MD/Kodifikimi</w:t>
            </w:r>
          </w:p>
        </w:tc>
        <w:tc>
          <w:tcPr>
            <w:tcW w:w="1620" w:type="dxa"/>
            <w:tcBorders>
              <w:top w:val="nil"/>
              <w:left w:val="nil"/>
              <w:bottom w:val="single" w:sz="8" w:space="0" w:color="auto"/>
              <w:right w:val="single" w:sz="4" w:space="0" w:color="auto"/>
            </w:tcBorders>
            <w:shd w:val="clear" w:color="auto" w:fill="auto"/>
            <w:vAlign w:val="center"/>
            <w:hideMark/>
          </w:tcPr>
          <w:p w14:paraId="0DF9BF6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41316D0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2025, 2027, 2029</w:t>
            </w:r>
          </w:p>
        </w:tc>
        <w:tc>
          <w:tcPr>
            <w:tcW w:w="1260" w:type="dxa"/>
            <w:tcBorders>
              <w:top w:val="nil"/>
              <w:left w:val="nil"/>
              <w:bottom w:val="single" w:sz="8" w:space="0" w:color="auto"/>
              <w:right w:val="single" w:sz="8" w:space="0" w:color="auto"/>
            </w:tcBorders>
            <w:shd w:val="clear" w:color="000000" w:fill="DDEBF7"/>
            <w:vAlign w:val="center"/>
            <w:hideMark/>
          </w:tcPr>
          <w:p w14:paraId="203144E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2025, 2027, 2029</w:t>
            </w:r>
          </w:p>
        </w:tc>
      </w:tr>
      <w:tr w:rsidR="007440A2" w:rsidRPr="007440A2" w14:paraId="783297E9" w14:textId="77777777" w:rsidTr="0018109D">
        <w:trPr>
          <w:trHeight w:val="7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5B1C429B"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3.6.12  Informimi, ndergjegjesimi dhe rritja e aksesit te subjekteve te ligjit per Ndihmen Juridike Falas mbi te drejtat e tyre dhe zgjidhjen e mosmarrveshjeve </w:t>
            </w:r>
          </w:p>
        </w:tc>
        <w:tc>
          <w:tcPr>
            <w:tcW w:w="2520" w:type="dxa"/>
            <w:tcBorders>
              <w:top w:val="nil"/>
              <w:left w:val="nil"/>
              <w:bottom w:val="single" w:sz="4" w:space="0" w:color="auto"/>
              <w:right w:val="single" w:sz="4" w:space="0" w:color="auto"/>
            </w:tcBorders>
            <w:shd w:val="clear" w:color="000000" w:fill="FFFFFF"/>
            <w:vAlign w:val="center"/>
            <w:hideMark/>
          </w:tcPr>
          <w:p w14:paraId="66341F0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3.6.12.1 Kërkesa bahkëpunimi dhe tryeza të përbashkëta me institucionet perkatese me qellim garantimin e nje  bashkepunimi te qendrueshem mbi ndergjegjesimin e qytetareve per aksesin ne Ndihmen Juridike Falas (perfshire trajnime te dedikuara) </w:t>
            </w:r>
          </w:p>
        </w:tc>
        <w:tc>
          <w:tcPr>
            <w:tcW w:w="1890" w:type="dxa"/>
            <w:tcBorders>
              <w:top w:val="nil"/>
              <w:left w:val="nil"/>
              <w:bottom w:val="single" w:sz="4" w:space="0" w:color="auto"/>
              <w:right w:val="single" w:sz="4" w:space="0" w:color="auto"/>
            </w:tcBorders>
            <w:shd w:val="clear" w:color="auto" w:fill="auto"/>
            <w:vAlign w:val="center"/>
            <w:hideMark/>
          </w:tcPr>
          <w:p w14:paraId="78965C6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DNJF, MD</w:t>
            </w:r>
          </w:p>
        </w:tc>
        <w:tc>
          <w:tcPr>
            <w:tcW w:w="1620" w:type="dxa"/>
            <w:tcBorders>
              <w:top w:val="nil"/>
              <w:left w:val="nil"/>
              <w:bottom w:val="single" w:sz="4" w:space="0" w:color="auto"/>
              <w:right w:val="single" w:sz="4" w:space="0" w:color="auto"/>
            </w:tcBorders>
            <w:shd w:val="clear" w:color="auto" w:fill="auto"/>
            <w:vAlign w:val="center"/>
            <w:hideMark/>
          </w:tcPr>
          <w:p w14:paraId="3B62C81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DHKA,SHM,KLGJ</w:t>
            </w:r>
          </w:p>
        </w:tc>
        <w:tc>
          <w:tcPr>
            <w:tcW w:w="1710" w:type="dxa"/>
            <w:tcBorders>
              <w:top w:val="nil"/>
              <w:left w:val="nil"/>
              <w:bottom w:val="single" w:sz="4" w:space="0" w:color="auto"/>
              <w:right w:val="single" w:sz="4" w:space="0" w:color="auto"/>
            </w:tcBorders>
            <w:shd w:val="clear" w:color="000000" w:fill="DDEBF7"/>
            <w:vAlign w:val="center"/>
            <w:hideMark/>
          </w:tcPr>
          <w:p w14:paraId="57A3B01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DA82F7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34319D3" w14:textId="77777777" w:rsidTr="0018109D">
        <w:trPr>
          <w:trHeight w:val="720"/>
        </w:trPr>
        <w:tc>
          <w:tcPr>
            <w:tcW w:w="1790" w:type="dxa"/>
            <w:vMerge/>
            <w:tcBorders>
              <w:top w:val="nil"/>
              <w:left w:val="single" w:sz="8" w:space="0" w:color="auto"/>
              <w:bottom w:val="single" w:sz="8" w:space="0" w:color="000000"/>
              <w:right w:val="single" w:sz="4" w:space="0" w:color="auto"/>
            </w:tcBorders>
            <w:vAlign w:val="center"/>
            <w:hideMark/>
          </w:tcPr>
          <w:p w14:paraId="47FACD1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000000" w:fill="FFFFFF"/>
            <w:vAlign w:val="center"/>
            <w:hideMark/>
          </w:tcPr>
          <w:p w14:paraId="7B9BBAF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3.6.12.2 Miratimi i kalendarit te punes per rritjen e informimit dhe ndergjegjesimit te subjekteve te ligjit dhe zbatimi i kalendarit </w:t>
            </w:r>
          </w:p>
        </w:tc>
        <w:tc>
          <w:tcPr>
            <w:tcW w:w="1890" w:type="dxa"/>
            <w:tcBorders>
              <w:top w:val="nil"/>
              <w:left w:val="nil"/>
              <w:bottom w:val="single" w:sz="8" w:space="0" w:color="auto"/>
              <w:right w:val="single" w:sz="4" w:space="0" w:color="auto"/>
            </w:tcBorders>
            <w:shd w:val="clear" w:color="auto" w:fill="auto"/>
            <w:vAlign w:val="center"/>
            <w:hideMark/>
          </w:tcPr>
          <w:p w14:paraId="206038A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DNJF, MD</w:t>
            </w:r>
          </w:p>
        </w:tc>
        <w:tc>
          <w:tcPr>
            <w:tcW w:w="1620" w:type="dxa"/>
            <w:tcBorders>
              <w:top w:val="nil"/>
              <w:left w:val="nil"/>
              <w:bottom w:val="single" w:sz="8" w:space="0" w:color="auto"/>
              <w:right w:val="single" w:sz="4" w:space="0" w:color="auto"/>
            </w:tcBorders>
            <w:shd w:val="clear" w:color="auto" w:fill="auto"/>
            <w:vAlign w:val="center"/>
            <w:hideMark/>
          </w:tcPr>
          <w:p w14:paraId="266A04A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DHKA,SHM,KLGJ</w:t>
            </w:r>
          </w:p>
        </w:tc>
        <w:tc>
          <w:tcPr>
            <w:tcW w:w="1710" w:type="dxa"/>
            <w:tcBorders>
              <w:top w:val="nil"/>
              <w:left w:val="nil"/>
              <w:bottom w:val="single" w:sz="8" w:space="0" w:color="auto"/>
              <w:right w:val="single" w:sz="4" w:space="0" w:color="auto"/>
            </w:tcBorders>
            <w:shd w:val="clear" w:color="000000" w:fill="DDEBF7"/>
            <w:vAlign w:val="center"/>
            <w:hideMark/>
          </w:tcPr>
          <w:p w14:paraId="4C417E6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079AA89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63E25C6" w14:textId="77777777" w:rsidTr="0018109D">
        <w:trPr>
          <w:trHeight w:val="90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5042937C"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3.6.13 Rritja e efektivitetit te Sherbimit te Noterise nepermjet rritjes se kapaciteteve, llogaridhenies dhe digjitalizimit </w:t>
            </w:r>
          </w:p>
        </w:tc>
        <w:tc>
          <w:tcPr>
            <w:tcW w:w="2520" w:type="dxa"/>
            <w:tcBorders>
              <w:top w:val="nil"/>
              <w:left w:val="nil"/>
              <w:bottom w:val="single" w:sz="4" w:space="0" w:color="auto"/>
              <w:right w:val="single" w:sz="4" w:space="0" w:color="auto"/>
            </w:tcBorders>
            <w:shd w:val="clear" w:color="auto" w:fill="auto"/>
            <w:vAlign w:val="center"/>
            <w:hideMark/>
          </w:tcPr>
          <w:p w14:paraId="2520E21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3.6.13.1 Hartimi dhe implementimi i protokolleve të standardizuara për inspektime, për të siguruar një proces të drejtë dhe të barabartë (Akte nënligjore në kuadër të ndryshime në ligjet respektive).</w:t>
            </w:r>
          </w:p>
        </w:tc>
        <w:tc>
          <w:tcPr>
            <w:tcW w:w="1890" w:type="dxa"/>
            <w:tcBorders>
              <w:top w:val="nil"/>
              <w:left w:val="nil"/>
              <w:bottom w:val="single" w:sz="4" w:space="0" w:color="auto"/>
              <w:right w:val="single" w:sz="4" w:space="0" w:color="auto"/>
            </w:tcBorders>
            <w:shd w:val="clear" w:color="auto" w:fill="auto"/>
            <w:vAlign w:val="center"/>
            <w:hideMark/>
          </w:tcPr>
          <w:p w14:paraId="798EC20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74B77F4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3E9AD21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547A633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4E90611" w14:textId="77777777" w:rsidTr="0018109D">
        <w:trPr>
          <w:trHeight w:val="912"/>
        </w:trPr>
        <w:tc>
          <w:tcPr>
            <w:tcW w:w="1790" w:type="dxa"/>
            <w:vMerge/>
            <w:tcBorders>
              <w:top w:val="nil"/>
              <w:left w:val="single" w:sz="8" w:space="0" w:color="auto"/>
              <w:bottom w:val="single" w:sz="8" w:space="0" w:color="000000"/>
              <w:right w:val="single" w:sz="4" w:space="0" w:color="auto"/>
            </w:tcBorders>
            <w:vAlign w:val="center"/>
            <w:hideMark/>
          </w:tcPr>
          <w:p w14:paraId="493C1E7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26A30C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3.6.13.2 Inspektime te rregullta te notereve dhe publikimi i vendimeve disiplinore me qellim rritjen e transparencës dhe besueshmërisë se publikut.</w:t>
            </w:r>
          </w:p>
        </w:tc>
        <w:tc>
          <w:tcPr>
            <w:tcW w:w="1890" w:type="dxa"/>
            <w:tcBorders>
              <w:top w:val="nil"/>
              <w:left w:val="nil"/>
              <w:bottom w:val="single" w:sz="4" w:space="0" w:color="auto"/>
              <w:right w:val="single" w:sz="4" w:space="0" w:color="auto"/>
            </w:tcBorders>
            <w:shd w:val="clear" w:color="auto" w:fill="auto"/>
            <w:vAlign w:val="center"/>
            <w:hideMark/>
          </w:tcPr>
          <w:p w14:paraId="5EDDD87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7FC66AC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79FC3A4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5C55715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411972E" w14:textId="77777777" w:rsidTr="0018109D">
        <w:trPr>
          <w:trHeight w:val="570"/>
        </w:trPr>
        <w:tc>
          <w:tcPr>
            <w:tcW w:w="1790" w:type="dxa"/>
            <w:vMerge/>
            <w:tcBorders>
              <w:top w:val="nil"/>
              <w:left w:val="single" w:sz="8" w:space="0" w:color="auto"/>
              <w:bottom w:val="single" w:sz="8" w:space="0" w:color="000000"/>
              <w:right w:val="single" w:sz="4" w:space="0" w:color="auto"/>
            </w:tcBorders>
            <w:vAlign w:val="center"/>
            <w:hideMark/>
          </w:tcPr>
          <w:p w14:paraId="0A9AAB9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AB6A66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3.6.13.3 Organizimi i trajnimeve të rregullta për noterët mbi ndryshimet ligjore, etikën profesionale dhe teknologjitë e reja.</w:t>
            </w:r>
          </w:p>
        </w:tc>
        <w:tc>
          <w:tcPr>
            <w:tcW w:w="1890" w:type="dxa"/>
            <w:tcBorders>
              <w:top w:val="nil"/>
              <w:left w:val="nil"/>
              <w:bottom w:val="single" w:sz="4" w:space="0" w:color="auto"/>
              <w:right w:val="single" w:sz="4" w:space="0" w:color="auto"/>
            </w:tcBorders>
            <w:shd w:val="clear" w:color="auto" w:fill="auto"/>
            <w:vAlign w:val="center"/>
            <w:hideMark/>
          </w:tcPr>
          <w:p w14:paraId="7C1A039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0D07EF8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047DC34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67B9201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6DF9599" w14:textId="77777777" w:rsidTr="0018109D">
        <w:trPr>
          <w:trHeight w:val="948"/>
        </w:trPr>
        <w:tc>
          <w:tcPr>
            <w:tcW w:w="1790" w:type="dxa"/>
            <w:vMerge/>
            <w:tcBorders>
              <w:top w:val="nil"/>
              <w:left w:val="single" w:sz="8" w:space="0" w:color="auto"/>
              <w:bottom w:val="single" w:sz="8" w:space="0" w:color="000000"/>
              <w:right w:val="single" w:sz="4" w:space="0" w:color="auto"/>
            </w:tcBorders>
            <w:vAlign w:val="center"/>
            <w:hideMark/>
          </w:tcPr>
          <w:p w14:paraId="71E1A4B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7878D49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3.6.13.4 Zhvillimi i një platforme digjitale, funksionimi i sistemeve për menaxhimin dhe monitorimin e punës së noterëve  nëpërmjet RNSH dhe NISA.</w:t>
            </w:r>
          </w:p>
        </w:tc>
        <w:tc>
          <w:tcPr>
            <w:tcW w:w="1890" w:type="dxa"/>
            <w:tcBorders>
              <w:top w:val="nil"/>
              <w:left w:val="nil"/>
              <w:bottom w:val="single" w:sz="8" w:space="0" w:color="auto"/>
              <w:right w:val="single" w:sz="4" w:space="0" w:color="auto"/>
            </w:tcBorders>
            <w:shd w:val="clear" w:color="auto" w:fill="auto"/>
            <w:vAlign w:val="center"/>
            <w:hideMark/>
          </w:tcPr>
          <w:p w14:paraId="4E81D75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8" w:space="0" w:color="auto"/>
              <w:right w:val="single" w:sz="8" w:space="0" w:color="auto"/>
            </w:tcBorders>
            <w:shd w:val="clear" w:color="auto" w:fill="auto"/>
            <w:vAlign w:val="center"/>
            <w:hideMark/>
          </w:tcPr>
          <w:p w14:paraId="662FF18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DHKN</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5851098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37E853B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31CBBD85" w14:textId="77777777" w:rsidTr="0018109D">
        <w:trPr>
          <w:trHeight w:val="1164"/>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2A7B08CB"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3.6.14 Rritja e efektivitetit te Sherbimit te Permbarimit nepermjet rritjes se kapaciteteve, llogaridhenies dhe digjitalizimit </w:t>
            </w:r>
          </w:p>
        </w:tc>
        <w:tc>
          <w:tcPr>
            <w:tcW w:w="2520" w:type="dxa"/>
            <w:tcBorders>
              <w:top w:val="nil"/>
              <w:left w:val="nil"/>
              <w:bottom w:val="single" w:sz="4" w:space="0" w:color="auto"/>
              <w:right w:val="single" w:sz="4" w:space="0" w:color="auto"/>
            </w:tcBorders>
            <w:shd w:val="clear" w:color="auto" w:fill="auto"/>
            <w:vAlign w:val="center"/>
            <w:hideMark/>
          </w:tcPr>
          <w:p w14:paraId="4D0D110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3.6.14.1 Kontrolle të rregullta të sherbimit permbarimor dhe publikimi  vendimeve  me qëllim rritjen e transparencës dhe besueshmërisë se publikut.</w:t>
            </w:r>
          </w:p>
        </w:tc>
        <w:tc>
          <w:tcPr>
            <w:tcW w:w="1890" w:type="dxa"/>
            <w:tcBorders>
              <w:top w:val="nil"/>
              <w:left w:val="nil"/>
              <w:bottom w:val="single" w:sz="4" w:space="0" w:color="auto"/>
              <w:right w:val="single" w:sz="4" w:space="0" w:color="auto"/>
            </w:tcBorders>
            <w:shd w:val="clear" w:color="auto" w:fill="auto"/>
            <w:vAlign w:val="center"/>
            <w:hideMark/>
          </w:tcPr>
          <w:p w14:paraId="0953767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Monitorimit të Profesioneve të Lira</w:t>
            </w:r>
          </w:p>
        </w:tc>
        <w:tc>
          <w:tcPr>
            <w:tcW w:w="1620" w:type="dxa"/>
            <w:tcBorders>
              <w:top w:val="nil"/>
              <w:left w:val="nil"/>
              <w:bottom w:val="single" w:sz="4" w:space="0" w:color="auto"/>
              <w:right w:val="single" w:sz="4" w:space="0" w:color="auto"/>
            </w:tcBorders>
            <w:shd w:val="clear" w:color="auto" w:fill="auto"/>
            <w:vAlign w:val="center"/>
            <w:hideMark/>
          </w:tcPr>
          <w:p w14:paraId="61F37D4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51AF24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5CD589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EAC0B4F" w14:textId="77777777" w:rsidTr="0018109D">
        <w:trPr>
          <w:trHeight w:val="1020"/>
        </w:trPr>
        <w:tc>
          <w:tcPr>
            <w:tcW w:w="1790" w:type="dxa"/>
            <w:vMerge/>
            <w:tcBorders>
              <w:top w:val="nil"/>
              <w:left w:val="single" w:sz="8" w:space="0" w:color="auto"/>
              <w:bottom w:val="single" w:sz="8" w:space="0" w:color="000000"/>
              <w:right w:val="single" w:sz="4" w:space="0" w:color="auto"/>
            </w:tcBorders>
            <w:vAlign w:val="center"/>
            <w:hideMark/>
          </w:tcPr>
          <w:p w14:paraId="7032610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7C1D90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3.6.14.2 Organizimi i trajnimeve të rregullta për permbaruesit mbi ndryshimet ligjore, etikën profesionale dhe teknologjitë e reja.</w:t>
            </w:r>
          </w:p>
        </w:tc>
        <w:tc>
          <w:tcPr>
            <w:tcW w:w="1890" w:type="dxa"/>
            <w:tcBorders>
              <w:top w:val="nil"/>
              <w:left w:val="nil"/>
              <w:bottom w:val="single" w:sz="4" w:space="0" w:color="auto"/>
              <w:right w:val="single" w:sz="4" w:space="0" w:color="auto"/>
            </w:tcBorders>
            <w:shd w:val="clear" w:color="auto" w:fill="auto"/>
            <w:vAlign w:val="center"/>
            <w:hideMark/>
          </w:tcPr>
          <w:p w14:paraId="42AEFED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Monitorimit të Profesioneve të Lira</w:t>
            </w:r>
          </w:p>
        </w:tc>
        <w:tc>
          <w:tcPr>
            <w:tcW w:w="1620" w:type="dxa"/>
            <w:tcBorders>
              <w:top w:val="nil"/>
              <w:left w:val="nil"/>
              <w:bottom w:val="single" w:sz="4" w:space="0" w:color="auto"/>
              <w:right w:val="single" w:sz="4" w:space="0" w:color="auto"/>
            </w:tcBorders>
            <w:shd w:val="clear" w:color="auto" w:fill="auto"/>
            <w:vAlign w:val="center"/>
            <w:hideMark/>
          </w:tcPr>
          <w:p w14:paraId="4E7435A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B3B51E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DC2365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76B6214" w14:textId="77777777" w:rsidTr="0018109D">
        <w:trPr>
          <w:trHeight w:val="1185"/>
        </w:trPr>
        <w:tc>
          <w:tcPr>
            <w:tcW w:w="1790" w:type="dxa"/>
            <w:vMerge/>
            <w:tcBorders>
              <w:top w:val="nil"/>
              <w:left w:val="single" w:sz="8" w:space="0" w:color="auto"/>
              <w:bottom w:val="single" w:sz="8" w:space="0" w:color="000000"/>
              <w:right w:val="single" w:sz="4" w:space="0" w:color="auto"/>
            </w:tcBorders>
            <w:vAlign w:val="center"/>
            <w:hideMark/>
          </w:tcPr>
          <w:p w14:paraId="593AD62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4135705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3.6.14.3 Zhvillimi i një platforme dixhitale, funksionimi i sistemeve për menaxhimin dhe monitorimin e sherbimit permbarimor</w:t>
            </w:r>
          </w:p>
        </w:tc>
        <w:tc>
          <w:tcPr>
            <w:tcW w:w="1890" w:type="dxa"/>
            <w:tcBorders>
              <w:top w:val="nil"/>
              <w:left w:val="nil"/>
              <w:bottom w:val="single" w:sz="8" w:space="0" w:color="auto"/>
              <w:right w:val="single" w:sz="4" w:space="0" w:color="auto"/>
            </w:tcBorders>
            <w:shd w:val="clear" w:color="auto" w:fill="auto"/>
            <w:vAlign w:val="center"/>
            <w:hideMark/>
          </w:tcPr>
          <w:p w14:paraId="3A2407A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Drejtoria e Monitorimit të Profesioneve të Lira</w:t>
            </w:r>
          </w:p>
        </w:tc>
        <w:tc>
          <w:tcPr>
            <w:tcW w:w="1620" w:type="dxa"/>
            <w:tcBorders>
              <w:top w:val="nil"/>
              <w:left w:val="nil"/>
              <w:bottom w:val="single" w:sz="8" w:space="0" w:color="auto"/>
              <w:right w:val="single" w:sz="4" w:space="0" w:color="auto"/>
            </w:tcBorders>
            <w:shd w:val="clear" w:color="auto" w:fill="auto"/>
            <w:vAlign w:val="center"/>
            <w:hideMark/>
          </w:tcPr>
          <w:p w14:paraId="1346A58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184807C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1E60175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660B3DF0" w14:textId="77777777" w:rsidTr="0018109D">
        <w:trPr>
          <w:trHeight w:val="1548"/>
        </w:trPr>
        <w:tc>
          <w:tcPr>
            <w:tcW w:w="10790" w:type="dxa"/>
            <w:gridSpan w:val="6"/>
            <w:tcBorders>
              <w:top w:val="single" w:sz="8" w:space="0" w:color="auto"/>
              <w:left w:val="single" w:sz="8" w:space="0" w:color="auto"/>
              <w:bottom w:val="single" w:sz="8" w:space="0" w:color="auto"/>
              <w:right w:val="single" w:sz="4" w:space="0" w:color="auto"/>
            </w:tcBorders>
            <w:shd w:val="clear" w:color="000000" w:fill="9CC2E5"/>
            <w:vAlign w:val="center"/>
            <w:hideMark/>
          </w:tcPr>
          <w:p w14:paraId="1D9E8970"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Qellimi i Politikës 4 - Forcimi i cilësisë së drejtësisë</w:t>
            </w:r>
          </w:p>
        </w:tc>
      </w:tr>
      <w:tr w:rsidR="007440A2" w:rsidRPr="007440A2" w14:paraId="3F1AD8B4" w14:textId="77777777" w:rsidTr="0018109D">
        <w:trPr>
          <w:trHeight w:val="708"/>
        </w:trPr>
        <w:tc>
          <w:tcPr>
            <w:tcW w:w="4310" w:type="dxa"/>
            <w:gridSpan w:val="2"/>
            <w:tcBorders>
              <w:top w:val="single" w:sz="4" w:space="0" w:color="auto"/>
              <w:left w:val="single" w:sz="8" w:space="0" w:color="auto"/>
              <w:bottom w:val="single" w:sz="8" w:space="0" w:color="auto"/>
              <w:right w:val="nil"/>
            </w:tcBorders>
            <w:shd w:val="clear" w:color="000000" w:fill="9CC2E5"/>
            <w:vAlign w:val="center"/>
            <w:hideMark/>
          </w:tcPr>
          <w:p w14:paraId="58541F7D"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4.1:</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2E48EF8E"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Sigurimi i burimeve financiare, njerëzore dhe infrastrukturore për mirë-funksionimin e sistemit të drejtësisë.</w:t>
            </w:r>
          </w:p>
        </w:tc>
      </w:tr>
      <w:tr w:rsidR="007440A2" w:rsidRPr="007440A2" w14:paraId="6E343EB4" w14:textId="77777777" w:rsidTr="0018109D">
        <w:trPr>
          <w:trHeight w:val="1236"/>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03F83B20"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6500E3E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Deri ne fund te vitit 2030 garantohet perputhshmeri sa me e plote midis buxhetit te kerkuar nga institucionet dhe atij te miratuar nga Kuvendi, me qellim sigurimin e burimeve financiare, njerëzore dhe infrastrukturore te mjaftueshme  për mirë-funksionimin e sistemit të drejtësisë.</w:t>
            </w:r>
          </w:p>
        </w:tc>
      </w:tr>
      <w:tr w:rsidR="007440A2" w:rsidRPr="007440A2" w14:paraId="00A260EC" w14:textId="77777777" w:rsidTr="0018109D">
        <w:trPr>
          <w:trHeight w:val="540"/>
        </w:trPr>
        <w:tc>
          <w:tcPr>
            <w:tcW w:w="1790" w:type="dxa"/>
            <w:tcBorders>
              <w:top w:val="nil"/>
              <w:left w:val="single" w:sz="8" w:space="0" w:color="auto"/>
              <w:bottom w:val="nil"/>
              <w:right w:val="single" w:sz="8" w:space="0" w:color="auto"/>
            </w:tcBorders>
            <w:shd w:val="clear" w:color="000000" w:fill="DEEAF6"/>
            <w:vAlign w:val="center"/>
            <w:hideMark/>
          </w:tcPr>
          <w:p w14:paraId="65567028"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nil"/>
              <w:right w:val="single" w:sz="8" w:space="0" w:color="auto"/>
            </w:tcBorders>
            <w:shd w:val="clear" w:color="000000" w:fill="DEEAF6"/>
            <w:vAlign w:val="center"/>
            <w:hideMark/>
          </w:tcPr>
          <w:p w14:paraId="4019969B"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nil"/>
              <w:right w:val="single" w:sz="8" w:space="0" w:color="auto"/>
            </w:tcBorders>
            <w:shd w:val="clear" w:color="000000" w:fill="DEEAF6"/>
            <w:vAlign w:val="center"/>
            <w:hideMark/>
          </w:tcPr>
          <w:p w14:paraId="30B39D9D"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nil"/>
              <w:right w:val="single" w:sz="8" w:space="0" w:color="auto"/>
            </w:tcBorders>
            <w:shd w:val="clear" w:color="000000" w:fill="DEEAF6"/>
            <w:vAlign w:val="center"/>
            <w:hideMark/>
          </w:tcPr>
          <w:p w14:paraId="75B259B0"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nil"/>
              <w:right w:val="single" w:sz="8" w:space="0" w:color="auto"/>
            </w:tcBorders>
            <w:shd w:val="clear" w:color="000000" w:fill="DEEAF6"/>
            <w:vAlign w:val="center"/>
            <w:hideMark/>
          </w:tcPr>
          <w:p w14:paraId="5627A3FB"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nil"/>
              <w:right w:val="single" w:sz="8" w:space="0" w:color="auto"/>
            </w:tcBorders>
            <w:shd w:val="clear" w:color="000000" w:fill="DEEAF6"/>
            <w:vAlign w:val="center"/>
            <w:hideMark/>
          </w:tcPr>
          <w:p w14:paraId="49CAB584"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147898CF" w14:textId="77777777" w:rsidTr="0018109D">
        <w:trPr>
          <w:trHeight w:val="588"/>
        </w:trPr>
        <w:tc>
          <w:tcPr>
            <w:tcW w:w="179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06CFAA6"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4.1.1 Qeveria/Kuvendi siguron vazhdimësi të nivelit të duhur të alokimit të burimeve për institucionet e sistemit të drejtësisë.</w:t>
            </w:r>
          </w:p>
        </w:tc>
        <w:tc>
          <w:tcPr>
            <w:tcW w:w="2520" w:type="dxa"/>
            <w:tcBorders>
              <w:top w:val="single" w:sz="8" w:space="0" w:color="auto"/>
              <w:left w:val="nil"/>
              <w:bottom w:val="single" w:sz="4" w:space="0" w:color="auto"/>
              <w:right w:val="single" w:sz="4" w:space="0" w:color="auto"/>
            </w:tcBorders>
            <w:shd w:val="clear" w:color="auto" w:fill="auto"/>
            <w:vAlign w:val="center"/>
            <w:hideMark/>
          </w:tcPr>
          <w:p w14:paraId="1FD8A5F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4.1.1.1 Propozimet për buxhetin vjetor;</w:t>
            </w:r>
          </w:p>
        </w:tc>
        <w:tc>
          <w:tcPr>
            <w:tcW w:w="1890" w:type="dxa"/>
            <w:tcBorders>
              <w:top w:val="single" w:sz="8" w:space="0" w:color="auto"/>
              <w:left w:val="nil"/>
              <w:bottom w:val="single" w:sz="4" w:space="0" w:color="auto"/>
              <w:right w:val="single" w:sz="4" w:space="0" w:color="auto"/>
            </w:tcBorders>
            <w:shd w:val="clear" w:color="auto" w:fill="auto"/>
            <w:vAlign w:val="center"/>
            <w:hideMark/>
          </w:tcPr>
          <w:p w14:paraId="5564F80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KLGJ,  ILD, KLP, PP, SPAK, BKH</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1D8C474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Qeveria/Kuvendi</w:t>
            </w:r>
          </w:p>
        </w:tc>
        <w:tc>
          <w:tcPr>
            <w:tcW w:w="1710" w:type="dxa"/>
            <w:tcBorders>
              <w:top w:val="single" w:sz="8" w:space="0" w:color="auto"/>
              <w:left w:val="nil"/>
              <w:bottom w:val="single" w:sz="4" w:space="0" w:color="auto"/>
              <w:right w:val="single" w:sz="4" w:space="0" w:color="auto"/>
            </w:tcBorders>
            <w:shd w:val="clear" w:color="000000" w:fill="DDEBF7"/>
            <w:vAlign w:val="center"/>
            <w:hideMark/>
          </w:tcPr>
          <w:p w14:paraId="2997A97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single" w:sz="8" w:space="0" w:color="auto"/>
              <w:left w:val="nil"/>
              <w:bottom w:val="single" w:sz="4" w:space="0" w:color="auto"/>
              <w:right w:val="single" w:sz="8" w:space="0" w:color="auto"/>
            </w:tcBorders>
            <w:shd w:val="clear" w:color="000000" w:fill="DDEBF7"/>
            <w:vAlign w:val="center"/>
            <w:hideMark/>
          </w:tcPr>
          <w:p w14:paraId="3A4C196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DCC19A7" w14:textId="77777777" w:rsidTr="0018109D">
        <w:trPr>
          <w:trHeight w:val="528"/>
        </w:trPr>
        <w:tc>
          <w:tcPr>
            <w:tcW w:w="1790" w:type="dxa"/>
            <w:vMerge/>
            <w:tcBorders>
              <w:top w:val="single" w:sz="8" w:space="0" w:color="auto"/>
              <w:left w:val="single" w:sz="8" w:space="0" w:color="auto"/>
              <w:bottom w:val="single" w:sz="8" w:space="0" w:color="000000"/>
              <w:right w:val="single" w:sz="4" w:space="0" w:color="auto"/>
            </w:tcBorders>
            <w:vAlign w:val="center"/>
            <w:hideMark/>
          </w:tcPr>
          <w:p w14:paraId="718AFCB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C0EB9B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4.1.1.2 Buxhet i miratuar ndaj kërkesave të PBA</w:t>
            </w:r>
          </w:p>
        </w:tc>
        <w:tc>
          <w:tcPr>
            <w:tcW w:w="1890" w:type="dxa"/>
            <w:tcBorders>
              <w:top w:val="nil"/>
              <w:left w:val="nil"/>
              <w:bottom w:val="single" w:sz="4" w:space="0" w:color="auto"/>
              <w:right w:val="single" w:sz="4" w:space="0" w:color="auto"/>
            </w:tcBorders>
            <w:shd w:val="clear" w:color="auto" w:fill="auto"/>
            <w:vAlign w:val="center"/>
            <w:hideMark/>
          </w:tcPr>
          <w:p w14:paraId="5BF6D62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KLGJ,  ILD, KLP, PP, SPAK, BKH</w:t>
            </w:r>
          </w:p>
        </w:tc>
        <w:tc>
          <w:tcPr>
            <w:tcW w:w="1620" w:type="dxa"/>
            <w:tcBorders>
              <w:top w:val="nil"/>
              <w:left w:val="nil"/>
              <w:bottom w:val="single" w:sz="4" w:space="0" w:color="auto"/>
              <w:right w:val="single" w:sz="4" w:space="0" w:color="auto"/>
            </w:tcBorders>
            <w:shd w:val="clear" w:color="auto" w:fill="auto"/>
            <w:vAlign w:val="center"/>
            <w:hideMark/>
          </w:tcPr>
          <w:p w14:paraId="2783679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Qeveria/Kuvendi</w:t>
            </w:r>
          </w:p>
        </w:tc>
        <w:tc>
          <w:tcPr>
            <w:tcW w:w="1710" w:type="dxa"/>
            <w:tcBorders>
              <w:top w:val="nil"/>
              <w:left w:val="nil"/>
              <w:bottom w:val="single" w:sz="4" w:space="0" w:color="auto"/>
              <w:right w:val="single" w:sz="4" w:space="0" w:color="auto"/>
            </w:tcBorders>
            <w:shd w:val="clear" w:color="000000" w:fill="DDEBF7"/>
            <w:vAlign w:val="center"/>
            <w:hideMark/>
          </w:tcPr>
          <w:p w14:paraId="7729231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0349F3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71BB8E8" w14:textId="77777777" w:rsidTr="0018109D">
        <w:trPr>
          <w:trHeight w:val="552"/>
        </w:trPr>
        <w:tc>
          <w:tcPr>
            <w:tcW w:w="1790" w:type="dxa"/>
            <w:vMerge/>
            <w:tcBorders>
              <w:top w:val="single" w:sz="8" w:space="0" w:color="auto"/>
              <w:left w:val="single" w:sz="8" w:space="0" w:color="auto"/>
              <w:bottom w:val="single" w:sz="8" w:space="0" w:color="000000"/>
              <w:right w:val="single" w:sz="4" w:space="0" w:color="auto"/>
            </w:tcBorders>
            <w:vAlign w:val="center"/>
            <w:hideMark/>
          </w:tcPr>
          <w:p w14:paraId="1A01095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34D11A0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4.1.1.3 Buxhet i realizuar ndaj buxhetit të miratuar</w:t>
            </w:r>
          </w:p>
        </w:tc>
        <w:tc>
          <w:tcPr>
            <w:tcW w:w="1890" w:type="dxa"/>
            <w:tcBorders>
              <w:top w:val="nil"/>
              <w:left w:val="nil"/>
              <w:bottom w:val="single" w:sz="8" w:space="0" w:color="auto"/>
              <w:right w:val="single" w:sz="4" w:space="0" w:color="auto"/>
            </w:tcBorders>
            <w:shd w:val="clear" w:color="auto" w:fill="auto"/>
            <w:vAlign w:val="center"/>
            <w:hideMark/>
          </w:tcPr>
          <w:p w14:paraId="54DFCE2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 KLGJ,  ILD, KLP, PP, SPAK, BKH</w:t>
            </w:r>
          </w:p>
        </w:tc>
        <w:tc>
          <w:tcPr>
            <w:tcW w:w="1620" w:type="dxa"/>
            <w:tcBorders>
              <w:top w:val="nil"/>
              <w:left w:val="nil"/>
              <w:bottom w:val="single" w:sz="8" w:space="0" w:color="auto"/>
              <w:right w:val="single" w:sz="4" w:space="0" w:color="auto"/>
            </w:tcBorders>
            <w:shd w:val="clear" w:color="auto" w:fill="auto"/>
            <w:vAlign w:val="center"/>
            <w:hideMark/>
          </w:tcPr>
          <w:p w14:paraId="28F407E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Qeveria/Kuvendi</w:t>
            </w:r>
          </w:p>
        </w:tc>
        <w:tc>
          <w:tcPr>
            <w:tcW w:w="1710" w:type="dxa"/>
            <w:tcBorders>
              <w:top w:val="nil"/>
              <w:left w:val="nil"/>
              <w:bottom w:val="single" w:sz="8" w:space="0" w:color="auto"/>
              <w:right w:val="single" w:sz="4" w:space="0" w:color="auto"/>
            </w:tcBorders>
            <w:shd w:val="clear" w:color="000000" w:fill="DDEBF7"/>
            <w:vAlign w:val="center"/>
            <w:hideMark/>
          </w:tcPr>
          <w:p w14:paraId="34DF238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6F637F6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265F177" w14:textId="77777777" w:rsidTr="0018109D">
        <w:trPr>
          <w:trHeight w:val="129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5D918D7F"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4.1.2 Përmirësimi gradual i infrastrukturës gjyqësore, duke përfshirë ambiente të përshtatshme për gjykatën e apelit.</w:t>
            </w:r>
          </w:p>
        </w:tc>
        <w:tc>
          <w:tcPr>
            <w:tcW w:w="2520" w:type="dxa"/>
            <w:tcBorders>
              <w:top w:val="nil"/>
              <w:left w:val="nil"/>
              <w:bottom w:val="single" w:sz="4" w:space="0" w:color="auto"/>
              <w:right w:val="single" w:sz="4" w:space="0" w:color="auto"/>
            </w:tcBorders>
            <w:shd w:val="clear" w:color="auto" w:fill="auto"/>
            <w:vAlign w:val="center"/>
            <w:hideMark/>
          </w:tcPr>
          <w:p w14:paraId="33EE2C9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4.1.2.1 Vlerësimi i infrastrukturës për gjykatat dhe prokuroritë (përfshirë Gjykatën e Apelit dhe Prokurorinë e Apelit); </w:t>
            </w:r>
          </w:p>
        </w:tc>
        <w:tc>
          <w:tcPr>
            <w:tcW w:w="1890" w:type="dxa"/>
            <w:tcBorders>
              <w:top w:val="nil"/>
              <w:left w:val="nil"/>
              <w:bottom w:val="single" w:sz="4" w:space="0" w:color="auto"/>
              <w:right w:val="single" w:sz="4" w:space="0" w:color="auto"/>
            </w:tcBorders>
            <w:shd w:val="clear" w:color="auto" w:fill="auto"/>
            <w:vAlign w:val="center"/>
            <w:hideMark/>
          </w:tcPr>
          <w:p w14:paraId="53313C1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PP</w:t>
            </w:r>
          </w:p>
        </w:tc>
        <w:tc>
          <w:tcPr>
            <w:tcW w:w="1620" w:type="dxa"/>
            <w:tcBorders>
              <w:top w:val="nil"/>
              <w:left w:val="nil"/>
              <w:bottom w:val="single" w:sz="4" w:space="0" w:color="auto"/>
              <w:right w:val="single" w:sz="8" w:space="0" w:color="auto"/>
            </w:tcBorders>
            <w:shd w:val="clear" w:color="auto" w:fill="auto"/>
            <w:vAlign w:val="center"/>
            <w:hideMark/>
          </w:tcPr>
          <w:p w14:paraId="22DB817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Gjykatat/ Prokuroritë</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A02B22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4789E8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6B0A7AA3" w14:textId="77777777" w:rsidTr="0018109D">
        <w:trPr>
          <w:trHeight w:val="948"/>
        </w:trPr>
        <w:tc>
          <w:tcPr>
            <w:tcW w:w="1790" w:type="dxa"/>
            <w:vMerge/>
            <w:tcBorders>
              <w:top w:val="nil"/>
              <w:left w:val="single" w:sz="8" w:space="0" w:color="auto"/>
              <w:bottom w:val="single" w:sz="8" w:space="0" w:color="000000"/>
              <w:right w:val="single" w:sz="4" w:space="0" w:color="auto"/>
            </w:tcBorders>
            <w:vAlign w:val="center"/>
            <w:hideMark/>
          </w:tcPr>
          <w:p w14:paraId="6BED2EF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52F46D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4.1.2.2 Plani i përgjithshëm i veprimit infrastrukturor për gjykatat dhe prokuroritë përfshirë Gjykatën e Apelit dhe Prokurorinë e Apelit.</w:t>
            </w:r>
          </w:p>
        </w:tc>
        <w:tc>
          <w:tcPr>
            <w:tcW w:w="1890" w:type="dxa"/>
            <w:tcBorders>
              <w:top w:val="nil"/>
              <w:left w:val="nil"/>
              <w:bottom w:val="single" w:sz="4" w:space="0" w:color="auto"/>
              <w:right w:val="single" w:sz="4" w:space="0" w:color="auto"/>
            </w:tcBorders>
            <w:shd w:val="clear" w:color="auto" w:fill="auto"/>
            <w:vAlign w:val="center"/>
            <w:hideMark/>
          </w:tcPr>
          <w:p w14:paraId="01BD9E3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PP</w:t>
            </w:r>
          </w:p>
        </w:tc>
        <w:tc>
          <w:tcPr>
            <w:tcW w:w="1620" w:type="dxa"/>
            <w:tcBorders>
              <w:top w:val="nil"/>
              <w:left w:val="nil"/>
              <w:bottom w:val="single" w:sz="4" w:space="0" w:color="auto"/>
              <w:right w:val="single" w:sz="4" w:space="0" w:color="auto"/>
            </w:tcBorders>
            <w:shd w:val="clear" w:color="auto" w:fill="auto"/>
            <w:vAlign w:val="center"/>
            <w:hideMark/>
          </w:tcPr>
          <w:p w14:paraId="626B845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Gjykatat/ Prokuroritë</w:t>
            </w:r>
          </w:p>
        </w:tc>
        <w:tc>
          <w:tcPr>
            <w:tcW w:w="1710" w:type="dxa"/>
            <w:tcBorders>
              <w:top w:val="nil"/>
              <w:left w:val="nil"/>
              <w:bottom w:val="single" w:sz="4" w:space="0" w:color="auto"/>
              <w:right w:val="single" w:sz="4" w:space="0" w:color="auto"/>
            </w:tcBorders>
            <w:shd w:val="clear" w:color="000000" w:fill="DDEBF7"/>
            <w:vAlign w:val="center"/>
            <w:hideMark/>
          </w:tcPr>
          <w:p w14:paraId="51C0C7B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BBA743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4C8C1C6A" w14:textId="77777777" w:rsidTr="0018109D">
        <w:trPr>
          <w:trHeight w:val="1305"/>
        </w:trPr>
        <w:tc>
          <w:tcPr>
            <w:tcW w:w="1790" w:type="dxa"/>
            <w:vMerge/>
            <w:tcBorders>
              <w:top w:val="nil"/>
              <w:left w:val="single" w:sz="8" w:space="0" w:color="auto"/>
              <w:bottom w:val="single" w:sz="8" w:space="0" w:color="000000"/>
              <w:right w:val="single" w:sz="4" w:space="0" w:color="auto"/>
            </w:tcBorders>
            <w:vAlign w:val="center"/>
            <w:hideMark/>
          </w:tcPr>
          <w:p w14:paraId="0C0FB2D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14C535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4.1.2.3 Zbatimi i Planit të Veprimit infrastrukturor. </w:t>
            </w:r>
          </w:p>
        </w:tc>
        <w:tc>
          <w:tcPr>
            <w:tcW w:w="1890" w:type="dxa"/>
            <w:tcBorders>
              <w:top w:val="nil"/>
              <w:left w:val="nil"/>
              <w:bottom w:val="single" w:sz="4" w:space="0" w:color="auto"/>
              <w:right w:val="single" w:sz="4" w:space="0" w:color="auto"/>
            </w:tcBorders>
            <w:shd w:val="clear" w:color="auto" w:fill="auto"/>
            <w:vAlign w:val="center"/>
            <w:hideMark/>
          </w:tcPr>
          <w:p w14:paraId="7826391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PP</w:t>
            </w:r>
          </w:p>
        </w:tc>
        <w:tc>
          <w:tcPr>
            <w:tcW w:w="1620" w:type="dxa"/>
            <w:tcBorders>
              <w:top w:val="nil"/>
              <w:left w:val="nil"/>
              <w:bottom w:val="single" w:sz="4" w:space="0" w:color="auto"/>
              <w:right w:val="single" w:sz="4" w:space="0" w:color="auto"/>
            </w:tcBorders>
            <w:shd w:val="clear" w:color="auto" w:fill="auto"/>
            <w:vAlign w:val="center"/>
            <w:hideMark/>
          </w:tcPr>
          <w:p w14:paraId="6D6A588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Gjykatat/ Prokuroritë</w:t>
            </w:r>
          </w:p>
        </w:tc>
        <w:tc>
          <w:tcPr>
            <w:tcW w:w="1710" w:type="dxa"/>
            <w:tcBorders>
              <w:top w:val="nil"/>
              <w:left w:val="nil"/>
              <w:bottom w:val="single" w:sz="4" w:space="0" w:color="auto"/>
              <w:right w:val="single" w:sz="4" w:space="0" w:color="auto"/>
            </w:tcBorders>
            <w:shd w:val="clear" w:color="000000" w:fill="DDEBF7"/>
            <w:vAlign w:val="center"/>
            <w:hideMark/>
          </w:tcPr>
          <w:p w14:paraId="23D29C5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1C48E1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r>
      <w:tr w:rsidR="007440A2" w:rsidRPr="007440A2" w14:paraId="39CB02C2" w14:textId="77777777" w:rsidTr="0018109D">
        <w:trPr>
          <w:trHeight w:val="1305"/>
        </w:trPr>
        <w:tc>
          <w:tcPr>
            <w:tcW w:w="1790" w:type="dxa"/>
            <w:vMerge/>
            <w:tcBorders>
              <w:top w:val="nil"/>
              <w:left w:val="single" w:sz="8" w:space="0" w:color="auto"/>
              <w:bottom w:val="single" w:sz="8" w:space="0" w:color="000000"/>
              <w:right w:val="single" w:sz="4" w:space="0" w:color="auto"/>
            </w:tcBorders>
            <w:vAlign w:val="center"/>
            <w:hideMark/>
          </w:tcPr>
          <w:p w14:paraId="362AE55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6AD752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4.1.2.4 Ngritja e godinës së Gjykatës së Apelit dhe Prokurorisë së Apelit duke përfshirë ambiente të përshtatshme për funksionimin e tyre. </w:t>
            </w:r>
          </w:p>
        </w:tc>
        <w:tc>
          <w:tcPr>
            <w:tcW w:w="1890" w:type="dxa"/>
            <w:tcBorders>
              <w:top w:val="nil"/>
              <w:left w:val="nil"/>
              <w:bottom w:val="single" w:sz="4" w:space="0" w:color="auto"/>
              <w:right w:val="single" w:sz="4" w:space="0" w:color="auto"/>
            </w:tcBorders>
            <w:shd w:val="clear" w:color="auto" w:fill="auto"/>
            <w:vAlign w:val="center"/>
            <w:hideMark/>
          </w:tcPr>
          <w:p w14:paraId="6775242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PP</w:t>
            </w:r>
          </w:p>
        </w:tc>
        <w:tc>
          <w:tcPr>
            <w:tcW w:w="1620" w:type="dxa"/>
            <w:tcBorders>
              <w:top w:val="nil"/>
              <w:left w:val="nil"/>
              <w:bottom w:val="single" w:sz="4" w:space="0" w:color="auto"/>
              <w:right w:val="single" w:sz="4" w:space="0" w:color="auto"/>
            </w:tcBorders>
            <w:shd w:val="clear" w:color="auto" w:fill="auto"/>
            <w:vAlign w:val="center"/>
            <w:hideMark/>
          </w:tcPr>
          <w:p w14:paraId="13F7C53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Gjykatat/ Prokuroritë</w:t>
            </w:r>
          </w:p>
        </w:tc>
        <w:tc>
          <w:tcPr>
            <w:tcW w:w="1710" w:type="dxa"/>
            <w:tcBorders>
              <w:top w:val="nil"/>
              <w:left w:val="nil"/>
              <w:bottom w:val="single" w:sz="4" w:space="0" w:color="auto"/>
              <w:right w:val="single" w:sz="4" w:space="0" w:color="auto"/>
            </w:tcBorders>
            <w:shd w:val="clear" w:color="000000" w:fill="DDEBF7"/>
            <w:vAlign w:val="center"/>
            <w:hideMark/>
          </w:tcPr>
          <w:p w14:paraId="2356279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c>
          <w:tcPr>
            <w:tcW w:w="1260" w:type="dxa"/>
            <w:tcBorders>
              <w:top w:val="nil"/>
              <w:left w:val="nil"/>
              <w:bottom w:val="single" w:sz="4" w:space="0" w:color="auto"/>
              <w:right w:val="single" w:sz="8" w:space="0" w:color="auto"/>
            </w:tcBorders>
            <w:shd w:val="clear" w:color="000000" w:fill="DDEBF7"/>
            <w:vAlign w:val="center"/>
            <w:hideMark/>
          </w:tcPr>
          <w:p w14:paraId="3B39F72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r>
      <w:tr w:rsidR="007440A2" w:rsidRPr="007440A2" w14:paraId="73088803" w14:textId="77777777" w:rsidTr="0018109D">
        <w:trPr>
          <w:trHeight w:val="1305"/>
        </w:trPr>
        <w:tc>
          <w:tcPr>
            <w:tcW w:w="1790" w:type="dxa"/>
            <w:vMerge/>
            <w:tcBorders>
              <w:top w:val="nil"/>
              <w:left w:val="single" w:sz="8" w:space="0" w:color="auto"/>
              <w:bottom w:val="single" w:sz="8" w:space="0" w:color="000000"/>
              <w:right w:val="single" w:sz="4" w:space="0" w:color="auto"/>
            </w:tcBorders>
            <w:vAlign w:val="center"/>
            <w:hideMark/>
          </w:tcPr>
          <w:p w14:paraId="3C35AEC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727F147B"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4.1.2.5 Raportim periodik lidhur me ecurinë e përmirësimit të infrastrukturës në prokurori dhe gjykata.</w:t>
            </w:r>
          </w:p>
        </w:tc>
        <w:tc>
          <w:tcPr>
            <w:tcW w:w="1890" w:type="dxa"/>
            <w:tcBorders>
              <w:top w:val="nil"/>
              <w:left w:val="nil"/>
              <w:bottom w:val="single" w:sz="8" w:space="0" w:color="auto"/>
              <w:right w:val="single" w:sz="4" w:space="0" w:color="auto"/>
            </w:tcBorders>
            <w:shd w:val="clear" w:color="auto" w:fill="auto"/>
            <w:vAlign w:val="center"/>
            <w:hideMark/>
          </w:tcPr>
          <w:p w14:paraId="1041AD1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PP</w:t>
            </w:r>
          </w:p>
        </w:tc>
        <w:tc>
          <w:tcPr>
            <w:tcW w:w="1620" w:type="dxa"/>
            <w:tcBorders>
              <w:top w:val="nil"/>
              <w:left w:val="nil"/>
              <w:bottom w:val="single" w:sz="8" w:space="0" w:color="auto"/>
              <w:right w:val="single" w:sz="4" w:space="0" w:color="auto"/>
            </w:tcBorders>
            <w:shd w:val="clear" w:color="auto" w:fill="auto"/>
            <w:vAlign w:val="center"/>
            <w:hideMark/>
          </w:tcPr>
          <w:p w14:paraId="429B2A3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Gjykatat/ Prokuroritë</w:t>
            </w:r>
          </w:p>
        </w:tc>
        <w:tc>
          <w:tcPr>
            <w:tcW w:w="1710" w:type="dxa"/>
            <w:tcBorders>
              <w:top w:val="nil"/>
              <w:left w:val="nil"/>
              <w:bottom w:val="single" w:sz="8" w:space="0" w:color="auto"/>
              <w:right w:val="single" w:sz="4" w:space="0" w:color="auto"/>
            </w:tcBorders>
            <w:shd w:val="clear" w:color="000000" w:fill="DDEBF7"/>
            <w:vAlign w:val="center"/>
            <w:hideMark/>
          </w:tcPr>
          <w:p w14:paraId="55B07E4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6EE8C63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8847307" w14:textId="77777777" w:rsidTr="0018109D">
        <w:trPr>
          <w:trHeight w:val="1899"/>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2956D41A"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4.1.3 Plotesimi i vendeve vakante për magjistratë nga Këshillat dhe Gjykata Kushtetuese. </w:t>
            </w:r>
          </w:p>
        </w:tc>
        <w:tc>
          <w:tcPr>
            <w:tcW w:w="2520" w:type="dxa"/>
            <w:tcBorders>
              <w:top w:val="nil"/>
              <w:left w:val="nil"/>
              <w:bottom w:val="single" w:sz="4" w:space="0" w:color="auto"/>
              <w:right w:val="single" w:sz="4" w:space="0" w:color="auto"/>
            </w:tcBorders>
            <w:shd w:val="clear" w:color="auto" w:fill="auto"/>
            <w:vAlign w:val="center"/>
            <w:hideMark/>
          </w:tcPr>
          <w:p w14:paraId="0313AA6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4.1.3.1 Kryerja e analizës vjetore dhe plotësimit të tyre për 3 vitet e ardhshme për përcaktimin e numrit të studentëve që mund të pranohen në Programin e Formimit Fillestar në Shkollën e Magjistraturës </w:t>
            </w:r>
          </w:p>
        </w:tc>
        <w:tc>
          <w:tcPr>
            <w:tcW w:w="1890" w:type="dxa"/>
            <w:tcBorders>
              <w:top w:val="nil"/>
              <w:left w:val="nil"/>
              <w:bottom w:val="single" w:sz="4" w:space="0" w:color="auto"/>
              <w:right w:val="single" w:sz="4" w:space="0" w:color="auto"/>
            </w:tcBorders>
            <w:shd w:val="clear" w:color="auto" w:fill="auto"/>
            <w:vAlign w:val="center"/>
            <w:hideMark/>
          </w:tcPr>
          <w:p w14:paraId="247D442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single" w:sz="4" w:space="0" w:color="auto"/>
            </w:tcBorders>
            <w:shd w:val="clear" w:color="auto" w:fill="auto"/>
            <w:vAlign w:val="center"/>
            <w:hideMark/>
          </w:tcPr>
          <w:p w14:paraId="74AB727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710" w:type="dxa"/>
            <w:tcBorders>
              <w:top w:val="nil"/>
              <w:left w:val="nil"/>
              <w:bottom w:val="single" w:sz="4" w:space="0" w:color="auto"/>
              <w:right w:val="single" w:sz="4" w:space="0" w:color="auto"/>
            </w:tcBorders>
            <w:shd w:val="clear" w:color="000000" w:fill="DDEBF7"/>
            <w:vAlign w:val="center"/>
            <w:hideMark/>
          </w:tcPr>
          <w:p w14:paraId="705427B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6784462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C23919C" w14:textId="77777777" w:rsidTr="0018109D">
        <w:trPr>
          <w:trHeight w:val="1305"/>
        </w:trPr>
        <w:tc>
          <w:tcPr>
            <w:tcW w:w="1790" w:type="dxa"/>
            <w:vMerge/>
            <w:tcBorders>
              <w:top w:val="nil"/>
              <w:left w:val="single" w:sz="8" w:space="0" w:color="auto"/>
              <w:bottom w:val="single" w:sz="8" w:space="0" w:color="000000"/>
              <w:right w:val="single" w:sz="4" w:space="0" w:color="auto"/>
            </w:tcBorders>
            <w:vAlign w:val="center"/>
            <w:hideMark/>
          </w:tcPr>
          <w:p w14:paraId="6C3DAF1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573774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4.1.3.2 SHM krijon kushtet per ofrimin e trajnimit per kuotat e përcaktuara nga Këshillat.</w:t>
            </w:r>
          </w:p>
        </w:tc>
        <w:tc>
          <w:tcPr>
            <w:tcW w:w="1890" w:type="dxa"/>
            <w:tcBorders>
              <w:top w:val="nil"/>
              <w:left w:val="nil"/>
              <w:bottom w:val="single" w:sz="4" w:space="0" w:color="auto"/>
              <w:right w:val="single" w:sz="4" w:space="0" w:color="auto"/>
            </w:tcBorders>
            <w:shd w:val="clear" w:color="auto" w:fill="auto"/>
            <w:vAlign w:val="center"/>
            <w:hideMark/>
          </w:tcPr>
          <w:p w14:paraId="09B48C6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4" w:space="0" w:color="auto"/>
              <w:right w:val="single" w:sz="4" w:space="0" w:color="auto"/>
            </w:tcBorders>
            <w:shd w:val="clear" w:color="auto" w:fill="auto"/>
            <w:vAlign w:val="center"/>
            <w:hideMark/>
          </w:tcPr>
          <w:p w14:paraId="6E7A430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710" w:type="dxa"/>
            <w:tcBorders>
              <w:top w:val="nil"/>
              <w:left w:val="nil"/>
              <w:bottom w:val="single" w:sz="4" w:space="0" w:color="auto"/>
              <w:right w:val="single" w:sz="4" w:space="0" w:color="auto"/>
            </w:tcBorders>
            <w:shd w:val="clear" w:color="000000" w:fill="DDEBF7"/>
            <w:vAlign w:val="center"/>
            <w:hideMark/>
          </w:tcPr>
          <w:p w14:paraId="636B0D1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CE1C3D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EAD6055" w14:textId="77777777" w:rsidTr="0018109D">
        <w:trPr>
          <w:trHeight w:val="1224"/>
        </w:trPr>
        <w:tc>
          <w:tcPr>
            <w:tcW w:w="1790" w:type="dxa"/>
            <w:vMerge/>
            <w:tcBorders>
              <w:top w:val="nil"/>
              <w:left w:val="single" w:sz="8" w:space="0" w:color="auto"/>
              <w:bottom w:val="single" w:sz="8" w:space="0" w:color="000000"/>
              <w:right w:val="single" w:sz="4" w:space="0" w:color="auto"/>
            </w:tcBorders>
            <w:vAlign w:val="center"/>
            <w:hideMark/>
          </w:tcPr>
          <w:p w14:paraId="1B95DA7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5EEB34C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4.1.3.3 Plotësimi i vakancave për këshilltarë ligjorë të Gjykatës Kushtetuese nga rradhët e magjistratëve</w:t>
            </w:r>
          </w:p>
        </w:tc>
        <w:tc>
          <w:tcPr>
            <w:tcW w:w="1890" w:type="dxa"/>
            <w:tcBorders>
              <w:top w:val="nil"/>
              <w:left w:val="nil"/>
              <w:bottom w:val="single" w:sz="8" w:space="0" w:color="auto"/>
              <w:right w:val="single" w:sz="4" w:space="0" w:color="auto"/>
            </w:tcBorders>
            <w:shd w:val="clear" w:color="auto" w:fill="auto"/>
            <w:vAlign w:val="center"/>
            <w:hideMark/>
          </w:tcPr>
          <w:p w14:paraId="005410C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 , GJK</w:t>
            </w:r>
          </w:p>
        </w:tc>
        <w:tc>
          <w:tcPr>
            <w:tcW w:w="1620" w:type="dxa"/>
            <w:tcBorders>
              <w:top w:val="nil"/>
              <w:left w:val="nil"/>
              <w:bottom w:val="single" w:sz="8" w:space="0" w:color="auto"/>
              <w:right w:val="single" w:sz="4" w:space="0" w:color="auto"/>
            </w:tcBorders>
            <w:shd w:val="clear" w:color="auto" w:fill="auto"/>
            <w:vAlign w:val="center"/>
            <w:hideMark/>
          </w:tcPr>
          <w:p w14:paraId="341395E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710" w:type="dxa"/>
            <w:tcBorders>
              <w:top w:val="nil"/>
              <w:left w:val="nil"/>
              <w:bottom w:val="single" w:sz="8" w:space="0" w:color="auto"/>
              <w:right w:val="single" w:sz="4" w:space="0" w:color="auto"/>
            </w:tcBorders>
            <w:shd w:val="clear" w:color="000000" w:fill="DDEBF7"/>
            <w:vAlign w:val="center"/>
            <w:hideMark/>
          </w:tcPr>
          <w:p w14:paraId="6E69A37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65B011F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0E3B3C5" w14:textId="77777777" w:rsidTr="0018109D">
        <w:trPr>
          <w:trHeight w:val="276"/>
        </w:trPr>
        <w:tc>
          <w:tcPr>
            <w:tcW w:w="4310" w:type="dxa"/>
            <w:gridSpan w:val="2"/>
            <w:tcBorders>
              <w:top w:val="nil"/>
              <w:left w:val="single" w:sz="8" w:space="0" w:color="auto"/>
              <w:bottom w:val="single" w:sz="8" w:space="0" w:color="auto"/>
              <w:right w:val="nil"/>
            </w:tcBorders>
            <w:shd w:val="clear" w:color="000000" w:fill="9CC2E5"/>
            <w:vAlign w:val="center"/>
            <w:hideMark/>
          </w:tcPr>
          <w:p w14:paraId="4C557A8A"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4.2:</w:t>
            </w:r>
          </w:p>
        </w:tc>
        <w:tc>
          <w:tcPr>
            <w:tcW w:w="6480" w:type="dxa"/>
            <w:gridSpan w:val="4"/>
            <w:tcBorders>
              <w:top w:val="nil"/>
              <w:left w:val="single" w:sz="8" w:space="0" w:color="auto"/>
              <w:bottom w:val="single" w:sz="8" w:space="0" w:color="auto"/>
              <w:right w:val="single" w:sz="8" w:space="0" w:color="000000"/>
            </w:tcBorders>
            <w:shd w:val="clear" w:color="000000" w:fill="9CC2E5"/>
            <w:vAlign w:val="center"/>
            <w:hideMark/>
          </w:tcPr>
          <w:p w14:paraId="064ADBEC"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Përmirësimi i performancës së magjistratëve në gjykata dhe prokurori</w:t>
            </w:r>
          </w:p>
        </w:tc>
      </w:tr>
      <w:tr w:rsidR="007440A2" w:rsidRPr="007440A2" w14:paraId="21195D0B" w14:textId="77777777" w:rsidTr="0018109D">
        <w:trPr>
          <w:trHeight w:val="1404"/>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3A744789"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19E92AB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Deri ne fund te vitit 2030 ka rritje progresive te përmbushjes së pritshmërive të përdoruesve të gjykatave në lidhje me funksionimin e gjykatave dhe prokurorive, aksesin në drejtesi dhe besimin në institucione, i evidentuar nga anketime periodike. </w:t>
            </w:r>
          </w:p>
        </w:tc>
      </w:tr>
      <w:tr w:rsidR="007440A2" w:rsidRPr="007440A2" w14:paraId="35682E9B" w14:textId="77777777" w:rsidTr="0018109D">
        <w:trPr>
          <w:trHeight w:val="540"/>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6513344E"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2CCA6EDA"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6D0B64DA"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69290038"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64FA5C74"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73B9AE7F"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6E772669" w14:textId="77777777" w:rsidTr="0018109D">
        <w:trPr>
          <w:trHeight w:val="1365"/>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78D0BC82"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4.2.1 Këshillat përparojnë me miratimin e akteve nënligjore të mbetura për vlerësimin e performancës.</w:t>
            </w:r>
          </w:p>
        </w:tc>
        <w:tc>
          <w:tcPr>
            <w:tcW w:w="2520" w:type="dxa"/>
            <w:tcBorders>
              <w:top w:val="nil"/>
              <w:left w:val="nil"/>
              <w:bottom w:val="single" w:sz="4" w:space="0" w:color="auto"/>
              <w:right w:val="single" w:sz="4" w:space="0" w:color="auto"/>
            </w:tcBorders>
            <w:shd w:val="clear" w:color="auto" w:fill="auto"/>
            <w:vAlign w:val="center"/>
            <w:hideMark/>
          </w:tcPr>
          <w:p w14:paraId="7ADCBD0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4.2.1.1 Analiza e hartëzimit të akteve nënligjore të kërkuara nga ligji në lidhje me vlerësimin e performancës</w:t>
            </w:r>
          </w:p>
        </w:tc>
        <w:tc>
          <w:tcPr>
            <w:tcW w:w="1890" w:type="dxa"/>
            <w:tcBorders>
              <w:top w:val="nil"/>
              <w:left w:val="nil"/>
              <w:bottom w:val="single" w:sz="4" w:space="0" w:color="auto"/>
              <w:right w:val="single" w:sz="4" w:space="0" w:color="auto"/>
            </w:tcBorders>
            <w:shd w:val="clear" w:color="auto" w:fill="auto"/>
            <w:vAlign w:val="center"/>
            <w:hideMark/>
          </w:tcPr>
          <w:p w14:paraId="014C0A9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single" w:sz="4" w:space="0" w:color="auto"/>
            </w:tcBorders>
            <w:shd w:val="clear" w:color="auto" w:fill="auto"/>
            <w:vAlign w:val="center"/>
            <w:hideMark/>
          </w:tcPr>
          <w:p w14:paraId="5D3FD98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7588646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C81E69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69F93B6A" w14:textId="77777777" w:rsidTr="0018109D">
        <w:trPr>
          <w:trHeight w:val="1332"/>
        </w:trPr>
        <w:tc>
          <w:tcPr>
            <w:tcW w:w="1790" w:type="dxa"/>
            <w:vMerge/>
            <w:tcBorders>
              <w:top w:val="nil"/>
              <w:left w:val="single" w:sz="8" w:space="0" w:color="auto"/>
              <w:bottom w:val="single" w:sz="8" w:space="0" w:color="000000"/>
              <w:right w:val="single" w:sz="4" w:space="0" w:color="auto"/>
            </w:tcBorders>
            <w:vAlign w:val="center"/>
            <w:hideMark/>
          </w:tcPr>
          <w:p w14:paraId="6C096CE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40A39CFB"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4.2.1.2 Hartimi dhe miratimi i akteve nënligjore të parashikuara me ligj për vlerësimin e performancës. </w:t>
            </w:r>
          </w:p>
        </w:tc>
        <w:tc>
          <w:tcPr>
            <w:tcW w:w="1890" w:type="dxa"/>
            <w:tcBorders>
              <w:top w:val="nil"/>
              <w:left w:val="nil"/>
              <w:bottom w:val="single" w:sz="8" w:space="0" w:color="auto"/>
              <w:right w:val="single" w:sz="4" w:space="0" w:color="auto"/>
            </w:tcBorders>
            <w:shd w:val="clear" w:color="auto" w:fill="auto"/>
            <w:vAlign w:val="center"/>
            <w:hideMark/>
          </w:tcPr>
          <w:p w14:paraId="5FCA128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8" w:space="0" w:color="auto"/>
              <w:right w:val="single" w:sz="4" w:space="0" w:color="auto"/>
            </w:tcBorders>
            <w:shd w:val="clear" w:color="auto" w:fill="auto"/>
            <w:vAlign w:val="center"/>
            <w:hideMark/>
          </w:tcPr>
          <w:p w14:paraId="66360B4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425C7AA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70D9AE1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12858DAB" w14:textId="77777777" w:rsidTr="0018109D">
        <w:trPr>
          <w:trHeight w:val="10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19694A38"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4.2.2  Këshillat rishikojnë metodologjinë e tyre për vlerësimin e performancës për të arritur një balancë më të madhe ndërmjet kritereve cilësore dhe sasiore, si dhe rritje të transparencës së procesit dhe zbatim të metodologjisë.</w:t>
            </w:r>
          </w:p>
        </w:tc>
        <w:tc>
          <w:tcPr>
            <w:tcW w:w="2520" w:type="dxa"/>
            <w:tcBorders>
              <w:top w:val="nil"/>
              <w:left w:val="nil"/>
              <w:bottom w:val="single" w:sz="4" w:space="0" w:color="auto"/>
              <w:right w:val="single" w:sz="4" w:space="0" w:color="auto"/>
            </w:tcBorders>
            <w:shd w:val="clear" w:color="auto" w:fill="auto"/>
            <w:vAlign w:val="center"/>
            <w:hideMark/>
          </w:tcPr>
          <w:p w14:paraId="775111B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4.2.2.1 Rishikimi i metodologjisë ose pjesëve të saj për të siguruar një ekuilibër më të madh midis kritereve sasiore dhe cilësore dhe për të rritur transparencën e procesit të vlerësimit të performancës </w:t>
            </w:r>
          </w:p>
        </w:tc>
        <w:tc>
          <w:tcPr>
            <w:tcW w:w="1890" w:type="dxa"/>
            <w:tcBorders>
              <w:top w:val="nil"/>
              <w:left w:val="nil"/>
              <w:bottom w:val="single" w:sz="4" w:space="0" w:color="auto"/>
              <w:right w:val="single" w:sz="4" w:space="0" w:color="auto"/>
            </w:tcBorders>
            <w:shd w:val="clear" w:color="auto" w:fill="auto"/>
            <w:vAlign w:val="center"/>
            <w:hideMark/>
          </w:tcPr>
          <w:p w14:paraId="7C21B5B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single" w:sz="4" w:space="0" w:color="auto"/>
            </w:tcBorders>
            <w:shd w:val="clear" w:color="auto" w:fill="auto"/>
            <w:vAlign w:val="center"/>
            <w:hideMark/>
          </w:tcPr>
          <w:p w14:paraId="3444AFF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4A1EFD5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21E9699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20038538" w14:textId="77777777" w:rsidTr="0018109D">
        <w:trPr>
          <w:trHeight w:val="1020"/>
        </w:trPr>
        <w:tc>
          <w:tcPr>
            <w:tcW w:w="1790" w:type="dxa"/>
            <w:vMerge/>
            <w:tcBorders>
              <w:top w:val="nil"/>
              <w:left w:val="single" w:sz="8" w:space="0" w:color="auto"/>
              <w:bottom w:val="single" w:sz="8" w:space="0" w:color="000000"/>
              <w:right w:val="single" w:sz="4" w:space="0" w:color="auto"/>
            </w:tcBorders>
            <w:vAlign w:val="center"/>
            <w:hideMark/>
          </w:tcPr>
          <w:p w14:paraId="2898A699"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33C0E6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4.2.2.2 Analiza e nevojave për trajnim dhe plani i ngritjes së kapaciteteve të anëtarëve dhe stafit lidhur me vlerësimin e performancës së magjistratëve.</w:t>
            </w:r>
          </w:p>
        </w:tc>
        <w:tc>
          <w:tcPr>
            <w:tcW w:w="1890" w:type="dxa"/>
            <w:tcBorders>
              <w:top w:val="nil"/>
              <w:left w:val="nil"/>
              <w:bottom w:val="single" w:sz="4" w:space="0" w:color="auto"/>
              <w:right w:val="single" w:sz="4" w:space="0" w:color="auto"/>
            </w:tcBorders>
            <w:shd w:val="clear" w:color="auto" w:fill="auto"/>
            <w:vAlign w:val="center"/>
            <w:hideMark/>
          </w:tcPr>
          <w:p w14:paraId="32006E1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4" w:space="0" w:color="auto"/>
              <w:right w:val="single" w:sz="4" w:space="0" w:color="auto"/>
            </w:tcBorders>
            <w:shd w:val="clear" w:color="auto" w:fill="auto"/>
            <w:vAlign w:val="center"/>
            <w:hideMark/>
          </w:tcPr>
          <w:p w14:paraId="558B38F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914AAA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08E3A37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103B538F" w14:textId="77777777" w:rsidTr="0018109D">
        <w:trPr>
          <w:trHeight w:val="1020"/>
        </w:trPr>
        <w:tc>
          <w:tcPr>
            <w:tcW w:w="1790" w:type="dxa"/>
            <w:vMerge/>
            <w:tcBorders>
              <w:top w:val="nil"/>
              <w:left w:val="single" w:sz="8" w:space="0" w:color="auto"/>
              <w:bottom w:val="single" w:sz="8" w:space="0" w:color="000000"/>
              <w:right w:val="single" w:sz="4" w:space="0" w:color="auto"/>
            </w:tcBorders>
            <w:vAlign w:val="center"/>
            <w:hideMark/>
          </w:tcPr>
          <w:p w14:paraId="421A7F8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0D9B0AC7"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4.2.2.3 Zbatimi i planit të ngritjes së kapaciteteve bazuar në analizën e nevojave.</w:t>
            </w:r>
          </w:p>
        </w:tc>
        <w:tc>
          <w:tcPr>
            <w:tcW w:w="1890" w:type="dxa"/>
            <w:tcBorders>
              <w:top w:val="nil"/>
              <w:left w:val="nil"/>
              <w:bottom w:val="single" w:sz="8" w:space="0" w:color="auto"/>
              <w:right w:val="single" w:sz="4" w:space="0" w:color="auto"/>
            </w:tcBorders>
            <w:shd w:val="clear" w:color="auto" w:fill="auto"/>
            <w:vAlign w:val="center"/>
            <w:hideMark/>
          </w:tcPr>
          <w:p w14:paraId="0FF938A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nil"/>
              <w:left w:val="nil"/>
              <w:bottom w:val="single" w:sz="8" w:space="0" w:color="auto"/>
              <w:right w:val="single" w:sz="4" w:space="0" w:color="auto"/>
            </w:tcBorders>
            <w:shd w:val="clear" w:color="auto" w:fill="auto"/>
            <w:vAlign w:val="center"/>
            <w:hideMark/>
          </w:tcPr>
          <w:p w14:paraId="66FE452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43AF48F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368E681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F3E544D" w14:textId="77777777" w:rsidTr="0018109D">
        <w:trPr>
          <w:trHeight w:val="159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4F014055"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4.2.3  Performanca e gjykatave dhe prokurorive rritet nëpërmjet miratimit të Rregullave të Brendshme për cilësinë e drejtësisë.</w:t>
            </w:r>
          </w:p>
        </w:tc>
        <w:tc>
          <w:tcPr>
            <w:tcW w:w="2520" w:type="dxa"/>
            <w:tcBorders>
              <w:top w:val="nil"/>
              <w:left w:val="nil"/>
              <w:bottom w:val="single" w:sz="4" w:space="0" w:color="auto"/>
              <w:right w:val="single" w:sz="4" w:space="0" w:color="auto"/>
            </w:tcBorders>
            <w:shd w:val="clear" w:color="auto" w:fill="auto"/>
            <w:vAlign w:val="center"/>
            <w:hideMark/>
          </w:tcPr>
          <w:p w14:paraId="7E0DDD3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4.2.3.1 Miratimi i Rregullores së Brendshme për cilësinë e drejtësisë për gjykatat dhe prokuroritë</w:t>
            </w:r>
          </w:p>
        </w:tc>
        <w:tc>
          <w:tcPr>
            <w:tcW w:w="1890" w:type="dxa"/>
            <w:tcBorders>
              <w:top w:val="nil"/>
              <w:left w:val="nil"/>
              <w:bottom w:val="single" w:sz="4" w:space="0" w:color="auto"/>
              <w:right w:val="single" w:sz="4" w:space="0" w:color="auto"/>
            </w:tcBorders>
            <w:shd w:val="clear" w:color="auto" w:fill="auto"/>
            <w:vAlign w:val="center"/>
            <w:hideMark/>
          </w:tcPr>
          <w:p w14:paraId="74ED374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PP</w:t>
            </w:r>
          </w:p>
        </w:tc>
        <w:tc>
          <w:tcPr>
            <w:tcW w:w="1620" w:type="dxa"/>
            <w:tcBorders>
              <w:top w:val="nil"/>
              <w:left w:val="nil"/>
              <w:bottom w:val="single" w:sz="4" w:space="0" w:color="auto"/>
              <w:right w:val="single" w:sz="4" w:space="0" w:color="auto"/>
            </w:tcBorders>
            <w:shd w:val="clear" w:color="auto" w:fill="auto"/>
            <w:vAlign w:val="center"/>
            <w:hideMark/>
          </w:tcPr>
          <w:p w14:paraId="4B6DF7E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Gjykatat, Prokuroritë</w:t>
            </w:r>
          </w:p>
        </w:tc>
        <w:tc>
          <w:tcPr>
            <w:tcW w:w="1710" w:type="dxa"/>
            <w:tcBorders>
              <w:top w:val="nil"/>
              <w:left w:val="nil"/>
              <w:bottom w:val="single" w:sz="4" w:space="0" w:color="auto"/>
              <w:right w:val="single" w:sz="4" w:space="0" w:color="auto"/>
            </w:tcBorders>
            <w:shd w:val="clear" w:color="000000" w:fill="DDEBF7"/>
            <w:vAlign w:val="center"/>
            <w:hideMark/>
          </w:tcPr>
          <w:p w14:paraId="54CC4EC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CF71DC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39B598A2" w14:textId="77777777" w:rsidTr="0018109D">
        <w:trPr>
          <w:trHeight w:val="948"/>
        </w:trPr>
        <w:tc>
          <w:tcPr>
            <w:tcW w:w="1790" w:type="dxa"/>
            <w:vMerge/>
            <w:tcBorders>
              <w:top w:val="nil"/>
              <w:left w:val="single" w:sz="8" w:space="0" w:color="auto"/>
              <w:bottom w:val="single" w:sz="8" w:space="0" w:color="000000"/>
              <w:right w:val="single" w:sz="4" w:space="0" w:color="auto"/>
            </w:tcBorders>
            <w:vAlign w:val="center"/>
            <w:hideMark/>
          </w:tcPr>
          <w:p w14:paraId="4534F539"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1BB0713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4.2.3.2 Raport mbi monitorimin e zbatimit të Rregullores së Brendshme </w:t>
            </w:r>
          </w:p>
        </w:tc>
        <w:tc>
          <w:tcPr>
            <w:tcW w:w="1890" w:type="dxa"/>
            <w:tcBorders>
              <w:top w:val="nil"/>
              <w:left w:val="nil"/>
              <w:bottom w:val="single" w:sz="8" w:space="0" w:color="auto"/>
              <w:right w:val="single" w:sz="4" w:space="0" w:color="auto"/>
            </w:tcBorders>
            <w:shd w:val="clear" w:color="auto" w:fill="auto"/>
            <w:vAlign w:val="center"/>
            <w:hideMark/>
          </w:tcPr>
          <w:p w14:paraId="5AF4E95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PP</w:t>
            </w:r>
          </w:p>
        </w:tc>
        <w:tc>
          <w:tcPr>
            <w:tcW w:w="1620" w:type="dxa"/>
            <w:tcBorders>
              <w:top w:val="nil"/>
              <w:left w:val="nil"/>
              <w:bottom w:val="single" w:sz="8" w:space="0" w:color="auto"/>
              <w:right w:val="single" w:sz="4" w:space="0" w:color="auto"/>
            </w:tcBorders>
            <w:shd w:val="clear" w:color="auto" w:fill="auto"/>
            <w:vAlign w:val="center"/>
            <w:hideMark/>
          </w:tcPr>
          <w:p w14:paraId="00A92AB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Gjykatat, Prokuroritë</w:t>
            </w:r>
          </w:p>
        </w:tc>
        <w:tc>
          <w:tcPr>
            <w:tcW w:w="1710" w:type="dxa"/>
            <w:tcBorders>
              <w:top w:val="nil"/>
              <w:left w:val="nil"/>
              <w:bottom w:val="single" w:sz="8" w:space="0" w:color="auto"/>
              <w:right w:val="single" w:sz="4" w:space="0" w:color="auto"/>
            </w:tcBorders>
            <w:shd w:val="clear" w:color="000000" w:fill="DDEBF7"/>
            <w:vAlign w:val="center"/>
            <w:hideMark/>
          </w:tcPr>
          <w:p w14:paraId="74D976F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55B5C78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2027</w:t>
            </w:r>
          </w:p>
        </w:tc>
      </w:tr>
      <w:tr w:rsidR="007440A2" w:rsidRPr="007440A2" w14:paraId="3BE83DFB" w14:textId="77777777" w:rsidTr="0018109D">
        <w:trPr>
          <w:trHeight w:val="1068"/>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06AD56F9"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4.2.4 Performanca e gjykatave dhe prokurorive rritet nëpërmjet zbatimit të rekomandimeve të inspektimeve të rregullta tematike të synuara nga Inspektori i Lartë i Drejtësisë.  </w:t>
            </w:r>
          </w:p>
        </w:tc>
        <w:tc>
          <w:tcPr>
            <w:tcW w:w="2520" w:type="dxa"/>
            <w:tcBorders>
              <w:top w:val="nil"/>
              <w:left w:val="nil"/>
              <w:bottom w:val="single" w:sz="4" w:space="0" w:color="auto"/>
              <w:right w:val="single" w:sz="4" w:space="0" w:color="auto"/>
            </w:tcBorders>
            <w:shd w:val="clear" w:color="auto" w:fill="auto"/>
            <w:vAlign w:val="center"/>
            <w:hideMark/>
          </w:tcPr>
          <w:p w14:paraId="42EE32F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4.2.4.1 Propozime të përvitshme të Këshillave, SHM dhe PP lidhur me inspektimet tematike dhe institucionale. </w:t>
            </w:r>
            <w:r w:rsidRPr="007440A2">
              <w:rPr>
                <w:rFonts w:ascii="Times New Roman" w:eastAsia="Times New Roman" w:hAnsi="Times New Roman" w:cs="Times New Roman"/>
                <w:sz w:val="20"/>
                <w:szCs w:val="20"/>
              </w:rPr>
              <w:br/>
              <w:t xml:space="preserve"> </w:t>
            </w:r>
          </w:p>
        </w:tc>
        <w:tc>
          <w:tcPr>
            <w:tcW w:w="1890" w:type="dxa"/>
            <w:tcBorders>
              <w:top w:val="nil"/>
              <w:left w:val="nil"/>
              <w:bottom w:val="single" w:sz="4" w:space="0" w:color="auto"/>
              <w:right w:val="single" w:sz="4" w:space="0" w:color="auto"/>
            </w:tcBorders>
            <w:shd w:val="clear" w:color="auto" w:fill="auto"/>
            <w:vAlign w:val="center"/>
            <w:hideMark/>
          </w:tcPr>
          <w:p w14:paraId="4725595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 KLP, KLGJ, SHM</w:t>
            </w:r>
          </w:p>
        </w:tc>
        <w:tc>
          <w:tcPr>
            <w:tcW w:w="1620" w:type="dxa"/>
            <w:tcBorders>
              <w:top w:val="nil"/>
              <w:left w:val="nil"/>
              <w:bottom w:val="single" w:sz="4" w:space="0" w:color="auto"/>
              <w:right w:val="single" w:sz="8" w:space="0" w:color="auto"/>
            </w:tcBorders>
            <w:shd w:val="clear" w:color="auto" w:fill="auto"/>
            <w:vAlign w:val="center"/>
            <w:hideMark/>
          </w:tcPr>
          <w:p w14:paraId="7EE20A6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40B594B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11170A0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4982B02"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579E89B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8153E6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4.2.4.2 Miratimi i Planit Vjetor të Inspektimeve për ILD</w:t>
            </w:r>
          </w:p>
        </w:tc>
        <w:tc>
          <w:tcPr>
            <w:tcW w:w="1890" w:type="dxa"/>
            <w:tcBorders>
              <w:top w:val="nil"/>
              <w:left w:val="nil"/>
              <w:bottom w:val="single" w:sz="4" w:space="0" w:color="auto"/>
              <w:right w:val="single" w:sz="4" w:space="0" w:color="auto"/>
            </w:tcBorders>
            <w:shd w:val="clear" w:color="auto" w:fill="auto"/>
            <w:vAlign w:val="center"/>
            <w:hideMark/>
          </w:tcPr>
          <w:p w14:paraId="62075C2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w:t>
            </w:r>
          </w:p>
        </w:tc>
        <w:tc>
          <w:tcPr>
            <w:tcW w:w="1620" w:type="dxa"/>
            <w:tcBorders>
              <w:top w:val="nil"/>
              <w:left w:val="nil"/>
              <w:bottom w:val="single" w:sz="4" w:space="0" w:color="auto"/>
              <w:right w:val="single" w:sz="8" w:space="0" w:color="auto"/>
            </w:tcBorders>
            <w:shd w:val="clear" w:color="auto" w:fill="auto"/>
            <w:vAlign w:val="center"/>
            <w:hideMark/>
          </w:tcPr>
          <w:p w14:paraId="4F67AF5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7BF898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A0B0A5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FB8FF93"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1CB6B42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82B3B5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4.2.4.3 Raport mbi inspektimet tematike të performancës së gjykatave dhe prokurorive   </w:t>
            </w:r>
          </w:p>
        </w:tc>
        <w:tc>
          <w:tcPr>
            <w:tcW w:w="1890" w:type="dxa"/>
            <w:tcBorders>
              <w:top w:val="nil"/>
              <w:left w:val="nil"/>
              <w:bottom w:val="single" w:sz="4" w:space="0" w:color="auto"/>
              <w:right w:val="single" w:sz="4" w:space="0" w:color="auto"/>
            </w:tcBorders>
            <w:shd w:val="clear" w:color="auto" w:fill="auto"/>
            <w:vAlign w:val="center"/>
            <w:hideMark/>
          </w:tcPr>
          <w:p w14:paraId="1D90C21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w:t>
            </w:r>
          </w:p>
        </w:tc>
        <w:tc>
          <w:tcPr>
            <w:tcW w:w="1620" w:type="dxa"/>
            <w:tcBorders>
              <w:top w:val="nil"/>
              <w:left w:val="nil"/>
              <w:bottom w:val="single" w:sz="4" w:space="0" w:color="auto"/>
              <w:right w:val="single" w:sz="8" w:space="0" w:color="auto"/>
            </w:tcBorders>
            <w:shd w:val="clear" w:color="auto" w:fill="auto"/>
            <w:vAlign w:val="center"/>
            <w:hideMark/>
          </w:tcPr>
          <w:p w14:paraId="5572B06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KLP, KLGJ</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2BE5C37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2888B5F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729DE8F"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17316B2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DE81B8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4.2.4.4 Monitorimi i zbatimit të rekomandimeve të inspektimeve tematike dhe institucionale nga ILD me qëllim ndjekjen e tyre sistematike. </w:t>
            </w:r>
          </w:p>
        </w:tc>
        <w:tc>
          <w:tcPr>
            <w:tcW w:w="1890" w:type="dxa"/>
            <w:tcBorders>
              <w:top w:val="nil"/>
              <w:left w:val="nil"/>
              <w:bottom w:val="single" w:sz="4" w:space="0" w:color="auto"/>
              <w:right w:val="single" w:sz="4" w:space="0" w:color="auto"/>
            </w:tcBorders>
            <w:shd w:val="clear" w:color="auto" w:fill="auto"/>
            <w:vAlign w:val="center"/>
            <w:hideMark/>
          </w:tcPr>
          <w:p w14:paraId="2C74962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w:t>
            </w:r>
          </w:p>
        </w:tc>
        <w:tc>
          <w:tcPr>
            <w:tcW w:w="1620" w:type="dxa"/>
            <w:tcBorders>
              <w:top w:val="nil"/>
              <w:left w:val="nil"/>
              <w:bottom w:val="single" w:sz="4" w:space="0" w:color="auto"/>
              <w:right w:val="single" w:sz="8" w:space="0" w:color="auto"/>
            </w:tcBorders>
            <w:shd w:val="clear" w:color="auto" w:fill="auto"/>
            <w:vAlign w:val="center"/>
            <w:hideMark/>
          </w:tcPr>
          <w:p w14:paraId="0FB24CE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 KLP, KLGJ</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463C62B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15A35CC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CACA2E1"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5C4BDF4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65C0892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4.2.4.5 Publikimi i rregullt i zbatueshmerise se gjetjeve te inspektimeve tematike dhe institucionale </w:t>
            </w:r>
          </w:p>
        </w:tc>
        <w:tc>
          <w:tcPr>
            <w:tcW w:w="1890" w:type="dxa"/>
            <w:tcBorders>
              <w:top w:val="nil"/>
              <w:left w:val="nil"/>
              <w:bottom w:val="single" w:sz="8" w:space="0" w:color="auto"/>
              <w:right w:val="single" w:sz="4" w:space="0" w:color="auto"/>
            </w:tcBorders>
            <w:shd w:val="clear" w:color="auto" w:fill="auto"/>
            <w:vAlign w:val="center"/>
            <w:hideMark/>
          </w:tcPr>
          <w:p w14:paraId="265A23B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PP, KLP, KLGJ</w:t>
            </w:r>
          </w:p>
        </w:tc>
        <w:tc>
          <w:tcPr>
            <w:tcW w:w="1620" w:type="dxa"/>
            <w:tcBorders>
              <w:top w:val="nil"/>
              <w:left w:val="nil"/>
              <w:bottom w:val="single" w:sz="8" w:space="0" w:color="auto"/>
              <w:right w:val="single" w:sz="8" w:space="0" w:color="auto"/>
            </w:tcBorders>
            <w:shd w:val="clear" w:color="auto" w:fill="auto"/>
            <w:vAlign w:val="center"/>
            <w:hideMark/>
          </w:tcPr>
          <w:p w14:paraId="6B17E93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0F5A810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1E14BD3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B479981" w14:textId="77777777" w:rsidTr="0018109D">
        <w:trPr>
          <w:trHeight w:val="1800"/>
        </w:trPr>
        <w:tc>
          <w:tcPr>
            <w:tcW w:w="1790" w:type="dxa"/>
            <w:tcBorders>
              <w:top w:val="nil"/>
              <w:left w:val="single" w:sz="8" w:space="0" w:color="auto"/>
              <w:bottom w:val="single" w:sz="8" w:space="0" w:color="auto"/>
              <w:right w:val="single" w:sz="4" w:space="0" w:color="auto"/>
            </w:tcBorders>
            <w:shd w:val="clear" w:color="auto" w:fill="auto"/>
            <w:vAlign w:val="center"/>
            <w:hideMark/>
          </w:tcPr>
          <w:p w14:paraId="25F163C9"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4.2.5  Performanca e gjykatave përmirësohet nëpërmjet anketave të përmbushjes së pritshmërive të përdoruesve të gjykatave të kryera nga KLGJ-ja/gjykatat</w:t>
            </w:r>
          </w:p>
        </w:tc>
        <w:tc>
          <w:tcPr>
            <w:tcW w:w="2520" w:type="dxa"/>
            <w:tcBorders>
              <w:top w:val="nil"/>
              <w:left w:val="nil"/>
              <w:bottom w:val="single" w:sz="8" w:space="0" w:color="auto"/>
              <w:right w:val="single" w:sz="4" w:space="0" w:color="auto"/>
            </w:tcBorders>
            <w:shd w:val="clear" w:color="auto" w:fill="auto"/>
            <w:vAlign w:val="center"/>
            <w:hideMark/>
          </w:tcPr>
          <w:p w14:paraId="388DEBE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4.2.5.1 Hartimi dhe zbatimi i anketave të rregullta mbi përmbushjen e pritshmërive të përdoruesve </w:t>
            </w:r>
          </w:p>
        </w:tc>
        <w:tc>
          <w:tcPr>
            <w:tcW w:w="1890" w:type="dxa"/>
            <w:tcBorders>
              <w:top w:val="nil"/>
              <w:left w:val="nil"/>
              <w:bottom w:val="single" w:sz="8" w:space="0" w:color="auto"/>
              <w:right w:val="single" w:sz="4" w:space="0" w:color="auto"/>
            </w:tcBorders>
            <w:shd w:val="clear" w:color="auto" w:fill="auto"/>
            <w:vAlign w:val="center"/>
            <w:hideMark/>
          </w:tcPr>
          <w:p w14:paraId="379F437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8" w:space="0" w:color="auto"/>
              <w:right w:val="single" w:sz="8" w:space="0" w:color="auto"/>
            </w:tcBorders>
            <w:shd w:val="clear" w:color="auto" w:fill="auto"/>
            <w:vAlign w:val="center"/>
            <w:hideMark/>
          </w:tcPr>
          <w:p w14:paraId="73EB606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Partnerë vendas dhe ndërkombëtar</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27DE302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 2027; 2029</w:t>
            </w:r>
          </w:p>
        </w:tc>
        <w:tc>
          <w:tcPr>
            <w:tcW w:w="1260" w:type="dxa"/>
            <w:tcBorders>
              <w:top w:val="nil"/>
              <w:left w:val="nil"/>
              <w:bottom w:val="single" w:sz="8" w:space="0" w:color="auto"/>
              <w:right w:val="single" w:sz="8" w:space="0" w:color="auto"/>
            </w:tcBorders>
            <w:shd w:val="clear" w:color="000000" w:fill="DDEBF7"/>
            <w:vAlign w:val="center"/>
            <w:hideMark/>
          </w:tcPr>
          <w:p w14:paraId="11EA0ED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 2027; 2029</w:t>
            </w:r>
          </w:p>
        </w:tc>
      </w:tr>
      <w:tr w:rsidR="007440A2" w:rsidRPr="007440A2" w14:paraId="449181DE" w14:textId="77777777" w:rsidTr="0018109D">
        <w:trPr>
          <w:trHeight w:val="816"/>
        </w:trPr>
        <w:tc>
          <w:tcPr>
            <w:tcW w:w="4310" w:type="dxa"/>
            <w:gridSpan w:val="2"/>
            <w:tcBorders>
              <w:top w:val="nil"/>
              <w:left w:val="single" w:sz="8" w:space="0" w:color="auto"/>
              <w:bottom w:val="single" w:sz="8" w:space="0" w:color="auto"/>
              <w:right w:val="nil"/>
            </w:tcBorders>
            <w:shd w:val="clear" w:color="000000" w:fill="9CC2E5"/>
            <w:vAlign w:val="center"/>
            <w:hideMark/>
          </w:tcPr>
          <w:p w14:paraId="64D8D66F"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4.3:</w:t>
            </w:r>
          </w:p>
        </w:tc>
        <w:tc>
          <w:tcPr>
            <w:tcW w:w="6480" w:type="dxa"/>
            <w:gridSpan w:val="4"/>
            <w:tcBorders>
              <w:top w:val="nil"/>
              <w:left w:val="single" w:sz="8" w:space="0" w:color="auto"/>
              <w:bottom w:val="single" w:sz="8" w:space="0" w:color="auto"/>
              <w:right w:val="single" w:sz="8" w:space="0" w:color="000000"/>
            </w:tcBorders>
            <w:shd w:val="clear" w:color="000000" w:fill="9CC2E5"/>
            <w:vAlign w:val="center"/>
            <w:hideMark/>
          </w:tcPr>
          <w:p w14:paraId="6DA741BB"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Forcimi i kapaciteteve të Shkollës së Magjistraturës me qëllim përmirësimin e trajnimit gjyqësor dhe kurrikulave të trajnimit.</w:t>
            </w:r>
          </w:p>
        </w:tc>
      </w:tr>
      <w:tr w:rsidR="007440A2" w:rsidRPr="007440A2" w14:paraId="443D1325" w14:textId="77777777" w:rsidTr="0018109D">
        <w:trPr>
          <w:trHeight w:val="3588"/>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1D3000E2"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559EB2C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Deri ne fund te vitit 2030  ka rritje progresive te pjesemarrjes se magjistrateve ne programet e trajnimit te vazhdueshem prane  Shkollës së Magjistraturës, qe evidenton   përmirësimin e trajnimit gjyqësor dhe kurrikulave të trajnimit si edhe rritjen e profesionalizmit te magjistrateve;</w:t>
            </w:r>
            <w:r w:rsidRPr="007440A2">
              <w:rPr>
                <w:rFonts w:ascii="Times New Roman" w:eastAsia="Times New Roman" w:hAnsi="Times New Roman" w:cs="Times New Roman"/>
                <w:sz w:val="20"/>
                <w:szCs w:val="20"/>
              </w:rPr>
              <w:br/>
            </w:r>
            <w:r w:rsidRPr="007440A2">
              <w:rPr>
                <w:rFonts w:ascii="Times New Roman" w:eastAsia="Times New Roman" w:hAnsi="Times New Roman" w:cs="Times New Roman"/>
                <w:sz w:val="20"/>
                <w:szCs w:val="20"/>
              </w:rPr>
              <w:br/>
              <w:t xml:space="preserve">Deri ne fund te vitit 2030 ka rritje  te interesit dhe përgatitjes së kandidatëve për të hyrë në SHM, e evidentuar me rritjen progresive te raportit midis numrit te konkurrentëve që kanë marrë pjesë në provim në krahasim me kuotën e përcaktuar nga SHM-ja; </w:t>
            </w:r>
            <w:r w:rsidRPr="007440A2">
              <w:rPr>
                <w:rFonts w:ascii="Times New Roman" w:eastAsia="Times New Roman" w:hAnsi="Times New Roman" w:cs="Times New Roman"/>
                <w:sz w:val="20"/>
                <w:szCs w:val="20"/>
              </w:rPr>
              <w:br/>
            </w:r>
            <w:r w:rsidRPr="007440A2">
              <w:rPr>
                <w:rFonts w:ascii="Times New Roman" w:eastAsia="Times New Roman" w:hAnsi="Times New Roman" w:cs="Times New Roman"/>
                <w:sz w:val="20"/>
                <w:szCs w:val="20"/>
              </w:rPr>
              <w:br/>
              <w:t xml:space="preserve">Deri ne fund te vitit 2030  eshte perforcuar angazhimi i rregullt i magjistratëve në trajnimet e organizuara nga Shkolla e Magjistraturës  dhe efektiviteti i programeve të trajnimit, te videntuar me rritjen e numrit te përgjigjeve ndaj ftesave qe u drejtohen  atyre që kanë shprehur interes per trajnim. </w:t>
            </w:r>
          </w:p>
        </w:tc>
      </w:tr>
      <w:tr w:rsidR="007440A2" w:rsidRPr="007440A2" w14:paraId="496FB24F" w14:textId="77777777" w:rsidTr="0018109D">
        <w:trPr>
          <w:trHeight w:val="540"/>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76145BA3"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060C7D52"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28306511"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63A21271"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5BAA6E03"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344B57AF"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451B521A" w14:textId="77777777" w:rsidTr="0018109D">
        <w:trPr>
          <w:trHeight w:val="96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5D186374"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4.3.1 SHM rishikon Rregulloren e saj të Brendshme për të siguruar që provimi i pranimit pasqyron standardet më të mira të BE-së dhe shkollave homologe të trajnimit gjyqësor dhe siguron që konkurrentët të vlerësohen mbi bazën e aftësisë dhe jo vetëm mbi bazën e njohurive mbi ligjin.</w:t>
            </w:r>
          </w:p>
        </w:tc>
        <w:tc>
          <w:tcPr>
            <w:tcW w:w="2520" w:type="dxa"/>
            <w:tcBorders>
              <w:top w:val="nil"/>
              <w:left w:val="nil"/>
              <w:bottom w:val="single" w:sz="4" w:space="0" w:color="auto"/>
              <w:right w:val="single" w:sz="4" w:space="0" w:color="auto"/>
            </w:tcBorders>
            <w:shd w:val="clear" w:color="auto" w:fill="auto"/>
            <w:vAlign w:val="center"/>
            <w:hideMark/>
          </w:tcPr>
          <w:p w14:paraId="0BAC426B"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4.3.1.1 Organizimi i takimeve me konkurrentët për të dhënë udhëzime në lidhje me provimin e pranimit. </w:t>
            </w:r>
          </w:p>
        </w:tc>
        <w:tc>
          <w:tcPr>
            <w:tcW w:w="1890" w:type="dxa"/>
            <w:tcBorders>
              <w:top w:val="nil"/>
              <w:left w:val="nil"/>
              <w:bottom w:val="single" w:sz="4" w:space="0" w:color="auto"/>
              <w:right w:val="single" w:sz="4" w:space="0" w:color="auto"/>
            </w:tcBorders>
            <w:shd w:val="clear" w:color="auto" w:fill="auto"/>
            <w:vAlign w:val="center"/>
            <w:hideMark/>
          </w:tcPr>
          <w:p w14:paraId="6A7CBE3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4" w:space="0" w:color="auto"/>
              <w:right w:val="single" w:sz="4" w:space="0" w:color="auto"/>
            </w:tcBorders>
            <w:shd w:val="clear" w:color="auto" w:fill="auto"/>
            <w:vAlign w:val="center"/>
            <w:hideMark/>
          </w:tcPr>
          <w:p w14:paraId="4E9A186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08A7DC4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ABA38A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066D387"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4429929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9E8F72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4.3.1.2 Përgatitja e analizës mbi gjetjet konkrete dhe propozimet për ndryshime në provimin pranues </w:t>
            </w:r>
          </w:p>
        </w:tc>
        <w:tc>
          <w:tcPr>
            <w:tcW w:w="1890" w:type="dxa"/>
            <w:tcBorders>
              <w:top w:val="nil"/>
              <w:left w:val="nil"/>
              <w:bottom w:val="single" w:sz="4" w:space="0" w:color="auto"/>
              <w:right w:val="single" w:sz="4" w:space="0" w:color="auto"/>
            </w:tcBorders>
            <w:shd w:val="clear" w:color="auto" w:fill="auto"/>
            <w:vAlign w:val="center"/>
            <w:hideMark/>
          </w:tcPr>
          <w:p w14:paraId="495E86A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4" w:space="0" w:color="auto"/>
              <w:right w:val="single" w:sz="4" w:space="0" w:color="auto"/>
            </w:tcBorders>
            <w:shd w:val="clear" w:color="auto" w:fill="auto"/>
            <w:vAlign w:val="center"/>
            <w:hideMark/>
          </w:tcPr>
          <w:p w14:paraId="4A5FCB2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802140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2C811F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636F7462"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73CDB9D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3660024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4.3.1.3 Diskutimi dhe miratimi i ndryshimeve në Këshillin Drejtues .  </w:t>
            </w:r>
          </w:p>
        </w:tc>
        <w:tc>
          <w:tcPr>
            <w:tcW w:w="1890" w:type="dxa"/>
            <w:tcBorders>
              <w:top w:val="nil"/>
              <w:left w:val="nil"/>
              <w:bottom w:val="single" w:sz="8" w:space="0" w:color="auto"/>
              <w:right w:val="single" w:sz="4" w:space="0" w:color="auto"/>
            </w:tcBorders>
            <w:shd w:val="clear" w:color="auto" w:fill="auto"/>
            <w:vAlign w:val="center"/>
            <w:hideMark/>
          </w:tcPr>
          <w:p w14:paraId="1C43C05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8" w:space="0" w:color="auto"/>
              <w:right w:val="single" w:sz="4" w:space="0" w:color="auto"/>
            </w:tcBorders>
            <w:shd w:val="clear" w:color="auto" w:fill="auto"/>
            <w:vAlign w:val="center"/>
            <w:hideMark/>
          </w:tcPr>
          <w:p w14:paraId="6E36E16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4A72532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1EEC1F0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366B48AD" w14:textId="77777777" w:rsidTr="0018109D">
        <w:trPr>
          <w:trHeight w:val="96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45D0C4D1"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ShM-ja siguron staf dhe burime të përshtatshme në bazë të analizave dhe rishikimit dhe parashikimit të nevojave për burime njerëzore dhe akademike.</w:t>
            </w:r>
          </w:p>
        </w:tc>
        <w:tc>
          <w:tcPr>
            <w:tcW w:w="2520" w:type="dxa"/>
            <w:tcBorders>
              <w:top w:val="nil"/>
              <w:left w:val="nil"/>
              <w:bottom w:val="single" w:sz="4" w:space="0" w:color="auto"/>
              <w:right w:val="single" w:sz="4" w:space="0" w:color="auto"/>
            </w:tcBorders>
            <w:shd w:val="clear" w:color="auto" w:fill="auto"/>
            <w:vAlign w:val="center"/>
            <w:hideMark/>
          </w:tcPr>
          <w:p w14:paraId="751B715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4.3.2.1 Shkolla ndërmerr në mënyrë periodike një proces promovues/informues të mundësive për angazhim në PFF dhe PFV . </w:t>
            </w:r>
          </w:p>
        </w:tc>
        <w:tc>
          <w:tcPr>
            <w:tcW w:w="1890" w:type="dxa"/>
            <w:tcBorders>
              <w:top w:val="nil"/>
              <w:left w:val="nil"/>
              <w:bottom w:val="single" w:sz="4" w:space="0" w:color="auto"/>
              <w:right w:val="single" w:sz="4" w:space="0" w:color="auto"/>
            </w:tcBorders>
            <w:shd w:val="clear" w:color="auto" w:fill="auto"/>
            <w:vAlign w:val="center"/>
            <w:hideMark/>
          </w:tcPr>
          <w:p w14:paraId="38D9357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4" w:space="0" w:color="auto"/>
              <w:right w:val="single" w:sz="4" w:space="0" w:color="auto"/>
            </w:tcBorders>
            <w:shd w:val="clear" w:color="auto" w:fill="auto"/>
            <w:vAlign w:val="center"/>
            <w:hideMark/>
          </w:tcPr>
          <w:p w14:paraId="7FE5A62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2823B9F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DA1775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9AE1567"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4CCFDE3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D8C440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4.3.2.2 Përgatitja e analizës dhe parashikimit të vendeve vakante apo të vendeve të reja të punës për rekrutimin e stafit akademik dhe administrativ në dy faza: faza e parë deri në qershor 2025; faza e dytë deri në qershor </w:t>
            </w:r>
            <w:r w:rsidRPr="007440A2">
              <w:rPr>
                <w:rFonts w:ascii="Times New Roman" w:eastAsia="Times New Roman" w:hAnsi="Times New Roman" w:cs="Times New Roman"/>
                <w:b/>
                <w:bCs/>
                <w:sz w:val="20"/>
                <w:szCs w:val="20"/>
              </w:rPr>
              <w:t>2028</w:t>
            </w:r>
            <w:r w:rsidRPr="007440A2">
              <w:rPr>
                <w:rFonts w:ascii="Times New Roman" w:eastAsia="Times New Roman" w:hAnsi="Times New Roman" w:cs="Times New Roman"/>
                <w:sz w:val="20"/>
                <w:szCs w:val="20"/>
              </w:rPr>
              <w:t>;</w:t>
            </w:r>
          </w:p>
        </w:tc>
        <w:tc>
          <w:tcPr>
            <w:tcW w:w="1890" w:type="dxa"/>
            <w:tcBorders>
              <w:top w:val="nil"/>
              <w:left w:val="nil"/>
              <w:bottom w:val="single" w:sz="4" w:space="0" w:color="auto"/>
              <w:right w:val="single" w:sz="4" w:space="0" w:color="auto"/>
            </w:tcBorders>
            <w:shd w:val="clear" w:color="auto" w:fill="auto"/>
            <w:vAlign w:val="center"/>
            <w:hideMark/>
          </w:tcPr>
          <w:p w14:paraId="691BE51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4" w:space="0" w:color="auto"/>
              <w:right w:val="single" w:sz="4" w:space="0" w:color="auto"/>
            </w:tcBorders>
            <w:shd w:val="clear" w:color="auto" w:fill="auto"/>
            <w:vAlign w:val="center"/>
            <w:hideMark/>
          </w:tcPr>
          <w:p w14:paraId="6E31786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7AE5E73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0E3AE9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2028</w:t>
            </w:r>
          </w:p>
        </w:tc>
      </w:tr>
      <w:tr w:rsidR="007440A2" w:rsidRPr="007440A2" w14:paraId="7C0272A8"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4677C08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B219FA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4.3.2.3 Miratimi i strukturës organizative dhe shpallja e vendeve vakante në dy faza: faza e parë deri në dhjetor 2025; faza e dytë deri në dhjetor </w:t>
            </w:r>
            <w:r w:rsidRPr="007440A2">
              <w:rPr>
                <w:rFonts w:ascii="Times New Roman" w:eastAsia="Times New Roman" w:hAnsi="Times New Roman" w:cs="Times New Roman"/>
                <w:b/>
                <w:bCs/>
                <w:sz w:val="20"/>
                <w:szCs w:val="20"/>
              </w:rPr>
              <w:t>2028</w:t>
            </w:r>
          </w:p>
        </w:tc>
        <w:tc>
          <w:tcPr>
            <w:tcW w:w="1890" w:type="dxa"/>
            <w:tcBorders>
              <w:top w:val="nil"/>
              <w:left w:val="nil"/>
              <w:bottom w:val="single" w:sz="4" w:space="0" w:color="auto"/>
              <w:right w:val="single" w:sz="4" w:space="0" w:color="auto"/>
            </w:tcBorders>
            <w:shd w:val="clear" w:color="auto" w:fill="auto"/>
            <w:vAlign w:val="center"/>
            <w:hideMark/>
          </w:tcPr>
          <w:p w14:paraId="53F7CF9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4" w:space="0" w:color="auto"/>
              <w:right w:val="single" w:sz="4" w:space="0" w:color="auto"/>
            </w:tcBorders>
            <w:shd w:val="clear" w:color="auto" w:fill="auto"/>
            <w:vAlign w:val="center"/>
            <w:hideMark/>
          </w:tcPr>
          <w:p w14:paraId="64E3DDF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4C6840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1EC4B93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2028</w:t>
            </w:r>
          </w:p>
        </w:tc>
      </w:tr>
      <w:tr w:rsidR="007440A2" w:rsidRPr="007440A2" w14:paraId="2127A9B5"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04F584A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9EECA9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4.3.2.4 Zbatimi i procedurave të rekrutimit në dy faza: faza e parë deri në dhjetor 2025; faza e dytë deri në dhjetor </w:t>
            </w:r>
            <w:r w:rsidRPr="007440A2">
              <w:rPr>
                <w:rFonts w:ascii="Times New Roman" w:eastAsia="Times New Roman" w:hAnsi="Times New Roman" w:cs="Times New Roman"/>
                <w:b/>
                <w:bCs/>
                <w:sz w:val="20"/>
                <w:szCs w:val="20"/>
              </w:rPr>
              <w:t>2028</w:t>
            </w:r>
            <w:r w:rsidRPr="007440A2">
              <w:rPr>
                <w:rFonts w:ascii="Times New Roman" w:eastAsia="Times New Roman" w:hAnsi="Times New Roman" w:cs="Times New Roman"/>
                <w:sz w:val="20"/>
                <w:szCs w:val="20"/>
              </w:rPr>
              <w:t>.</w:t>
            </w:r>
          </w:p>
        </w:tc>
        <w:tc>
          <w:tcPr>
            <w:tcW w:w="1890" w:type="dxa"/>
            <w:tcBorders>
              <w:top w:val="nil"/>
              <w:left w:val="nil"/>
              <w:bottom w:val="single" w:sz="4" w:space="0" w:color="auto"/>
              <w:right w:val="single" w:sz="4" w:space="0" w:color="auto"/>
            </w:tcBorders>
            <w:shd w:val="clear" w:color="auto" w:fill="auto"/>
            <w:vAlign w:val="center"/>
            <w:hideMark/>
          </w:tcPr>
          <w:p w14:paraId="38DFE1F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4" w:space="0" w:color="auto"/>
              <w:right w:val="single" w:sz="4" w:space="0" w:color="auto"/>
            </w:tcBorders>
            <w:shd w:val="clear" w:color="auto" w:fill="auto"/>
            <w:vAlign w:val="center"/>
            <w:hideMark/>
          </w:tcPr>
          <w:p w14:paraId="7FECC75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9A9976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3A210E2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2028</w:t>
            </w:r>
          </w:p>
        </w:tc>
      </w:tr>
      <w:tr w:rsidR="007440A2" w:rsidRPr="007440A2" w14:paraId="22093065"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09A6548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4D06903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4.3.2.5 Trajnimi i stafit administrativ nëpërmjet programeve të trajnimit të ofruara nga ASPA ose nga vetë Shkolla</w:t>
            </w:r>
            <w:r w:rsidRPr="007440A2">
              <w:rPr>
                <w:rFonts w:ascii="Times New Roman" w:eastAsia="Times New Roman" w:hAnsi="Times New Roman" w:cs="Times New Roman"/>
                <w:b/>
                <w:bCs/>
                <w:sz w:val="20"/>
                <w:szCs w:val="20"/>
              </w:rPr>
              <w:t>.</w:t>
            </w:r>
          </w:p>
        </w:tc>
        <w:tc>
          <w:tcPr>
            <w:tcW w:w="1890" w:type="dxa"/>
            <w:tcBorders>
              <w:top w:val="nil"/>
              <w:left w:val="nil"/>
              <w:bottom w:val="single" w:sz="8" w:space="0" w:color="auto"/>
              <w:right w:val="single" w:sz="4" w:space="0" w:color="auto"/>
            </w:tcBorders>
            <w:shd w:val="clear" w:color="auto" w:fill="auto"/>
            <w:vAlign w:val="center"/>
            <w:hideMark/>
          </w:tcPr>
          <w:p w14:paraId="0FD79CD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8" w:space="0" w:color="auto"/>
              <w:right w:val="single" w:sz="4" w:space="0" w:color="auto"/>
            </w:tcBorders>
            <w:shd w:val="clear" w:color="auto" w:fill="auto"/>
            <w:vAlign w:val="center"/>
            <w:hideMark/>
          </w:tcPr>
          <w:p w14:paraId="5DA9D96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ASPA</w:t>
            </w:r>
          </w:p>
        </w:tc>
        <w:tc>
          <w:tcPr>
            <w:tcW w:w="1710" w:type="dxa"/>
            <w:tcBorders>
              <w:top w:val="nil"/>
              <w:left w:val="nil"/>
              <w:bottom w:val="single" w:sz="8" w:space="0" w:color="auto"/>
              <w:right w:val="single" w:sz="4" w:space="0" w:color="auto"/>
            </w:tcBorders>
            <w:shd w:val="clear" w:color="000000" w:fill="DDEBF7"/>
            <w:vAlign w:val="center"/>
            <w:hideMark/>
          </w:tcPr>
          <w:p w14:paraId="5805F55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77A2224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BB2EF7B" w14:textId="77777777" w:rsidTr="0018109D">
        <w:trPr>
          <w:trHeight w:val="96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55925441"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4.3.3 Perforcimi i programit dhe përmirësimi i mentorëve nga SHM-ja/gjykatat.</w:t>
            </w:r>
          </w:p>
        </w:tc>
        <w:tc>
          <w:tcPr>
            <w:tcW w:w="2520" w:type="dxa"/>
            <w:tcBorders>
              <w:top w:val="nil"/>
              <w:left w:val="nil"/>
              <w:bottom w:val="single" w:sz="4" w:space="0" w:color="auto"/>
              <w:right w:val="single" w:sz="4" w:space="0" w:color="auto"/>
            </w:tcBorders>
            <w:shd w:val="clear" w:color="auto" w:fill="auto"/>
            <w:vAlign w:val="center"/>
            <w:hideMark/>
          </w:tcPr>
          <w:p w14:paraId="69B718F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4.3.3.1 Shqyrtimi i udhëzimeve për mentorim dhe vlerësim të praktikës profesionale </w:t>
            </w:r>
          </w:p>
        </w:tc>
        <w:tc>
          <w:tcPr>
            <w:tcW w:w="1890" w:type="dxa"/>
            <w:tcBorders>
              <w:top w:val="nil"/>
              <w:left w:val="nil"/>
              <w:bottom w:val="single" w:sz="4" w:space="0" w:color="auto"/>
              <w:right w:val="single" w:sz="4" w:space="0" w:color="auto"/>
            </w:tcBorders>
            <w:shd w:val="clear" w:color="auto" w:fill="auto"/>
            <w:vAlign w:val="center"/>
            <w:hideMark/>
          </w:tcPr>
          <w:p w14:paraId="3046271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4" w:space="0" w:color="auto"/>
              <w:right w:val="single" w:sz="4" w:space="0" w:color="auto"/>
            </w:tcBorders>
            <w:shd w:val="clear" w:color="auto" w:fill="auto"/>
            <w:vAlign w:val="center"/>
            <w:hideMark/>
          </w:tcPr>
          <w:p w14:paraId="0E56189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7F90E2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8A1A13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6E9A8596"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1A9A317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2868EF7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4.3.3.2 Trajnimi i mentorëve të emëruar nga KLGJ-ja dhe KLP-ja</w:t>
            </w:r>
          </w:p>
        </w:tc>
        <w:tc>
          <w:tcPr>
            <w:tcW w:w="1890" w:type="dxa"/>
            <w:tcBorders>
              <w:top w:val="nil"/>
              <w:left w:val="nil"/>
              <w:bottom w:val="single" w:sz="8" w:space="0" w:color="auto"/>
              <w:right w:val="single" w:sz="4" w:space="0" w:color="auto"/>
            </w:tcBorders>
            <w:shd w:val="clear" w:color="auto" w:fill="auto"/>
            <w:vAlign w:val="center"/>
            <w:hideMark/>
          </w:tcPr>
          <w:p w14:paraId="5CB7490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8" w:space="0" w:color="auto"/>
              <w:right w:val="single" w:sz="4" w:space="0" w:color="auto"/>
            </w:tcBorders>
            <w:shd w:val="clear" w:color="auto" w:fill="auto"/>
            <w:vAlign w:val="center"/>
            <w:hideMark/>
          </w:tcPr>
          <w:p w14:paraId="7E7A40A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710" w:type="dxa"/>
            <w:tcBorders>
              <w:top w:val="nil"/>
              <w:left w:val="nil"/>
              <w:bottom w:val="single" w:sz="8" w:space="0" w:color="auto"/>
              <w:right w:val="single" w:sz="4" w:space="0" w:color="auto"/>
            </w:tcBorders>
            <w:shd w:val="clear" w:color="000000" w:fill="DDEBF7"/>
            <w:vAlign w:val="center"/>
            <w:hideMark/>
          </w:tcPr>
          <w:p w14:paraId="330E303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425C6BA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2D1DE3B" w14:textId="77777777" w:rsidTr="0018109D">
        <w:trPr>
          <w:trHeight w:val="96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3903B3DE"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4.3.4 Rishikimi i kurrikulës së formimit fillestar, miratimi dhe zbatimi i saj nga viti akademik.</w:t>
            </w:r>
          </w:p>
        </w:tc>
        <w:tc>
          <w:tcPr>
            <w:tcW w:w="2520" w:type="dxa"/>
            <w:tcBorders>
              <w:top w:val="nil"/>
              <w:left w:val="nil"/>
              <w:bottom w:val="single" w:sz="4" w:space="0" w:color="auto"/>
              <w:right w:val="single" w:sz="4" w:space="0" w:color="auto"/>
            </w:tcBorders>
            <w:shd w:val="clear" w:color="auto" w:fill="auto"/>
            <w:vAlign w:val="center"/>
            <w:hideMark/>
          </w:tcPr>
          <w:p w14:paraId="5E18268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4.3.4.1 SHM-ja rishikon kurrikulat e saj çdo vit dhe analizon nevojën për module të reja .</w:t>
            </w:r>
          </w:p>
        </w:tc>
        <w:tc>
          <w:tcPr>
            <w:tcW w:w="1890" w:type="dxa"/>
            <w:tcBorders>
              <w:top w:val="nil"/>
              <w:left w:val="nil"/>
              <w:bottom w:val="single" w:sz="4" w:space="0" w:color="auto"/>
              <w:right w:val="single" w:sz="4" w:space="0" w:color="auto"/>
            </w:tcBorders>
            <w:shd w:val="clear" w:color="auto" w:fill="auto"/>
            <w:vAlign w:val="center"/>
            <w:hideMark/>
          </w:tcPr>
          <w:p w14:paraId="5F8B3C4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4" w:space="0" w:color="auto"/>
              <w:right w:val="single" w:sz="4" w:space="0" w:color="auto"/>
            </w:tcBorders>
            <w:shd w:val="clear" w:color="auto" w:fill="auto"/>
            <w:vAlign w:val="center"/>
            <w:hideMark/>
          </w:tcPr>
          <w:p w14:paraId="7B940F7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710" w:type="dxa"/>
            <w:tcBorders>
              <w:top w:val="nil"/>
              <w:left w:val="nil"/>
              <w:bottom w:val="single" w:sz="4" w:space="0" w:color="auto"/>
              <w:right w:val="single" w:sz="4" w:space="0" w:color="auto"/>
            </w:tcBorders>
            <w:shd w:val="clear" w:color="000000" w:fill="DDEBF7"/>
            <w:vAlign w:val="center"/>
            <w:hideMark/>
          </w:tcPr>
          <w:p w14:paraId="7A2301E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C0BFC1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CADF008"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2847774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58B752E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4.3.4.2 SHM-ja harton module të reja bazuar në analizën e nevojave.</w:t>
            </w:r>
          </w:p>
        </w:tc>
        <w:tc>
          <w:tcPr>
            <w:tcW w:w="1890" w:type="dxa"/>
            <w:tcBorders>
              <w:top w:val="nil"/>
              <w:left w:val="nil"/>
              <w:bottom w:val="single" w:sz="8" w:space="0" w:color="auto"/>
              <w:right w:val="single" w:sz="4" w:space="0" w:color="auto"/>
            </w:tcBorders>
            <w:shd w:val="clear" w:color="auto" w:fill="auto"/>
            <w:vAlign w:val="center"/>
            <w:hideMark/>
          </w:tcPr>
          <w:p w14:paraId="0BF3602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8" w:space="0" w:color="auto"/>
              <w:right w:val="single" w:sz="4" w:space="0" w:color="auto"/>
            </w:tcBorders>
            <w:shd w:val="clear" w:color="auto" w:fill="auto"/>
            <w:vAlign w:val="center"/>
            <w:hideMark/>
          </w:tcPr>
          <w:p w14:paraId="12BC668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710" w:type="dxa"/>
            <w:tcBorders>
              <w:top w:val="nil"/>
              <w:left w:val="nil"/>
              <w:bottom w:val="single" w:sz="8" w:space="0" w:color="auto"/>
              <w:right w:val="single" w:sz="4" w:space="0" w:color="auto"/>
            </w:tcBorders>
            <w:shd w:val="clear" w:color="000000" w:fill="DDEBF7"/>
            <w:vAlign w:val="center"/>
            <w:hideMark/>
          </w:tcPr>
          <w:p w14:paraId="60B6F36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65A4C1D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1D3AF01" w14:textId="77777777" w:rsidTr="0018109D">
        <w:trPr>
          <w:trHeight w:val="96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37DE5E50"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4.3.5 Programi i pasuruar dhe i përmirësuar i formimit të vazhduar, i synuar për nevojat e identifikuara dhe specializimin e gjyqtarëve dhe prokurorëve për magjistratët në detyrë</w:t>
            </w:r>
          </w:p>
        </w:tc>
        <w:tc>
          <w:tcPr>
            <w:tcW w:w="2520" w:type="dxa"/>
            <w:tcBorders>
              <w:top w:val="nil"/>
              <w:left w:val="nil"/>
              <w:bottom w:val="single" w:sz="4" w:space="0" w:color="auto"/>
              <w:right w:val="single" w:sz="4" w:space="0" w:color="auto"/>
            </w:tcBorders>
            <w:shd w:val="clear" w:color="auto" w:fill="auto"/>
            <w:vAlign w:val="center"/>
            <w:hideMark/>
          </w:tcPr>
          <w:p w14:paraId="68D5033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4.3.5.1 Analiza e nevojave për trajnim realizohet në bashkëpunim të ngushtë dhe në baza periodike ndërmjet SHM, KLGJ, KLP, këshillat e gjykatave, dhe organet e tjera të përfshira në analizën e nevojave për trajnim.</w:t>
            </w:r>
          </w:p>
        </w:tc>
        <w:tc>
          <w:tcPr>
            <w:tcW w:w="1890" w:type="dxa"/>
            <w:tcBorders>
              <w:top w:val="nil"/>
              <w:left w:val="nil"/>
              <w:bottom w:val="single" w:sz="4" w:space="0" w:color="auto"/>
              <w:right w:val="single" w:sz="4" w:space="0" w:color="auto"/>
            </w:tcBorders>
            <w:shd w:val="clear" w:color="auto" w:fill="auto"/>
            <w:vAlign w:val="center"/>
            <w:hideMark/>
          </w:tcPr>
          <w:p w14:paraId="4EE870B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 KLGJ, KLP,SPAK,BKH, PP</w:t>
            </w:r>
          </w:p>
        </w:tc>
        <w:tc>
          <w:tcPr>
            <w:tcW w:w="1620" w:type="dxa"/>
            <w:tcBorders>
              <w:top w:val="nil"/>
              <w:left w:val="nil"/>
              <w:bottom w:val="single" w:sz="4" w:space="0" w:color="auto"/>
              <w:right w:val="single" w:sz="4" w:space="0" w:color="auto"/>
            </w:tcBorders>
            <w:shd w:val="clear" w:color="auto" w:fill="auto"/>
            <w:vAlign w:val="center"/>
            <w:hideMark/>
          </w:tcPr>
          <w:p w14:paraId="4639681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2359F52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D1E634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986C392"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50ED77C7"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118F2E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4.3.5.2 SHM harton dhe miraton module per tema specifike duke perfshire praktikat mbi hetimin dhe denimin kunder korrupsionit, hetimin financiar per korrupsionin, ceshtjet e te drejtave themelore, lirine e shprehjes dhe medias (perfshire SLAPP) si dhe ceshtjet lidhur me diskriminimin </w:t>
            </w:r>
          </w:p>
        </w:tc>
        <w:tc>
          <w:tcPr>
            <w:tcW w:w="1890" w:type="dxa"/>
            <w:tcBorders>
              <w:top w:val="nil"/>
              <w:left w:val="nil"/>
              <w:bottom w:val="single" w:sz="4" w:space="0" w:color="auto"/>
              <w:right w:val="single" w:sz="4" w:space="0" w:color="auto"/>
            </w:tcBorders>
            <w:shd w:val="clear" w:color="auto" w:fill="auto"/>
            <w:vAlign w:val="center"/>
            <w:hideMark/>
          </w:tcPr>
          <w:p w14:paraId="752B20B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4" w:space="0" w:color="auto"/>
              <w:right w:val="single" w:sz="4" w:space="0" w:color="auto"/>
            </w:tcBorders>
            <w:shd w:val="clear" w:color="auto" w:fill="auto"/>
            <w:vAlign w:val="center"/>
            <w:hideMark/>
          </w:tcPr>
          <w:p w14:paraId="1293116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KLP,SPAK,BKH, PP</w:t>
            </w:r>
          </w:p>
        </w:tc>
        <w:tc>
          <w:tcPr>
            <w:tcW w:w="1710" w:type="dxa"/>
            <w:tcBorders>
              <w:top w:val="nil"/>
              <w:left w:val="nil"/>
              <w:bottom w:val="single" w:sz="4" w:space="0" w:color="auto"/>
              <w:right w:val="single" w:sz="4" w:space="0" w:color="auto"/>
            </w:tcBorders>
            <w:shd w:val="clear" w:color="000000" w:fill="DDEBF7"/>
            <w:vAlign w:val="center"/>
            <w:hideMark/>
          </w:tcPr>
          <w:p w14:paraId="2F0F7F4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091842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6B02894"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7209B33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92D685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4.3.5.3 Krijohen module për magjistratët që kanë përvojë në detyrë deri në 5 vjet </w:t>
            </w:r>
          </w:p>
        </w:tc>
        <w:tc>
          <w:tcPr>
            <w:tcW w:w="1890" w:type="dxa"/>
            <w:tcBorders>
              <w:top w:val="nil"/>
              <w:left w:val="nil"/>
              <w:bottom w:val="single" w:sz="4" w:space="0" w:color="auto"/>
              <w:right w:val="single" w:sz="4" w:space="0" w:color="auto"/>
            </w:tcBorders>
            <w:shd w:val="clear" w:color="auto" w:fill="auto"/>
            <w:vAlign w:val="center"/>
            <w:hideMark/>
          </w:tcPr>
          <w:p w14:paraId="5E08111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4" w:space="0" w:color="auto"/>
              <w:right w:val="single" w:sz="4" w:space="0" w:color="auto"/>
            </w:tcBorders>
            <w:shd w:val="clear" w:color="auto" w:fill="auto"/>
            <w:vAlign w:val="center"/>
            <w:hideMark/>
          </w:tcPr>
          <w:p w14:paraId="7684909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710" w:type="dxa"/>
            <w:tcBorders>
              <w:top w:val="nil"/>
              <w:left w:val="nil"/>
              <w:bottom w:val="single" w:sz="4" w:space="0" w:color="auto"/>
              <w:right w:val="single" w:sz="4" w:space="0" w:color="auto"/>
            </w:tcBorders>
            <w:shd w:val="clear" w:color="000000" w:fill="DDEBF7"/>
            <w:vAlign w:val="center"/>
            <w:hideMark/>
          </w:tcPr>
          <w:p w14:paraId="56AB1C7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D70AD2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92B3C2A"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0F11AD9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43CCB40"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4.3.5.4 SHM siguron ekspertizen dhe realizon aktivitete trajnuese per temat specifike.</w:t>
            </w:r>
          </w:p>
        </w:tc>
        <w:tc>
          <w:tcPr>
            <w:tcW w:w="1890" w:type="dxa"/>
            <w:tcBorders>
              <w:top w:val="nil"/>
              <w:left w:val="nil"/>
              <w:bottom w:val="single" w:sz="4" w:space="0" w:color="auto"/>
              <w:right w:val="single" w:sz="4" w:space="0" w:color="auto"/>
            </w:tcBorders>
            <w:shd w:val="clear" w:color="auto" w:fill="auto"/>
            <w:vAlign w:val="center"/>
            <w:hideMark/>
          </w:tcPr>
          <w:p w14:paraId="1B4E30D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4" w:space="0" w:color="auto"/>
              <w:right w:val="single" w:sz="4" w:space="0" w:color="auto"/>
            </w:tcBorders>
            <w:shd w:val="clear" w:color="auto" w:fill="auto"/>
            <w:vAlign w:val="center"/>
            <w:hideMark/>
          </w:tcPr>
          <w:p w14:paraId="21B472B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710" w:type="dxa"/>
            <w:tcBorders>
              <w:top w:val="nil"/>
              <w:left w:val="nil"/>
              <w:bottom w:val="single" w:sz="4" w:space="0" w:color="auto"/>
              <w:right w:val="single" w:sz="4" w:space="0" w:color="auto"/>
            </w:tcBorders>
            <w:shd w:val="clear" w:color="000000" w:fill="DDEBF7"/>
            <w:vAlign w:val="center"/>
            <w:hideMark/>
          </w:tcPr>
          <w:p w14:paraId="22A26CD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C36461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D965941"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6AAFFB5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C4AEC08"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4.3.5.5 SHM realizon trajnime trajnerësh për të garantuar që metodologjia e trajnimit është e unifikuar</w:t>
            </w:r>
          </w:p>
        </w:tc>
        <w:tc>
          <w:tcPr>
            <w:tcW w:w="1890" w:type="dxa"/>
            <w:tcBorders>
              <w:top w:val="nil"/>
              <w:left w:val="nil"/>
              <w:bottom w:val="single" w:sz="4" w:space="0" w:color="auto"/>
              <w:right w:val="single" w:sz="4" w:space="0" w:color="auto"/>
            </w:tcBorders>
            <w:shd w:val="clear" w:color="auto" w:fill="auto"/>
            <w:vAlign w:val="center"/>
            <w:hideMark/>
          </w:tcPr>
          <w:p w14:paraId="614DF98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4" w:space="0" w:color="auto"/>
              <w:right w:val="single" w:sz="4" w:space="0" w:color="auto"/>
            </w:tcBorders>
            <w:shd w:val="clear" w:color="auto" w:fill="auto"/>
            <w:vAlign w:val="center"/>
            <w:hideMark/>
          </w:tcPr>
          <w:p w14:paraId="076A650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7B2346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A91271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1049FCA"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2BEAE4A9"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6D52FD4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4.3.5.6 SHM vlereson ecurine e aktiviteteve trajnuese permes mekanzimave te vleresimit qe ka ne dispozicion </w:t>
            </w:r>
          </w:p>
        </w:tc>
        <w:tc>
          <w:tcPr>
            <w:tcW w:w="1890" w:type="dxa"/>
            <w:tcBorders>
              <w:top w:val="nil"/>
              <w:left w:val="nil"/>
              <w:bottom w:val="single" w:sz="8" w:space="0" w:color="auto"/>
              <w:right w:val="single" w:sz="4" w:space="0" w:color="auto"/>
            </w:tcBorders>
            <w:shd w:val="clear" w:color="auto" w:fill="auto"/>
            <w:vAlign w:val="center"/>
            <w:hideMark/>
          </w:tcPr>
          <w:p w14:paraId="23CAD35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8" w:space="0" w:color="auto"/>
              <w:right w:val="single" w:sz="4" w:space="0" w:color="auto"/>
            </w:tcBorders>
            <w:shd w:val="clear" w:color="auto" w:fill="auto"/>
            <w:vAlign w:val="center"/>
            <w:hideMark/>
          </w:tcPr>
          <w:p w14:paraId="3719E4D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776D66E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3B11480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B6996F2" w14:textId="77777777" w:rsidTr="0018109D">
        <w:trPr>
          <w:trHeight w:val="948"/>
        </w:trPr>
        <w:tc>
          <w:tcPr>
            <w:tcW w:w="1790" w:type="dxa"/>
            <w:tcBorders>
              <w:top w:val="nil"/>
              <w:left w:val="single" w:sz="8" w:space="0" w:color="auto"/>
              <w:bottom w:val="nil"/>
              <w:right w:val="single" w:sz="4" w:space="0" w:color="auto"/>
            </w:tcBorders>
            <w:shd w:val="clear" w:color="auto" w:fill="auto"/>
            <w:vAlign w:val="center"/>
            <w:hideMark/>
          </w:tcPr>
          <w:p w14:paraId="4972D628"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4.3.6 Kryerja e analizës së përputhshmërisë së metodologjisë për vlerësimin e trajnerëve me standardet evropiane.</w:t>
            </w:r>
          </w:p>
        </w:tc>
        <w:tc>
          <w:tcPr>
            <w:tcW w:w="2520" w:type="dxa"/>
            <w:tcBorders>
              <w:top w:val="nil"/>
              <w:left w:val="nil"/>
              <w:bottom w:val="nil"/>
              <w:right w:val="single" w:sz="4" w:space="0" w:color="auto"/>
            </w:tcBorders>
            <w:shd w:val="clear" w:color="auto" w:fill="auto"/>
            <w:vAlign w:val="center"/>
            <w:hideMark/>
          </w:tcPr>
          <w:p w14:paraId="558EAB3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4.3.6.1 SHM ngre një grup pune për analizimin e metodologjisë së vlerësimit të trajnerëve</w:t>
            </w:r>
          </w:p>
        </w:tc>
        <w:tc>
          <w:tcPr>
            <w:tcW w:w="1890" w:type="dxa"/>
            <w:tcBorders>
              <w:top w:val="nil"/>
              <w:left w:val="nil"/>
              <w:bottom w:val="nil"/>
              <w:right w:val="single" w:sz="4" w:space="0" w:color="auto"/>
            </w:tcBorders>
            <w:shd w:val="clear" w:color="auto" w:fill="auto"/>
            <w:vAlign w:val="center"/>
            <w:hideMark/>
          </w:tcPr>
          <w:p w14:paraId="5D4AA83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nil"/>
              <w:right w:val="single" w:sz="4" w:space="0" w:color="auto"/>
            </w:tcBorders>
            <w:shd w:val="clear" w:color="auto" w:fill="auto"/>
            <w:vAlign w:val="center"/>
            <w:hideMark/>
          </w:tcPr>
          <w:p w14:paraId="1424BE1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nil"/>
              <w:right w:val="single" w:sz="4" w:space="0" w:color="auto"/>
            </w:tcBorders>
            <w:shd w:val="clear" w:color="000000" w:fill="DDEBF7"/>
            <w:vAlign w:val="center"/>
            <w:hideMark/>
          </w:tcPr>
          <w:p w14:paraId="609C7BD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nil"/>
              <w:right w:val="single" w:sz="8" w:space="0" w:color="auto"/>
            </w:tcBorders>
            <w:shd w:val="clear" w:color="000000" w:fill="DDEBF7"/>
            <w:vAlign w:val="center"/>
            <w:hideMark/>
          </w:tcPr>
          <w:p w14:paraId="6E472BD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53F9DACF" w14:textId="77777777" w:rsidTr="0018109D">
        <w:trPr>
          <w:trHeight w:val="960"/>
        </w:trPr>
        <w:tc>
          <w:tcPr>
            <w:tcW w:w="179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CD09276" w14:textId="1CAC3EEE"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4.3.7 Përgatitja e metodologjisë së re për vlerësimin e trajnerëve bazuar në rezultatet e analizës së përputhshmërisë</w:t>
            </w:r>
          </w:p>
        </w:tc>
        <w:tc>
          <w:tcPr>
            <w:tcW w:w="2520" w:type="dxa"/>
            <w:tcBorders>
              <w:top w:val="single" w:sz="8" w:space="0" w:color="auto"/>
              <w:left w:val="nil"/>
              <w:bottom w:val="single" w:sz="4" w:space="0" w:color="auto"/>
              <w:right w:val="single" w:sz="4" w:space="0" w:color="auto"/>
            </w:tcBorders>
            <w:shd w:val="clear" w:color="000000" w:fill="FFFFFF"/>
            <w:vAlign w:val="center"/>
            <w:hideMark/>
          </w:tcPr>
          <w:p w14:paraId="488F9CD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4.3.7.1 SHM harton dhe miraton ndryshimet e nevojshme dhe i bën pjesë të Rregullores së Brendshme. </w:t>
            </w:r>
          </w:p>
        </w:tc>
        <w:tc>
          <w:tcPr>
            <w:tcW w:w="1890" w:type="dxa"/>
            <w:tcBorders>
              <w:top w:val="single" w:sz="8" w:space="0" w:color="auto"/>
              <w:left w:val="nil"/>
              <w:bottom w:val="single" w:sz="4" w:space="0" w:color="auto"/>
              <w:right w:val="single" w:sz="4" w:space="0" w:color="auto"/>
            </w:tcBorders>
            <w:shd w:val="clear" w:color="auto" w:fill="auto"/>
            <w:vAlign w:val="center"/>
            <w:hideMark/>
          </w:tcPr>
          <w:p w14:paraId="488009F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730B3539"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single" w:sz="8" w:space="0" w:color="auto"/>
              <w:left w:val="nil"/>
              <w:bottom w:val="single" w:sz="4" w:space="0" w:color="auto"/>
              <w:right w:val="single" w:sz="4" w:space="0" w:color="auto"/>
            </w:tcBorders>
            <w:shd w:val="clear" w:color="000000" w:fill="DDEBF7"/>
            <w:vAlign w:val="center"/>
            <w:hideMark/>
          </w:tcPr>
          <w:p w14:paraId="1005CC8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single" w:sz="8" w:space="0" w:color="auto"/>
              <w:left w:val="nil"/>
              <w:bottom w:val="single" w:sz="4" w:space="0" w:color="auto"/>
              <w:right w:val="single" w:sz="8" w:space="0" w:color="auto"/>
            </w:tcBorders>
            <w:shd w:val="clear" w:color="000000" w:fill="DDEBF7"/>
            <w:vAlign w:val="center"/>
            <w:hideMark/>
          </w:tcPr>
          <w:p w14:paraId="49837A5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18905AD5" w14:textId="77777777" w:rsidTr="0018109D">
        <w:trPr>
          <w:trHeight w:val="960"/>
        </w:trPr>
        <w:tc>
          <w:tcPr>
            <w:tcW w:w="1790" w:type="dxa"/>
            <w:vMerge/>
            <w:tcBorders>
              <w:top w:val="single" w:sz="8" w:space="0" w:color="auto"/>
              <w:left w:val="single" w:sz="8" w:space="0" w:color="auto"/>
              <w:bottom w:val="single" w:sz="8" w:space="0" w:color="000000"/>
              <w:right w:val="single" w:sz="4" w:space="0" w:color="auto"/>
            </w:tcBorders>
            <w:vAlign w:val="center"/>
            <w:hideMark/>
          </w:tcPr>
          <w:p w14:paraId="334C2AA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000000" w:fill="FFFFFF"/>
            <w:vAlign w:val="center"/>
            <w:hideMark/>
          </w:tcPr>
          <w:p w14:paraId="0C0D921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4.3.7.2 SHM publikon në faqen zyrtare metodologjinë e vlerësimit.</w:t>
            </w:r>
          </w:p>
        </w:tc>
        <w:tc>
          <w:tcPr>
            <w:tcW w:w="1890" w:type="dxa"/>
            <w:tcBorders>
              <w:top w:val="nil"/>
              <w:left w:val="nil"/>
              <w:bottom w:val="single" w:sz="8" w:space="0" w:color="auto"/>
              <w:right w:val="single" w:sz="4" w:space="0" w:color="auto"/>
            </w:tcBorders>
            <w:shd w:val="clear" w:color="auto" w:fill="auto"/>
            <w:vAlign w:val="center"/>
            <w:hideMark/>
          </w:tcPr>
          <w:p w14:paraId="7FA9C65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8" w:space="0" w:color="auto"/>
              <w:right w:val="single" w:sz="4" w:space="0" w:color="auto"/>
            </w:tcBorders>
            <w:shd w:val="clear" w:color="auto" w:fill="auto"/>
            <w:vAlign w:val="center"/>
            <w:hideMark/>
          </w:tcPr>
          <w:p w14:paraId="2F2A8625"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0D68F63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0EBA350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1D766DBF" w14:textId="77777777" w:rsidTr="0018109D">
        <w:trPr>
          <w:trHeight w:val="96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74F94D55"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4.3.8 Shkolla është e angazhuar në veprimtari studimi dhe kërkimi në fusha prioritare të së drejtës dhe nxjerr produkte shkencore dhe informuese në funksion të aktorëve të sistemit të drejtësisë</w:t>
            </w:r>
          </w:p>
        </w:tc>
        <w:tc>
          <w:tcPr>
            <w:tcW w:w="2520" w:type="dxa"/>
            <w:tcBorders>
              <w:top w:val="nil"/>
              <w:left w:val="nil"/>
              <w:bottom w:val="single" w:sz="4" w:space="0" w:color="auto"/>
              <w:right w:val="single" w:sz="4" w:space="0" w:color="auto"/>
            </w:tcBorders>
            <w:shd w:val="clear" w:color="000000" w:fill="FFFFFF"/>
            <w:vAlign w:val="center"/>
            <w:hideMark/>
          </w:tcPr>
          <w:p w14:paraId="1B189950"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4.3.8.1 SHM publikon në mënyrë periodike buletinet e trajnimeve vazhduese;  </w:t>
            </w:r>
          </w:p>
        </w:tc>
        <w:tc>
          <w:tcPr>
            <w:tcW w:w="1890" w:type="dxa"/>
            <w:tcBorders>
              <w:top w:val="nil"/>
              <w:left w:val="nil"/>
              <w:bottom w:val="single" w:sz="4" w:space="0" w:color="auto"/>
              <w:right w:val="single" w:sz="4" w:space="0" w:color="auto"/>
            </w:tcBorders>
            <w:shd w:val="clear" w:color="auto" w:fill="auto"/>
            <w:vAlign w:val="center"/>
            <w:hideMark/>
          </w:tcPr>
          <w:p w14:paraId="19BE470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4" w:space="0" w:color="auto"/>
              <w:right w:val="single" w:sz="4" w:space="0" w:color="auto"/>
            </w:tcBorders>
            <w:shd w:val="clear" w:color="auto" w:fill="auto"/>
            <w:vAlign w:val="center"/>
            <w:hideMark/>
          </w:tcPr>
          <w:p w14:paraId="33B80E38"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7064E0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7ECAB5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A149863"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635CE7E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000000" w:fill="FFFFFF"/>
            <w:vAlign w:val="center"/>
            <w:hideMark/>
          </w:tcPr>
          <w:p w14:paraId="7E38F5C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4.3.8.2 SHM boton revistën "Magjistrati" dhe revistën "Jeta Juridike" cdo vit akademik;</w:t>
            </w:r>
          </w:p>
        </w:tc>
        <w:tc>
          <w:tcPr>
            <w:tcW w:w="1890" w:type="dxa"/>
            <w:tcBorders>
              <w:top w:val="nil"/>
              <w:left w:val="nil"/>
              <w:bottom w:val="single" w:sz="4" w:space="0" w:color="auto"/>
              <w:right w:val="single" w:sz="4" w:space="0" w:color="auto"/>
            </w:tcBorders>
            <w:shd w:val="clear" w:color="auto" w:fill="auto"/>
            <w:vAlign w:val="center"/>
            <w:hideMark/>
          </w:tcPr>
          <w:p w14:paraId="6A3AFA3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4" w:space="0" w:color="auto"/>
              <w:right w:val="single" w:sz="4" w:space="0" w:color="auto"/>
            </w:tcBorders>
            <w:shd w:val="clear" w:color="auto" w:fill="auto"/>
            <w:vAlign w:val="center"/>
            <w:hideMark/>
          </w:tcPr>
          <w:p w14:paraId="739CE42B"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64EA329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7A2C2B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85A3A1F"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5326C06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000000" w:fill="FFFFFF"/>
            <w:vAlign w:val="center"/>
            <w:hideMark/>
          </w:tcPr>
          <w:p w14:paraId="10AF9F8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4.3.8.3 SHM harton një plan botimi sipas rregullave të parashikuara në Rregulloren e Brendshme të ShM;</w:t>
            </w:r>
          </w:p>
        </w:tc>
        <w:tc>
          <w:tcPr>
            <w:tcW w:w="1890" w:type="dxa"/>
            <w:tcBorders>
              <w:top w:val="nil"/>
              <w:left w:val="nil"/>
              <w:bottom w:val="single" w:sz="4" w:space="0" w:color="auto"/>
              <w:right w:val="single" w:sz="4" w:space="0" w:color="auto"/>
            </w:tcBorders>
            <w:shd w:val="clear" w:color="auto" w:fill="auto"/>
            <w:vAlign w:val="center"/>
            <w:hideMark/>
          </w:tcPr>
          <w:p w14:paraId="3C88112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4" w:space="0" w:color="auto"/>
              <w:right w:val="single" w:sz="4" w:space="0" w:color="auto"/>
            </w:tcBorders>
            <w:shd w:val="clear" w:color="auto" w:fill="auto"/>
            <w:vAlign w:val="center"/>
            <w:hideMark/>
          </w:tcPr>
          <w:p w14:paraId="4B05E7F8"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CA0EBC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04825DE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3065B7C"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587475C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000000" w:fill="FFFFFF"/>
            <w:vAlign w:val="center"/>
            <w:hideMark/>
          </w:tcPr>
          <w:p w14:paraId="06D6335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4.3.8.4 SHM nxit ecurinë e veprimtarive studimore përmes kontakteve të vazhdueshme me magjistratët, pedagogët, kandidatët për magjistratë dhe aktorë të tjerë të sistemit.</w:t>
            </w:r>
          </w:p>
        </w:tc>
        <w:tc>
          <w:tcPr>
            <w:tcW w:w="1890" w:type="dxa"/>
            <w:tcBorders>
              <w:top w:val="nil"/>
              <w:left w:val="nil"/>
              <w:bottom w:val="single" w:sz="8" w:space="0" w:color="auto"/>
              <w:right w:val="single" w:sz="4" w:space="0" w:color="auto"/>
            </w:tcBorders>
            <w:shd w:val="clear" w:color="auto" w:fill="auto"/>
            <w:vAlign w:val="center"/>
            <w:hideMark/>
          </w:tcPr>
          <w:p w14:paraId="627BB23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8" w:space="0" w:color="auto"/>
              <w:right w:val="single" w:sz="4" w:space="0" w:color="auto"/>
            </w:tcBorders>
            <w:shd w:val="clear" w:color="auto" w:fill="auto"/>
            <w:vAlign w:val="center"/>
            <w:hideMark/>
          </w:tcPr>
          <w:p w14:paraId="3E700719"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6ACD293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5BB3FD3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1B8650C" w14:textId="77777777" w:rsidTr="0018109D">
        <w:trPr>
          <w:trHeight w:val="924"/>
        </w:trPr>
        <w:tc>
          <w:tcPr>
            <w:tcW w:w="4310" w:type="dxa"/>
            <w:gridSpan w:val="2"/>
            <w:tcBorders>
              <w:top w:val="nil"/>
              <w:left w:val="single" w:sz="8" w:space="0" w:color="auto"/>
              <w:bottom w:val="single" w:sz="8" w:space="0" w:color="auto"/>
              <w:right w:val="nil"/>
            </w:tcBorders>
            <w:shd w:val="clear" w:color="000000" w:fill="9CC2E5"/>
            <w:vAlign w:val="center"/>
            <w:hideMark/>
          </w:tcPr>
          <w:p w14:paraId="45F06D7A"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4.4:</w:t>
            </w:r>
          </w:p>
        </w:tc>
        <w:tc>
          <w:tcPr>
            <w:tcW w:w="6480" w:type="dxa"/>
            <w:gridSpan w:val="4"/>
            <w:tcBorders>
              <w:top w:val="nil"/>
              <w:left w:val="single" w:sz="8" w:space="0" w:color="auto"/>
              <w:bottom w:val="single" w:sz="8" w:space="0" w:color="auto"/>
              <w:right w:val="single" w:sz="8" w:space="0" w:color="000000"/>
            </w:tcBorders>
            <w:shd w:val="clear" w:color="000000" w:fill="9CC2E5"/>
            <w:vAlign w:val="center"/>
            <w:hideMark/>
          </w:tcPr>
          <w:p w14:paraId="33A4BB76"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Sigurimi i aksesit në vendimet e gjykatave dhe qëndrueshmërisë së praktikave gjyqësore me qëllim përmirësimin e cilësisë së arsyetimit të vendimeve</w:t>
            </w:r>
          </w:p>
        </w:tc>
      </w:tr>
      <w:tr w:rsidR="007440A2" w:rsidRPr="007440A2" w14:paraId="7D41F7A5" w14:textId="77777777" w:rsidTr="0018109D">
        <w:trPr>
          <w:trHeight w:val="1656"/>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2A096CA1"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46992C3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Deri ne fund te vitit 2030, 100% e arkivave the gjykatave jane digjitalizuar, per te garantuar modernizimin e  të sistemit gjyqësor,  per te  lehtësuar aksesin në dokumente dhe per te përmirësuar eficiencën në menaxhimin e çështjeve.</w:t>
            </w:r>
          </w:p>
        </w:tc>
      </w:tr>
      <w:tr w:rsidR="007440A2" w:rsidRPr="007440A2" w14:paraId="6140265B" w14:textId="77777777" w:rsidTr="0018109D">
        <w:trPr>
          <w:trHeight w:val="540"/>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66C66196"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639AA004"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3DF9A234"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2CD07C2F"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5538E200"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02430C6B"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2881A1F0" w14:textId="77777777" w:rsidTr="0018109D">
        <w:trPr>
          <w:trHeight w:val="96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750C67D2"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4.4.1 Gjykata Kushtetetuese përmirëson aksesin në praktikën e saj gjyqësore</w:t>
            </w:r>
          </w:p>
        </w:tc>
        <w:tc>
          <w:tcPr>
            <w:tcW w:w="2520" w:type="dxa"/>
            <w:tcBorders>
              <w:top w:val="nil"/>
              <w:left w:val="nil"/>
              <w:bottom w:val="single" w:sz="4" w:space="0" w:color="auto"/>
              <w:right w:val="single" w:sz="4" w:space="0" w:color="auto"/>
            </w:tcBorders>
            <w:shd w:val="clear" w:color="000000" w:fill="FFFFFF"/>
            <w:vAlign w:val="center"/>
            <w:hideMark/>
          </w:tcPr>
          <w:p w14:paraId="77F7D04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4.4.1.1 Ri-dizenjmi i faqes zyrtare të internetit me qëllim lehtësimin e aksesit në praktikën gjyqësore të Gjykatës Kushtetuese </w:t>
            </w:r>
          </w:p>
        </w:tc>
        <w:tc>
          <w:tcPr>
            <w:tcW w:w="1890" w:type="dxa"/>
            <w:tcBorders>
              <w:top w:val="nil"/>
              <w:left w:val="nil"/>
              <w:bottom w:val="single" w:sz="4" w:space="0" w:color="auto"/>
              <w:right w:val="single" w:sz="4" w:space="0" w:color="auto"/>
            </w:tcBorders>
            <w:shd w:val="clear" w:color="000000" w:fill="FFFFFF"/>
            <w:vAlign w:val="center"/>
            <w:hideMark/>
          </w:tcPr>
          <w:p w14:paraId="78FF4BA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w:t>
            </w:r>
          </w:p>
        </w:tc>
        <w:tc>
          <w:tcPr>
            <w:tcW w:w="1620" w:type="dxa"/>
            <w:tcBorders>
              <w:top w:val="nil"/>
              <w:left w:val="nil"/>
              <w:bottom w:val="single" w:sz="4" w:space="0" w:color="auto"/>
              <w:right w:val="single" w:sz="4" w:space="0" w:color="auto"/>
            </w:tcBorders>
            <w:shd w:val="clear" w:color="auto" w:fill="auto"/>
            <w:vAlign w:val="center"/>
            <w:hideMark/>
          </w:tcPr>
          <w:p w14:paraId="75052CBD"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629232F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DBAF62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6998D387"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102E4C6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000000" w:fill="FFFFFF"/>
            <w:vAlign w:val="center"/>
            <w:hideMark/>
          </w:tcPr>
          <w:p w14:paraId="5B34F70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4.4.1.2 Prezantimi dhe komunikimi i ri-dizenjimit të faqes zyrtare të internetit tek publiku</w:t>
            </w:r>
          </w:p>
        </w:tc>
        <w:tc>
          <w:tcPr>
            <w:tcW w:w="1890" w:type="dxa"/>
            <w:tcBorders>
              <w:top w:val="nil"/>
              <w:left w:val="nil"/>
              <w:bottom w:val="single" w:sz="4" w:space="0" w:color="auto"/>
              <w:right w:val="single" w:sz="4" w:space="0" w:color="auto"/>
            </w:tcBorders>
            <w:shd w:val="clear" w:color="000000" w:fill="FFFFFF"/>
            <w:vAlign w:val="center"/>
            <w:hideMark/>
          </w:tcPr>
          <w:p w14:paraId="19F6E1C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w:t>
            </w:r>
          </w:p>
        </w:tc>
        <w:tc>
          <w:tcPr>
            <w:tcW w:w="1620" w:type="dxa"/>
            <w:tcBorders>
              <w:top w:val="nil"/>
              <w:left w:val="nil"/>
              <w:bottom w:val="single" w:sz="4" w:space="0" w:color="auto"/>
              <w:right w:val="single" w:sz="4" w:space="0" w:color="auto"/>
            </w:tcBorders>
            <w:shd w:val="clear" w:color="auto" w:fill="auto"/>
            <w:vAlign w:val="center"/>
            <w:hideMark/>
          </w:tcPr>
          <w:p w14:paraId="2F405547"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214514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707F958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02FA2D42"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26F7E0C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000000" w:fill="FFFFFF"/>
            <w:vAlign w:val="center"/>
            <w:hideMark/>
          </w:tcPr>
          <w:p w14:paraId="0E75DF26"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4.4.1.3 Përgatitja dhe botimi i udhërrëfyesit të parë të jurisprudencës së Gjykatës Kushtetuese (i ngjashëm me modelet e udhërrëfyesve të GJEDNJ-së), i cili përmban standardet dhe precedentët në jurisprudencën e Gjykatës, në funksion të ruajtjes së koherencës dhe sigurisë ligjore. </w:t>
            </w:r>
          </w:p>
        </w:tc>
        <w:tc>
          <w:tcPr>
            <w:tcW w:w="1890" w:type="dxa"/>
            <w:tcBorders>
              <w:top w:val="nil"/>
              <w:left w:val="nil"/>
              <w:bottom w:val="single" w:sz="4" w:space="0" w:color="auto"/>
              <w:right w:val="single" w:sz="4" w:space="0" w:color="auto"/>
            </w:tcBorders>
            <w:shd w:val="clear" w:color="000000" w:fill="FFFFFF"/>
            <w:vAlign w:val="center"/>
            <w:hideMark/>
          </w:tcPr>
          <w:p w14:paraId="5AFE6D8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w:t>
            </w:r>
          </w:p>
        </w:tc>
        <w:tc>
          <w:tcPr>
            <w:tcW w:w="1620" w:type="dxa"/>
            <w:tcBorders>
              <w:top w:val="nil"/>
              <w:left w:val="nil"/>
              <w:bottom w:val="single" w:sz="4" w:space="0" w:color="auto"/>
              <w:right w:val="single" w:sz="4" w:space="0" w:color="auto"/>
            </w:tcBorders>
            <w:shd w:val="clear" w:color="auto" w:fill="auto"/>
            <w:vAlign w:val="center"/>
            <w:hideMark/>
          </w:tcPr>
          <w:p w14:paraId="6DBC9AC6"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778A89C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8D3734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r>
      <w:tr w:rsidR="007440A2" w:rsidRPr="007440A2" w14:paraId="0E6D52F9"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52A6F4D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000000" w:fill="FFFFFF"/>
            <w:vAlign w:val="center"/>
            <w:hideMark/>
          </w:tcPr>
          <w:p w14:paraId="6A0CFC2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4.4.1.4 Përgatitja dhe botimi i buletinit periodik të vendimmarrjes së Gjykatës Kushtetuese, i cili përmban përmbledhje të vendimeve përfundimtare të Gjykatës në gjuhën shqipe dhe angleze. </w:t>
            </w:r>
          </w:p>
        </w:tc>
        <w:tc>
          <w:tcPr>
            <w:tcW w:w="1890" w:type="dxa"/>
            <w:tcBorders>
              <w:top w:val="nil"/>
              <w:left w:val="nil"/>
              <w:bottom w:val="single" w:sz="8" w:space="0" w:color="auto"/>
              <w:right w:val="single" w:sz="4" w:space="0" w:color="auto"/>
            </w:tcBorders>
            <w:shd w:val="clear" w:color="000000" w:fill="FFFFFF"/>
            <w:vAlign w:val="center"/>
            <w:hideMark/>
          </w:tcPr>
          <w:p w14:paraId="0F337A8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w:t>
            </w:r>
          </w:p>
        </w:tc>
        <w:tc>
          <w:tcPr>
            <w:tcW w:w="1620" w:type="dxa"/>
            <w:tcBorders>
              <w:top w:val="nil"/>
              <w:left w:val="nil"/>
              <w:bottom w:val="single" w:sz="8" w:space="0" w:color="auto"/>
              <w:right w:val="single" w:sz="4" w:space="0" w:color="auto"/>
            </w:tcBorders>
            <w:shd w:val="clear" w:color="auto" w:fill="auto"/>
            <w:vAlign w:val="center"/>
            <w:hideMark/>
          </w:tcPr>
          <w:p w14:paraId="44EF8220"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335FE89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016B5A2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87448E9" w14:textId="77777777" w:rsidTr="0018109D">
        <w:trPr>
          <w:trHeight w:val="96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1314C9AB"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4.4.2 KLGJ-ja siguron publikimin dhe përmirëson kërkueshmërinë e vendimeve gjyqësore, veçanërisht të Gjykatës së Lartë. </w:t>
            </w:r>
          </w:p>
        </w:tc>
        <w:tc>
          <w:tcPr>
            <w:tcW w:w="2520" w:type="dxa"/>
            <w:tcBorders>
              <w:top w:val="nil"/>
              <w:left w:val="nil"/>
              <w:bottom w:val="single" w:sz="4" w:space="0" w:color="auto"/>
              <w:right w:val="single" w:sz="4" w:space="0" w:color="auto"/>
            </w:tcBorders>
            <w:shd w:val="clear" w:color="auto" w:fill="auto"/>
            <w:vAlign w:val="center"/>
            <w:hideMark/>
          </w:tcPr>
          <w:p w14:paraId="1F894E5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4.4.2.1 Analizë mbi gjendjen aktuale të publikimit dhe kërkueshmërisë së vendimeve të gjykatave  duke përfshirë rekomandimet për krijimin e mjeteve të kërkimit të TI-së; </w:t>
            </w:r>
          </w:p>
        </w:tc>
        <w:tc>
          <w:tcPr>
            <w:tcW w:w="1890" w:type="dxa"/>
            <w:tcBorders>
              <w:top w:val="nil"/>
              <w:left w:val="nil"/>
              <w:bottom w:val="single" w:sz="4" w:space="0" w:color="auto"/>
              <w:right w:val="single" w:sz="4" w:space="0" w:color="auto"/>
            </w:tcBorders>
            <w:shd w:val="clear" w:color="auto" w:fill="auto"/>
            <w:vAlign w:val="center"/>
            <w:hideMark/>
          </w:tcPr>
          <w:p w14:paraId="719058E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4" w:space="0" w:color="auto"/>
            </w:tcBorders>
            <w:shd w:val="clear" w:color="auto" w:fill="auto"/>
            <w:vAlign w:val="center"/>
            <w:hideMark/>
          </w:tcPr>
          <w:p w14:paraId="49AF9BED"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70FDBB0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50FCAC8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7D24A09A"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701DC22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0AE0BCA"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4.4.2.2 Raport mbi zbatimin e rezultateve të analizës. </w:t>
            </w:r>
          </w:p>
        </w:tc>
        <w:tc>
          <w:tcPr>
            <w:tcW w:w="1890" w:type="dxa"/>
            <w:tcBorders>
              <w:top w:val="nil"/>
              <w:left w:val="nil"/>
              <w:bottom w:val="single" w:sz="4" w:space="0" w:color="auto"/>
              <w:right w:val="single" w:sz="4" w:space="0" w:color="auto"/>
            </w:tcBorders>
            <w:shd w:val="clear" w:color="auto" w:fill="auto"/>
            <w:vAlign w:val="center"/>
            <w:hideMark/>
          </w:tcPr>
          <w:p w14:paraId="7007121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4" w:space="0" w:color="auto"/>
            </w:tcBorders>
            <w:shd w:val="clear" w:color="auto" w:fill="auto"/>
            <w:vAlign w:val="center"/>
            <w:hideMark/>
          </w:tcPr>
          <w:p w14:paraId="5A4D9754"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6DB35A5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49D99D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5FD4D24A" w14:textId="77777777" w:rsidTr="0018109D">
        <w:trPr>
          <w:trHeight w:val="960"/>
        </w:trPr>
        <w:tc>
          <w:tcPr>
            <w:tcW w:w="1790" w:type="dxa"/>
            <w:vMerge/>
            <w:tcBorders>
              <w:top w:val="nil"/>
              <w:left w:val="single" w:sz="8" w:space="0" w:color="auto"/>
              <w:bottom w:val="single" w:sz="8" w:space="0" w:color="000000"/>
              <w:right w:val="single" w:sz="4" w:space="0" w:color="auto"/>
            </w:tcBorders>
            <w:vAlign w:val="center"/>
            <w:hideMark/>
          </w:tcPr>
          <w:p w14:paraId="013234A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E1B86B8" w14:textId="36A50044"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4.4.2.3 Ri-dizenjimi i faqes zyrtare </w:t>
            </w:r>
            <w:r w:rsidR="00CE1035" w:rsidRPr="007440A2">
              <w:rPr>
                <w:rFonts w:ascii="Times New Roman" w:eastAsia="Times New Roman" w:hAnsi="Times New Roman" w:cs="Times New Roman"/>
                <w:sz w:val="20"/>
                <w:szCs w:val="20"/>
              </w:rPr>
              <w:t>ë</w:t>
            </w:r>
            <w:r w:rsidRPr="007440A2">
              <w:rPr>
                <w:rFonts w:ascii="Times New Roman" w:eastAsia="Times New Roman" w:hAnsi="Times New Roman" w:cs="Times New Roman"/>
                <w:sz w:val="20"/>
                <w:szCs w:val="20"/>
              </w:rPr>
              <w:t>eb të Gjykatës së Lartë me qëllim përmirësimin e kërkueshmërisë së vendimeve të Gjykatës së Lartë</w:t>
            </w:r>
          </w:p>
        </w:tc>
        <w:tc>
          <w:tcPr>
            <w:tcW w:w="1890" w:type="dxa"/>
            <w:tcBorders>
              <w:top w:val="nil"/>
              <w:left w:val="nil"/>
              <w:bottom w:val="single" w:sz="4" w:space="0" w:color="auto"/>
              <w:right w:val="single" w:sz="4" w:space="0" w:color="auto"/>
            </w:tcBorders>
            <w:shd w:val="clear" w:color="auto" w:fill="auto"/>
            <w:vAlign w:val="center"/>
            <w:hideMark/>
          </w:tcPr>
          <w:p w14:paraId="010C31B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GJL</w:t>
            </w:r>
          </w:p>
        </w:tc>
        <w:tc>
          <w:tcPr>
            <w:tcW w:w="1620" w:type="dxa"/>
            <w:tcBorders>
              <w:top w:val="nil"/>
              <w:left w:val="nil"/>
              <w:bottom w:val="single" w:sz="4" w:space="0" w:color="auto"/>
              <w:right w:val="single" w:sz="4" w:space="0" w:color="auto"/>
            </w:tcBorders>
            <w:shd w:val="clear" w:color="auto" w:fill="auto"/>
            <w:vAlign w:val="center"/>
            <w:hideMark/>
          </w:tcPr>
          <w:p w14:paraId="4BDB0115"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2BC55BC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D5F65E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4638E395" w14:textId="77777777" w:rsidTr="0018109D">
        <w:trPr>
          <w:trHeight w:val="585"/>
        </w:trPr>
        <w:tc>
          <w:tcPr>
            <w:tcW w:w="1790" w:type="dxa"/>
            <w:vMerge/>
            <w:tcBorders>
              <w:top w:val="nil"/>
              <w:left w:val="single" w:sz="8" w:space="0" w:color="auto"/>
              <w:bottom w:val="single" w:sz="8" w:space="0" w:color="000000"/>
              <w:right w:val="single" w:sz="4" w:space="0" w:color="auto"/>
            </w:tcBorders>
            <w:vAlign w:val="center"/>
            <w:hideMark/>
          </w:tcPr>
          <w:p w14:paraId="0294416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0C9D715F"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4.4.2.4 Publikimi i vazhdueshëm i të gjithë vendimeve të Gjykatës së Lartë </w:t>
            </w:r>
          </w:p>
        </w:tc>
        <w:tc>
          <w:tcPr>
            <w:tcW w:w="1890" w:type="dxa"/>
            <w:tcBorders>
              <w:top w:val="nil"/>
              <w:left w:val="nil"/>
              <w:bottom w:val="single" w:sz="8" w:space="0" w:color="auto"/>
              <w:right w:val="single" w:sz="4" w:space="0" w:color="auto"/>
            </w:tcBorders>
            <w:shd w:val="clear" w:color="auto" w:fill="auto"/>
            <w:vAlign w:val="center"/>
            <w:hideMark/>
          </w:tcPr>
          <w:p w14:paraId="0F130D6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GJL</w:t>
            </w:r>
          </w:p>
        </w:tc>
        <w:tc>
          <w:tcPr>
            <w:tcW w:w="1620" w:type="dxa"/>
            <w:tcBorders>
              <w:top w:val="nil"/>
              <w:left w:val="nil"/>
              <w:bottom w:val="single" w:sz="8" w:space="0" w:color="auto"/>
              <w:right w:val="single" w:sz="4" w:space="0" w:color="auto"/>
            </w:tcBorders>
            <w:shd w:val="clear" w:color="auto" w:fill="auto"/>
            <w:vAlign w:val="center"/>
            <w:hideMark/>
          </w:tcPr>
          <w:p w14:paraId="68F5E240"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3BF5AAE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5AA9FC1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3A003D1" w14:textId="77777777" w:rsidTr="0018109D">
        <w:trPr>
          <w:trHeight w:val="1332"/>
        </w:trPr>
        <w:tc>
          <w:tcPr>
            <w:tcW w:w="1790" w:type="dxa"/>
            <w:tcBorders>
              <w:top w:val="nil"/>
              <w:left w:val="single" w:sz="8" w:space="0" w:color="auto"/>
              <w:bottom w:val="single" w:sz="8" w:space="0" w:color="auto"/>
              <w:right w:val="single" w:sz="4" w:space="0" w:color="auto"/>
            </w:tcBorders>
            <w:shd w:val="clear" w:color="auto" w:fill="auto"/>
            <w:vAlign w:val="center"/>
            <w:hideMark/>
          </w:tcPr>
          <w:p w14:paraId="0F7FB42F"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4.4.3 SHM-ja ofron trajnime për hulumtimin dhe analizën e çështjeve gjyqësore.</w:t>
            </w:r>
          </w:p>
        </w:tc>
        <w:tc>
          <w:tcPr>
            <w:tcW w:w="2520" w:type="dxa"/>
            <w:tcBorders>
              <w:top w:val="nil"/>
              <w:left w:val="nil"/>
              <w:bottom w:val="single" w:sz="8" w:space="0" w:color="auto"/>
              <w:right w:val="single" w:sz="4" w:space="0" w:color="auto"/>
            </w:tcBorders>
            <w:shd w:val="clear" w:color="auto" w:fill="auto"/>
            <w:vAlign w:val="center"/>
            <w:hideMark/>
          </w:tcPr>
          <w:p w14:paraId="3130158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4.4.3.1 Hartimi dhe zbatimi i një moduli të veçantë për metodat e kërkimit dhe analizën e çështjeve gjyqësore i fokusuar për ndihmësit dhe këshilltarët ligjorë</w:t>
            </w:r>
          </w:p>
        </w:tc>
        <w:tc>
          <w:tcPr>
            <w:tcW w:w="1890" w:type="dxa"/>
            <w:tcBorders>
              <w:top w:val="nil"/>
              <w:left w:val="nil"/>
              <w:bottom w:val="single" w:sz="8" w:space="0" w:color="auto"/>
              <w:right w:val="single" w:sz="4" w:space="0" w:color="auto"/>
            </w:tcBorders>
            <w:shd w:val="clear" w:color="auto" w:fill="auto"/>
            <w:vAlign w:val="center"/>
            <w:hideMark/>
          </w:tcPr>
          <w:p w14:paraId="1CB6236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SHM</w:t>
            </w:r>
          </w:p>
        </w:tc>
        <w:tc>
          <w:tcPr>
            <w:tcW w:w="1620" w:type="dxa"/>
            <w:tcBorders>
              <w:top w:val="nil"/>
              <w:left w:val="nil"/>
              <w:bottom w:val="single" w:sz="8" w:space="0" w:color="auto"/>
              <w:right w:val="single" w:sz="4" w:space="0" w:color="auto"/>
            </w:tcBorders>
            <w:shd w:val="clear" w:color="auto" w:fill="auto"/>
            <w:vAlign w:val="center"/>
            <w:hideMark/>
          </w:tcPr>
          <w:p w14:paraId="1278CD9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3F748D1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7554DC9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ED53FDE" w14:textId="77777777" w:rsidTr="0018109D">
        <w:trPr>
          <w:trHeight w:val="1644"/>
        </w:trPr>
        <w:tc>
          <w:tcPr>
            <w:tcW w:w="1790" w:type="dxa"/>
            <w:tcBorders>
              <w:top w:val="nil"/>
              <w:left w:val="single" w:sz="8" w:space="0" w:color="auto"/>
              <w:bottom w:val="single" w:sz="8" w:space="0" w:color="auto"/>
              <w:right w:val="single" w:sz="4" w:space="0" w:color="auto"/>
            </w:tcBorders>
            <w:shd w:val="clear" w:color="auto" w:fill="auto"/>
            <w:vAlign w:val="center"/>
            <w:hideMark/>
          </w:tcPr>
          <w:p w14:paraId="3CBF5D24"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4.4.4 GJL-ja vazhdon të unifikojë vendimet e gjykatave dhe si rrjedhojë praktika gjyqësore përmirësohet më tej</w:t>
            </w:r>
          </w:p>
        </w:tc>
        <w:tc>
          <w:tcPr>
            <w:tcW w:w="2520" w:type="dxa"/>
            <w:tcBorders>
              <w:top w:val="nil"/>
              <w:left w:val="nil"/>
              <w:bottom w:val="single" w:sz="8" w:space="0" w:color="auto"/>
              <w:right w:val="single" w:sz="4" w:space="0" w:color="auto"/>
            </w:tcBorders>
            <w:shd w:val="clear" w:color="auto" w:fill="auto"/>
            <w:vAlign w:val="center"/>
            <w:hideMark/>
          </w:tcPr>
          <w:p w14:paraId="1464FD5B"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4.4.4.1 Publikimi  i Buletinit Informativ Periodik në faqen zyrtare të internetit të Gjykatës së Lartë sipas tematikave </w:t>
            </w:r>
          </w:p>
        </w:tc>
        <w:tc>
          <w:tcPr>
            <w:tcW w:w="1890" w:type="dxa"/>
            <w:tcBorders>
              <w:top w:val="nil"/>
              <w:left w:val="nil"/>
              <w:bottom w:val="single" w:sz="8" w:space="0" w:color="auto"/>
              <w:right w:val="single" w:sz="4" w:space="0" w:color="auto"/>
            </w:tcBorders>
            <w:shd w:val="clear" w:color="auto" w:fill="auto"/>
            <w:vAlign w:val="center"/>
            <w:hideMark/>
          </w:tcPr>
          <w:p w14:paraId="0158464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GJL</w:t>
            </w:r>
          </w:p>
        </w:tc>
        <w:tc>
          <w:tcPr>
            <w:tcW w:w="1620" w:type="dxa"/>
            <w:tcBorders>
              <w:top w:val="nil"/>
              <w:left w:val="nil"/>
              <w:bottom w:val="single" w:sz="8" w:space="0" w:color="auto"/>
              <w:right w:val="single" w:sz="4" w:space="0" w:color="auto"/>
            </w:tcBorders>
            <w:shd w:val="clear" w:color="auto" w:fill="auto"/>
            <w:vAlign w:val="center"/>
            <w:hideMark/>
          </w:tcPr>
          <w:p w14:paraId="328CF0CE"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63FECE9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4148BF0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D4E1E72" w14:textId="77777777" w:rsidTr="0018109D">
        <w:trPr>
          <w:trHeight w:val="2076"/>
        </w:trPr>
        <w:tc>
          <w:tcPr>
            <w:tcW w:w="1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FF6B2"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4.4.5 Vlerësimi i gjyqtarëve dhe prokurorëve nga KLGJ-ja dhe KLP-ja, përfshin, ndër të tjera, standardet e arsyetimit të vendimeve gjyqësore.</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7A7FCB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4.4.5.1 Hartimi i modeleve të raporteve analitike dhe atyre të vlerësimit etik dhe profesional, duke respektuar strukturën dhe arsyetimin e vendimeve të gjykatave më të larta në raste analoge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29670E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0768DA8"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single" w:sz="4" w:space="0" w:color="auto"/>
              <w:left w:val="nil"/>
              <w:bottom w:val="single" w:sz="4" w:space="0" w:color="auto"/>
              <w:right w:val="single" w:sz="4" w:space="0" w:color="auto"/>
            </w:tcBorders>
            <w:shd w:val="clear" w:color="000000" w:fill="DDEBF7"/>
            <w:vAlign w:val="center"/>
            <w:hideMark/>
          </w:tcPr>
          <w:p w14:paraId="3F255F4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single" w:sz="4" w:space="0" w:color="auto"/>
              <w:left w:val="nil"/>
              <w:bottom w:val="single" w:sz="4" w:space="0" w:color="auto"/>
              <w:right w:val="single" w:sz="4" w:space="0" w:color="auto"/>
            </w:tcBorders>
            <w:shd w:val="clear" w:color="000000" w:fill="DDEBF7"/>
            <w:vAlign w:val="center"/>
            <w:hideMark/>
          </w:tcPr>
          <w:p w14:paraId="17C4A08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703B181" w14:textId="77777777" w:rsidTr="0018109D">
        <w:trPr>
          <w:trHeight w:val="1428"/>
        </w:trPr>
        <w:tc>
          <w:tcPr>
            <w:tcW w:w="1790" w:type="dxa"/>
            <w:tcBorders>
              <w:top w:val="nil"/>
              <w:left w:val="single" w:sz="4" w:space="0" w:color="auto"/>
              <w:bottom w:val="single" w:sz="4" w:space="0" w:color="auto"/>
              <w:right w:val="single" w:sz="4" w:space="0" w:color="auto"/>
            </w:tcBorders>
            <w:shd w:val="clear" w:color="auto" w:fill="auto"/>
            <w:vAlign w:val="center"/>
            <w:hideMark/>
          </w:tcPr>
          <w:p w14:paraId="68F2F459"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4.4.6 Sigurohet monitorim dhe vlerësim transparent i aktiviteteve të gjykatës.</w:t>
            </w:r>
          </w:p>
        </w:tc>
        <w:tc>
          <w:tcPr>
            <w:tcW w:w="2520" w:type="dxa"/>
            <w:tcBorders>
              <w:top w:val="nil"/>
              <w:left w:val="nil"/>
              <w:bottom w:val="single" w:sz="4" w:space="0" w:color="auto"/>
              <w:right w:val="single" w:sz="4" w:space="0" w:color="auto"/>
            </w:tcBorders>
            <w:shd w:val="clear" w:color="auto" w:fill="auto"/>
            <w:vAlign w:val="center"/>
            <w:hideMark/>
          </w:tcPr>
          <w:p w14:paraId="4B94DAC4"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4.4.6.1 Vendimet e gjykatave të jenë të disponueshme për publikun dhe lehtësisht të aksesueshme</w:t>
            </w:r>
          </w:p>
        </w:tc>
        <w:tc>
          <w:tcPr>
            <w:tcW w:w="1890" w:type="dxa"/>
            <w:tcBorders>
              <w:top w:val="nil"/>
              <w:left w:val="nil"/>
              <w:bottom w:val="single" w:sz="4" w:space="0" w:color="auto"/>
              <w:right w:val="single" w:sz="4" w:space="0" w:color="auto"/>
            </w:tcBorders>
            <w:shd w:val="clear" w:color="auto" w:fill="auto"/>
            <w:vAlign w:val="center"/>
            <w:hideMark/>
          </w:tcPr>
          <w:p w14:paraId="2899624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w:t>
            </w:r>
          </w:p>
        </w:tc>
        <w:tc>
          <w:tcPr>
            <w:tcW w:w="1620" w:type="dxa"/>
            <w:tcBorders>
              <w:top w:val="nil"/>
              <w:left w:val="nil"/>
              <w:bottom w:val="single" w:sz="4" w:space="0" w:color="auto"/>
              <w:right w:val="single" w:sz="4" w:space="0" w:color="auto"/>
            </w:tcBorders>
            <w:shd w:val="clear" w:color="auto" w:fill="auto"/>
            <w:vAlign w:val="center"/>
            <w:hideMark/>
          </w:tcPr>
          <w:p w14:paraId="1F5C05CD"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2857524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4" w:space="0" w:color="auto"/>
            </w:tcBorders>
            <w:shd w:val="clear" w:color="000000" w:fill="DDEBF7"/>
            <w:vAlign w:val="center"/>
            <w:hideMark/>
          </w:tcPr>
          <w:p w14:paraId="38FD431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A029A3F" w14:textId="77777777" w:rsidTr="0018109D">
        <w:trPr>
          <w:trHeight w:val="276"/>
        </w:trPr>
        <w:tc>
          <w:tcPr>
            <w:tcW w:w="10790" w:type="dxa"/>
            <w:gridSpan w:val="6"/>
            <w:tcBorders>
              <w:top w:val="single" w:sz="8" w:space="0" w:color="auto"/>
              <w:left w:val="single" w:sz="8" w:space="0" w:color="auto"/>
              <w:bottom w:val="single" w:sz="8" w:space="0" w:color="auto"/>
              <w:right w:val="single" w:sz="4" w:space="0" w:color="auto"/>
            </w:tcBorders>
            <w:shd w:val="clear" w:color="000000" w:fill="9CC2E5"/>
            <w:vAlign w:val="center"/>
            <w:hideMark/>
          </w:tcPr>
          <w:p w14:paraId="13BD8E23"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Qellimi i Politikës 5 - Drejtësi më e afërt me qytetarët.</w:t>
            </w:r>
          </w:p>
        </w:tc>
      </w:tr>
      <w:tr w:rsidR="007440A2" w:rsidRPr="007440A2" w14:paraId="09DAAD6E" w14:textId="77777777" w:rsidTr="0018109D">
        <w:trPr>
          <w:trHeight w:val="1092"/>
        </w:trPr>
        <w:tc>
          <w:tcPr>
            <w:tcW w:w="4310" w:type="dxa"/>
            <w:gridSpan w:val="2"/>
            <w:tcBorders>
              <w:top w:val="single" w:sz="4" w:space="0" w:color="auto"/>
              <w:left w:val="single" w:sz="8" w:space="0" w:color="auto"/>
              <w:bottom w:val="single" w:sz="8" w:space="0" w:color="auto"/>
              <w:right w:val="nil"/>
            </w:tcBorders>
            <w:shd w:val="clear" w:color="000000" w:fill="9CC2E5"/>
            <w:vAlign w:val="center"/>
            <w:hideMark/>
          </w:tcPr>
          <w:p w14:paraId="00E4524F"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5.1:</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523657FF"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Informimi, edukimi dhe ndërgjegjësimi i publikut mbi sistemin e drejtësisë përmes përdorimit të mjeteve dhe metodave inovative të komunikimit </w:t>
            </w:r>
          </w:p>
        </w:tc>
      </w:tr>
      <w:tr w:rsidR="007440A2" w:rsidRPr="007440A2" w14:paraId="28CD5387" w14:textId="77777777" w:rsidTr="0018109D">
        <w:trPr>
          <w:trHeight w:val="900"/>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253C0118"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0A02CF09" w14:textId="4C6180ED"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Deri ne fund te vitit 2030 ka rritje progresive te numrit të sesioneve informuese të mbajtura mbi sistemin e drejtësisë nga institucionet e Drejtësisë, per te perforcuar informimin, edukimin dhe ndërgjegjësimin publik mbi sistemin e drejtësisë përmes përdorimit të mjeteve dhe metodave inovative të komunikimit. </w:t>
            </w:r>
          </w:p>
        </w:tc>
      </w:tr>
      <w:tr w:rsidR="007440A2" w:rsidRPr="007440A2" w14:paraId="681CACC5" w14:textId="77777777" w:rsidTr="0018109D">
        <w:trPr>
          <w:trHeight w:val="540"/>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680A31EA"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6A29CFF9"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611C67DC"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19C94C0D"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5A773C21"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2B4A9AAD"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2A901CF1" w14:textId="77777777" w:rsidTr="0018109D">
        <w:trPr>
          <w:trHeight w:val="639"/>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2F1CFE2C"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5.1.1 Hartimi dhe publikimi i materialeve informuese në gjuhë të thjeshtë dhe të kuptueshme lidhur me organizimin, kompetencat dhe funksionimin e gjykatave dhe përditësimi periodik i tyre </w:t>
            </w:r>
          </w:p>
        </w:tc>
        <w:tc>
          <w:tcPr>
            <w:tcW w:w="2520" w:type="dxa"/>
            <w:tcBorders>
              <w:top w:val="nil"/>
              <w:left w:val="nil"/>
              <w:bottom w:val="single" w:sz="4" w:space="0" w:color="auto"/>
              <w:right w:val="single" w:sz="4" w:space="0" w:color="auto"/>
            </w:tcBorders>
            <w:shd w:val="clear" w:color="auto" w:fill="auto"/>
            <w:vAlign w:val="center"/>
            <w:hideMark/>
          </w:tcPr>
          <w:p w14:paraId="064FBA73" w14:textId="539BE5CE"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5.1.1.1Publikimi online i grafikës informuese për secilën gjykatë, që përmban shpjegimin mbi kompetencat, organizimin, numrin e gjyqtarëve, infrastrukturën, largësinë, etj.;</w:t>
            </w:r>
          </w:p>
        </w:tc>
        <w:tc>
          <w:tcPr>
            <w:tcW w:w="1890" w:type="dxa"/>
            <w:tcBorders>
              <w:top w:val="nil"/>
              <w:left w:val="nil"/>
              <w:bottom w:val="single" w:sz="4" w:space="0" w:color="auto"/>
              <w:right w:val="single" w:sz="4" w:space="0" w:color="auto"/>
            </w:tcBorders>
            <w:shd w:val="clear" w:color="auto" w:fill="auto"/>
            <w:vAlign w:val="center"/>
            <w:hideMark/>
          </w:tcPr>
          <w:p w14:paraId="3BB086CC" w14:textId="1ECBE448"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w:t>
            </w:r>
            <w:r w:rsidR="008D2308" w:rsidRPr="007440A2">
              <w:rPr>
                <w:rFonts w:ascii="Times Newt Roman" w:eastAsia="Times New Roman" w:hAnsi="Times Newt Roman" w:cs="Calibri"/>
                <w:sz w:val="20"/>
                <w:szCs w:val="20"/>
              </w:rPr>
              <w:t xml:space="preserve"> </w:t>
            </w:r>
            <w:r w:rsidRPr="007440A2">
              <w:rPr>
                <w:rFonts w:ascii="Times Newt Roman" w:eastAsia="Times New Roman" w:hAnsi="Times Newt Roman" w:cs="Calibri"/>
                <w:sz w:val="20"/>
                <w:szCs w:val="20"/>
              </w:rPr>
              <w:t>Gjykatat</w:t>
            </w:r>
          </w:p>
        </w:tc>
        <w:tc>
          <w:tcPr>
            <w:tcW w:w="1620" w:type="dxa"/>
            <w:tcBorders>
              <w:top w:val="nil"/>
              <w:left w:val="nil"/>
              <w:bottom w:val="single" w:sz="4" w:space="0" w:color="auto"/>
              <w:right w:val="single" w:sz="4" w:space="0" w:color="auto"/>
            </w:tcBorders>
            <w:shd w:val="clear" w:color="auto" w:fill="auto"/>
            <w:vAlign w:val="center"/>
            <w:hideMark/>
          </w:tcPr>
          <w:p w14:paraId="7E3022B6"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7B0A1D2"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E3CB8F2"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2025</w:t>
            </w:r>
          </w:p>
        </w:tc>
      </w:tr>
      <w:tr w:rsidR="007440A2" w:rsidRPr="007440A2" w14:paraId="6DD3AB45" w14:textId="77777777" w:rsidTr="0018109D">
        <w:trPr>
          <w:trHeight w:val="972"/>
        </w:trPr>
        <w:tc>
          <w:tcPr>
            <w:tcW w:w="1790" w:type="dxa"/>
            <w:vMerge/>
            <w:tcBorders>
              <w:top w:val="nil"/>
              <w:left w:val="single" w:sz="8" w:space="0" w:color="auto"/>
              <w:bottom w:val="single" w:sz="8" w:space="0" w:color="000000"/>
              <w:right w:val="single" w:sz="4" w:space="0" w:color="auto"/>
            </w:tcBorders>
            <w:vAlign w:val="center"/>
            <w:hideMark/>
          </w:tcPr>
          <w:p w14:paraId="75B31B4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32B12F7"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5.1.1.2 Hartimi dhe publikimi i një materiali informues online, në gjuhë të thjeshtë mbi riorganizimin gjyqësor në tërësi</w:t>
            </w:r>
          </w:p>
        </w:tc>
        <w:tc>
          <w:tcPr>
            <w:tcW w:w="1890" w:type="dxa"/>
            <w:tcBorders>
              <w:top w:val="nil"/>
              <w:left w:val="nil"/>
              <w:bottom w:val="single" w:sz="4" w:space="0" w:color="auto"/>
              <w:right w:val="single" w:sz="4" w:space="0" w:color="auto"/>
            </w:tcBorders>
            <w:shd w:val="clear" w:color="auto" w:fill="auto"/>
            <w:vAlign w:val="center"/>
            <w:hideMark/>
          </w:tcPr>
          <w:p w14:paraId="56837E59"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KLGJ,Gjykatat</w:t>
            </w:r>
          </w:p>
        </w:tc>
        <w:tc>
          <w:tcPr>
            <w:tcW w:w="1620" w:type="dxa"/>
            <w:tcBorders>
              <w:top w:val="nil"/>
              <w:left w:val="nil"/>
              <w:bottom w:val="single" w:sz="4" w:space="0" w:color="auto"/>
              <w:right w:val="single" w:sz="4" w:space="0" w:color="auto"/>
            </w:tcBorders>
            <w:shd w:val="clear" w:color="auto" w:fill="auto"/>
            <w:vAlign w:val="center"/>
            <w:hideMark/>
          </w:tcPr>
          <w:p w14:paraId="0D92F679"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A064723"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3DE3F8FC"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2025</w:t>
            </w:r>
          </w:p>
        </w:tc>
      </w:tr>
      <w:tr w:rsidR="007440A2" w:rsidRPr="007440A2" w14:paraId="7AD6D562"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6C5E5A1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AB33770"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 xml:space="preserve">5.1.1.3 Publikimi i një video informuese mbi riorganizimin e gjyqësorit, duke e shoqëruar me audio dhe gjuhën e shenjave; </w:t>
            </w:r>
          </w:p>
        </w:tc>
        <w:tc>
          <w:tcPr>
            <w:tcW w:w="1890" w:type="dxa"/>
            <w:tcBorders>
              <w:top w:val="nil"/>
              <w:left w:val="nil"/>
              <w:bottom w:val="single" w:sz="4" w:space="0" w:color="auto"/>
              <w:right w:val="single" w:sz="4" w:space="0" w:color="auto"/>
            </w:tcBorders>
            <w:shd w:val="clear" w:color="auto" w:fill="auto"/>
            <w:vAlign w:val="center"/>
            <w:hideMark/>
          </w:tcPr>
          <w:p w14:paraId="4862B31B"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KLGJ,Gjykatat</w:t>
            </w:r>
          </w:p>
        </w:tc>
        <w:tc>
          <w:tcPr>
            <w:tcW w:w="1620" w:type="dxa"/>
            <w:tcBorders>
              <w:top w:val="nil"/>
              <w:left w:val="nil"/>
              <w:bottom w:val="single" w:sz="4" w:space="0" w:color="auto"/>
              <w:right w:val="single" w:sz="4" w:space="0" w:color="auto"/>
            </w:tcBorders>
            <w:shd w:val="clear" w:color="auto" w:fill="auto"/>
            <w:vAlign w:val="center"/>
            <w:hideMark/>
          </w:tcPr>
          <w:p w14:paraId="0D7DF08C"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381E741"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19916B87"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2025</w:t>
            </w:r>
          </w:p>
        </w:tc>
      </w:tr>
      <w:tr w:rsidR="007440A2" w:rsidRPr="007440A2" w14:paraId="584F4439"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1EC50B69"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085389E6"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 xml:space="preserve">5.1.1.4 Përditësimi i informacionit dhe reflektimi i tij në materialet informuese dhe videot e publikuara  </w:t>
            </w:r>
          </w:p>
        </w:tc>
        <w:tc>
          <w:tcPr>
            <w:tcW w:w="1890" w:type="dxa"/>
            <w:tcBorders>
              <w:top w:val="nil"/>
              <w:left w:val="nil"/>
              <w:bottom w:val="single" w:sz="8" w:space="0" w:color="auto"/>
              <w:right w:val="single" w:sz="4" w:space="0" w:color="auto"/>
            </w:tcBorders>
            <w:shd w:val="clear" w:color="auto" w:fill="auto"/>
            <w:vAlign w:val="center"/>
            <w:hideMark/>
          </w:tcPr>
          <w:p w14:paraId="07DDEC5D"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KLGJ,Gjykatat</w:t>
            </w:r>
          </w:p>
        </w:tc>
        <w:tc>
          <w:tcPr>
            <w:tcW w:w="1620" w:type="dxa"/>
            <w:tcBorders>
              <w:top w:val="nil"/>
              <w:left w:val="nil"/>
              <w:bottom w:val="single" w:sz="8" w:space="0" w:color="auto"/>
              <w:right w:val="single" w:sz="4" w:space="0" w:color="auto"/>
            </w:tcBorders>
            <w:shd w:val="clear" w:color="auto" w:fill="auto"/>
            <w:vAlign w:val="center"/>
            <w:hideMark/>
          </w:tcPr>
          <w:p w14:paraId="67C15AEA"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7FC9A682"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7605D1D1"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2030</w:t>
            </w:r>
          </w:p>
        </w:tc>
      </w:tr>
      <w:tr w:rsidR="007440A2" w:rsidRPr="007440A2" w14:paraId="5EEEC7A5" w14:textId="77777777" w:rsidTr="0018109D">
        <w:trPr>
          <w:trHeight w:val="639"/>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73F91DF0"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5.1.2  Intervista në media me qëllim informimin mbi ndryshimet/risitë/përfitimet që solli Reforma në Drejtësi dhe promovimi i rezultateve të arritura. </w:t>
            </w:r>
          </w:p>
        </w:tc>
        <w:tc>
          <w:tcPr>
            <w:tcW w:w="2520" w:type="dxa"/>
            <w:tcBorders>
              <w:top w:val="nil"/>
              <w:left w:val="nil"/>
              <w:bottom w:val="single" w:sz="4" w:space="0" w:color="auto"/>
              <w:right w:val="single" w:sz="4" w:space="0" w:color="auto"/>
            </w:tcBorders>
            <w:shd w:val="clear" w:color="auto" w:fill="auto"/>
            <w:vAlign w:val="center"/>
            <w:hideMark/>
          </w:tcPr>
          <w:p w14:paraId="36FE7B38"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5.1.2.1 Dhënia e intervistave televizive në median kombëtare ose lokale për secilën gjykatë të çdo niveli</w:t>
            </w:r>
          </w:p>
        </w:tc>
        <w:tc>
          <w:tcPr>
            <w:tcW w:w="1890" w:type="dxa"/>
            <w:tcBorders>
              <w:top w:val="nil"/>
              <w:left w:val="nil"/>
              <w:bottom w:val="single" w:sz="4" w:space="0" w:color="auto"/>
              <w:right w:val="single" w:sz="4" w:space="0" w:color="auto"/>
            </w:tcBorders>
            <w:shd w:val="clear" w:color="auto" w:fill="auto"/>
            <w:vAlign w:val="center"/>
            <w:hideMark/>
          </w:tcPr>
          <w:p w14:paraId="5BC9F712"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KLGJ,Gjykatat</w:t>
            </w:r>
          </w:p>
        </w:tc>
        <w:tc>
          <w:tcPr>
            <w:tcW w:w="1620" w:type="dxa"/>
            <w:tcBorders>
              <w:top w:val="nil"/>
              <w:left w:val="nil"/>
              <w:bottom w:val="single" w:sz="4" w:space="0" w:color="auto"/>
              <w:right w:val="single" w:sz="4" w:space="0" w:color="auto"/>
            </w:tcBorders>
            <w:shd w:val="clear" w:color="auto" w:fill="auto"/>
            <w:vAlign w:val="center"/>
            <w:hideMark/>
          </w:tcPr>
          <w:p w14:paraId="6E1864AC"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8DB1358"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781F05C"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2030</w:t>
            </w:r>
          </w:p>
        </w:tc>
      </w:tr>
      <w:tr w:rsidR="007440A2" w:rsidRPr="007440A2" w14:paraId="40BB7BD2"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096DF71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AABC66D"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5.1.2.2 Dhënia e intervistave televizive në median kombëtare mbi organizimin, funksionimin, kompetencat e posaçme dhe rezultatet e punës së gjykatave të juridiksionit të posaçëm</w:t>
            </w:r>
          </w:p>
        </w:tc>
        <w:tc>
          <w:tcPr>
            <w:tcW w:w="1890" w:type="dxa"/>
            <w:tcBorders>
              <w:top w:val="nil"/>
              <w:left w:val="nil"/>
              <w:bottom w:val="single" w:sz="4" w:space="0" w:color="auto"/>
              <w:right w:val="single" w:sz="4" w:space="0" w:color="auto"/>
            </w:tcBorders>
            <w:shd w:val="clear" w:color="auto" w:fill="auto"/>
            <w:vAlign w:val="center"/>
            <w:hideMark/>
          </w:tcPr>
          <w:p w14:paraId="0AE8247C"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KLGJ,Gjykatat</w:t>
            </w:r>
          </w:p>
        </w:tc>
        <w:tc>
          <w:tcPr>
            <w:tcW w:w="1620" w:type="dxa"/>
            <w:tcBorders>
              <w:top w:val="nil"/>
              <w:left w:val="nil"/>
              <w:bottom w:val="single" w:sz="4" w:space="0" w:color="auto"/>
              <w:right w:val="single" w:sz="4" w:space="0" w:color="auto"/>
            </w:tcBorders>
            <w:shd w:val="clear" w:color="auto" w:fill="auto"/>
            <w:vAlign w:val="center"/>
            <w:hideMark/>
          </w:tcPr>
          <w:p w14:paraId="06CC5735"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683A3B88"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D0AC1DA"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2030</w:t>
            </w:r>
          </w:p>
        </w:tc>
      </w:tr>
      <w:tr w:rsidR="007440A2" w:rsidRPr="007440A2" w14:paraId="033B97BC"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738A06E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13776B5"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5.1.2.3 Dhënia e intervistave në media mbi hartën e re gjyqësore</w:t>
            </w:r>
          </w:p>
        </w:tc>
        <w:tc>
          <w:tcPr>
            <w:tcW w:w="1890" w:type="dxa"/>
            <w:tcBorders>
              <w:top w:val="nil"/>
              <w:left w:val="nil"/>
              <w:bottom w:val="single" w:sz="4" w:space="0" w:color="auto"/>
              <w:right w:val="single" w:sz="4" w:space="0" w:color="auto"/>
            </w:tcBorders>
            <w:shd w:val="clear" w:color="auto" w:fill="auto"/>
            <w:vAlign w:val="center"/>
            <w:hideMark/>
          </w:tcPr>
          <w:p w14:paraId="17D1A671"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KLGJ,Gjykatat</w:t>
            </w:r>
          </w:p>
        </w:tc>
        <w:tc>
          <w:tcPr>
            <w:tcW w:w="1620" w:type="dxa"/>
            <w:tcBorders>
              <w:top w:val="nil"/>
              <w:left w:val="nil"/>
              <w:bottom w:val="single" w:sz="4" w:space="0" w:color="auto"/>
              <w:right w:val="single" w:sz="4" w:space="0" w:color="auto"/>
            </w:tcBorders>
            <w:shd w:val="clear" w:color="auto" w:fill="auto"/>
            <w:vAlign w:val="center"/>
            <w:hideMark/>
          </w:tcPr>
          <w:p w14:paraId="60EB08BA"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3BAB2F2"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C6FAC8E"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2030</w:t>
            </w:r>
          </w:p>
        </w:tc>
      </w:tr>
      <w:tr w:rsidR="007440A2" w:rsidRPr="007440A2" w14:paraId="5923AA79"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2038BA1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B4830C5"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5.1.2.4 Publikimi i tyre në faqen e internetit dhe rrjetet sociale</w:t>
            </w:r>
          </w:p>
        </w:tc>
        <w:tc>
          <w:tcPr>
            <w:tcW w:w="1890" w:type="dxa"/>
            <w:tcBorders>
              <w:top w:val="nil"/>
              <w:left w:val="nil"/>
              <w:bottom w:val="single" w:sz="4" w:space="0" w:color="auto"/>
              <w:right w:val="single" w:sz="4" w:space="0" w:color="auto"/>
            </w:tcBorders>
            <w:shd w:val="clear" w:color="auto" w:fill="auto"/>
            <w:vAlign w:val="center"/>
            <w:hideMark/>
          </w:tcPr>
          <w:p w14:paraId="5B83BE52"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KLGJ,Gjykatat</w:t>
            </w:r>
          </w:p>
        </w:tc>
        <w:tc>
          <w:tcPr>
            <w:tcW w:w="1620" w:type="dxa"/>
            <w:tcBorders>
              <w:top w:val="nil"/>
              <w:left w:val="nil"/>
              <w:bottom w:val="single" w:sz="4" w:space="0" w:color="auto"/>
              <w:right w:val="single" w:sz="4" w:space="0" w:color="auto"/>
            </w:tcBorders>
            <w:shd w:val="clear" w:color="auto" w:fill="auto"/>
            <w:vAlign w:val="center"/>
            <w:hideMark/>
          </w:tcPr>
          <w:p w14:paraId="682937F0"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053DE76"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C8A1A66"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2030</w:t>
            </w:r>
          </w:p>
        </w:tc>
      </w:tr>
      <w:tr w:rsidR="007440A2" w:rsidRPr="007440A2" w14:paraId="31055933"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484FC1B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36C6860F"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5.1.2.5 Zhvillimi i takimeve të Kryetarit të Gjykatës me përfaqësuesit e medias në formën e konferencës për shtyp pas shpalljes së vendimeve për çështje me interes të lartë për publikun, për të informuar me gjuhë të thjeshtë përmbajtjen e vendimit</w:t>
            </w:r>
          </w:p>
        </w:tc>
        <w:tc>
          <w:tcPr>
            <w:tcW w:w="1890" w:type="dxa"/>
            <w:tcBorders>
              <w:top w:val="nil"/>
              <w:left w:val="nil"/>
              <w:bottom w:val="single" w:sz="8" w:space="0" w:color="auto"/>
              <w:right w:val="single" w:sz="4" w:space="0" w:color="auto"/>
            </w:tcBorders>
            <w:shd w:val="clear" w:color="auto" w:fill="auto"/>
            <w:vAlign w:val="center"/>
            <w:hideMark/>
          </w:tcPr>
          <w:p w14:paraId="7911B05B"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GJK</w:t>
            </w:r>
          </w:p>
        </w:tc>
        <w:tc>
          <w:tcPr>
            <w:tcW w:w="1620" w:type="dxa"/>
            <w:tcBorders>
              <w:top w:val="nil"/>
              <w:left w:val="nil"/>
              <w:bottom w:val="single" w:sz="8" w:space="0" w:color="auto"/>
              <w:right w:val="single" w:sz="4" w:space="0" w:color="auto"/>
            </w:tcBorders>
            <w:shd w:val="clear" w:color="auto" w:fill="auto"/>
            <w:vAlign w:val="center"/>
            <w:hideMark/>
          </w:tcPr>
          <w:p w14:paraId="36A79B21"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56F7156E"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5FFE11FF"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2030</w:t>
            </w:r>
          </w:p>
        </w:tc>
      </w:tr>
      <w:tr w:rsidR="007440A2" w:rsidRPr="007440A2" w14:paraId="40FECC09" w14:textId="77777777" w:rsidTr="0018109D">
        <w:trPr>
          <w:trHeight w:val="639"/>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353BD324"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5.1.3  Informimi dhe ndërgjegjësimi i publikut lidhur me sistemin gjyqësor nëpërmjet platformave të mediave sociale</w:t>
            </w:r>
          </w:p>
        </w:tc>
        <w:tc>
          <w:tcPr>
            <w:tcW w:w="2520" w:type="dxa"/>
            <w:tcBorders>
              <w:top w:val="nil"/>
              <w:left w:val="nil"/>
              <w:bottom w:val="single" w:sz="4" w:space="0" w:color="auto"/>
              <w:right w:val="single" w:sz="4" w:space="0" w:color="auto"/>
            </w:tcBorders>
            <w:shd w:val="clear" w:color="auto" w:fill="auto"/>
            <w:vAlign w:val="center"/>
            <w:hideMark/>
          </w:tcPr>
          <w:p w14:paraId="531FEF35"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 xml:space="preserve">5.1.3.1 Krijimi, plotësimi dhe/ose përditësimi i llogarive në FB, LinkedIN dhe Tëitter për secilën gjykatë  </w:t>
            </w:r>
          </w:p>
        </w:tc>
        <w:tc>
          <w:tcPr>
            <w:tcW w:w="1890" w:type="dxa"/>
            <w:tcBorders>
              <w:top w:val="nil"/>
              <w:left w:val="nil"/>
              <w:bottom w:val="single" w:sz="4" w:space="0" w:color="auto"/>
              <w:right w:val="single" w:sz="4" w:space="0" w:color="auto"/>
            </w:tcBorders>
            <w:shd w:val="clear" w:color="auto" w:fill="auto"/>
            <w:vAlign w:val="center"/>
            <w:hideMark/>
          </w:tcPr>
          <w:p w14:paraId="0B28AA03"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KLGJ,Gjykatat</w:t>
            </w:r>
          </w:p>
        </w:tc>
        <w:tc>
          <w:tcPr>
            <w:tcW w:w="1620" w:type="dxa"/>
            <w:tcBorders>
              <w:top w:val="nil"/>
              <w:left w:val="nil"/>
              <w:bottom w:val="single" w:sz="4" w:space="0" w:color="auto"/>
              <w:right w:val="single" w:sz="4" w:space="0" w:color="auto"/>
            </w:tcBorders>
            <w:shd w:val="clear" w:color="auto" w:fill="auto"/>
            <w:vAlign w:val="center"/>
            <w:hideMark/>
          </w:tcPr>
          <w:p w14:paraId="320EDBD4"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7F142A5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3A8E24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B90E332"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09E65F39"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65DFBB09"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 xml:space="preserve">5.1.3.2 Përditësimi periodik i llogarive. </w:t>
            </w:r>
          </w:p>
        </w:tc>
        <w:tc>
          <w:tcPr>
            <w:tcW w:w="1890" w:type="dxa"/>
            <w:tcBorders>
              <w:top w:val="nil"/>
              <w:left w:val="nil"/>
              <w:bottom w:val="single" w:sz="8" w:space="0" w:color="auto"/>
              <w:right w:val="single" w:sz="4" w:space="0" w:color="auto"/>
            </w:tcBorders>
            <w:shd w:val="clear" w:color="auto" w:fill="auto"/>
            <w:vAlign w:val="center"/>
            <w:hideMark/>
          </w:tcPr>
          <w:p w14:paraId="5317445A"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KLGJ,Gjykatat</w:t>
            </w:r>
          </w:p>
        </w:tc>
        <w:tc>
          <w:tcPr>
            <w:tcW w:w="1620" w:type="dxa"/>
            <w:tcBorders>
              <w:top w:val="nil"/>
              <w:left w:val="nil"/>
              <w:bottom w:val="single" w:sz="8" w:space="0" w:color="auto"/>
              <w:right w:val="single" w:sz="4" w:space="0" w:color="auto"/>
            </w:tcBorders>
            <w:shd w:val="clear" w:color="auto" w:fill="auto"/>
            <w:vAlign w:val="center"/>
            <w:hideMark/>
          </w:tcPr>
          <w:p w14:paraId="3EA602BE"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01C408E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8" w:space="0" w:color="auto"/>
              <w:right w:val="single" w:sz="8" w:space="0" w:color="auto"/>
            </w:tcBorders>
            <w:shd w:val="clear" w:color="000000" w:fill="DDEBF7"/>
            <w:vAlign w:val="center"/>
            <w:hideMark/>
          </w:tcPr>
          <w:p w14:paraId="5895F2C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081BEED0" w14:textId="77777777" w:rsidTr="0018109D">
        <w:trPr>
          <w:trHeight w:val="639"/>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5068A02C"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5.1.4 Hartimi dhe Publikimi i informacioneve shpjeguese për qytetarët mbi aksesin në intitucionet e drejtësisë dhe publikimi i tyre në faqet zyrtare të institucioneve të drejtësisë</w:t>
            </w:r>
          </w:p>
        </w:tc>
        <w:tc>
          <w:tcPr>
            <w:tcW w:w="2520" w:type="dxa"/>
            <w:tcBorders>
              <w:top w:val="nil"/>
              <w:left w:val="nil"/>
              <w:bottom w:val="single" w:sz="4" w:space="0" w:color="auto"/>
              <w:right w:val="single" w:sz="4" w:space="0" w:color="auto"/>
            </w:tcBorders>
            <w:shd w:val="clear" w:color="auto" w:fill="auto"/>
            <w:vAlign w:val="center"/>
            <w:hideMark/>
          </w:tcPr>
          <w:p w14:paraId="58D59BDD"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5.1.4.1 Hartimi në gjuhë të thjeshtë dhe të kuptueshme i materialeve shpjeguese për publikun</w:t>
            </w:r>
          </w:p>
        </w:tc>
        <w:tc>
          <w:tcPr>
            <w:tcW w:w="1890" w:type="dxa"/>
            <w:tcBorders>
              <w:top w:val="nil"/>
              <w:left w:val="nil"/>
              <w:bottom w:val="single" w:sz="4" w:space="0" w:color="auto"/>
              <w:right w:val="single" w:sz="4" w:space="0" w:color="auto"/>
            </w:tcBorders>
            <w:shd w:val="clear" w:color="auto" w:fill="auto"/>
            <w:vAlign w:val="center"/>
            <w:hideMark/>
          </w:tcPr>
          <w:p w14:paraId="15C94BFF"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4" w:space="0" w:color="auto"/>
            </w:tcBorders>
            <w:shd w:val="clear" w:color="auto" w:fill="auto"/>
            <w:vAlign w:val="center"/>
            <w:hideMark/>
          </w:tcPr>
          <w:p w14:paraId="66753FE3"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KLP, ILD, Gjykatat, PP</w:t>
            </w:r>
          </w:p>
        </w:tc>
        <w:tc>
          <w:tcPr>
            <w:tcW w:w="1710" w:type="dxa"/>
            <w:tcBorders>
              <w:top w:val="nil"/>
              <w:left w:val="nil"/>
              <w:bottom w:val="single" w:sz="4" w:space="0" w:color="auto"/>
              <w:right w:val="single" w:sz="4" w:space="0" w:color="auto"/>
            </w:tcBorders>
            <w:shd w:val="clear" w:color="000000" w:fill="DDEBF7"/>
            <w:vAlign w:val="center"/>
            <w:hideMark/>
          </w:tcPr>
          <w:p w14:paraId="3B20E7E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786CFC6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9E960BF"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32A54A8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A29C46A"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5.1.4.2 Krijimi dhe / ose përditësimi i rubrikës “Pyetje të shpeshta</w:t>
            </w:r>
          </w:p>
        </w:tc>
        <w:tc>
          <w:tcPr>
            <w:tcW w:w="1890" w:type="dxa"/>
            <w:tcBorders>
              <w:top w:val="nil"/>
              <w:left w:val="nil"/>
              <w:bottom w:val="single" w:sz="4" w:space="0" w:color="auto"/>
              <w:right w:val="single" w:sz="4" w:space="0" w:color="auto"/>
            </w:tcBorders>
            <w:shd w:val="clear" w:color="auto" w:fill="auto"/>
            <w:vAlign w:val="center"/>
            <w:hideMark/>
          </w:tcPr>
          <w:p w14:paraId="7F60CB07"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4" w:space="0" w:color="auto"/>
            </w:tcBorders>
            <w:shd w:val="clear" w:color="auto" w:fill="auto"/>
            <w:vAlign w:val="center"/>
            <w:hideMark/>
          </w:tcPr>
          <w:p w14:paraId="3F59D869"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KLP, ILD, Gjykatat, PP</w:t>
            </w:r>
          </w:p>
        </w:tc>
        <w:tc>
          <w:tcPr>
            <w:tcW w:w="1710" w:type="dxa"/>
            <w:tcBorders>
              <w:top w:val="nil"/>
              <w:left w:val="nil"/>
              <w:bottom w:val="single" w:sz="4" w:space="0" w:color="auto"/>
              <w:right w:val="single" w:sz="4" w:space="0" w:color="auto"/>
            </w:tcBorders>
            <w:shd w:val="clear" w:color="000000" w:fill="DDEBF7"/>
            <w:vAlign w:val="center"/>
            <w:hideMark/>
          </w:tcPr>
          <w:p w14:paraId="74CFFA3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9BE705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E4B4510"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19316BB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7FED7CD"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5.1.4.3 Publikimi i materialeve në faqet zyrtare të institucioneve të drejtësisë</w:t>
            </w:r>
          </w:p>
        </w:tc>
        <w:tc>
          <w:tcPr>
            <w:tcW w:w="1890" w:type="dxa"/>
            <w:tcBorders>
              <w:top w:val="nil"/>
              <w:left w:val="nil"/>
              <w:bottom w:val="single" w:sz="4" w:space="0" w:color="auto"/>
              <w:right w:val="single" w:sz="4" w:space="0" w:color="auto"/>
            </w:tcBorders>
            <w:shd w:val="clear" w:color="auto" w:fill="auto"/>
            <w:vAlign w:val="center"/>
            <w:hideMark/>
          </w:tcPr>
          <w:p w14:paraId="26A99869"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4" w:space="0" w:color="auto"/>
            </w:tcBorders>
            <w:shd w:val="clear" w:color="auto" w:fill="auto"/>
            <w:vAlign w:val="center"/>
            <w:hideMark/>
          </w:tcPr>
          <w:p w14:paraId="5348ABD1"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KLP, ILD, Gjykatat, PP</w:t>
            </w:r>
          </w:p>
        </w:tc>
        <w:tc>
          <w:tcPr>
            <w:tcW w:w="1710" w:type="dxa"/>
            <w:tcBorders>
              <w:top w:val="nil"/>
              <w:left w:val="nil"/>
              <w:bottom w:val="single" w:sz="4" w:space="0" w:color="auto"/>
              <w:right w:val="single" w:sz="4" w:space="0" w:color="auto"/>
            </w:tcBorders>
            <w:shd w:val="clear" w:color="000000" w:fill="DDEBF7"/>
            <w:vAlign w:val="center"/>
            <w:hideMark/>
          </w:tcPr>
          <w:p w14:paraId="25F4493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27A8B59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FBD6F56"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78A53D2B"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62889F6"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5.1.4.4 Krijimi i videove shpjeguese mbi aksesin në institucionet e drejtësisë, procedurat e ndjekura, format e kërkësës, tarifat gjyqësore, të drejtat procedural.</w:t>
            </w:r>
          </w:p>
        </w:tc>
        <w:tc>
          <w:tcPr>
            <w:tcW w:w="1890" w:type="dxa"/>
            <w:tcBorders>
              <w:top w:val="nil"/>
              <w:left w:val="nil"/>
              <w:bottom w:val="single" w:sz="4" w:space="0" w:color="auto"/>
              <w:right w:val="single" w:sz="4" w:space="0" w:color="auto"/>
            </w:tcBorders>
            <w:shd w:val="clear" w:color="auto" w:fill="auto"/>
            <w:vAlign w:val="center"/>
            <w:hideMark/>
          </w:tcPr>
          <w:p w14:paraId="0C419F93"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4" w:space="0" w:color="auto"/>
            </w:tcBorders>
            <w:shd w:val="clear" w:color="auto" w:fill="auto"/>
            <w:vAlign w:val="center"/>
            <w:hideMark/>
          </w:tcPr>
          <w:p w14:paraId="4C9391F5"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KLP, ILD, Gjykatat, PP</w:t>
            </w:r>
          </w:p>
        </w:tc>
        <w:tc>
          <w:tcPr>
            <w:tcW w:w="1710" w:type="dxa"/>
            <w:tcBorders>
              <w:top w:val="nil"/>
              <w:left w:val="nil"/>
              <w:bottom w:val="single" w:sz="4" w:space="0" w:color="auto"/>
              <w:right w:val="single" w:sz="4" w:space="0" w:color="auto"/>
            </w:tcBorders>
            <w:shd w:val="clear" w:color="000000" w:fill="DDEBF7"/>
            <w:vAlign w:val="center"/>
            <w:hideMark/>
          </w:tcPr>
          <w:p w14:paraId="54534FC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1B275A3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3F7ACC4" w14:textId="77777777" w:rsidTr="0018109D">
        <w:trPr>
          <w:trHeight w:val="1044"/>
        </w:trPr>
        <w:tc>
          <w:tcPr>
            <w:tcW w:w="1790" w:type="dxa"/>
            <w:vMerge/>
            <w:tcBorders>
              <w:top w:val="nil"/>
              <w:left w:val="single" w:sz="8" w:space="0" w:color="auto"/>
              <w:bottom w:val="single" w:sz="8" w:space="0" w:color="000000"/>
              <w:right w:val="single" w:sz="4" w:space="0" w:color="auto"/>
            </w:tcBorders>
            <w:vAlign w:val="center"/>
            <w:hideMark/>
          </w:tcPr>
          <w:p w14:paraId="3165114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0D54C53C"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5.1.4.5 Krijimi dhe publikimi i videove shpjeguese për mënyrën se si mund t’i drejtohemi Gjykatës Kushtetuese nëpërmjet një ankimi individual kushtetues</w:t>
            </w:r>
          </w:p>
        </w:tc>
        <w:tc>
          <w:tcPr>
            <w:tcW w:w="1890" w:type="dxa"/>
            <w:tcBorders>
              <w:top w:val="nil"/>
              <w:left w:val="nil"/>
              <w:bottom w:val="single" w:sz="8" w:space="0" w:color="auto"/>
              <w:right w:val="single" w:sz="4" w:space="0" w:color="auto"/>
            </w:tcBorders>
            <w:shd w:val="clear" w:color="auto" w:fill="auto"/>
            <w:vAlign w:val="center"/>
            <w:hideMark/>
          </w:tcPr>
          <w:p w14:paraId="081F4C9E"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GjK</w:t>
            </w:r>
          </w:p>
        </w:tc>
        <w:tc>
          <w:tcPr>
            <w:tcW w:w="1620" w:type="dxa"/>
            <w:tcBorders>
              <w:top w:val="nil"/>
              <w:left w:val="nil"/>
              <w:bottom w:val="single" w:sz="8" w:space="0" w:color="auto"/>
              <w:right w:val="single" w:sz="4" w:space="0" w:color="auto"/>
            </w:tcBorders>
            <w:shd w:val="clear" w:color="auto" w:fill="auto"/>
            <w:vAlign w:val="center"/>
            <w:hideMark/>
          </w:tcPr>
          <w:p w14:paraId="33CAF741"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0C7C58C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196572F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06C1998D" w14:textId="77777777" w:rsidTr="0018109D">
        <w:trPr>
          <w:trHeight w:val="639"/>
        </w:trPr>
        <w:tc>
          <w:tcPr>
            <w:tcW w:w="1790" w:type="dxa"/>
            <w:tcBorders>
              <w:top w:val="nil"/>
              <w:left w:val="single" w:sz="8" w:space="0" w:color="auto"/>
              <w:bottom w:val="single" w:sz="8" w:space="0" w:color="auto"/>
              <w:right w:val="single" w:sz="4" w:space="0" w:color="auto"/>
            </w:tcBorders>
            <w:shd w:val="clear" w:color="auto" w:fill="auto"/>
            <w:vAlign w:val="center"/>
            <w:hideMark/>
          </w:tcPr>
          <w:p w14:paraId="2FABC8E6"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5.1.5 Hartimi dhe publikimi i buletinit periodik të gjykatave</w:t>
            </w:r>
          </w:p>
        </w:tc>
        <w:tc>
          <w:tcPr>
            <w:tcW w:w="2520" w:type="dxa"/>
            <w:tcBorders>
              <w:top w:val="nil"/>
              <w:left w:val="nil"/>
              <w:bottom w:val="single" w:sz="8" w:space="0" w:color="auto"/>
              <w:right w:val="single" w:sz="4" w:space="0" w:color="auto"/>
            </w:tcBorders>
            <w:shd w:val="clear" w:color="auto" w:fill="auto"/>
            <w:vAlign w:val="center"/>
            <w:hideMark/>
          </w:tcPr>
          <w:p w14:paraId="6C46F66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5.1.5.1 Hartimi dhe Publikimi i buletinit 3 - mujor në të cilën do të trajtohen çështje që lidhen me veprimtarinë e Gjykatës së Lartë/ GJK/, ndryshimet në legjislacion, vendime unifikuese, statistika etj.</w:t>
            </w:r>
          </w:p>
        </w:tc>
        <w:tc>
          <w:tcPr>
            <w:tcW w:w="1890" w:type="dxa"/>
            <w:tcBorders>
              <w:top w:val="nil"/>
              <w:left w:val="nil"/>
              <w:bottom w:val="single" w:sz="8" w:space="0" w:color="auto"/>
              <w:right w:val="single" w:sz="4" w:space="0" w:color="auto"/>
            </w:tcBorders>
            <w:shd w:val="clear" w:color="auto" w:fill="auto"/>
            <w:vAlign w:val="center"/>
            <w:hideMark/>
          </w:tcPr>
          <w:p w14:paraId="79676E8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GJK, GJL</w:t>
            </w:r>
          </w:p>
        </w:tc>
        <w:tc>
          <w:tcPr>
            <w:tcW w:w="1620" w:type="dxa"/>
            <w:tcBorders>
              <w:top w:val="nil"/>
              <w:left w:val="nil"/>
              <w:bottom w:val="single" w:sz="8" w:space="0" w:color="auto"/>
              <w:right w:val="single" w:sz="4" w:space="0" w:color="auto"/>
            </w:tcBorders>
            <w:shd w:val="clear" w:color="auto" w:fill="auto"/>
            <w:vAlign w:val="center"/>
            <w:hideMark/>
          </w:tcPr>
          <w:p w14:paraId="100862B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2CBF3A4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3F2B9A0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1638F35" w14:textId="77777777" w:rsidTr="0018109D">
        <w:trPr>
          <w:trHeight w:val="639"/>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4C2C6BDF"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5.1.6 Hartimi i materialeve informuese mbi procedurën që ndiqet në çështjet penale, civile dhe ato administrative; mënyrën e paraqitjes së çështjeve, kërkesave/ankesave drejtuar gjykatës; formatet standarde; shërbimet që mund të merren nga Gjykatat; e drejta e ankimit/rekursit dhe afatet.</w:t>
            </w:r>
          </w:p>
        </w:tc>
        <w:tc>
          <w:tcPr>
            <w:tcW w:w="2520" w:type="dxa"/>
            <w:tcBorders>
              <w:top w:val="nil"/>
              <w:left w:val="nil"/>
              <w:bottom w:val="single" w:sz="4" w:space="0" w:color="auto"/>
              <w:right w:val="single" w:sz="4" w:space="0" w:color="auto"/>
            </w:tcBorders>
            <w:shd w:val="clear" w:color="auto" w:fill="auto"/>
            <w:vAlign w:val="center"/>
            <w:hideMark/>
          </w:tcPr>
          <w:p w14:paraId="5F3325F2"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5.1.6.1 Hartimi i broshurave informative (penale, civile dhe procedura administrative) të përshtatura për secilën gjykatë</w:t>
            </w:r>
          </w:p>
        </w:tc>
        <w:tc>
          <w:tcPr>
            <w:tcW w:w="1890" w:type="dxa"/>
            <w:tcBorders>
              <w:top w:val="nil"/>
              <w:left w:val="nil"/>
              <w:bottom w:val="single" w:sz="4" w:space="0" w:color="auto"/>
              <w:right w:val="single" w:sz="4" w:space="0" w:color="auto"/>
            </w:tcBorders>
            <w:shd w:val="clear" w:color="auto" w:fill="auto"/>
            <w:vAlign w:val="center"/>
            <w:hideMark/>
          </w:tcPr>
          <w:p w14:paraId="4843B03F"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Gjykatat</w:t>
            </w:r>
          </w:p>
        </w:tc>
        <w:tc>
          <w:tcPr>
            <w:tcW w:w="1620" w:type="dxa"/>
            <w:tcBorders>
              <w:top w:val="nil"/>
              <w:left w:val="nil"/>
              <w:bottom w:val="single" w:sz="4" w:space="0" w:color="auto"/>
              <w:right w:val="single" w:sz="4" w:space="0" w:color="auto"/>
            </w:tcBorders>
            <w:shd w:val="clear" w:color="auto" w:fill="auto"/>
            <w:vAlign w:val="center"/>
            <w:hideMark/>
          </w:tcPr>
          <w:p w14:paraId="67CD39F9"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4736048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7E58D80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4734594"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5379AD0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DEF0DE0"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5.1.6.2 Përgatitja dhe publikimi online i fletëpalosjeve mbi kërkesat/ankesat drejtuar gjykatës;</w:t>
            </w:r>
          </w:p>
        </w:tc>
        <w:tc>
          <w:tcPr>
            <w:tcW w:w="1890" w:type="dxa"/>
            <w:tcBorders>
              <w:top w:val="nil"/>
              <w:left w:val="nil"/>
              <w:bottom w:val="single" w:sz="4" w:space="0" w:color="auto"/>
              <w:right w:val="single" w:sz="4" w:space="0" w:color="auto"/>
            </w:tcBorders>
            <w:shd w:val="clear" w:color="auto" w:fill="auto"/>
            <w:vAlign w:val="center"/>
            <w:hideMark/>
          </w:tcPr>
          <w:p w14:paraId="56F436A5"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Gjykatat</w:t>
            </w:r>
          </w:p>
        </w:tc>
        <w:tc>
          <w:tcPr>
            <w:tcW w:w="1620" w:type="dxa"/>
            <w:tcBorders>
              <w:top w:val="nil"/>
              <w:left w:val="nil"/>
              <w:bottom w:val="single" w:sz="4" w:space="0" w:color="auto"/>
              <w:right w:val="single" w:sz="4" w:space="0" w:color="auto"/>
            </w:tcBorders>
            <w:shd w:val="clear" w:color="auto" w:fill="auto"/>
            <w:vAlign w:val="center"/>
            <w:hideMark/>
          </w:tcPr>
          <w:p w14:paraId="71E143E9"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69F7380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4C2D647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98BB15A"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5541024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A012A85"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 xml:space="preserve">5.1.6.3 Publikimi në faqen e internetit të formateve standarde të akteve dhe kërkesave që i drejtohen gjykatës; </w:t>
            </w:r>
          </w:p>
        </w:tc>
        <w:tc>
          <w:tcPr>
            <w:tcW w:w="1890" w:type="dxa"/>
            <w:tcBorders>
              <w:top w:val="nil"/>
              <w:left w:val="nil"/>
              <w:bottom w:val="single" w:sz="4" w:space="0" w:color="auto"/>
              <w:right w:val="single" w:sz="4" w:space="0" w:color="auto"/>
            </w:tcBorders>
            <w:shd w:val="clear" w:color="auto" w:fill="auto"/>
            <w:vAlign w:val="center"/>
            <w:hideMark/>
          </w:tcPr>
          <w:p w14:paraId="59C90A27"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Gjykatat</w:t>
            </w:r>
          </w:p>
        </w:tc>
        <w:tc>
          <w:tcPr>
            <w:tcW w:w="1620" w:type="dxa"/>
            <w:tcBorders>
              <w:top w:val="nil"/>
              <w:left w:val="nil"/>
              <w:bottom w:val="single" w:sz="4" w:space="0" w:color="auto"/>
              <w:right w:val="single" w:sz="4" w:space="0" w:color="auto"/>
            </w:tcBorders>
            <w:shd w:val="clear" w:color="auto" w:fill="auto"/>
            <w:vAlign w:val="center"/>
            <w:hideMark/>
          </w:tcPr>
          <w:p w14:paraId="10977235"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D050E4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601AE6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477C322"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2F1FBC0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F7D8626"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5.1.6.4 Përgatitja dhe publikimi online i  fletëpalosjeve mbi të drejtën e ankimit dhe rekursit</w:t>
            </w:r>
          </w:p>
        </w:tc>
        <w:tc>
          <w:tcPr>
            <w:tcW w:w="1890" w:type="dxa"/>
            <w:tcBorders>
              <w:top w:val="nil"/>
              <w:left w:val="nil"/>
              <w:bottom w:val="single" w:sz="4" w:space="0" w:color="auto"/>
              <w:right w:val="single" w:sz="4" w:space="0" w:color="auto"/>
            </w:tcBorders>
            <w:shd w:val="clear" w:color="auto" w:fill="auto"/>
            <w:vAlign w:val="center"/>
            <w:hideMark/>
          </w:tcPr>
          <w:p w14:paraId="3D905AB0"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Gjykatat</w:t>
            </w:r>
          </w:p>
        </w:tc>
        <w:tc>
          <w:tcPr>
            <w:tcW w:w="1620" w:type="dxa"/>
            <w:tcBorders>
              <w:top w:val="nil"/>
              <w:left w:val="nil"/>
              <w:bottom w:val="single" w:sz="4" w:space="0" w:color="auto"/>
              <w:right w:val="single" w:sz="4" w:space="0" w:color="auto"/>
            </w:tcBorders>
            <w:shd w:val="clear" w:color="auto" w:fill="auto"/>
            <w:vAlign w:val="center"/>
            <w:hideMark/>
          </w:tcPr>
          <w:p w14:paraId="65F3E794"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9080A3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247C6D3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2696C1D"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1185C08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5336BD79"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5.1.6.5 Publikimi në faqen e internetit dhe rrjetet sociale të materialeve të përgatitura nga secila gjykatë.</w:t>
            </w:r>
          </w:p>
        </w:tc>
        <w:tc>
          <w:tcPr>
            <w:tcW w:w="1890" w:type="dxa"/>
            <w:tcBorders>
              <w:top w:val="nil"/>
              <w:left w:val="nil"/>
              <w:bottom w:val="single" w:sz="8" w:space="0" w:color="auto"/>
              <w:right w:val="single" w:sz="4" w:space="0" w:color="auto"/>
            </w:tcBorders>
            <w:shd w:val="clear" w:color="auto" w:fill="auto"/>
            <w:vAlign w:val="center"/>
            <w:hideMark/>
          </w:tcPr>
          <w:p w14:paraId="760FB607"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Gjykatat</w:t>
            </w:r>
          </w:p>
        </w:tc>
        <w:tc>
          <w:tcPr>
            <w:tcW w:w="1620" w:type="dxa"/>
            <w:tcBorders>
              <w:top w:val="nil"/>
              <w:left w:val="nil"/>
              <w:bottom w:val="single" w:sz="8" w:space="0" w:color="auto"/>
              <w:right w:val="single" w:sz="4" w:space="0" w:color="auto"/>
            </w:tcBorders>
            <w:shd w:val="clear" w:color="auto" w:fill="auto"/>
            <w:vAlign w:val="center"/>
            <w:hideMark/>
          </w:tcPr>
          <w:p w14:paraId="53C71A09"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183EAFE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37EEE23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CF9E3F3" w14:textId="77777777" w:rsidTr="0018109D">
        <w:trPr>
          <w:trHeight w:val="639"/>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01657259"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5.1.7 Perditesimi i materialeve informuese mbi procedurën që ndiqet në çështjet penale ; mënyrën e paraqitjes së kallzimeve drejtuar Prokurorisë; formatet standarde; shërbimet që mund të merren nga Prokuroria; e drejta e ankimit/rekursit dhe afatet.</w:t>
            </w:r>
          </w:p>
        </w:tc>
        <w:tc>
          <w:tcPr>
            <w:tcW w:w="2520" w:type="dxa"/>
            <w:tcBorders>
              <w:top w:val="nil"/>
              <w:left w:val="nil"/>
              <w:bottom w:val="single" w:sz="4" w:space="0" w:color="auto"/>
              <w:right w:val="single" w:sz="4" w:space="0" w:color="auto"/>
            </w:tcBorders>
            <w:shd w:val="clear" w:color="auto" w:fill="auto"/>
            <w:vAlign w:val="center"/>
            <w:hideMark/>
          </w:tcPr>
          <w:p w14:paraId="2BE083B2"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5.1.7.1 Përditësimi i broshurave informative mbi procedurat e ndjekura nga Prokuroria në çështjet e trajtuara</w:t>
            </w:r>
          </w:p>
        </w:tc>
        <w:tc>
          <w:tcPr>
            <w:tcW w:w="1890" w:type="dxa"/>
            <w:tcBorders>
              <w:top w:val="nil"/>
              <w:left w:val="nil"/>
              <w:bottom w:val="single" w:sz="4" w:space="0" w:color="auto"/>
              <w:right w:val="single" w:sz="4" w:space="0" w:color="auto"/>
            </w:tcBorders>
            <w:shd w:val="clear" w:color="auto" w:fill="auto"/>
            <w:vAlign w:val="center"/>
            <w:hideMark/>
          </w:tcPr>
          <w:p w14:paraId="5F290274"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PP</w:t>
            </w:r>
          </w:p>
        </w:tc>
        <w:tc>
          <w:tcPr>
            <w:tcW w:w="1620" w:type="dxa"/>
            <w:tcBorders>
              <w:top w:val="nil"/>
              <w:left w:val="nil"/>
              <w:bottom w:val="single" w:sz="4" w:space="0" w:color="auto"/>
              <w:right w:val="single" w:sz="4" w:space="0" w:color="auto"/>
            </w:tcBorders>
            <w:shd w:val="clear" w:color="auto" w:fill="auto"/>
            <w:vAlign w:val="center"/>
            <w:hideMark/>
          </w:tcPr>
          <w:p w14:paraId="435009B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7091DDD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6F76C1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018A5F3"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19AAD35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979B5F3"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5.1.7.2 Përditësimi, përgatitja dhe publikimi online i fletëpalosjeve mbi kallzimet drejtuar Prokurorisë;</w:t>
            </w:r>
          </w:p>
        </w:tc>
        <w:tc>
          <w:tcPr>
            <w:tcW w:w="1890" w:type="dxa"/>
            <w:tcBorders>
              <w:top w:val="nil"/>
              <w:left w:val="nil"/>
              <w:bottom w:val="single" w:sz="4" w:space="0" w:color="auto"/>
              <w:right w:val="single" w:sz="4" w:space="0" w:color="auto"/>
            </w:tcBorders>
            <w:shd w:val="clear" w:color="auto" w:fill="auto"/>
            <w:vAlign w:val="center"/>
            <w:hideMark/>
          </w:tcPr>
          <w:p w14:paraId="5D45F7DA"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PP</w:t>
            </w:r>
          </w:p>
        </w:tc>
        <w:tc>
          <w:tcPr>
            <w:tcW w:w="1620" w:type="dxa"/>
            <w:tcBorders>
              <w:top w:val="nil"/>
              <w:left w:val="nil"/>
              <w:bottom w:val="single" w:sz="4" w:space="0" w:color="auto"/>
              <w:right w:val="single" w:sz="4" w:space="0" w:color="auto"/>
            </w:tcBorders>
            <w:shd w:val="clear" w:color="auto" w:fill="auto"/>
            <w:vAlign w:val="center"/>
            <w:hideMark/>
          </w:tcPr>
          <w:p w14:paraId="6042587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6C4880C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481514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5631E74"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2CA3573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15576BB"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5.1.7.3 Publikimi në faqen e internetit të formateve standarde të akteve dhe kërkesave që i Prokurorisë</w:t>
            </w:r>
          </w:p>
        </w:tc>
        <w:tc>
          <w:tcPr>
            <w:tcW w:w="1890" w:type="dxa"/>
            <w:tcBorders>
              <w:top w:val="nil"/>
              <w:left w:val="nil"/>
              <w:bottom w:val="single" w:sz="4" w:space="0" w:color="auto"/>
              <w:right w:val="single" w:sz="4" w:space="0" w:color="auto"/>
            </w:tcBorders>
            <w:shd w:val="clear" w:color="auto" w:fill="auto"/>
            <w:vAlign w:val="center"/>
            <w:hideMark/>
          </w:tcPr>
          <w:p w14:paraId="16B89BAF"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PP</w:t>
            </w:r>
          </w:p>
        </w:tc>
        <w:tc>
          <w:tcPr>
            <w:tcW w:w="1620" w:type="dxa"/>
            <w:tcBorders>
              <w:top w:val="nil"/>
              <w:left w:val="nil"/>
              <w:bottom w:val="single" w:sz="4" w:space="0" w:color="auto"/>
              <w:right w:val="single" w:sz="4" w:space="0" w:color="auto"/>
            </w:tcBorders>
            <w:shd w:val="clear" w:color="auto" w:fill="auto"/>
            <w:vAlign w:val="center"/>
            <w:hideMark/>
          </w:tcPr>
          <w:p w14:paraId="4339417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0690871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19B143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C464B9C"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269422E1"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1C0AEA4E"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5.1.7.4 Përditësimi, përgatitja dhe publikimi online i  fletëpalosjeve mbi të drejtën e ankimit dhe rekursit</w:t>
            </w:r>
          </w:p>
        </w:tc>
        <w:tc>
          <w:tcPr>
            <w:tcW w:w="1890" w:type="dxa"/>
            <w:tcBorders>
              <w:top w:val="nil"/>
              <w:left w:val="nil"/>
              <w:bottom w:val="single" w:sz="8" w:space="0" w:color="auto"/>
              <w:right w:val="single" w:sz="4" w:space="0" w:color="auto"/>
            </w:tcBorders>
            <w:shd w:val="clear" w:color="auto" w:fill="auto"/>
            <w:vAlign w:val="center"/>
            <w:hideMark/>
          </w:tcPr>
          <w:p w14:paraId="69CB80A2"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PP</w:t>
            </w:r>
          </w:p>
        </w:tc>
        <w:tc>
          <w:tcPr>
            <w:tcW w:w="1620" w:type="dxa"/>
            <w:tcBorders>
              <w:top w:val="nil"/>
              <w:left w:val="nil"/>
              <w:bottom w:val="single" w:sz="8" w:space="0" w:color="auto"/>
              <w:right w:val="single" w:sz="4" w:space="0" w:color="auto"/>
            </w:tcBorders>
            <w:shd w:val="clear" w:color="auto" w:fill="auto"/>
            <w:vAlign w:val="center"/>
            <w:hideMark/>
          </w:tcPr>
          <w:p w14:paraId="3F12BFF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4D5A220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15D8E14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7B8DD26" w14:textId="77777777" w:rsidTr="0018109D">
        <w:trPr>
          <w:trHeight w:val="639"/>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6FCF8712"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5.1.8 Informimi i publikut mbi veprimtarinë e prokurorisë së posacme dhe BKH, aksesi i qytetarëve, llojet e çështjeve që trajtojnë, e drejta e ankimit/rekursit dhe afatett</w:t>
            </w:r>
          </w:p>
        </w:tc>
        <w:tc>
          <w:tcPr>
            <w:tcW w:w="2520" w:type="dxa"/>
            <w:tcBorders>
              <w:top w:val="nil"/>
              <w:left w:val="nil"/>
              <w:bottom w:val="single" w:sz="4" w:space="0" w:color="auto"/>
              <w:right w:val="single" w:sz="4" w:space="0" w:color="auto"/>
            </w:tcBorders>
            <w:shd w:val="clear" w:color="auto" w:fill="auto"/>
            <w:vAlign w:val="center"/>
            <w:hideMark/>
          </w:tcPr>
          <w:p w14:paraId="077DB0DC"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5.1.8.1 Publikimi në faqen e internetit të formateve standarde të akteve dhe kërkesave që i drejtohen SPAK</w:t>
            </w:r>
          </w:p>
        </w:tc>
        <w:tc>
          <w:tcPr>
            <w:tcW w:w="1890" w:type="dxa"/>
            <w:tcBorders>
              <w:top w:val="nil"/>
              <w:left w:val="nil"/>
              <w:bottom w:val="single" w:sz="4" w:space="0" w:color="auto"/>
              <w:right w:val="single" w:sz="4" w:space="0" w:color="auto"/>
            </w:tcBorders>
            <w:shd w:val="clear" w:color="auto" w:fill="auto"/>
            <w:vAlign w:val="center"/>
            <w:hideMark/>
          </w:tcPr>
          <w:p w14:paraId="7BF68A03"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SPAK</w:t>
            </w:r>
          </w:p>
        </w:tc>
        <w:tc>
          <w:tcPr>
            <w:tcW w:w="1620" w:type="dxa"/>
            <w:tcBorders>
              <w:top w:val="nil"/>
              <w:left w:val="nil"/>
              <w:bottom w:val="single" w:sz="4" w:space="0" w:color="auto"/>
              <w:right w:val="single" w:sz="4" w:space="0" w:color="auto"/>
            </w:tcBorders>
            <w:shd w:val="clear" w:color="auto" w:fill="auto"/>
            <w:vAlign w:val="center"/>
            <w:hideMark/>
          </w:tcPr>
          <w:p w14:paraId="3C1987B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A78E77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4B55054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DC96271"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2A08B88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2B9CA01D"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5.1.8.2 Përgatitja dhe publikimi online i  fletëpalosjeve mbi të drejtën e ankimit dhe rekursit</w:t>
            </w:r>
          </w:p>
        </w:tc>
        <w:tc>
          <w:tcPr>
            <w:tcW w:w="1890" w:type="dxa"/>
            <w:tcBorders>
              <w:top w:val="nil"/>
              <w:left w:val="nil"/>
              <w:bottom w:val="single" w:sz="8" w:space="0" w:color="auto"/>
              <w:right w:val="single" w:sz="4" w:space="0" w:color="auto"/>
            </w:tcBorders>
            <w:shd w:val="clear" w:color="auto" w:fill="auto"/>
            <w:vAlign w:val="center"/>
            <w:hideMark/>
          </w:tcPr>
          <w:p w14:paraId="32B7366D"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SPAK</w:t>
            </w:r>
          </w:p>
        </w:tc>
        <w:tc>
          <w:tcPr>
            <w:tcW w:w="1620" w:type="dxa"/>
            <w:tcBorders>
              <w:top w:val="nil"/>
              <w:left w:val="nil"/>
              <w:bottom w:val="single" w:sz="8" w:space="0" w:color="auto"/>
              <w:right w:val="single" w:sz="4" w:space="0" w:color="auto"/>
            </w:tcBorders>
            <w:shd w:val="clear" w:color="auto" w:fill="auto"/>
            <w:vAlign w:val="center"/>
            <w:hideMark/>
          </w:tcPr>
          <w:p w14:paraId="39AFCEC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289CD10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230BFBD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1DC1FE3" w14:textId="77777777" w:rsidTr="0018109D">
        <w:trPr>
          <w:trHeight w:val="639"/>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51D23BC7"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5.1.9 Organizimi i aktiviteteve informuese rreth kompetencave të ILD-së, procedurave, afateve, të drejtave të palëve </w:t>
            </w:r>
          </w:p>
        </w:tc>
        <w:tc>
          <w:tcPr>
            <w:tcW w:w="2520" w:type="dxa"/>
            <w:tcBorders>
              <w:top w:val="nil"/>
              <w:left w:val="nil"/>
              <w:bottom w:val="single" w:sz="4" w:space="0" w:color="auto"/>
              <w:right w:val="single" w:sz="4" w:space="0" w:color="auto"/>
            </w:tcBorders>
            <w:shd w:val="clear" w:color="auto" w:fill="auto"/>
            <w:vAlign w:val="center"/>
            <w:hideMark/>
          </w:tcPr>
          <w:p w14:paraId="094C1A03"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5.1.9.1 Planifikimi dhe realizimi i sesioneve informuese rreth rolit, kompetencave veprimtarisë së ILD</w:t>
            </w:r>
          </w:p>
        </w:tc>
        <w:tc>
          <w:tcPr>
            <w:tcW w:w="1890" w:type="dxa"/>
            <w:tcBorders>
              <w:top w:val="nil"/>
              <w:left w:val="nil"/>
              <w:bottom w:val="single" w:sz="4" w:space="0" w:color="auto"/>
              <w:right w:val="single" w:sz="4" w:space="0" w:color="auto"/>
            </w:tcBorders>
            <w:shd w:val="clear" w:color="auto" w:fill="auto"/>
            <w:vAlign w:val="center"/>
            <w:hideMark/>
          </w:tcPr>
          <w:p w14:paraId="478E9AF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w:t>
            </w:r>
          </w:p>
        </w:tc>
        <w:tc>
          <w:tcPr>
            <w:tcW w:w="1620" w:type="dxa"/>
            <w:tcBorders>
              <w:top w:val="nil"/>
              <w:left w:val="nil"/>
              <w:bottom w:val="single" w:sz="4" w:space="0" w:color="auto"/>
              <w:right w:val="single" w:sz="4" w:space="0" w:color="auto"/>
            </w:tcBorders>
            <w:shd w:val="clear" w:color="auto" w:fill="auto"/>
            <w:vAlign w:val="center"/>
            <w:hideMark/>
          </w:tcPr>
          <w:p w14:paraId="44DBC03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3D69A03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83484E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964BD75"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64C00C3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36A2C359"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 xml:space="preserve">5.1.9.2 Përgatitja dhe publikimi online i broshurave informative rreth procedurave, afateve, të drejtave të palëve </w:t>
            </w:r>
          </w:p>
        </w:tc>
        <w:tc>
          <w:tcPr>
            <w:tcW w:w="1890" w:type="dxa"/>
            <w:tcBorders>
              <w:top w:val="nil"/>
              <w:left w:val="nil"/>
              <w:bottom w:val="single" w:sz="8" w:space="0" w:color="auto"/>
              <w:right w:val="single" w:sz="4" w:space="0" w:color="auto"/>
            </w:tcBorders>
            <w:shd w:val="clear" w:color="auto" w:fill="auto"/>
            <w:vAlign w:val="center"/>
            <w:hideMark/>
          </w:tcPr>
          <w:p w14:paraId="1D2D0DD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ILD</w:t>
            </w:r>
          </w:p>
        </w:tc>
        <w:tc>
          <w:tcPr>
            <w:tcW w:w="1620" w:type="dxa"/>
            <w:tcBorders>
              <w:top w:val="nil"/>
              <w:left w:val="nil"/>
              <w:bottom w:val="single" w:sz="8" w:space="0" w:color="auto"/>
              <w:right w:val="single" w:sz="4" w:space="0" w:color="auto"/>
            </w:tcBorders>
            <w:shd w:val="clear" w:color="auto" w:fill="auto"/>
            <w:vAlign w:val="center"/>
            <w:hideMark/>
          </w:tcPr>
          <w:p w14:paraId="6478C92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08C97AB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3474A18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41828DA" w14:textId="77777777" w:rsidTr="0018109D">
        <w:trPr>
          <w:trHeight w:val="639"/>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28C52B6A"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5.1.10 Informimi dhe ndërgjegjësimi i publikut mbi mjetet alternative të zgjidhjeve të mosmarrëveshjeve</w:t>
            </w:r>
          </w:p>
        </w:tc>
        <w:tc>
          <w:tcPr>
            <w:tcW w:w="2520" w:type="dxa"/>
            <w:tcBorders>
              <w:top w:val="nil"/>
              <w:left w:val="nil"/>
              <w:bottom w:val="single" w:sz="4" w:space="0" w:color="auto"/>
              <w:right w:val="single" w:sz="4" w:space="0" w:color="auto"/>
            </w:tcBorders>
            <w:shd w:val="clear" w:color="auto" w:fill="auto"/>
            <w:vAlign w:val="center"/>
            <w:hideMark/>
          </w:tcPr>
          <w:p w14:paraId="2F1F495E"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 xml:space="preserve">5.1.10.1 Përgatitja dhe publikimi i një fletëpalosje dhe një video online për ndërmjetësimin; </w:t>
            </w:r>
          </w:p>
        </w:tc>
        <w:tc>
          <w:tcPr>
            <w:tcW w:w="1890" w:type="dxa"/>
            <w:tcBorders>
              <w:top w:val="nil"/>
              <w:left w:val="nil"/>
              <w:bottom w:val="single" w:sz="4" w:space="0" w:color="auto"/>
              <w:right w:val="single" w:sz="4" w:space="0" w:color="auto"/>
            </w:tcBorders>
            <w:shd w:val="clear" w:color="auto" w:fill="auto"/>
            <w:vAlign w:val="center"/>
            <w:hideMark/>
          </w:tcPr>
          <w:p w14:paraId="5E4E560A"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4" w:space="0" w:color="auto"/>
            </w:tcBorders>
            <w:shd w:val="clear" w:color="auto" w:fill="auto"/>
            <w:vAlign w:val="center"/>
            <w:hideMark/>
          </w:tcPr>
          <w:p w14:paraId="7E47B4FD"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DHKND</w:t>
            </w:r>
          </w:p>
        </w:tc>
        <w:tc>
          <w:tcPr>
            <w:tcW w:w="1710" w:type="dxa"/>
            <w:tcBorders>
              <w:top w:val="nil"/>
              <w:left w:val="nil"/>
              <w:bottom w:val="single" w:sz="4" w:space="0" w:color="auto"/>
              <w:right w:val="single" w:sz="4" w:space="0" w:color="auto"/>
            </w:tcBorders>
            <w:shd w:val="clear" w:color="000000" w:fill="DDEBF7"/>
            <w:vAlign w:val="center"/>
            <w:hideMark/>
          </w:tcPr>
          <w:p w14:paraId="1FF75BAD"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F84C8CC"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2026</w:t>
            </w:r>
          </w:p>
        </w:tc>
      </w:tr>
      <w:tr w:rsidR="007440A2" w:rsidRPr="007440A2" w14:paraId="5A1D1365"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3DE41F04"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386C4E6"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5.1.10.2 Zhvillimi i seancave informuese mbi cështjet që mund të zgjidhen me ndërmjetësim dhe të drejtat e paleve në proces</w:t>
            </w:r>
          </w:p>
        </w:tc>
        <w:tc>
          <w:tcPr>
            <w:tcW w:w="1890" w:type="dxa"/>
            <w:tcBorders>
              <w:top w:val="nil"/>
              <w:left w:val="nil"/>
              <w:bottom w:val="single" w:sz="4" w:space="0" w:color="auto"/>
              <w:right w:val="single" w:sz="4" w:space="0" w:color="auto"/>
            </w:tcBorders>
            <w:shd w:val="clear" w:color="auto" w:fill="auto"/>
            <w:vAlign w:val="center"/>
            <w:hideMark/>
          </w:tcPr>
          <w:p w14:paraId="143CB3B4"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4" w:space="0" w:color="auto"/>
            </w:tcBorders>
            <w:shd w:val="clear" w:color="auto" w:fill="auto"/>
            <w:vAlign w:val="center"/>
            <w:hideMark/>
          </w:tcPr>
          <w:p w14:paraId="77C6B583"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DHKND,DNJF,MD</w:t>
            </w:r>
          </w:p>
        </w:tc>
        <w:tc>
          <w:tcPr>
            <w:tcW w:w="1710" w:type="dxa"/>
            <w:tcBorders>
              <w:top w:val="nil"/>
              <w:left w:val="nil"/>
              <w:bottom w:val="single" w:sz="4" w:space="0" w:color="auto"/>
              <w:right w:val="single" w:sz="4" w:space="0" w:color="auto"/>
            </w:tcBorders>
            <w:shd w:val="clear" w:color="000000" w:fill="DDEBF7"/>
            <w:vAlign w:val="center"/>
            <w:hideMark/>
          </w:tcPr>
          <w:p w14:paraId="1D2E5A7A"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1651C5C7"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2030</w:t>
            </w:r>
          </w:p>
        </w:tc>
      </w:tr>
      <w:tr w:rsidR="007440A2" w:rsidRPr="007440A2" w14:paraId="761B50F8"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287DFB0F"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4154179"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5.1.10.3 Sesione informuese dhe përgatitja e broshurave mbi kuadrin ligjor mbi “Ndërmjetësimin”</w:t>
            </w:r>
          </w:p>
        </w:tc>
        <w:tc>
          <w:tcPr>
            <w:tcW w:w="1890" w:type="dxa"/>
            <w:tcBorders>
              <w:top w:val="nil"/>
              <w:left w:val="nil"/>
              <w:bottom w:val="single" w:sz="4" w:space="0" w:color="auto"/>
              <w:right w:val="single" w:sz="4" w:space="0" w:color="auto"/>
            </w:tcBorders>
            <w:shd w:val="clear" w:color="auto" w:fill="auto"/>
            <w:vAlign w:val="center"/>
            <w:hideMark/>
          </w:tcPr>
          <w:p w14:paraId="3E7D7C53"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4" w:space="0" w:color="auto"/>
            </w:tcBorders>
            <w:shd w:val="clear" w:color="auto" w:fill="auto"/>
            <w:vAlign w:val="center"/>
            <w:hideMark/>
          </w:tcPr>
          <w:p w14:paraId="6F174CEC"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DHKND</w:t>
            </w:r>
          </w:p>
        </w:tc>
        <w:tc>
          <w:tcPr>
            <w:tcW w:w="1710" w:type="dxa"/>
            <w:tcBorders>
              <w:top w:val="nil"/>
              <w:left w:val="nil"/>
              <w:bottom w:val="single" w:sz="4" w:space="0" w:color="auto"/>
              <w:right w:val="single" w:sz="4" w:space="0" w:color="auto"/>
            </w:tcBorders>
            <w:shd w:val="clear" w:color="000000" w:fill="DDEBF7"/>
            <w:vAlign w:val="center"/>
            <w:hideMark/>
          </w:tcPr>
          <w:p w14:paraId="6BEEF297"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48DD8A9C"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2030</w:t>
            </w:r>
          </w:p>
        </w:tc>
      </w:tr>
      <w:tr w:rsidR="007440A2" w:rsidRPr="007440A2" w14:paraId="4F3E276D"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10FE332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02FE3392"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5.1.10.4 Promovimi i programeve të drejtësisë restauruese dhe ndërmjetësimin në shkolla dhe në komunitet ( MD, DHKN, DNJF)</w:t>
            </w:r>
          </w:p>
        </w:tc>
        <w:tc>
          <w:tcPr>
            <w:tcW w:w="1890" w:type="dxa"/>
            <w:tcBorders>
              <w:top w:val="nil"/>
              <w:left w:val="nil"/>
              <w:bottom w:val="single" w:sz="8" w:space="0" w:color="auto"/>
              <w:right w:val="single" w:sz="4" w:space="0" w:color="auto"/>
            </w:tcBorders>
            <w:shd w:val="clear" w:color="auto" w:fill="auto"/>
            <w:vAlign w:val="center"/>
            <w:hideMark/>
          </w:tcPr>
          <w:p w14:paraId="6D0D22EE"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8" w:space="0" w:color="auto"/>
              <w:right w:val="single" w:sz="4" w:space="0" w:color="auto"/>
            </w:tcBorders>
            <w:shd w:val="clear" w:color="auto" w:fill="auto"/>
            <w:vAlign w:val="center"/>
            <w:hideMark/>
          </w:tcPr>
          <w:p w14:paraId="2C01FBD3"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DHKND, DNJF, MD</w:t>
            </w:r>
          </w:p>
        </w:tc>
        <w:tc>
          <w:tcPr>
            <w:tcW w:w="1710" w:type="dxa"/>
            <w:tcBorders>
              <w:top w:val="nil"/>
              <w:left w:val="nil"/>
              <w:bottom w:val="single" w:sz="8" w:space="0" w:color="auto"/>
              <w:right w:val="single" w:sz="4" w:space="0" w:color="auto"/>
            </w:tcBorders>
            <w:shd w:val="clear" w:color="000000" w:fill="DDEBF7"/>
            <w:vAlign w:val="center"/>
            <w:hideMark/>
          </w:tcPr>
          <w:p w14:paraId="6326A5B1"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5CAF618C"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2030</w:t>
            </w:r>
          </w:p>
        </w:tc>
      </w:tr>
      <w:tr w:rsidR="007440A2" w:rsidRPr="007440A2" w14:paraId="14586233" w14:textId="77777777" w:rsidTr="0018109D">
        <w:trPr>
          <w:trHeight w:val="639"/>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1E7B6C32"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5.1.11 Informimi i publikut mbi ndihmën juridike të garantuar nga shteti</w:t>
            </w:r>
          </w:p>
        </w:tc>
        <w:tc>
          <w:tcPr>
            <w:tcW w:w="2520" w:type="dxa"/>
            <w:tcBorders>
              <w:top w:val="nil"/>
              <w:left w:val="nil"/>
              <w:bottom w:val="single" w:sz="4" w:space="0" w:color="auto"/>
              <w:right w:val="single" w:sz="4" w:space="0" w:color="auto"/>
            </w:tcBorders>
            <w:shd w:val="clear" w:color="auto" w:fill="auto"/>
            <w:vAlign w:val="center"/>
            <w:hideMark/>
          </w:tcPr>
          <w:p w14:paraId="7FF28DB5"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5.1.11.1 Hartimi dhe publikimi i materialeve informuese mbi ndihmën juridike të garantuar nga shteti, online dhe i printuar</w:t>
            </w:r>
          </w:p>
        </w:tc>
        <w:tc>
          <w:tcPr>
            <w:tcW w:w="1890" w:type="dxa"/>
            <w:tcBorders>
              <w:top w:val="nil"/>
              <w:left w:val="nil"/>
              <w:bottom w:val="single" w:sz="4" w:space="0" w:color="auto"/>
              <w:right w:val="single" w:sz="4" w:space="0" w:color="auto"/>
            </w:tcBorders>
            <w:shd w:val="clear" w:color="auto" w:fill="auto"/>
            <w:vAlign w:val="center"/>
            <w:hideMark/>
          </w:tcPr>
          <w:p w14:paraId="173346E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4" w:space="0" w:color="auto"/>
              <w:right w:val="single" w:sz="4" w:space="0" w:color="auto"/>
            </w:tcBorders>
            <w:shd w:val="clear" w:color="auto" w:fill="auto"/>
            <w:vAlign w:val="center"/>
            <w:hideMark/>
          </w:tcPr>
          <w:p w14:paraId="2533BFF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DNJF, MD</w:t>
            </w:r>
          </w:p>
        </w:tc>
        <w:tc>
          <w:tcPr>
            <w:tcW w:w="1710" w:type="dxa"/>
            <w:tcBorders>
              <w:top w:val="nil"/>
              <w:left w:val="nil"/>
              <w:bottom w:val="single" w:sz="4" w:space="0" w:color="auto"/>
              <w:right w:val="single" w:sz="4" w:space="0" w:color="auto"/>
            </w:tcBorders>
            <w:shd w:val="clear" w:color="000000" w:fill="DDEBF7"/>
            <w:vAlign w:val="center"/>
            <w:hideMark/>
          </w:tcPr>
          <w:p w14:paraId="4D59565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751B34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E1C7250"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1DBBEE1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DAA68C2"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5.1.11.2 Realizimi i sesioneve informuese në të gjitha bashkitë për t’u njohur me NJF</w:t>
            </w:r>
          </w:p>
        </w:tc>
        <w:tc>
          <w:tcPr>
            <w:tcW w:w="1890" w:type="dxa"/>
            <w:tcBorders>
              <w:top w:val="nil"/>
              <w:left w:val="nil"/>
              <w:bottom w:val="single" w:sz="4" w:space="0" w:color="auto"/>
              <w:right w:val="single" w:sz="4" w:space="0" w:color="auto"/>
            </w:tcBorders>
            <w:shd w:val="clear" w:color="auto" w:fill="auto"/>
            <w:vAlign w:val="center"/>
            <w:hideMark/>
          </w:tcPr>
          <w:p w14:paraId="1D81CA5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4" w:space="0" w:color="auto"/>
              <w:right w:val="single" w:sz="4" w:space="0" w:color="auto"/>
            </w:tcBorders>
            <w:shd w:val="clear" w:color="auto" w:fill="auto"/>
            <w:vAlign w:val="center"/>
            <w:hideMark/>
          </w:tcPr>
          <w:p w14:paraId="173C731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DNJF, MD</w:t>
            </w:r>
          </w:p>
        </w:tc>
        <w:tc>
          <w:tcPr>
            <w:tcW w:w="1710" w:type="dxa"/>
            <w:tcBorders>
              <w:top w:val="nil"/>
              <w:left w:val="nil"/>
              <w:bottom w:val="single" w:sz="4" w:space="0" w:color="auto"/>
              <w:right w:val="single" w:sz="4" w:space="0" w:color="auto"/>
            </w:tcBorders>
            <w:shd w:val="clear" w:color="000000" w:fill="DDEBF7"/>
            <w:vAlign w:val="center"/>
            <w:hideMark/>
          </w:tcPr>
          <w:p w14:paraId="0517895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2FC24C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032797E"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345A369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3EC0171"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5.1.11.3 Sesione të vecanta me grupet vulnerabël ( gratë, të miturit, personat me aftësi të kufizuar, viktimat e dhunës, të miturit etj)</w:t>
            </w:r>
          </w:p>
        </w:tc>
        <w:tc>
          <w:tcPr>
            <w:tcW w:w="1890" w:type="dxa"/>
            <w:tcBorders>
              <w:top w:val="nil"/>
              <w:left w:val="nil"/>
              <w:bottom w:val="single" w:sz="4" w:space="0" w:color="auto"/>
              <w:right w:val="single" w:sz="4" w:space="0" w:color="auto"/>
            </w:tcBorders>
            <w:shd w:val="clear" w:color="auto" w:fill="auto"/>
            <w:vAlign w:val="center"/>
            <w:hideMark/>
          </w:tcPr>
          <w:p w14:paraId="0FFFF85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4" w:space="0" w:color="auto"/>
              <w:right w:val="single" w:sz="4" w:space="0" w:color="auto"/>
            </w:tcBorders>
            <w:shd w:val="clear" w:color="auto" w:fill="auto"/>
            <w:vAlign w:val="center"/>
            <w:hideMark/>
          </w:tcPr>
          <w:p w14:paraId="69E6BC2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DNJF, MD</w:t>
            </w:r>
          </w:p>
        </w:tc>
        <w:tc>
          <w:tcPr>
            <w:tcW w:w="1710" w:type="dxa"/>
            <w:tcBorders>
              <w:top w:val="nil"/>
              <w:left w:val="nil"/>
              <w:bottom w:val="single" w:sz="4" w:space="0" w:color="auto"/>
              <w:right w:val="single" w:sz="4" w:space="0" w:color="auto"/>
            </w:tcBorders>
            <w:shd w:val="clear" w:color="000000" w:fill="DDEBF7"/>
            <w:vAlign w:val="center"/>
            <w:hideMark/>
          </w:tcPr>
          <w:p w14:paraId="53CC235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59759DC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8E1AFC5"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7B6B91F7"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8CB9D99"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5.1.11.4 Përgatitja dhe publikimi i videos së animuar dhe me zë “Ndihma juridike falas - kush dhe si e përfiton?”. </w:t>
            </w:r>
          </w:p>
        </w:tc>
        <w:tc>
          <w:tcPr>
            <w:tcW w:w="1890" w:type="dxa"/>
            <w:tcBorders>
              <w:top w:val="nil"/>
              <w:left w:val="nil"/>
              <w:bottom w:val="single" w:sz="4" w:space="0" w:color="auto"/>
              <w:right w:val="single" w:sz="4" w:space="0" w:color="auto"/>
            </w:tcBorders>
            <w:shd w:val="clear" w:color="auto" w:fill="auto"/>
            <w:vAlign w:val="center"/>
            <w:hideMark/>
          </w:tcPr>
          <w:p w14:paraId="6669F3E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4" w:space="0" w:color="auto"/>
              <w:right w:val="single" w:sz="4" w:space="0" w:color="auto"/>
            </w:tcBorders>
            <w:shd w:val="clear" w:color="auto" w:fill="auto"/>
            <w:vAlign w:val="center"/>
            <w:hideMark/>
          </w:tcPr>
          <w:p w14:paraId="09C0139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DNJF, MD</w:t>
            </w:r>
          </w:p>
        </w:tc>
        <w:tc>
          <w:tcPr>
            <w:tcW w:w="1710" w:type="dxa"/>
            <w:tcBorders>
              <w:top w:val="nil"/>
              <w:left w:val="nil"/>
              <w:bottom w:val="single" w:sz="4" w:space="0" w:color="auto"/>
              <w:right w:val="single" w:sz="4" w:space="0" w:color="auto"/>
            </w:tcBorders>
            <w:shd w:val="clear" w:color="000000" w:fill="DDEBF7"/>
            <w:vAlign w:val="center"/>
            <w:hideMark/>
          </w:tcPr>
          <w:p w14:paraId="28BCFDD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75632DD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r>
      <w:tr w:rsidR="007440A2" w:rsidRPr="007440A2" w14:paraId="33094A68"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05211AB9"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20ACBF3"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5.1.11.5 Përgatitja dhe miratimi i kalendarit te punes per rritjen e informimit dhe ndergjegjesimit te subjekteve te ligjit dhe zbatimi i kalendarit"</w:t>
            </w:r>
          </w:p>
        </w:tc>
        <w:tc>
          <w:tcPr>
            <w:tcW w:w="1890" w:type="dxa"/>
            <w:tcBorders>
              <w:top w:val="nil"/>
              <w:left w:val="nil"/>
              <w:bottom w:val="single" w:sz="4" w:space="0" w:color="auto"/>
              <w:right w:val="single" w:sz="4" w:space="0" w:color="auto"/>
            </w:tcBorders>
            <w:shd w:val="clear" w:color="auto" w:fill="auto"/>
            <w:vAlign w:val="center"/>
            <w:hideMark/>
          </w:tcPr>
          <w:p w14:paraId="533F119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4" w:space="0" w:color="auto"/>
              <w:right w:val="single" w:sz="4" w:space="0" w:color="auto"/>
            </w:tcBorders>
            <w:shd w:val="clear" w:color="auto" w:fill="auto"/>
            <w:vAlign w:val="center"/>
            <w:hideMark/>
          </w:tcPr>
          <w:p w14:paraId="35922E9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DNJF, MD</w:t>
            </w:r>
          </w:p>
        </w:tc>
        <w:tc>
          <w:tcPr>
            <w:tcW w:w="1710" w:type="dxa"/>
            <w:tcBorders>
              <w:top w:val="nil"/>
              <w:left w:val="nil"/>
              <w:bottom w:val="single" w:sz="4" w:space="0" w:color="auto"/>
              <w:right w:val="single" w:sz="4" w:space="0" w:color="auto"/>
            </w:tcBorders>
            <w:shd w:val="clear" w:color="000000" w:fill="DDEBF7"/>
            <w:vAlign w:val="center"/>
            <w:hideMark/>
          </w:tcPr>
          <w:p w14:paraId="4412FA5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71A325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6862F11" w14:textId="77777777" w:rsidTr="0018109D">
        <w:trPr>
          <w:trHeight w:val="948"/>
        </w:trPr>
        <w:tc>
          <w:tcPr>
            <w:tcW w:w="1790" w:type="dxa"/>
            <w:vMerge/>
            <w:tcBorders>
              <w:top w:val="nil"/>
              <w:left w:val="single" w:sz="8" w:space="0" w:color="auto"/>
              <w:bottom w:val="single" w:sz="8" w:space="0" w:color="000000"/>
              <w:right w:val="single" w:sz="4" w:space="0" w:color="auto"/>
            </w:tcBorders>
            <w:vAlign w:val="center"/>
            <w:hideMark/>
          </w:tcPr>
          <w:p w14:paraId="067850B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50BD93FC"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5.1.11.6 Realizimi i intervistave televizive në televisionet kombëtare dhe lokale mbi NJF, subjektet përfituese, procedurat e aplikimit)</w:t>
            </w:r>
          </w:p>
        </w:tc>
        <w:tc>
          <w:tcPr>
            <w:tcW w:w="1890" w:type="dxa"/>
            <w:tcBorders>
              <w:top w:val="nil"/>
              <w:left w:val="nil"/>
              <w:bottom w:val="single" w:sz="8" w:space="0" w:color="auto"/>
              <w:right w:val="single" w:sz="4" w:space="0" w:color="auto"/>
            </w:tcBorders>
            <w:shd w:val="clear" w:color="auto" w:fill="auto"/>
            <w:vAlign w:val="center"/>
            <w:hideMark/>
          </w:tcPr>
          <w:p w14:paraId="13E30F0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8" w:space="0" w:color="auto"/>
              <w:right w:val="single" w:sz="4" w:space="0" w:color="auto"/>
            </w:tcBorders>
            <w:shd w:val="clear" w:color="auto" w:fill="auto"/>
            <w:vAlign w:val="center"/>
            <w:hideMark/>
          </w:tcPr>
          <w:p w14:paraId="08C4494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DNJF, MD</w:t>
            </w:r>
          </w:p>
        </w:tc>
        <w:tc>
          <w:tcPr>
            <w:tcW w:w="1710" w:type="dxa"/>
            <w:tcBorders>
              <w:top w:val="nil"/>
              <w:left w:val="nil"/>
              <w:bottom w:val="single" w:sz="8" w:space="0" w:color="auto"/>
              <w:right w:val="single" w:sz="4" w:space="0" w:color="auto"/>
            </w:tcBorders>
            <w:shd w:val="clear" w:color="000000" w:fill="DDEBF7"/>
            <w:vAlign w:val="center"/>
            <w:hideMark/>
          </w:tcPr>
          <w:p w14:paraId="6D3BD21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2AF7265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033938F" w14:textId="77777777" w:rsidTr="0018109D">
        <w:trPr>
          <w:trHeight w:val="639"/>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44C8951D"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5.1.12 Planifikimi dhe organizimi i aktiviteteve informuese dhe promovuese në Javën e Drejtësisë </w:t>
            </w:r>
          </w:p>
        </w:tc>
        <w:tc>
          <w:tcPr>
            <w:tcW w:w="2520" w:type="dxa"/>
            <w:tcBorders>
              <w:top w:val="nil"/>
              <w:left w:val="nil"/>
              <w:bottom w:val="single" w:sz="4" w:space="0" w:color="auto"/>
              <w:right w:val="single" w:sz="4" w:space="0" w:color="auto"/>
            </w:tcBorders>
            <w:shd w:val="clear" w:color="auto" w:fill="auto"/>
            <w:vAlign w:val="center"/>
            <w:hideMark/>
          </w:tcPr>
          <w:p w14:paraId="5E0D4FA0"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5.1.12.1 Hartimi i planit të aktiviteteve nga institucionet e drejtësisë në Javën e Drejtësisë</w:t>
            </w:r>
          </w:p>
        </w:tc>
        <w:tc>
          <w:tcPr>
            <w:tcW w:w="1890" w:type="dxa"/>
            <w:tcBorders>
              <w:top w:val="nil"/>
              <w:left w:val="nil"/>
              <w:bottom w:val="single" w:sz="4" w:space="0" w:color="auto"/>
              <w:right w:val="single" w:sz="4" w:space="0" w:color="auto"/>
            </w:tcBorders>
            <w:shd w:val="clear" w:color="auto" w:fill="auto"/>
            <w:vAlign w:val="center"/>
            <w:hideMark/>
          </w:tcPr>
          <w:p w14:paraId="3FB4A203"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0FB834B8"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xml:space="preserve">KLGJ, KLP, ILD, Gjykatat,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28CB325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656EFA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598E2B6"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75B0A4E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4B2DE21"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5.1.12.2 Kryerja e aktiviteteve ndërgjësuese në kuadër të javës së Drejtësisë</w:t>
            </w:r>
          </w:p>
        </w:tc>
        <w:tc>
          <w:tcPr>
            <w:tcW w:w="1890" w:type="dxa"/>
            <w:tcBorders>
              <w:top w:val="nil"/>
              <w:left w:val="nil"/>
              <w:bottom w:val="single" w:sz="4" w:space="0" w:color="auto"/>
              <w:right w:val="single" w:sz="4" w:space="0" w:color="auto"/>
            </w:tcBorders>
            <w:shd w:val="clear" w:color="auto" w:fill="auto"/>
            <w:vAlign w:val="center"/>
            <w:hideMark/>
          </w:tcPr>
          <w:p w14:paraId="2D00520F"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0058DA87"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KLP, ILD, Gjykatat</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6BC40EA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5B743EC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C178573"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253E1D1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5AEF8F77"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5.1.12.3 Planifikimi dhe organizimi i takimeve informuese në shkolla</w:t>
            </w:r>
          </w:p>
        </w:tc>
        <w:tc>
          <w:tcPr>
            <w:tcW w:w="1890" w:type="dxa"/>
            <w:tcBorders>
              <w:top w:val="nil"/>
              <w:left w:val="nil"/>
              <w:bottom w:val="single" w:sz="8" w:space="0" w:color="auto"/>
              <w:right w:val="single" w:sz="4" w:space="0" w:color="auto"/>
            </w:tcBorders>
            <w:shd w:val="clear" w:color="auto" w:fill="auto"/>
            <w:vAlign w:val="center"/>
            <w:hideMark/>
          </w:tcPr>
          <w:p w14:paraId="335FAF55"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8" w:space="0" w:color="auto"/>
              <w:right w:val="single" w:sz="8" w:space="0" w:color="auto"/>
            </w:tcBorders>
            <w:shd w:val="clear" w:color="auto" w:fill="auto"/>
            <w:vAlign w:val="center"/>
            <w:hideMark/>
          </w:tcPr>
          <w:p w14:paraId="78D62751"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KLP, ILD, Gjykatat</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4AAF4DA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4242E9F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A2F8E7D" w14:textId="77777777" w:rsidTr="0018109D">
        <w:trPr>
          <w:trHeight w:val="1176"/>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4D674DE4"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5.1.13 Planifikimi dhe organizimi i takimeve në ditë të vecanta për sistemin e Drejtësisë dhe të drejtave të njeriut ( Dita e Drejtësisë, Dita e të Drejtave të Njeriut)</w:t>
            </w:r>
          </w:p>
        </w:tc>
        <w:tc>
          <w:tcPr>
            <w:tcW w:w="2520" w:type="dxa"/>
            <w:tcBorders>
              <w:top w:val="nil"/>
              <w:left w:val="nil"/>
              <w:bottom w:val="single" w:sz="4" w:space="0" w:color="auto"/>
              <w:right w:val="single" w:sz="4" w:space="0" w:color="auto"/>
            </w:tcBorders>
            <w:shd w:val="clear" w:color="auto" w:fill="auto"/>
            <w:vAlign w:val="center"/>
            <w:hideMark/>
          </w:tcPr>
          <w:p w14:paraId="0F23F7C0"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5.1.13.1 Organizimi i ditëve të hapura, vizitave në gjykata dhe leksioneve publike nga profesionistët ligjorë për të rritur informimin e publikut mbi sistemin e drejtësisë dhe forcuar besimin publik.</w:t>
            </w:r>
          </w:p>
        </w:tc>
        <w:tc>
          <w:tcPr>
            <w:tcW w:w="1890" w:type="dxa"/>
            <w:tcBorders>
              <w:top w:val="nil"/>
              <w:left w:val="nil"/>
              <w:bottom w:val="single" w:sz="4" w:space="0" w:color="auto"/>
              <w:right w:val="single" w:sz="4" w:space="0" w:color="auto"/>
            </w:tcBorders>
            <w:shd w:val="clear" w:color="auto" w:fill="auto"/>
            <w:vAlign w:val="center"/>
            <w:hideMark/>
          </w:tcPr>
          <w:p w14:paraId="71E44502"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5D3849C6"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ILD, Gjykatat</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5373081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7F097DE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3128DE9" w14:textId="77777777" w:rsidTr="0018109D">
        <w:trPr>
          <w:trHeight w:val="1080"/>
        </w:trPr>
        <w:tc>
          <w:tcPr>
            <w:tcW w:w="1790" w:type="dxa"/>
            <w:vMerge/>
            <w:tcBorders>
              <w:top w:val="nil"/>
              <w:left w:val="single" w:sz="8" w:space="0" w:color="auto"/>
              <w:bottom w:val="single" w:sz="8" w:space="0" w:color="000000"/>
              <w:right w:val="single" w:sz="4" w:space="0" w:color="auto"/>
            </w:tcBorders>
            <w:vAlign w:val="center"/>
            <w:hideMark/>
          </w:tcPr>
          <w:p w14:paraId="7D7A123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F19F31E"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5.1.13.2 Organizimi i aktiviteteve informuese dhe edukative me rastin e ditës së të drejtave të Njeriut / Drejtësisë</w:t>
            </w:r>
          </w:p>
        </w:tc>
        <w:tc>
          <w:tcPr>
            <w:tcW w:w="1890" w:type="dxa"/>
            <w:tcBorders>
              <w:top w:val="nil"/>
              <w:left w:val="nil"/>
              <w:bottom w:val="single" w:sz="4" w:space="0" w:color="auto"/>
              <w:right w:val="single" w:sz="4" w:space="0" w:color="auto"/>
            </w:tcBorders>
            <w:shd w:val="clear" w:color="auto" w:fill="auto"/>
            <w:vAlign w:val="center"/>
            <w:hideMark/>
          </w:tcPr>
          <w:p w14:paraId="31909AA5"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13897021"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ILD, Gjykatat</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1A9F60B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6F4DB48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E319774" w14:textId="77777777" w:rsidTr="0018109D">
        <w:trPr>
          <w:trHeight w:val="1044"/>
        </w:trPr>
        <w:tc>
          <w:tcPr>
            <w:tcW w:w="1790" w:type="dxa"/>
            <w:vMerge/>
            <w:tcBorders>
              <w:top w:val="nil"/>
              <w:left w:val="single" w:sz="8" w:space="0" w:color="auto"/>
              <w:bottom w:val="single" w:sz="8" w:space="0" w:color="000000"/>
              <w:right w:val="single" w:sz="4" w:space="0" w:color="auto"/>
            </w:tcBorders>
            <w:vAlign w:val="center"/>
            <w:hideMark/>
          </w:tcPr>
          <w:p w14:paraId="49DADD6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6C6D0711"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5.1.13.3 Ditë të hapura me nxënësit e shkollave të mesme në Gjykatën Kushtetuese për të mësuar më shumë rreth rolit, kompetencave të saj në mbrojtje të të drejtave dhe lirive kushtetuese të individit</w:t>
            </w:r>
          </w:p>
        </w:tc>
        <w:tc>
          <w:tcPr>
            <w:tcW w:w="1890" w:type="dxa"/>
            <w:tcBorders>
              <w:top w:val="nil"/>
              <w:left w:val="nil"/>
              <w:bottom w:val="single" w:sz="8" w:space="0" w:color="auto"/>
              <w:right w:val="single" w:sz="4" w:space="0" w:color="auto"/>
            </w:tcBorders>
            <w:shd w:val="clear" w:color="auto" w:fill="auto"/>
            <w:vAlign w:val="center"/>
            <w:hideMark/>
          </w:tcPr>
          <w:p w14:paraId="2DB51608"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GJK</w:t>
            </w:r>
          </w:p>
        </w:tc>
        <w:tc>
          <w:tcPr>
            <w:tcW w:w="1620" w:type="dxa"/>
            <w:tcBorders>
              <w:top w:val="nil"/>
              <w:left w:val="nil"/>
              <w:bottom w:val="single" w:sz="8" w:space="0" w:color="auto"/>
              <w:right w:val="single" w:sz="8" w:space="0" w:color="auto"/>
            </w:tcBorders>
            <w:shd w:val="clear" w:color="auto" w:fill="auto"/>
            <w:vAlign w:val="center"/>
            <w:hideMark/>
          </w:tcPr>
          <w:p w14:paraId="171AF851"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00B4F2E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38D63EB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r>
      <w:tr w:rsidR="007440A2" w:rsidRPr="007440A2" w14:paraId="5191E82C" w14:textId="77777777" w:rsidTr="0018109D">
        <w:trPr>
          <w:trHeight w:val="996"/>
        </w:trPr>
        <w:tc>
          <w:tcPr>
            <w:tcW w:w="4310" w:type="dxa"/>
            <w:gridSpan w:val="2"/>
            <w:tcBorders>
              <w:top w:val="nil"/>
              <w:left w:val="single" w:sz="8" w:space="0" w:color="auto"/>
              <w:bottom w:val="single" w:sz="8" w:space="0" w:color="auto"/>
              <w:right w:val="nil"/>
            </w:tcBorders>
            <w:shd w:val="clear" w:color="000000" w:fill="9CC2E5"/>
            <w:vAlign w:val="center"/>
            <w:hideMark/>
          </w:tcPr>
          <w:p w14:paraId="1F8C0453"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5.2:</w:t>
            </w:r>
          </w:p>
        </w:tc>
        <w:tc>
          <w:tcPr>
            <w:tcW w:w="6480" w:type="dxa"/>
            <w:gridSpan w:val="4"/>
            <w:tcBorders>
              <w:top w:val="nil"/>
              <w:left w:val="single" w:sz="8" w:space="0" w:color="auto"/>
              <w:bottom w:val="single" w:sz="8" w:space="0" w:color="auto"/>
              <w:right w:val="single" w:sz="8" w:space="0" w:color="000000"/>
            </w:tcBorders>
            <w:shd w:val="clear" w:color="000000" w:fill="9CC2E5"/>
            <w:vAlign w:val="center"/>
            <w:hideMark/>
          </w:tcPr>
          <w:p w14:paraId="598EAD0E"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Forcimi i bashkëpunimit efektiv të institucioneve të sistemit të drejtësisë për realizimin e ELP dhe rritja e aksesit të qytetarëve në informacionin mbi kuadrin ligjor dhe sistemin e drejtësisë  </w:t>
            </w:r>
          </w:p>
        </w:tc>
      </w:tr>
      <w:tr w:rsidR="007440A2" w:rsidRPr="007440A2" w14:paraId="61107BAC" w14:textId="77777777" w:rsidTr="0018109D">
        <w:trPr>
          <w:trHeight w:val="1248"/>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6584C403"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316093BD"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Deri ne fund te vitit 2030 ka rritje progresive te  numrit të fushatave mediatike mbi kuadrin ligjor dhe sistemin e drejtësisë, per te rritur aksesin e  qytetarëve në informacionin ne keto fusha.</w:t>
            </w:r>
          </w:p>
        </w:tc>
      </w:tr>
      <w:tr w:rsidR="007440A2" w:rsidRPr="007440A2" w14:paraId="7057F95B" w14:textId="77777777" w:rsidTr="0018109D">
        <w:trPr>
          <w:trHeight w:val="540"/>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5065504C"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59C65324"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28707C9F"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7E69B2DB"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37FF6642"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5C02BEA0"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619768B9" w14:textId="77777777" w:rsidTr="0018109D">
        <w:trPr>
          <w:trHeight w:val="639"/>
        </w:trPr>
        <w:tc>
          <w:tcPr>
            <w:tcW w:w="1790" w:type="dxa"/>
            <w:vMerge w:val="restart"/>
            <w:tcBorders>
              <w:top w:val="nil"/>
              <w:left w:val="single" w:sz="8" w:space="0" w:color="auto"/>
              <w:bottom w:val="single" w:sz="8" w:space="0" w:color="000000"/>
              <w:right w:val="single" w:sz="8" w:space="0" w:color="auto"/>
            </w:tcBorders>
            <w:shd w:val="clear" w:color="auto" w:fill="auto"/>
            <w:vAlign w:val="center"/>
            <w:hideMark/>
          </w:tcPr>
          <w:p w14:paraId="7A061436"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5.2.1 Zhvillimi i fushatave të përbashkëta të institucioneve të drejtësisë mbi ELP</w:t>
            </w:r>
          </w:p>
        </w:tc>
        <w:tc>
          <w:tcPr>
            <w:tcW w:w="2520" w:type="dxa"/>
            <w:tcBorders>
              <w:top w:val="nil"/>
              <w:left w:val="nil"/>
              <w:bottom w:val="single" w:sz="4" w:space="0" w:color="auto"/>
              <w:right w:val="single" w:sz="4" w:space="0" w:color="auto"/>
            </w:tcBorders>
            <w:shd w:val="clear" w:color="auto" w:fill="auto"/>
            <w:vAlign w:val="center"/>
            <w:hideMark/>
          </w:tcPr>
          <w:p w14:paraId="56425B12"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 xml:space="preserve">5.2.1.1 Organizimi i takimeve të përbashkëta me institucionet e sistemit të drejtësisë për të organizuar një plan të përbashkët aktivitetesh  </w:t>
            </w:r>
          </w:p>
        </w:tc>
        <w:tc>
          <w:tcPr>
            <w:tcW w:w="1890" w:type="dxa"/>
            <w:tcBorders>
              <w:top w:val="nil"/>
              <w:left w:val="nil"/>
              <w:bottom w:val="single" w:sz="4" w:space="0" w:color="auto"/>
              <w:right w:val="single" w:sz="4" w:space="0" w:color="auto"/>
            </w:tcBorders>
            <w:shd w:val="clear" w:color="auto" w:fill="auto"/>
            <w:vAlign w:val="center"/>
            <w:hideMark/>
          </w:tcPr>
          <w:p w14:paraId="4AAC9A54"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5AA96BB8"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GJL, GJK, SPAK,BKH,  ILD</w:t>
            </w:r>
          </w:p>
        </w:tc>
        <w:tc>
          <w:tcPr>
            <w:tcW w:w="1710" w:type="dxa"/>
            <w:tcBorders>
              <w:top w:val="nil"/>
              <w:left w:val="single" w:sz="4" w:space="0" w:color="auto"/>
              <w:bottom w:val="nil"/>
              <w:right w:val="single" w:sz="4" w:space="0" w:color="auto"/>
            </w:tcBorders>
            <w:shd w:val="clear" w:color="000000" w:fill="DDEBF7"/>
            <w:vAlign w:val="center"/>
            <w:hideMark/>
          </w:tcPr>
          <w:p w14:paraId="30965E9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nil"/>
              <w:right w:val="single" w:sz="8" w:space="0" w:color="auto"/>
            </w:tcBorders>
            <w:shd w:val="clear" w:color="000000" w:fill="DDEBF7"/>
            <w:vAlign w:val="center"/>
            <w:hideMark/>
          </w:tcPr>
          <w:p w14:paraId="13B6A9A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231D926" w14:textId="77777777" w:rsidTr="0018109D">
        <w:trPr>
          <w:trHeight w:val="1188"/>
        </w:trPr>
        <w:tc>
          <w:tcPr>
            <w:tcW w:w="1790" w:type="dxa"/>
            <w:vMerge/>
            <w:tcBorders>
              <w:top w:val="nil"/>
              <w:left w:val="single" w:sz="8" w:space="0" w:color="auto"/>
              <w:bottom w:val="single" w:sz="8" w:space="0" w:color="000000"/>
              <w:right w:val="single" w:sz="8" w:space="0" w:color="auto"/>
            </w:tcBorders>
            <w:vAlign w:val="center"/>
            <w:hideMark/>
          </w:tcPr>
          <w:p w14:paraId="0899611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7F2F828D"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 xml:space="preserve">5.2.1.2 Planifikimi dhe organizimi i një fushate kombëtare mbi edukimin ligjor të publikut mbi sistemin e drejtësisë me pjesëmarrjen e përfaqësuesve të ndryshëm të institucioneve të drejtësisë. </w:t>
            </w:r>
          </w:p>
        </w:tc>
        <w:tc>
          <w:tcPr>
            <w:tcW w:w="1890" w:type="dxa"/>
            <w:tcBorders>
              <w:top w:val="nil"/>
              <w:left w:val="nil"/>
              <w:bottom w:val="single" w:sz="4" w:space="0" w:color="auto"/>
              <w:right w:val="single" w:sz="4" w:space="0" w:color="auto"/>
            </w:tcBorders>
            <w:shd w:val="clear" w:color="auto" w:fill="auto"/>
            <w:vAlign w:val="center"/>
            <w:hideMark/>
          </w:tcPr>
          <w:p w14:paraId="5CB06670"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7656C368"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GJL, GJK, SPAK,BKH,  ILD</w:t>
            </w:r>
          </w:p>
        </w:tc>
        <w:tc>
          <w:tcPr>
            <w:tcW w:w="1710" w:type="dxa"/>
            <w:tcBorders>
              <w:top w:val="single" w:sz="4" w:space="0" w:color="auto"/>
              <w:left w:val="single" w:sz="4" w:space="0" w:color="auto"/>
              <w:bottom w:val="nil"/>
              <w:right w:val="single" w:sz="4" w:space="0" w:color="auto"/>
            </w:tcBorders>
            <w:shd w:val="clear" w:color="000000" w:fill="DDEBF7"/>
            <w:vAlign w:val="center"/>
            <w:hideMark/>
          </w:tcPr>
          <w:p w14:paraId="79935C1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single" w:sz="4" w:space="0" w:color="auto"/>
              <w:left w:val="nil"/>
              <w:bottom w:val="nil"/>
              <w:right w:val="single" w:sz="8" w:space="0" w:color="auto"/>
            </w:tcBorders>
            <w:shd w:val="clear" w:color="000000" w:fill="DDEBF7"/>
            <w:vAlign w:val="center"/>
            <w:hideMark/>
          </w:tcPr>
          <w:p w14:paraId="25420E7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AAC4A75" w14:textId="77777777" w:rsidTr="0018109D">
        <w:trPr>
          <w:trHeight w:val="639"/>
        </w:trPr>
        <w:tc>
          <w:tcPr>
            <w:tcW w:w="1790" w:type="dxa"/>
            <w:vMerge/>
            <w:tcBorders>
              <w:top w:val="nil"/>
              <w:left w:val="single" w:sz="8" w:space="0" w:color="auto"/>
              <w:bottom w:val="single" w:sz="8" w:space="0" w:color="000000"/>
              <w:right w:val="single" w:sz="8" w:space="0" w:color="auto"/>
            </w:tcBorders>
            <w:vAlign w:val="center"/>
            <w:hideMark/>
          </w:tcPr>
          <w:p w14:paraId="7D64728C"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18B6CDB"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 xml:space="preserve">5.2.1.3 Kryerja e aktiviteteve të përbashkëta  ndërgjegjësuese në nivel kombëtar e lokal duke përdorur platforma të ndryshme mediatike (media sociale, televizion, radio, print) për të shpërndarë informacion mbi të drejtat ligjore dhe sistemin e drejtësisë. </w:t>
            </w:r>
          </w:p>
        </w:tc>
        <w:tc>
          <w:tcPr>
            <w:tcW w:w="1890" w:type="dxa"/>
            <w:tcBorders>
              <w:top w:val="nil"/>
              <w:left w:val="nil"/>
              <w:bottom w:val="single" w:sz="4" w:space="0" w:color="auto"/>
              <w:right w:val="single" w:sz="4" w:space="0" w:color="auto"/>
            </w:tcBorders>
            <w:shd w:val="clear" w:color="auto" w:fill="auto"/>
            <w:vAlign w:val="center"/>
            <w:hideMark/>
          </w:tcPr>
          <w:p w14:paraId="2CDBDB1C"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09719AF1"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GJL, GJK, SPAK,BKH,  ILD</w:t>
            </w:r>
          </w:p>
        </w:tc>
        <w:tc>
          <w:tcPr>
            <w:tcW w:w="1710" w:type="dxa"/>
            <w:tcBorders>
              <w:top w:val="single" w:sz="4" w:space="0" w:color="auto"/>
              <w:left w:val="single" w:sz="4" w:space="0" w:color="auto"/>
              <w:bottom w:val="nil"/>
              <w:right w:val="single" w:sz="4" w:space="0" w:color="auto"/>
            </w:tcBorders>
            <w:shd w:val="clear" w:color="000000" w:fill="DDEBF7"/>
            <w:vAlign w:val="center"/>
            <w:hideMark/>
          </w:tcPr>
          <w:p w14:paraId="6651B3E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single" w:sz="4" w:space="0" w:color="auto"/>
              <w:left w:val="nil"/>
              <w:bottom w:val="nil"/>
              <w:right w:val="single" w:sz="8" w:space="0" w:color="auto"/>
            </w:tcBorders>
            <w:shd w:val="clear" w:color="000000" w:fill="DDEBF7"/>
            <w:vAlign w:val="center"/>
            <w:hideMark/>
          </w:tcPr>
          <w:p w14:paraId="676F0F5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9F45F10" w14:textId="77777777" w:rsidTr="0018109D">
        <w:trPr>
          <w:trHeight w:val="639"/>
        </w:trPr>
        <w:tc>
          <w:tcPr>
            <w:tcW w:w="1790" w:type="dxa"/>
            <w:vMerge/>
            <w:tcBorders>
              <w:top w:val="nil"/>
              <w:left w:val="single" w:sz="8" w:space="0" w:color="auto"/>
              <w:bottom w:val="single" w:sz="8" w:space="0" w:color="000000"/>
              <w:right w:val="single" w:sz="8" w:space="0" w:color="auto"/>
            </w:tcBorders>
            <w:vAlign w:val="center"/>
            <w:hideMark/>
          </w:tcPr>
          <w:p w14:paraId="2EB139C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600267E0"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5.2.1.4 Organizimi i tskimeve dhe seminareve të përbashkëta në shkolla, universitete, qendra komunitare dhe biblioteka publike, me pjesëmarrjen e përfaqësuesve nga institucionet e ndryshme të sistemit të drejtësisë.</w:t>
            </w:r>
          </w:p>
        </w:tc>
        <w:tc>
          <w:tcPr>
            <w:tcW w:w="1890" w:type="dxa"/>
            <w:tcBorders>
              <w:top w:val="nil"/>
              <w:left w:val="nil"/>
              <w:bottom w:val="single" w:sz="8" w:space="0" w:color="auto"/>
              <w:right w:val="single" w:sz="4" w:space="0" w:color="auto"/>
            </w:tcBorders>
            <w:shd w:val="clear" w:color="auto" w:fill="auto"/>
            <w:vAlign w:val="center"/>
            <w:hideMark/>
          </w:tcPr>
          <w:p w14:paraId="5757DB62"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8" w:space="0" w:color="auto"/>
              <w:right w:val="single" w:sz="8" w:space="0" w:color="auto"/>
            </w:tcBorders>
            <w:shd w:val="clear" w:color="auto" w:fill="auto"/>
            <w:vAlign w:val="center"/>
            <w:hideMark/>
          </w:tcPr>
          <w:p w14:paraId="608824BA"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GJL, GJK, SPAK,BKH,  ILD</w:t>
            </w:r>
          </w:p>
        </w:tc>
        <w:tc>
          <w:tcPr>
            <w:tcW w:w="1710" w:type="dxa"/>
            <w:tcBorders>
              <w:top w:val="single" w:sz="4" w:space="0" w:color="auto"/>
              <w:left w:val="single" w:sz="4" w:space="0" w:color="auto"/>
              <w:bottom w:val="single" w:sz="8" w:space="0" w:color="auto"/>
              <w:right w:val="single" w:sz="4" w:space="0" w:color="auto"/>
            </w:tcBorders>
            <w:shd w:val="clear" w:color="000000" w:fill="DDEBF7"/>
            <w:vAlign w:val="center"/>
            <w:hideMark/>
          </w:tcPr>
          <w:p w14:paraId="61F5E38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single" w:sz="4" w:space="0" w:color="auto"/>
              <w:left w:val="nil"/>
              <w:bottom w:val="single" w:sz="8" w:space="0" w:color="auto"/>
              <w:right w:val="single" w:sz="8" w:space="0" w:color="auto"/>
            </w:tcBorders>
            <w:shd w:val="clear" w:color="000000" w:fill="DDEBF7"/>
            <w:vAlign w:val="center"/>
            <w:hideMark/>
          </w:tcPr>
          <w:p w14:paraId="312600A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AA59932" w14:textId="77777777" w:rsidTr="0018109D">
        <w:trPr>
          <w:trHeight w:val="1284"/>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4EEFB277"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5.2.2 “Fushata ndërgjegjësuese dhe edukuese për publikun mbi legjislacionin për të drejtën e informimit dhe mbrojtjen e te dhënave personale”.</w:t>
            </w:r>
          </w:p>
        </w:tc>
        <w:tc>
          <w:tcPr>
            <w:tcW w:w="2520" w:type="dxa"/>
            <w:tcBorders>
              <w:top w:val="nil"/>
              <w:left w:val="nil"/>
              <w:bottom w:val="single" w:sz="4" w:space="0" w:color="auto"/>
              <w:right w:val="single" w:sz="4" w:space="0" w:color="auto"/>
            </w:tcBorders>
            <w:shd w:val="clear" w:color="auto" w:fill="auto"/>
            <w:vAlign w:val="center"/>
            <w:hideMark/>
          </w:tcPr>
          <w:p w14:paraId="5C9E6E46" w14:textId="77777777" w:rsidR="0018109D" w:rsidRPr="007440A2" w:rsidRDefault="0018109D" w:rsidP="0018109D">
            <w:pPr>
              <w:spacing w:after="24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5.2.2.1 Zhvillimi i aktiviteteve ndërgjegjësuese me prokuroritë e juridiksionit të përgjithshëm, Prokurorisë së Përgjithshme dhe Strukturës së Posaçme kundër Korrupsionit dhe Krimit të Organizuar (SPAK) në kuadër të detyrimeve të parashikuara në marrëveshjen me Eurojust;</w:t>
            </w:r>
          </w:p>
        </w:tc>
        <w:tc>
          <w:tcPr>
            <w:tcW w:w="1890" w:type="dxa"/>
            <w:tcBorders>
              <w:top w:val="nil"/>
              <w:left w:val="nil"/>
              <w:bottom w:val="single" w:sz="4" w:space="0" w:color="auto"/>
              <w:right w:val="single" w:sz="4" w:space="0" w:color="auto"/>
            </w:tcBorders>
            <w:shd w:val="clear" w:color="auto" w:fill="auto"/>
            <w:vAlign w:val="center"/>
            <w:hideMark/>
          </w:tcPr>
          <w:p w14:paraId="44F9549D"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KDIMDP</w:t>
            </w:r>
          </w:p>
        </w:tc>
        <w:tc>
          <w:tcPr>
            <w:tcW w:w="1620" w:type="dxa"/>
            <w:tcBorders>
              <w:top w:val="nil"/>
              <w:left w:val="nil"/>
              <w:bottom w:val="nil"/>
              <w:right w:val="single" w:sz="4" w:space="0" w:color="auto"/>
            </w:tcBorders>
            <w:shd w:val="clear" w:color="auto" w:fill="auto"/>
            <w:vAlign w:val="center"/>
            <w:hideMark/>
          </w:tcPr>
          <w:p w14:paraId="2C2FD511"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nil"/>
              <w:right w:val="single" w:sz="4" w:space="0" w:color="auto"/>
            </w:tcBorders>
            <w:shd w:val="clear" w:color="000000" w:fill="DDEBF7"/>
            <w:vAlign w:val="center"/>
            <w:hideMark/>
          </w:tcPr>
          <w:p w14:paraId="420DB25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nil"/>
              <w:right w:val="single" w:sz="8" w:space="0" w:color="auto"/>
            </w:tcBorders>
            <w:shd w:val="clear" w:color="000000" w:fill="DDEBF7"/>
            <w:vAlign w:val="center"/>
            <w:hideMark/>
          </w:tcPr>
          <w:p w14:paraId="227F59D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8366E6B" w14:textId="77777777" w:rsidTr="0018109D">
        <w:trPr>
          <w:trHeight w:val="1092"/>
        </w:trPr>
        <w:tc>
          <w:tcPr>
            <w:tcW w:w="1790" w:type="dxa"/>
            <w:vMerge/>
            <w:tcBorders>
              <w:top w:val="nil"/>
              <w:left w:val="single" w:sz="8" w:space="0" w:color="auto"/>
              <w:bottom w:val="single" w:sz="8" w:space="0" w:color="000000"/>
              <w:right w:val="single" w:sz="4" w:space="0" w:color="auto"/>
            </w:tcBorders>
            <w:vAlign w:val="center"/>
            <w:hideMark/>
          </w:tcPr>
          <w:p w14:paraId="0DF2C6B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5BE331F"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5.2.2.2 Zhvillimi i aktiviteteve ndërgjegjësuese me organet ligjzbatuese me qëllim prezantimin e tyre me risitë që sjell Direktiva e Policisë, si pjesë integrale e ligjit për mbrojtjen e të dhënave personale si dhe detyrimeve të parashikuara në marrëveshjen me Eurojust;</w:t>
            </w:r>
          </w:p>
        </w:tc>
        <w:tc>
          <w:tcPr>
            <w:tcW w:w="1890" w:type="dxa"/>
            <w:tcBorders>
              <w:top w:val="nil"/>
              <w:left w:val="nil"/>
              <w:bottom w:val="single" w:sz="4" w:space="0" w:color="auto"/>
              <w:right w:val="single" w:sz="4" w:space="0" w:color="auto"/>
            </w:tcBorders>
            <w:shd w:val="clear" w:color="auto" w:fill="auto"/>
            <w:vAlign w:val="center"/>
            <w:hideMark/>
          </w:tcPr>
          <w:p w14:paraId="5CBC0187"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KDIMDP</w:t>
            </w:r>
          </w:p>
        </w:tc>
        <w:tc>
          <w:tcPr>
            <w:tcW w:w="1620" w:type="dxa"/>
            <w:tcBorders>
              <w:top w:val="single" w:sz="4" w:space="0" w:color="auto"/>
              <w:left w:val="nil"/>
              <w:bottom w:val="nil"/>
              <w:right w:val="single" w:sz="4" w:space="0" w:color="auto"/>
            </w:tcBorders>
            <w:shd w:val="clear" w:color="auto" w:fill="auto"/>
            <w:vAlign w:val="center"/>
            <w:hideMark/>
          </w:tcPr>
          <w:p w14:paraId="33938D0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single" w:sz="4" w:space="0" w:color="auto"/>
              <w:left w:val="nil"/>
              <w:bottom w:val="nil"/>
              <w:right w:val="single" w:sz="4" w:space="0" w:color="auto"/>
            </w:tcBorders>
            <w:shd w:val="clear" w:color="000000" w:fill="DDEBF7"/>
            <w:vAlign w:val="center"/>
            <w:hideMark/>
          </w:tcPr>
          <w:p w14:paraId="3E954DF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single" w:sz="4" w:space="0" w:color="auto"/>
              <w:left w:val="nil"/>
              <w:bottom w:val="nil"/>
              <w:right w:val="single" w:sz="8" w:space="0" w:color="auto"/>
            </w:tcBorders>
            <w:shd w:val="clear" w:color="000000" w:fill="DDEBF7"/>
            <w:vAlign w:val="center"/>
            <w:hideMark/>
          </w:tcPr>
          <w:p w14:paraId="00DC8DB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A031535" w14:textId="77777777" w:rsidTr="0018109D">
        <w:trPr>
          <w:trHeight w:val="1164"/>
        </w:trPr>
        <w:tc>
          <w:tcPr>
            <w:tcW w:w="1790" w:type="dxa"/>
            <w:vMerge/>
            <w:tcBorders>
              <w:top w:val="nil"/>
              <w:left w:val="single" w:sz="8" w:space="0" w:color="auto"/>
              <w:bottom w:val="single" w:sz="8" w:space="0" w:color="000000"/>
              <w:right w:val="single" w:sz="4" w:space="0" w:color="auto"/>
            </w:tcBorders>
            <w:vAlign w:val="center"/>
            <w:hideMark/>
          </w:tcPr>
          <w:p w14:paraId="4B36C1C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EB502DE"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5.2.2.3 Zhvillimi i aktiviteteve ndërgjegjësuese mbi zbatimin dhe respektimin e legjislacionit për mbrojtjen e të dhënave personale në kuadër të përpunimit të të dhënave të pasagjerëve PNR/API;</w:t>
            </w:r>
          </w:p>
        </w:tc>
        <w:tc>
          <w:tcPr>
            <w:tcW w:w="1890" w:type="dxa"/>
            <w:tcBorders>
              <w:top w:val="nil"/>
              <w:left w:val="nil"/>
              <w:bottom w:val="single" w:sz="4" w:space="0" w:color="auto"/>
              <w:right w:val="single" w:sz="4" w:space="0" w:color="auto"/>
            </w:tcBorders>
            <w:shd w:val="clear" w:color="auto" w:fill="auto"/>
            <w:vAlign w:val="center"/>
            <w:hideMark/>
          </w:tcPr>
          <w:p w14:paraId="513BBB57"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KDIMDP</w:t>
            </w:r>
          </w:p>
        </w:tc>
        <w:tc>
          <w:tcPr>
            <w:tcW w:w="1620" w:type="dxa"/>
            <w:tcBorders>
              <w:top w:val="single" w:sz="4" w:space="0" w:color="auto"/>
              <w:left w:val="nil"/>
              <w:bottom w:val="nil"/>
              <w:right w:val="single" w:sz="4" w:space="0" w:color="auto"/>
            </w:tcBorders>
            <w:shd w:val="clear" w:color="auto" w:fill="auto"/>
            <w:vAlign w:val="center"/>
            <w:hideMark/>
          </w:tcPr>
          <w:p w14:paraId="7B8ED76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single" w:sz="4" w:space="0" w:color="auto"/>
              <w:left w:val="nil"/>
              <w:bottom w:val="nil"/>
              <w:right w:val="single" w:sz="4" w:space="0" w:color="auto"/>
            </w:tcBorders>
            <w:shd w:val="clear" w:color="000000" w:fill="DDEBF7"/>
            <w:vAlign w:val="center"/>
            <w:hideMark/>
          </w:tcPr>
          <w:p w14:paraId="31E9E88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single" w:sz="4" w:space="0" w:color="auto"/>
              <w:left w:val="nil"/>
              <w:bottom w:val="nil"/>
              <w:right w:val="single" w:sz="8" w:space="0" w:color="auto"/>
            </w:tcBorders>
            <w:shd w:val="clear" w:color="000000" w:fill="DDEBF7"/>
            <w:vAlign w:val="center"/>
            <w:hideMark/>
          </w:tcPr>
          <w:p w14:paraId="758B3F2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776874A"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6351824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8FF802F"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5.2.2.4 Organizimi i aktiviteteve ndërgjegjësuese për qytetarët/administratën publike me qëllim përmbushjen e të drejtës për t’u njohur me informacion publik, nëpërmjet zbatimit të legjislacionit për të drejtën e informimit;</w:t>
            </w:r>
          </w:p>
        </w:tc>
        <w:tc>
          <w:tcPr>
            <w:tcW w:w="1890" w:type="dxa"/>
            <w:tcBorders>
              <w:top w:val="nil"/>
              <w:left w:val="nil"/>
              <w:bottom w:val="single" w:sz="4" w:space="0" w:color="auto"/>
              <w:right w:val="single" w:sz="4" w:space="0" w:color="auto"/>
            </w:tcBorders>
            <w:shd w:val="clear" w:color="auto" w:fill="auto"/>
            <w:vAlign w:val="center"/>
            <w:hideMark/>
          </w:tcPr>
          <w:p w14:paraId="0CE5733A"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KDIMDP</w:t>
            </w:r>
          </w:p>
        </w:tc>
        <w:tc>
          <w:tcPr>
            <w:tcW w:w="1620" w:type="dxa"/>
            <w:tcBorders>
              <w:top w:val="single" w:sz="4" w:space="0" w:color="auto"/>
              <w:left w:val="nil"/>
              <w:bottom w:val="nil"/>
              <w:right w:val="single" w:sz="4" w:space="0" w:color="auto"/>
            </w:tcBorders>
            <w:shd w:val="clear" w:color="auto" w:fill="auto"/>
            <w:vAlign w:val="center"/>
            <w:hideMark/>
          </w:tcPr>
          <w:p w14:paraId="59823DF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single" w:sz="4" w:space="0" w:color="auto"/>
              <w:left w:val="nil"/>
              <w:bottom w:val="nil"/>
              <w:right w:val="single" w:sz="4" w:space="0" w:color="auto"/>
            </w:tcBorders>
            <w:shd w:val="clear" w:color="000000" w:fill="DDEBF7"/>
            <w:vAlign w:val="center"/>
            <w:hideMark/>
          </w:tcPr>
          <w:p w14:paraId="74908BB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single" w:sz="4" w:space="0" w:color="auto"/>
              <w:left w:val="nil"/>
              <w:bottom w:val="nil"/>
              <w:right w:val="single" w:sz="8" w:space="0" w:color="auto"/>
            </w:tcBorders>
            <w:shd w:val="clear" w:color="000000" w:fill="DDEBF7"/>
            <w:vAlign w:val="center"/>
            <w:hideMark/>
          </w:tcPr>
          <w:p w14:paraId="684CDAE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7E43FB2"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493104A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788BCA7C"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5.2.2.5 Organizimi i takimeve/leksioneve të hapura me studentët e Fakultetit të Drejtësisë për t’u njohur me rolin dhe veprimtarinë e Zyrës së Komisionerit.</w:t>
            </w:r>
          </w:p>
        </w:tc>
        <w:tc>
          <w:tcPr>
            <w:tcW w:w="1890" w:type="dxa"/>
            <w:tcBorders>
              <w:top w:val="nil"/>
              <w:left w:val="nil"/>
              <w:bottom w:val="single" w:sz="8" w:space="0" w:color="auto"/>
              <w:right w:val="single" w:sz="4" w:space="0" w:color="auto"/>
            </w:tcBorders>
            <w:shd w:val="clear" w:color="auto" w:fill="auto"/>
            <w:vAlign w:val="center"/>
            <w:hideMark/>
          </w:tcPr>
          <w:p w14:paraId="25E3FF1E"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KDIMDP</w:t>
            </w:r>
          </w:p>
        </w:tc>
        <w:tc>
          <w:tcPr>
            <w:tcW w:w="1620" w:type="dxa"/>
            <w:tcBorders>
              <w:top w:val="single" w:sz="4" w:space="0" w:color="auto"/>
              <w:left w:val="nil"/>
              <w:bottom w:val="single" w:sz="8" w:space="0" w:color="auto"/>
              <w:right w:val="single" w:sz="4" w:space="0" w:color="auto"/>
            </w:tcBorders>
            <w:shd w:val="clear" w:color="auto" w:fill="auto"/>
            <w:vAlign w:val="center"/>
            <w:hideMark/>
          </w:tcPr>
          <w:p w14:paraId="36BEF65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single" w:sz="4" w:space="0" w:color="auto"/>
              <w:left w:val="nil"/>
              <w:bottom w:val="single" w:sz="8" w:space="0" w:color="auto"/>
              <w:right w:val="single" w:sz="4" w:space="0" w:color="auto"/>
            </w:tcBorders>
            <w:shd w:val="clear" w:color="000000" w:fill="DDEBF7"/>
            <w:vAlign w:val="center"/>
            <w:hideMark/>
          </w:tcPr>
          <w:p w14:paraId="56FD5CA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single" w:sz="4" w:space="0" w:color="auto"/>
              <w:left w:val="nil"/>
              <w:bottom w:val="single" w:sz="8" w:space="0" w:color="auto"/>
              <w:right w:val="single" w:sz="8" w:space="0" w:color="auto"/>
            </w:tcBorders>
            <w:shd w:val="clear" w:color="000000" w:fill="DDEBF7"/>
            <w:vAlign w:val="center"/>
            <w:hideMark/>
          </w:tcPr>
          <w:p w14:paraId="50D7F52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6B3E9EA" w14:textId="77777777" w:rsidTr="0018109D">
        <w:trPr>
          <w:trHeight w:val="639"/>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5A6C4C6E"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5.2.3 Koordinimi dhe zhvillimi i aktivitete te perpashketa te institucioneve te drejtesise me OSHC-të dhe grupet e interesit me qëllim forcimin e bashkëpunimit për rritjen e informimit të qytetarëve mbi sistemin e drejtësisë</w:t>
            </w:r>
          </w:p>
        </w:tc>
        <w:tc>
          <w:tcPr>
            <w:tcW w:w="2520" w:type="dxa"/>
            <w:tcBorders>
              <w:top w:val="nil"/>
              <w:left w:val="nil"/>
              <w:bottom w:val="single" w:sz="4" w:space="0" w:color="auto"/>
              <w:right w:val="single" w:sz="4" w:space="0" w:color="auto"/>
            </w:tcBorders>
            <w:shd w:val="clear" w:color="auto" w:fill="auto"/>
            <w:vAlign w:val="center"/>
            <w:hideMark/>
          </w:tcPr>
          <w:p w14:paraId="07BCFDB8"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5.2.3.1 Mbajtja e një tryeze diskutimi me OSHC-të dhe grupet e interesit;</w:t>
            </w:r>
          </w:p>
        </w:tc>
        <w:tc>
          <w:tcPr>
            <w:tcW w:w="1890" w:type="dxa"/>
            <w:tcBorders>
              <w:top w:val="nil"/>
              <w:left w:val="nil"/>
              <w:bottom w:val="single" w:sz="4" w:space="0" w:color="auto"/>
              <w:right w:val="single" w:sz="4" w:space="0" w:color="auto"/>
            </w:tcBorders>
            <w:shd w:val="clear" w:color="auto" w:fill="auto"/>
            <w:vAlign w:val="center"/>
            <w:hideMark/>
          </w:tcPr>
          <w:p w14:paraId="785E2294"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4E618472"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Gjykatat, ILD</w:t>
            </w:r>
          </w:p>
        </w:tc>
        <w:tc>
          <w:tcPr>
            <w:tcW w:w="1710" w:type="dxa"/>
            <w:tcBorders>
              <w:top w:val="nil"/>
              <w:left w:val="single" w:sz="4" w:space="0" w:color="auto"/>
              <w:bottom w:val="nil"/>
              <w:right w:val="single" w:sz="4" w:space="0" w:color="auto"/>
            </w:tcBorders>
            <w:shd w:val="clear" w:color="000000" w:fill="DDEBF7"/>
            <w:vAlign w:val="center"/>
            <w:hideMark/>
          </w:tcPr>
          <w:p w14:paraId="0E22ECD9"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nil"/>
              <w:right w:val="single" w:sz="8" w:space="0" w:color="auto"/>
            </w:tcBorders>
            <w:shd w:val="clear" w:color="000000" w:fill="DDEBF7"/>
            <w:vAlign w:val="center"/>
            <w:hideMark/>
          </w:tcPr>
          <w:p w14:paraId="6CE4F5B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29BE06B"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5F218DE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54D8CDE"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5.2.3.2 Bashkëpunimi ndërmjet KLGJ/Gjykata me OSHC dhe grupet e tjera të interesit për përgatitjen e materialeve të tjera informuese.</w:t>
            </w:r>
          </w:p>
        </w:tc>
        <w:tc>
          <w:tcPr>
            <w:tcW w:w="1890" w:type="dxa"/>
            <w:tcBorders>
              <w:top w:val="nil"/>
              <w:left w:val="nil"/>
              <w:bottom w:val="single" w:sz="4" w:space="0" w:color="auto"/>
              <w:right w:val="single" w:sz="4" w:space="0" w:color="auto"/>
            </w:tcBorders>
            <w:shd w:val="clear" w:color="auto" w:fill="auto"/>
            <w:vAlign w:val="center"/>
            <w:hideMark/>
          </w:tcPr>
          <w:p w14:paraId="2B21F219"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w:t>
            </w:r>
          </w:p>
        </w:tc>
        <w:tc>
          <w:tcPr>
            <w:tcW w:w="1620" w:type="dxa"/>
            <w:tcBorders>
              <w:top w:val="nil"/>
              <w:left w:val="nil"/>
              <w:bottom w:val="single" w:sz="4" w:space="0" w:color="auto"/>
              <w:right w:val="single" w:sz="8" w:space="0" w:color="auto"/>
            </w:tcBorders>
            <w:shd w:val="clear" w:color="auto" w:fill="auto"/>
            <w:vAlign w:val="center"/>
            <w:hideMark/>
          </w:tcPr>
          <w:p w14:paraId="50516D91"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xml:space="preserve"> Gjykatat, ILD</w:t>
            </w:r>
          </w:p>
        </w:tc>
        <w:tc>
          <w:tcPr>
            <w:tcW w:w="1710" w:type="dxa"/>
            <w:tcBorders>
              <w:top w:val="single" w:sz="4" w:space="0" w:color="auto"/>
              <w:left w:val="single" w:sz="4" w:space="0" w:color="auto"/>
              <w:bottom w:val="nil"/>
              <w:right w:val="single" w:sz="4" w:space="0" w:color="auto"/>
            </w:tcBorders>
            <w:shd w:val="clear" w:color="000000" w:fill="DDEBF7"/>
            <w:vAlign w:val="center"/>
            <w:hideMark/>
          </w:tcPr>
          <w:p w14:paraId="5EE52E4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single" w:sz="4" w:space="0" w:color="auto"/>
              <w:left w:val="nil"/>
              <w:bottom w:val="nil"/>
              <w:right w:val="single" w:sz="8" w:space="0" w:color="auto"/>
            </w:tcBorders>
            <w:shd w:val="clear" w:color="000000" w:fill="DDEBF7"/>
            <w:vAlign w:val="center"/>
            <w:hideMark/>
          </w:tcPr>
          <w:p w14:paraId="192CB15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94DEAE1"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10FD613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6386FD27"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5.2.3.3 Zhvillimi i aktiviteteve informuese me qytetarë, grupe në nevojë, nxënës/të rinj, gra/vajza, etj. të organizuara në bashkëpunim me OSHC-të mbi tematika me interes për publikun (psh: ndihma juridike e garantuar nga shteti, tarifat gjyqësore, dhuna në familje, urdhrat e mbrojtjes, çështje të pronësisë, drejtësia penale për të mitur, etj.)</w:t>
            </w:r>
          </w:p>
        </w:tc>
        <w:tc>
          <w:tcPr>
            <w:tcW w:w="1890" w:type="dxa"/>
            <w:tcBorders>
              <w:top w:val="nil"/>
              <w:left w:val="nil"/>
              <w:bottom w:val="single" w:sz="8" w:space="0" w:color="auto"/>
              <w:right w:val="single" w:sz="4" w:space="0" w:color="auto"/>
            </w:tcBorders>
            <w:shd w:val="clear" w:color="auto" w:fill="auto"/>
            <w:vAlign w:val="center"/>
            <w:hideMark/>
          </w:tcPr>
          <w:p w14:paraId="4CAAA546"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ILD</w:t>
            </w:r>
          </w:p>
        </w:tc>
        <w:tc>
          <w:tcPr>
            <w:tcW w:w="1620" w:type="dxa"/>
            <w:tcBorders>
              <w:top w:val="nil"/>
              <w:left w:val="nil"/>
              <w:bottom w:val="single" w:sz="8" w:space="0" w:color="auto"/>
              <w:right w:val="single" w:sz="8" w:space="0" w:color="auto"/>
            </w:tcBorders>
            <w:shd w:val="clear" w:color="auto" w:fill="auto"/>
            <w:vAlign w:val="center"/>
            <w:hideMark/>
          </w:tcPr>
          <w:p w14:paraId="49933BAE"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Gjykatat, MD</w:t>
            </w:r>
          </w:p>
        </w:tc>
        <w:tc>
          <w:tcPr>
            <w:tcW w:w="1710" w:type="dxa"/>
            <w:tcBorders>
              <w:top w:val="single" w:sz="4" w:space="0" w:color="auto"/>
              <w:left w:val="single" w:sz="4" w:space="0" w:color="auto"/>
              <w:bottom w:val="single" w:sz="8" w:space="0" w:color="auto"/>
              <w:right w:val="single" w:sz="4" w:space="0" w:color="auto"/>
            </w:tcBorders>
            <w:shd w:val="clear" w:color="000000" w:fill="DDEBF7"/>
            <w:vAlign w:val="center"/>
            <w:hideMark/>
          </w:tcPr>
          <w:p w14:paraId="3065667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single" w:sz="4" w:space="0" w:color="auto"/>
              <w:left w:val="nil"/>
              <w:bottom w:val="single" w:sz="8" w:space="0" w:color="auto"/>
              <w:right w:val="single" w:sz="8" w:space="0" w:color="auto"/>
            </w:tcBorders>
            <w:shd w:val="clear" w:color="000000" w:fill="DDEBF7"/>
            <w:vAlign w:val="center"/>
            <w:hideMark/>
          </w:tcPr>
          <w:p w14:paraId="3D18BE6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2514817" w14:textId="77777777" w:rsidTr="0018109D">
        <w:trPr>
          <w:trHeight w:val="639"/>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3D38BC0A"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5.2.4 Forcimi i bashkëpunimit me Fakultetet e Drejtësisë për ofrimin e ELP</w:t>
            </w:r>
          </w:p>
        </w:tc>
        <w:tc>
          <w:tcPr>
            <w:tcW w:w="2520" w:type="dxa"/>
            <w:tcBorders>
              <w:top w:val="nil"/>
              <w:left w:val="nil"/>
              <w:bottom w:val="single" w:sz="4" w:space="0" w:color="auto"/>
              <w:right w:val="single" w:sz="4" w:space="0" w:color="auto"/>
            </w:tcBorders>
            <w:shd w:val="clear" w:color="auto" w:fill="auto"/>
            <w:vAlign w:val="center"/>
            <w:hideMark/>
          </w:tcPr>
          <w:p w14:paraId="4492A0AD"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5.2.4.1 Zhvillimi i aktiviteteve informuese dhe ndërgjegjësuese me studentë të Fakulteteve të Drejtësisë (gjyqe imituese) që trajtojnë tematika me interes për qytetarët</w:t>
            </w:r>
          </w:p>
        </w:tc>
        <w:tc>
          <w:tcPr>
            <w:tcW w:w="1890" w:type="dxa"/>
            <w:tcBorders>
              <w:top w:val="nil"/>
              <w:left w:val="nil"/>
              <w:bottom w:val="single" w:sz="4" w:space="0" w:color="auto"/>
              <w:right w:val="single" w:sz="4" w:space="0" w:color="auto"/>
            </w:tcBorders>
            <w:shd w:val="clear" w:color="auto" w:fill="auto"/>
            <w:vAlign w:val="center"/>
            <w:hideMark/>
          </w:tcPr>
          <w:p w14:paraId="482AECE8"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4" w:space="0" w:color="auto"/>
            </w:tcBorders>
            <w:shd w:val="clear" w:color="auto" w:fill="auto"/>
            <w:vAlign w:val="center"/>
            <w:hideMark/>
          </w:tcPr>
          <w:p w14:paraId="31CF54E0"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ILD, FD</w:t>
            </w:r>
          </w:p>
        </w:tc>
        <w:tc>
          <w:tcPr>
            <w:tcW w:w="1710" w:type="dxa"/>
            <w:tcBorders>
              <w:top w:val="nil"/>
              <w:left w:val="nil"/>
              <w:bottom w:val="single" w:sz="4" w:space="0" w:color="auto"/>
              <w:right w:val="single" w:sz="4" w:space="0" w:color="auto"/>
            </w:tcBorders>
            <w:shd w:val="clear" w:color="000000" w:fill="DDEBF7"/>
            <w:vAlign w:val="center"/>
            <w:hideMark/>
          </w:tcPr>
          <w:p w14:paraId="79F7F1F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80B3DD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A1BE15A"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2347570D"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02E34626"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5.2.4.2 Zhvillimi i leksioneve të hapura në Fakultetet e Drejtësisë</w:t>
            </w:r>
          </w:p>
        </w:tc>
        <w:tc>
          <w:tcPr>
            <w:tcW w:w="1890" w:type="dxa"/>
            <w:tcBorders>
              <w:top w:val="nil"/>
              <w:left w:val="nil"/>
              <w:bottom w:val="single" w:sz="4" w:space="0" w:color="auto"/>
              <w:right w:val="single" w:sz="4" w:space="0" w:color="auto"/>
            </w:tcBorders>
            <w:shd w:val="clear" w:color="auto" w:fill="auto"/>
            <w:vAlign w:val="center"/>
            <w:hideMark/>
          </w:tcPr>
          <w:p w14:paraId="6406CAA9"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 KLGJ, ILD</w:t>
            </w:r>
          </w:p>
        </w:tc>
        <w:tc>
          <w:tcPr>
            <w:tcW w:w="1620" w:type="dxa"/>
            <w:tcBorders>
              <w:top w:val="nil"/>
              <w:left w:val="nil"/>
              <w:bottom w:val="single" w:sz="4" w:space="0" w:color="auto"/>
              <w:right w:val="single" w:sz="4" w:space="0" w:color="auto"/>
            </w:tcBorders>
            <w:shd w:val="clear" w:color="auto" w:fill="auto"/>
            <w:vAlign w:val="center"/>
            <w:hideMark/>
          </w:tcPr>
          <w:p w14:paraId="7399B1B3"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FD</w:t>
            </w:r>
          </w:p>
        </w:tc>
        <w:tc>
          <w:tcPr>
            <w:tcW w:w="1710" w:type="dxa"/>
            <w:tcBorders>
              <w:top w:val="nil"/>
              <w:left w:val="nil"/>
              <w:bottom w:val="single" w:sz="4" w:space="0" w:color="auto"/>
              <w:right w:val="single" w:sz="4" w:space="0" w:color="auto"/>
            </w:tcBorders>
            <w:shd w:val="clear" w:color="000000" w:fill="DDEBF7"/>
            <w:vAlign w:val="center"/>
            <w:hideMark/>
          </w:tcPr>
          <w:p w14:paraId="6A431DF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2BE20D1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026C0906"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3AA0F89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4C6C6F00"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5.2.4.3 Organizimi i takimeve me studentët e Fakuktetit të Drejtësië për t’u njohur me rolin dhe veprimtarinë e ILD</w:t>
            </w:r>
          </w:p>
        </w:tc>
        <w:tc>
          <w:tcPr>
            <w:tcW w:w="1890" w:type="dxa"/>
            <w:tcBorders>
              <w:top w:val="nil"/>
              <w:left w:val="nil"/>
              <w:bottom w:val="single" w:sz="8" w:space="0" w:color="auto"/>
              <w:right w:val="single" w:sz="4" w:space="0" w:color="auto"/>
            </w:tcBorders>
            <w:shd w:val="clear" w:color="auto" w:fill="auto"/>
            <w:vAlign w:val="center"/>
            <w:hideMark/>
          </w:tcPr>
          <w:p w14:paraId="76EB1FCC"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ILD</w:t>
            </w:r>
          </w:p>
        </w:tc>
        <w:tc>
          <w:tcPr>
            <w:tcW w:w="1620" w:type="dxa"/>
            <w:tcBorders>
              <w:top w:val="nil"/>
              <w:left w:val="nil"/>
              <w:bottom w:val="single" w:sz="8" w:space="0" w:color="auto"/>
              <w:right w:val="single" w:sz="4" w:space="0" w:color="auto"/>
            </w:tcBorders>
            <w:shd w:val="clear" w:color="auto" w:fill="auto"/>
            <w:vAlign w:val="center"/>
            <w:hideMark/>
          </w:tcPr>
          <w:p w14:paraId="352FDC48"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FD</w:t>
            </w:r>
          </w:p>
        </w:tc>
        <w:tc>
          <w:tcPr>
            <w:tcW w:w="1710" w:type="dxa"/>
            <w:tcBorders>
              <w:top w:val="nil"/>
              <w:left w:val="nil"/>
              <w:bottom w:val="single" w:sz="8" w:space="0" w:color="auto"/>
              <w:right w:val="single" w:sz="4" w:space="0" w:color="auto"/>
            </w:tcBorders>
            <w:shd w:val="clear" w:color="000000" w:fill="DDEBF7"/>
            <w:vAlign w:val="center"/>
            <w:hideMark/>
          </w:tcPr>
          <w:p w14:paraId="082283B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2F23908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4AB59B81" w14:textId="77777777" w:rsidTr="0018109D">
        <w:trPr>
          <w:trHeight w:val="639"/>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05A2E255" w14:textId="16F6E12B"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5.2.5 Rritja e Bashkëpunimit me Median për të Promovuar Ndërgjegjësimin Ligjor mbi sistemin e drejtesise</w:t>
            </w:r>
          </w:p>
        </w:tc>
        <w:tc>
          <w:tcPr>
            <w:tcW w:w="2520" w:type="dxa"/>
            <w:tcBorders>
              <w:top w:val="nil"/>
              <w:left w:val="nil"/>
              <w:bottom w:val="single" w:sz="4" w:space="0" w:color="auto"/>
              <w:right w:val="single" w:sz="4" w:space="0" w:color="auto"/>
            </w:tcBorders>
            <w:shd w:val="clear" w:color="auto" w:fill="auto"/>
            <w:vAlign w:val="center"/>
            <w:hideMark/>
          </w:tcPr>
          <w:p w14:paraId="54D17E5E"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5.2.5.1 Zhvillimi i takimeve me gazetarët që mbulojnë fushën e drejtësisë;</w:t>
            </w:r>
          </w:p>
        </w:tc>
        <w:tc>
          <w:tcPr>
            <w:tcW w:w="1890" w:type="dxa"/>
            <w:tcBorders>
              <w:top w:val="nil"/>
              <w:left w:val="nil"/>
              <w:bottom w:val="single" w:sz="4" w:space="0" w:color="auto"/>
              <w:right w:val="single" w:sz="4" w:space="0" w:color="auto"/>
            </w:tcBorders>
            <w:shd w:val="clear" w:color="auto" w:fill="auto"/>
            <w:vAlign w:val="center"/>
            <w:hideMark/>
          </w:tcPr>
          <w:p w14:paraId="03E9C26C"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4" w:space="0" w:color="auto"/>
            </w:tcBorders>
            <w:shd w:val="clear" w:color="auto" w:fill="auto"/>
            <w:vAlign w:val="center"/>
            <w:hideMark/>
          </w:tcPr>
          <w:p w14:paraId="39D44B1A"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GJK, PP,GJK,SHM</w:t>
            </w:r>
          </w:p>
        </w:tc>
        <w:tc>
          <w:tcPr>
            <w:tcW w:w="1710" w:type="dxa"/>
            <w:tcBorders>
              <w:top w:val="nil"/>
              <w:left w:val="nil"/>
              <w:bottom w:val="single" w:sz="4" w:space="0" w:color="auto"/>
              <w:right w:val="single" w:sz="4" w:space="0" w:color="auto"/>
            </w:tcBorders>
            <w:shd w:val="clear" w:color="000000" w:fill="DDEBF7"/>
            <w:vAlign w:val="center"/>
            <w:hideMark/>
          </w:tcPr>
          <w:p w14:paraId="2052022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052A817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2AB5F0A"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341B859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1EE0067C"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5.2.5.2 Zhvillimi i forumeve me gazetarët që mbulojnë fushën e drejtësisë</w:t>
            </w:r>
          </w:p>
        </w:tc>
        <w:tc>
          <w:tcPr>
            <w:tcW w:w="1890" w:type="dxa"/>
            <w:tcBorders>
              <w:top w:val="nil"/>
              <w:left w:val="nil"/>
              <w:bottom w:val="single" w:sz="4" w:space="0" w:color="auto"/>
              <w:right w:val="single" w:sz="4" w:space="0" w:color="auto"/>
            </w:tcBorders>
            <w:shd w:val="clear" w:color="auto" w:fill="auto"/>
            <w:vAlign w:val="center"/>
            <w:hideMark/>
          </w:tcPr>
          <w:p w14:paraId="136591BA"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4" w:space="0" w:color="auto"/>
            </w:tcBorders>
            <w:shd w:val="clear" w:color="auto" w:fill="auto"/>
            <w:vAlign w:val="center"/>
            <w:hideMark/>
          </w:tcPr>
          <w:p w14:paraId="3A943568"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 GJK, PP,GJK,SHM</w:t>
            </w:r>
          </w:p>
        </w:tc>
        <w:tc>
          <w:tcPr>
            <w:tcW w:w="1710" w:type="dxa"/>
            <w:tcBorders>
              <w:top w:val="nil"/>
              <w:left w:val="nil"/>
              <w:bottom w:val="single" w:sz="4" w:space="0" w:color="auto"/>
              <w:right w:val="single" w:sz="4" w:space="0" w:color="auto"/>
            </w:tcBorders>
            <w:shd w:val="clear" w:color="000000" w:fill="DDEBF7"/>
            <w:vAlign w:val="center"/>
            <w:hideMark/>
          </w:tcPr>
          <w:p w14:paraId="62D1B06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2168F5D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8E194E2"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1369F61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312F366"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5.2.5.3 Zhvillimi i tryezave periodike të Gjykatës Kushtetuese me përfaqësuesit e medias që synojnë rritjen e aksesit në drejtësinë kushtetuese, si dhe respektimin e së drejtës së informimit</w:t>
            </w:r>
          </w:p>
        </w:tc>
        <w:tc>
          <w:tcPr>
            <w:tcW w:w="1890" w:type="dxa"/>
            <w:tcBorders>
              <w:top w:val="nil"/>
              <w:left w:val="nil"/>
              <w:bottom w:val="single" w:sz="4" w:space="0" w:color="auto"/>
              <w:right w:val="single" w:sz="4" w:space="0" w:color="auto"/>
            </w:tcBorders>
            <w:shd w:val="clear" w:color="auto" w:fill="auto"/>
            <w:vAlign w:val="center"/>
            <w:hideMark/>
          </w:tcPr>
          <w:p w14:paraId="6910737B"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GJK</w:t>
            </w:r>
          </w:p>
        </w:tc>
        <w:tc>
          <w:tcPr>
            <w:tcW w:w="1620" w:type="dxa"/>
            <w:tcBorders>
              <w:top w:val="nil"/>
              <w:left w:val="nil"/>
              <w:bottom w:val="single" w:sz="4" w:space="0" w:color="auto"/>
              <w:right w:val="single" w:sz="4" w:space="0" w:color="auto"/>
            </w:tcBorders>
            <w:shd w:val="clear" w:color="auto" w:fill="auto"/>
            <w:vAlign w:val="center"/>
            <w:hideMark/>
          </w:tcPr>
          <w:p w14:paraId="372B374F"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0FF5B4A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60214F0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785CDC4" w14:textId="77777777" w:rsidTr="0018109D">
        <w:trPr>
          <w:trHeight w:val="948"/>
        </w:trPr>
        <w:tc>
          <w:tcPr>
            <w:tcW w:w="1790" w:type="dxa"/>
            <w:vMerge/>
            <w:tcBorders>
              <w:top w:val="nil"/>
              <w:left w:val="single" w:sz="8" w:space="0" w:color="auto"/>
              <w:bottom w:val="single" w:sz="8" w:space="0" w:color="000000"/>
              <w:right w:val="single" w:sz="4" w:space="0" w:color="auto"/>
            </w:tcBorders>
            <w:vAlign w:val="center"/>
            <w:hideMark/>
          </w:tcPr>
          <w:p w14:paraId="01199E0A"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4ED08387"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5.2.5.4 Zhvillimi i leksioneve të hapura në Fakultetet e Gazetarisë.</w:t>
            </w:r>
          </w:p>
        </w:tc>
        <w:tc>
          <w:tcPr>
            <w:tcW w:w="1890" w:type="dxa"/>
            <w:tcBorders>
              <w:top w:val="nil"/>
              <w:left w:val="nil"/>
              <w:bottom w:val="single" w:sz="8" w:space="0" w:color="auto"/>
              <w:right w:val="single" w:sz="4" w:space="0" w:color="auto"/>
            </w:tcBorders>
            <w:shd w:val="clear" w:color="auto" w:fill="auto"/>
            <w:vAlign w:val="center"/>
            <w:hideMark/>
          </w:tcPr>
          <w:p w14:paraId="3052BE18"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 KLGJ, PP</w:t>
            </w:r>
          </w:p>
        </w:tc>
        <w:tc>
          <w:tcPr>
            <w:tcW w:w="1620" w:type="dxa"/>
            <w:tcBorders>
              <w:top w:val="nil"/>
              <w:left w:val="nil"/>
              <w:bottom w:val="single" w:sz="8" w:space="0" w:color="auto"/>
              <w:right w:val="single" w:sz="4" w:space="0" w:color="auto"/>
            </w:tcBorders>
            <w:shd w:val="clear" w:color="auto" w:fill="auto"/>
            <w:vAlign w:val="center"/>
            <w:hideMark/>
          </w:tcPr>
          <w:p w14:paraId="71535ACF"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UT/FHF</w:t>
            </w:r>
          </w:p>
        </w:tc>
        <w:tc>
          <w:tcPr>
            <w:tcW w:w="1710" w:type="dxa"/>
            <w:tcBorders>
              <w:top w:val="nil"/>
              <w:left w:val="nil"/>
              <w:bottom w:val="single" w:sz="8" w:space="0" w:color="auto"/>
              <w:right w:val="single" w:sz="4" w:space="0" w:color="auto"/>
            </w:tcBorders>
            <w:shd w:val="clear" w:color="000000" w:fill="DDEBF7"/>
            <w:vAlign w:val="center"/>
            <w:hideMark/>
          </w:tcPr>
          <w:p w14:paraId="25CFAAF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2ADE91A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EF638B8" w14:textId="77777777" w:rsidTr="0018109D">
        <w:trPr>
          <w:trHeight w:val="1188"/>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2333B0D8"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5.2.6 Forcimi i kapaciteteve të punonjësve të institucioneve publike (nivel qendror e vendor) lidhur me zbatimin e ELP </w:t>
            </w:r>
          </w:p>
        </w:tc>
        <w:tc>
          <w:tcPr>
            <w:tcW w:w="2520" w:type="dxa"/>
            <w:tcBorders>
              <w:top w:val="nil"/>
              <w:left w:val="nil"/>
              <w:bottom w:val="single" w:sz="4" w:space="0" w:color="auto"/>
              <w:right w:val="single" w:sz="4" w:space="0" w:color="auto"/>
            </w:tcBorders>
            <w:shd w:val="clear" w:color="auto" w:fill="auto"/>
            <w:vAlign w:val="center"/>
            <w:hideMark/>
          </w:tcPr>
          <w:p w14:paraId="111423BE"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5.2.6.1 Kryerja e vlerësimit të nevojave për trajnim të punonjësve të institucioneve publike</w:t>
            </w:r>
          </w:p>
        </w:tc>
        <w:tc>
          <w:tcPr>
            <w:tcW w:w="1890" w:type="dxa"/>
            <w:tcBorders>
              <w:top w:val="nil"/>
              <w:left w:val="nil"/>
              <w:bottom w:val="single" w:sz="4" w:space="0" w:color="auto"/>
              <w:right w:val="single" w:sz="4" w:space="0" w:color="auto"/>
            </w:tcBorders>
            <w:shd w:val="clear" w:color="auto" w:fill="auto"/>
            <w:vAlign w:val="center"/>
            <w:hideMark/>
          </w:tcPr>
          <w:p w14:paraId="4CABD842"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ASPA</w:t>
            </w:r>
          </w:p>
        </w:tc>
        <w:tc>
          <w:tcPr>
            <w:tcW w:w="1620" w:type="dxa"/>
            <w:tcBorders>
              <w:top w:val="nil"/>
              <w:left w:val="nil"/>
              <w:bottom w:val="single" w:sz="4" w:space="0" w:color="auto"/>
              <w:right w:val="single" w:sz="4" w:space="0" w:color="auto"/>
            </w:tcBorders>
            <w:shd w:val="clear" w:color="auto" w:fill="auto"/>
            <w:vAlign w:val="center"/>
            <w:hideMark/>
          </w:tcPr>
          <w:p w14:paraId="77944A91"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710" w:type="dxa"/>
            <w:tcBorders>
              <w:top w:val="nil"/>
              <w:left w:val="nil"/>
              <w:bottom w:val="single" w:sz="4" w:space="0" w:color="auto"/>
              <w:right w:val="single" w:sz="4" w:space="0" w:color="auto"/>
            </w:tcBorders>
            <w:shd w:val="clear" w:color="000000" w:fill="DDEBF7"/>
            <w:vAlign w:val="center"/>
            <w:hideMark/>
          </w:tcPr>
          <w:p w14:paraId="0EFDA0C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330DAEC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213C8D7" w14:textId="77777777" w:rsidTr="0018109D">
        <w:trPr>
          <w:trHeight w:val="528"/>
        </w:trPr>
        <w:tc>
          <w:tcPr>
            <w:tcW w:w="1790" w:type="dxa"/>
            <w:vMerge/>
            <w:tcBorders>
              <w:top w:val="nil"/>
              <w:left w:val="single" w:sz="8" w:space="0" w:color="auto"/>
              <w:bottom w:val="single" w:sz="8" w:space="0" w:color="000000"/>
              <w:right w:val="single" w:sz="4" w:space="0" w:color="auto"/>
            </w:tcBorders>
            <w:vAlign w:val="center"/>
            <w:hideMark/>
          </w:tcPr>
          <w:p w14:paraId="36EAC86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817F8C7"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5.2.6.2 Hartimi dhe rishikimi i moduleve të trajnimit për ELP për punonjësit e institucioneve publike në nivel qendror dhe vendor</w:t>
            </w:r>
          </w:p>
        </w:tc>
        <w:tc>
          <w:tcPr>
            <w:tcW w:w="1890" w:type="dxa"/>
            <w:tcBorders>
              <w:top w:val="nil"/>
              <w:left w:val="nil"/>
              <w:bottom w:val="single" w:sz="4" w:space="0" w:color="auto"/>
              <w:right w:val="single" w:sz="4" w:space="0" w:color="auto"/>
            </w:tcBorders>
            <w:shd w:val="clear" w:color="auto" w:fill="auto"/>
            <w:vAlign w:val="center"/>
            <w:hideMark/>
          </w:tcPr>
          <w:p w14:paraId="7AAFDBCE"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ASPA</w:t>
            </w:r>
          </w:p>
        </w:tc>
        <w:tc>
          <w:tcPr>
            <w:tcW w:w="1620" w:type="dxa"/>
            <w:tcBorders>
              <w:top w:val="nil"/>
              <w:left w:val="nil"/>
              <w:bottom w:val="single" w:sz="4" w:space="0" w:color="auto"/>
              <w:right w:val="single" w:sz="4" w:space="0" w:color="auto"/>
            </w:tcBorders>
            <w:shd w:val="clear" w:color="auto" w:fill="auto"/>
            <w:vAlign w:val="center"/>
            <w:hideMark/>
          </w:tcPr>
          <w:p w14:paraId="47907528"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710" w:type="dxa"/>
            <w:tcBorders>
              <w:top w:val="nil"/>
              <w:left w:val="nil"/>
              <w:bottom w:val="single" w:sz="4" w:space="0" w:color="auto"/>
              <w:right w:val="single" w:sz="4" w:space="0" w:color="auto"/>
            </w:tcBorders>
            <w:shd w:val="clear" w:color="000000" w:fill="DDEBF7"/>
            <w:vAlign w:val="center"/>
            <w:hideMark/>
          </w:tcPr>
          <w:p w14:paraId="0BEB5B2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5F15601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5A22BE1"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5C0CB752"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6EE1AF1C"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5.2.6.3 Zhvillimi i trajnimeve të përvitshme për përditësimin e njohurive të legjislacionit të ndryshuar</w:t>
            </w:r>
          </w:p>
        </w:tc>
        <w:tc>
          <w:tcPr>
            <w:tcW w:w="1890" w:type="dxa"/>
            <w:tcBorders>
              <w:top w:val="nil"/>
              <w:left w:val="nil"/>
              <w:bottom w:val="single" w:sz="8" w:space="0" w:color="auto"/>
              <w:right w:val="single" w:sz="4" w:space="0" w:color="auto"/>
            </w:tcBorders>
            <w:shd w:val="clear" w:color="auto" w:fill="auto"/>
            <w:vAlign w:val="center"/>
            <w:hideMark/>
          </w:tcPr>
          <w:p w14:paraId="6307BBB5"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ASPA</w:t>
            </w:r>
          </w:p>
        </w:tc>
        <w:tc>
          <w:tcPr>
            <w:tcW w:w="1620" w:type="dxa"/>
            <w:tcBorders>
              <w:top w:val="nil"/>
              <w:left w:val="nil"/>
              <w:bottom w:val="single" w:sz="8" w:space="0" w:color="auto"/>
              <w:right w:val="single" w:sz="4" w:space="0" w:color="auto"/>
            </w:tcBorders>
            <w:shd w:val="clear" w:color="auto" w:fill="auto"/>
            <w:vAlign w:val="center"/>
            <w:hideMark/>
          </w:tcPr>
          <w:p w14:paraId="3AB8F661"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710" w:type="dxa"/>
            <w:tcBorders>
              <w:top w:val="nil"/>
              <w:left w:val="nil"/>
              <w:bottom w:val="single" w:sz="8" w:space="0" w:color="auto"/>
              <w:right w:val="single" w:sz="4" w:space="0" w:color="auto"/>
            </w:tcBorders>
            <w:shd w:val="clear" w:color="000000" w:fill="DDEBF7"/>
            <w:vAlign w:val="center"/>
            <w:hideMark/>
          </w:tcPr>
          <w:p w14:paraId="64D0C91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38BF801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66AF24F" w14:textId="77777777" w:rsidTr="0018109D">
        <w:trPr>
          <w:trHeight w:val="528"/>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597A26AF"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5.2.7 Forcimi i Komunikimit dhe Transparencës për të Rritur Mirëkuptimin dhe Besimin e Publikut në Reformën në Drejtësi dhe sistemin e drejtësisë</w:t>
            </w:r>
          </w:p>
        </w:tc>
        <w:tc>
          <w:tcPr>
            <w:tcW w:w="2520" w:type="dxa"/>
            <w:tcBorders>
              <w:top w:val="nil"/>
              <w:left w:val="nil"/>
              <w:bottom w:val="single" w:sz="4" w:space="0" w:color="auto"/>
              <w:right w:val="single" w:sz="4" w:space="0" w:color="auto"/>
            </w:tcBorders>
            <w:shd w:val="clear" w:color="auto" w:fill="auto"/>
            <w:vAlign w:val="center"/>
            <w:hideMark/>
          </w:tcPr>
          <w:p w14:paraId="3E2B0082"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5.2.7.1 Hartimi dhe zbatimi i planeve të komunikimit dhe transparencës nga KLGJ, KLP, Gj.K SPAK dhe MD, për të zhvilluar më tej mirëkuptimin dhe rritjen e besimit të publikut në reformën në drejtësi dhe kuadrin dhe vendimmarrjen institucionale</w:t>
            </w:r>
          </w:p>
        </w:tc>
        <w:tc>
          <w:tcPr>
            <w:tcW w:w="1890" w:type="dxa"/>
            <w:tcBorders>
              <w:top w:val="nil"/>
              <w:left w:val="nil"/>
              <w:bottom w:val="single" w:sz="4" w:space="0" w:color="auto"/>
              <w:right w:val="single" w:sz="4" w:space="0" w:color="auto"/>
            </w:tcBorders>
            <w:shd w:val="clear" w:color="auto" w:fill="auto"/>
            <w:vAlign w:val="center"/>
            <w:hideMark/>
          </w:tcPr>
          <w:p w14:paraId="12BF5B83" w14:textId="16B12030"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KLGJ,</w:t>
            </w:r>
            <w:r w:rsidR="001F3B13" w:rsidRPr="007440A2">
              <w:rPr>
                <w:rFonts w:ascii="Times Newt Roman" w:eastAsia="Times New Roman" w:hAnsi="Times Newt Roman" w:cs="Calibri"/>
                <w:sz w:val="20"/>
                <w:szCs w:val="20"/>
              </w:rPr>
              <w:t xml:space="preserve"> </w:t>
            </w:r>
            <w:r w:rsidRPr="007440A2">
              <w:rPr>
                <w:rFonts w:ascii="Times Newt Roman" w:eastAsia="Times New Roman" w:hAnsi="Times Newt Roman" w:cs="Calibri"/>
                <w:sz w:val="20"/>
                <w:szCs w:val="20"/>
              </w:rPr>
              <w:t>KLP, GJK, SPAK, MD</w:t>
            </w:r>
          </w:p>
        </w:tc>
        <w:tc>
          <w:tcPr>
            <w:tcW w:w="1620" w:type="dxa"/>
            <w:tcBorders>
              <w:top w:val="nil"/>
              <w:left w:val="nil"/>
              <w:bottom w:val="nil"/>
              <w:right w:val="single" w:sz="4" w:space="0" w:color="auto"/>
            </w:tcBorders>
            <w:shd w:val="clear" w:color="auto" w:fill="auto"/>
            <w:vAlign w:val="center"/>
            <w:hideMark/>
          </w:tcPr>
          <w:p w14:paraId="522673B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nil"/>
              <w:right w:val="single" w:sz="4" w:space="0" w:color="auto"/>
            </w:tcBorders>
            <w:shd w:val="clear" w:color="000000" w:fill="DDEBF7"/>
            <w:vAlign w:val="center"/>
            <w:hideMark/>
          </w:tcPr>
          <w:p w14:paraId="283276D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nil"/>
              <w:right w:val="single" w:sz="8" w:space="0" w:color="auto"/>
            </w:tcBorders>
            <w:shd w:val="clear" w:color="000000" w:fill="DDEBF7"/>
            <w:vAlign w:val="center"/>
            <w:hideMark/>
          </w:tcPr>
          <w:p w14:paraId="33051E5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1622319" w14:textId="77777777" w:rsidTr="0018109D">
        <w:trPr>
          <w:trHeight w:val="528"/>
        </w:trPr>
        <w:tc>
          <w:tcPr>
            <w:tcW w:w="1790" w:type="dxa"/>
            <w:vMerge/>
            <w:tcBorders>
              <w:top w:val="nil"/>
              <w:left w:val="single" w:sz="8" w:space="0" w:color="auto"/>
              <w:bottom w:val="single" w:sz="8" w:space="0" w:color="000000"/>
              <w:right w:val="single" w:sz="4" w:space="0" w:color="auto"/>
            </w:tcBorders>
            <w:vAlign w:val="center"/>
            <w:hideMark/>
          </w:tcPr>
          <w:p w14:paraId="2FDEABB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nil"/>
              <w:right w:val="single" w:sz="4" w:space="0" w:color="auto"/>
            </w:tcBorders>
            <w:shd w:val="clear" w:color="auto" w:fill="auto"/>
            <w:vAlign w:val="center"/>
            <w:hideMark/>
          </w:tcPr>
          <w:p w14:paraId="0C6DB431"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5.2.7.2 Rishikimi dhe përditësimi i Planeve të Komunikimit dhe te trasparencestë miratuara</w:t>
            </w:r>
          </w:p>
        </w:tc>
        <w:tc>
          <w:tcPr>
            <w:tcW w:w="1890" w:type="dxa"/>
            <w:tcBorders>
              <w:top w:val="nil"/>
              <w:left w:val="nil"/>
              <w:bottom w:val="nil"/>
              <w:right w:val="single" w:sz="4" w:space="0" w:color="auto"/>
            </w:tcBorders>
            <w:shd w:val="clear" w:color="auto" w:fill="auto"/>
            <w:vAlign w:val="center"/>
            <w:hideMark/>
          </w:tcPr>
          <w:p w14:paraId="67A67E2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KLGJ, KLP, GJK, MD</w:t>
            </w:r>
          </w:p>
        </w:tc>
        <w:tc>
          <w:tcPr>
            <w:tcW w:w="1620" w:type="dxa"/>
            <w:tcBorders>
              <w:top w:val="single" w:sz="4" w:space="0" w:color="auto"/>
              <w:left w:val="nil"/>
              <w:bottom w:val="nil"/>
              <w:right w:val="single" w:sz="4" w:space="0" w:color="auto"/>
            </w:tcBorders>
            <w:shd w:val="clear" w:color="auto" w:fill="auto"/>
            <w:vAlign w:val="center"/>
            <w:hideMark/>
          </w:tcPr>
          <w:p w14:paraId="7943CEB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single" w:sz="4" w:space="0" w:color="auto"/>
              <w:left w:val="nil"/>
              <w:bottom w:val="nil"/>
              <w:right w:val="single" w:sz="4" w:space="0" w:color="auto"/>
            </w:tcBorders>
            <w:shd w:val="clear" w:color="000000" w:fill="DDEBF7"/>
            <w:vAlign w:val="center"/>
            <w:hideMark/>
          </w:tcPr>
          <w:p w14:paraId="395EA6DD"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single" w:sz="4" w:space="0" w:color="auto"/>
              <w:left w:val="nil"/>
              <w:bottom w:val="nil"/>
              <w:right w:val="single" w:sz="8" w:space="0" w:color="auto"/>
            </w:tcBorders>
            <w:shd w:val="clear" w:color="000000" w:fill="DDEBF7"/>
            <w:vAlign w:val="center"/>
            <w:hideMark/>
          </w:tcPr>
          <w:p w14:paraId="7F34385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768B6BB"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7CE92043"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single" w:sz="4" w:space="0" w:color="auto"/>
              <w:left w:val="nil"/>
              <w:bottom w:val="single" w:sz="8" w:space="0" w:color="auto"/>
              <w:right w:val="single" w:sz="4" w:space="0" w:color="auto"/>
            </w:tcBorders>
            <w:shd w:val="clear" w:color="auto" w:fill="auto"/>
            <w:vAlign w:val="center"/>
            <w:hideMark/>
          </w:tcPr>
          <w:p w14:paraId="1687B4A9"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5.2.7.3 Mbajtja/ruajtja e një komunikimi dhe transparence të vazhdueshme, përfshirë mbajtjen e qytetarëve të mirëinformuar mbi zhvillimet në shërbimet e drejtësisë për reformën në drejtësi</w:t>
            </w:r>
          </w:p>
        </w:tc>
        <w:tc>
          <w:tcPr>
            <w:tcW w:w="1890" w:type="dxa"/>
            <w:tcBorders>
              <w:top w:val="single" w:sz="4" w:space="0" w:color="auto"/>
              <w:left w:val="nil"/>
              <w:bottom w:val="single" w:sz="8" w:space="0" w:color="auto"/>
              <w:right w:val="single" w:sz="4" w:space="0" w:color="auto"/>
            </w:tcBorders>
            <w:shd w:val="clear" w:color="auto" w:fill="auto"/>
            <w:vAlign w:val="center"/>
            <w:hideMark/>
          </w:tcPr>
          <w:p w14:paraId="6F2A76DB"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MD,KLGJ, KLP, GJK, SPAK,</w:t>
            </w:r>
          </w:p>
        </w:tc>
        <w:tc>
          <w:tcPr>
            <w:tcW w:w="1620" w:type="dxa"/>
            <w:tcBorders>
              <w:top w:val="single" w:sz="4" w:space="0" w:color="auto"/>
              <w:left w:val="nil"/>
              <w:bottom w:val="single" w:sz="8" w:space="0" w:color="auto"/>
              <w:right w:val="single" w:sz="4" w:space="0" w:color="auto"/>
            </w:tcBorders>
            <w:shd w:val="clear" w:color="auto" w:fill="auto"/>
            <w:vAlign w:val="center"/>
            <w:hideMark/>
          </w:tcPr>
          <w:p w14:paraId="4B1EA9F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single" w:sz="4" w:space="0" w:color="auto"/>
              <w:left w:val="nil"/>
              <w:bottom w:val="single" w:sz="8" w:space="0" w:color="auto"/>
              <w:right w:val="single" w:sz="4" w:space="0" w:color="auto"/>
            </w:tcBorders>
            <w:shd w:val="clear" w:color="000000" w:fill="DDEBF7"/>
            <w:vAlign w:val="center"/>
            <w:hideMark/>
          </w:tcPr>
          <w:p w14:paraId="726C479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single" w:sz="4" w:space="0" w:color="auto"/>
              <w:left w:val="nil"/>
              <w:bottom w:val="single" w:sz="8" w:space="0" w:color="auto"/>
              <w:right w:val="single" w:sz="8" w:space="0" w:color="auto"/>
            </w:tcBorders>
            <w:shd w:val="clear" w:color="000000" w:fill="DDEBF7"/>
            <w:vAlign w:val="center"/>
            <w:hideMark/>
          </w:tcPr>
          <w:p w14:paraId="3F046A2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716FCB1" w14:textId="77777777" w:rsidTr="0018109D">
        <w:trPr>
          <w:trHeight w:val="660"/>
        </w:trPr>
        <w:tc>
          <w:tcPr>
            <w:tcW w:w="4310" w:type="dxa"/>
            <w:gridSpan w:val="2"/>
            <w:tcBorders>
              <w:top w:val="nil"/>
              <w:left w:val="single" w:sz="8" w:space="0" w:color="auto"/>
              <w:bottom w:val="single" w:sz="8" w:space="0" w:color="auto"/>
              <w:right w:val="nil"/>
            </w:tcBorders>
            <w:shd w:val="clear" w:color="000000" w:fill="9CC2E5"/>
            <w:vAlign w:val="center"/>
            <w:hideMark/>
          </w:tcPr>
          <w:p w14:paraId="7736DAA1"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Objektivi Specifik 5.3:</w:t>
            </w:r>
          </w:p>
        </w:tc>
        <w:tc>
          <w:tcPr>
            <w:tcW w:w="6480" w:type="dxa"/>
            <w:gridSpan w:val="4"/>
            <w:tcBorders>
              <w:top w:val="nil"/>
              <w:left w:val="single" w:sz="8" w:space="0" w:color="auto"/>
              <w:bottom w:val="single" w:sz="8" w:space="0" w:color="auto"/>
              <w:right w:val="single" w:sz="8" w:space="0" w:color="000000"/>
            </w:tcBorders>
            <w:shd w:val="clear" w:color="000000" w:fill="9CC2E5"/>
            <w:vAlign w:val="center"/>
            <w:hideMark/>
          </w:tcPr>
          <w:p w14:paraId="0E6E4342"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 Rritja e njohurive dhe kuptueshmërisë së publikut mbi proceset e integrimit evropian përmes iniciativave të edukimit ligjor të publikut         </w:t>
            </w:r>
          </w:p>
        </w:tc>
      </w:tr>
      <w:tr w:rsidR="007440A2" w:rsidRPr="007440A2" w14:paraId="402A0A64" w14:textId="77777777" w:rsidTr="0018109D">
        <w:trPr>
          <w:trHeight w:val="1800"/>
        </w:trPr>
        <w:tc>
          <w:tcPr>
            <w:tcW w:w="4310" w:type="dxa"/>
            <w:gridSpan w:val="2"/>
            <w:tcBorders>
              <w:top w:val="single" w:sz="8" w:space="0" w:color="auto"/>
              <w:left w:val="single" w:sz="8" w:space="0" w:color="auto"/>
              <w:bottom w:val="single" w:sz="8" w:space="0" w:color="auto"/>
              <w:right w:val="single" w:sz="8" w:space="0" w:color="000000"/>
            </w:tcBorders>
            <w:shd w:val="clear" w:color="000000" w:fill="9CC2E5"/>
            <w:vAlign w:val="center"/>
            <w:hideMark/>
          </w:tcPr>
          <w:p w14:paraId="07E8D13F" w14:textId="77777777" w:rsidR="0018109D" w:rsidRPr="007440A2" w:rsidRDefault="0018109D" w:rsidP="0018109D">
            <w:pPr>
              <w:spacing w:after="0" w:line="240" w:lineRule="auto"/>
              <w:rPr>
                <w:rFonts w:ascii="Times New Roman" w:eastAsia="Times New Roman" w:hAnsi="Times New Roman" w:cs="Times New Roman"/>
                <w:b/>
                <w:bCs/>
                <w:sz w:val="20"/>
                <w:szCs w:val="20"/>
                <w:u w:val="single"/>
              </w:rPr>
            </w:pPr>
            <w:r w:rsidRPr="007440A2">
              <w:rPr>
                <w:rFonts w:ascii="Times New Roman" w:eastAsia="Times New Roman" w:hAnsi="Times New Roman" w:cs="Times New Roman"/>
                <w:b/>
                <w:bCs/>
                <w:sz w:val="20"/>
                <w:szCs w:val="20"/>
                <w:u w:val="single"/>
              </w:rPr>
              <w:t xml:space="preserve">Rezultatet e pritshme: </w:t>
            </w:r>
          </w:p>
        </w:tc>
        <w:tc>
          <w:tcPr>
            <w:tcW w:w="6480" w:type="dxa"/>
            <w:gridSpan w:val="4"/>
            <w:tcBorders>
              <w:top w:val="single" w:sz="8" w:space="0" w:color="auto"/>
              <w:left w:val="single" w:sz="8" w:space="0" w:color="auto"/>
              <w:bottom w:val="single" w:sz="8" w:space="0" w:color="auto"/>
              <w:right w:val="single" w:sz="8" w:space="0" w:color="000000"/>
            </w:tcBorders>
            <w:shd w:val="clear" w:color="000000" w:fill="9CC2E5"/>
            <w:vAlign w:val="center"/>
            <w:hideMark/>
          </w:tcPr>
          <w:p w14:paraId="09B0012E" w14:textId="77777777" w:rsidR="0018109D" w:rsidRPr="007440A2" w:rsidRDefault="0018109D" w:rsidP="0018109D">
            <w:pPr>
              <w:spacing w:after="0" w:line="240" w:lineRule="auto"/>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xml:space="preserve">Deri ne fund te vitit 2030 ka rritje progresive te  edukimit ligjor te publikut  permes sesioneve te informimit mbi njohurite dhe kuptueshmërinë e proceseve te integrimit evropian;   </w:t>
            </w:r>
            <w:r w:rsidRPr="007440A2">
              <w:rPr>
                <w:rFonts w:ascii="Times New Roman" w:eastAsia="Times New Roman" w:hAnsi="Times New Roman" w:cs="Times New Roman"/>
                <w:sz w:val="20"/>
                <w:szCs w:val="20"/>
              </w:rPr>
              <w:br/>
            </w:r>
            <w:r w:rsidRPr="007440A2">
              <w:rPr>
                <w:rFonts w:ascii="Times New Roman" w:eastAsia="Times New Roman" w:hAnsi="Times New Roman" w:cs="Times New Roman"/>
                <w:sz w:val="20"/>
                <w:szCs w:val="20"/>
              </w:rPr>
              <w:br/>
              <w:t xml:space="preserve">Deri ne fund te vitit 2030 ka rritje progresive te numrit te nxenesve te  informuar mbi njohurite dhe kuptueshmërinë e proceseve te integrimit ne BE.                                                                                                                             </w:t>
            </w:r>
          </w:p>
        </w:tc>
      </w:tr>
      <w:tr w:rsidR="007440A2" w:rsidRPr="007440A2" w14:paraId="55B1539A" w14:textId="77777777" w:rsidTr="0018109D">
        <w:trPr>
          <w:trHeight w:val="624"/>
        </w:trPr>
        <w:tc>
          <w:tcPr>
            <w:tcW w:w="1790" w:type="dxa"/>
            <w:tcBorders>
              <w:top w:val="nil"/>
              <w:left w:val="single" w:sz="8" w:space="0" w:color="auto"/>
              <w:bottom w:val="single" w:sz="8" w:space="0" w:color="auto"/>
              <w:right w:val="single" w:sz="8" w:space="0" w:color="auto"/>
            </w:tcBorders>
            <w:shd w:val="clear" w:color="000000" w:fill="DEEAF6"/>
            <w:vAlign w:val="center"/>
            <w:hideMark/>
          </w:tcPr>
          <w:p w14:paraId="27DD7F83"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MASA</w:t>
            </w:r>
          </w:p>
        </w:tc>
        <w:tc>
          <w:tcPr>
            <w:tcW w:w="2520" w:type="dxa"/>
            <w:tcBorders>
              <w:top w:val="nil"/>
              <w:left w:val="nil"/>
              <w:bottom w:val="single" w:sz="8" w:space="0" w:color="auto"/>
              <w:right w:val="single" w:sz="8" w:space="0" w:color="auto"/>
            </w:tcBorders>
            <w:shd w:val="clear" w:color="000000" w:fill="DEEAF6"/>
            <w:vAlign w:val="center"/>
            <w:hideMark/>
          </w:tcPr>
          <w:p w14:paraId="77718E9E"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AKTIVITETE</w:t>
            </w:r>
          </w:p>
        </w:tc>
        <w:tc>
          <w:tcPr>
            <w:tcW w:w="1890" w:type="dxa"/>
            <w:tcBorders>
              <w:top w:val="nil"/>
              <w:left w:val="nil"/>
              <w:bottom w:val="single" w:sz="8" w:space="0" w:color="auto"/>
              <w:right w:val="single" w:sz="8" w:space="0" w:color="auto"/>
            </w:tcBorders>
            <w:shd w:val="clear" w:color="000000" w:fill="DEEAF6"/>
            <w:vAlign w:val="center"/>
            <w:hideMark/>
          </w:tcPr>
          <w:p w14:paraId="5A792EEB"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PËRGJEGJËS</w:t>
            </w:r>
          </w:p>
        </w:tc>
        <w:tc>
          <w:tcPr>
            <w:tcW w:w="1620" w:type="dxa"/>
            <w:tcBorders>
              <w:top w:val="nil"/>
              <w:left w:val="nil"/>
              <w:bottom w:val="single" w:sz="8" w:space="0" w:color="auto"/>
              <w:right w:val="single" w:sz="8" w:space="0" w:color="auto"/>
            </w:tcBorders>
            <w:shd w:val="clear" w:color="000000" w:fill="DEEAF6"/>
            <w:vAlign w:val="center"/>
            <w:hideMark/>
          </w:tcPr>
          <w:p w14:paraId="7609E062"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INSTITUCIONI KONTRIBUES</w:t>
            </w:r>
          </w:p>
        </w:tc>
        <w:tc>
          <w:tcPr>
            <w:tcW w:w="1710" w:type="dxa"/>
            <w:tcBorders>
              <w:top w:val="nil"/>
              <w:left w:val="nil"/>
              <w:bottom w:val="single" w:sz="8" w:space="0" w:color="auto"/>
              <w:right w:val="single" w:sz="8" w:space="0" w:color="auto"/>
            </w:tcBorders>
            <w:shd w:val="clear" w:color="000000" w:fill="DEEAF6"/>
            <w:vAlign w:val="center"/>
            <w:hideMark/>
          </w:tcPr>
          <w:p w14:paraId="73F208D5"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FILLIMIT</w:t>
            </w:r>
          </w:p>
        </w:tc>
        <w:tc>
          <w:tcPr>
            <w:tcW w:w="1260" w:type="dxa"/>
            <w:tcBorders>
              <w:top w:val="nil"/>
              <w:left w:val="nil"/>
              <w:bottom w:val="single" w:sz="8" w:space="0" w:color="auto"/>
              <w:right w:val="single" w:sz="8" w:space="0" w:color="auto"/>
            </w:tcBorders>
            <w:shd w:val="clear" w:color="000000" w:fill="DEEAF6"/>
            <w:vAlign w:val="center"/>
            <w:hideMark/>
          </w:tcPr>
          <w:p w14:paraId="2749CFB0" w14:textId="77777777" w:rsidR="0018109D" w:rsidRPr="007440A2" w:rsidRDefault="0018109D" w:rsidP="0018109D">
            <w:pPr>
              <w:spacing w:after="0" w:line="240" w:lineRule="auto"/>
              <w:jc w:val="center"/>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AFATI PËRFUNDIMIT</w:t>
            </w:r>
          </w:p>
        </w:tc>
      </w:tr>
      <w:tr w:rsidR="007440A2" w:rsidRPr="007440A2" w14:paraId="5FFC8CA4" w14:textId="77777777" w:rsidTr="0018109D">
        <w:trPr>
          <w:trHeight w:val="639"/>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0EE10B6C"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 xml:space="preserve">5.3.1 Rritja e njohurive dhe kuptueshmërisë së publikut mbi proceset e integrimit evropian përmes iniciativave të edukimit ligjor të publikut  </w:t>
            </w:r>
          </w:p>
        </w:tc>
        <w:tc>
          <w:tcPr>
            <w:tcW w:w="2520" w:type="dxa"/>
            <w:tcBorders>
              <w:top w:val="nil"/>
              <w:left w:val="nil"/>
              <w:bottom w:val="single" w:sz="4" w:space="0" w:color="auto"/>
              <w:right w:val="single" w:sz="4" w:space="0" w:color="auto"/>
            </w:tcBorders>
            <w:shd w:val="clear" w:color="auto" w:fill="auto"/>
            <w:vAlign w:val="center"/>
            <w:hideMark/>
          </w:tcPr>
          <w:p w14:paraId="6A7FE4DB" w14:textId="154A368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 xml:space="preserve">5.3.1.1 Zhvillimi i kurseve online dhe </w:t>
            </w:r>
            <w:r w:rsidR="00CE1035" w:rsidRPr="007440A2">
              <w:rPr>
                <w:rFonts w:ascii="Times Newt Roman" w:eastAsia="Times New Roman" w:hAnsi="Times Newt Roman" w:cs="Calibri"/>
                <w:sz w:val="20"/>
                <w:szCs w:val="20"/>
              </w:rPr>
              <w:t>ë</w:t>
            </w:r>
            <w:r w:rsidRPr="007440A2">
              <w:rPr>
                <w:rFonts w:ascii="Times Newt Roman" w:eastAsia="Times New Roman" w:hAnsi="Times Newt Roman" w:cs="Calibri"/>
                <w:sz w:val="20"/>
                <w:szCs w:val="20"/>
              </w:rPr>
              <w:t>ebinarëve mbi integrimin evropian.</w:t>
            </w:r>
          </w:p>
        </w:tc>
        <w:tc>
          <w:tcPr>
            <w:tcW w:w="1890" w:type="dxa"/>
            <w:tcBorders>
              <w:top w:val="nil"/>
              <w:left w:val="nil"/>
              <w:bottom w:val="single" w:sz="4" w:space="0" w:color="auto"/>
              <w:right w:val="single" w:sz="4" w:space="0" w:color="auto"/>
            </w:tcBorders>
            <w:shd w:val="clear" w:color="auto" w:fill="auto"/>
            <w:vAlign w:val="center"/>
            <w:hideMark/>
          </w:tcPr>
          <w:p w14:paraId="477B8F5B"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6A37822E"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ASPA</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6E89FCA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3EAF23C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15C8DBF7"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76AC5960"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4CEDA3FF"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5.3.1.2 Organizimi i fushatave të ndërgjegjësimit përmes televizionit, radios dhe rrjeteve sociale për të informuar publikun mbi proceset dhe përfitimet e integrimit evropian. (MD/ DEN)</w:t>
            </w:r>
          </w:p>
        </w:tc>
        <w:tc>
          <w:tcPr>
            <w:tcW w:w="1890" w:type="dxa"/>
            <w:tcBorders>
              <w:top w:val="nil"/>
              <w:left w:val="nil"/>
              <w:bottom w:val="single" w:sz="4" w:space="0" w:color="auto"/>
              <w:right w:val="single" w:sz="4" w:space="0" w:color="auto"/>
            </w:tcBorders>
            <w:shd w:val="clear" w:color="auto" w:fill="auto"/>
            <w:vAlign w:val="center"/>
            <w:hideMark/>
          </w:tcPr>
          <w:p w14:paraId="53B94BAC"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0698DDC1"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317FE78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12E27C5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4645FC0"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55AB5BB6"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29EA2BD0"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5.3.1.3 Hartimi dhe shpërndarja e broshurave informative në vendet publike, si p.sh., shkolla, qendra komunitare dhe zyrat qeveritare.</w:t>
            </w:r>
          </w:p>
        </w:tc>
        <w:tc>
          <w:tcPr>
            <w:tcW w:w="1890" w:type="dxa"/>
            <w:tcBorders>
              <w:top w:val="nil"/>
              <w:left w:val="nil"/>
              <w:bottom w:val="single" w:sz="4" w:space="0" w:color="auto"/>
              <w:right w:val="single" w:sz="4" w:space="0" w:color="auto"/>
            </w:tcBorders>
            <w:shd w:val="clear" w:color="auto" w:fill="auto"/>
            <w:vAlign w:val="center"/>
            <w:hideMark/>
          </w:tcPr>
          <w:p w14:paraId="179F841C"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4" w:space="0" w:color="auto"/>
              <w:right w:val="single" w:sz="8" w:space="0" w:color="auto"/>
            </w:tcBorders>
            <w:shd w:val="clear" w:color="auto" w:fill="auto"/>
            <w:vAlign w:val="center"/>
            <w:hideMark/>
          </w:tcPr>
          <w:p w14:paraId="5D9BECD4"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41D965D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C25E23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99F226F" w14:textId="77777777" w:rsidTr="0018109D">
        <w:trPr>
          <w:trHeight w:val="639"/>
        </w:trPr>
        <w:tc>
          <w:tcPr>
            <w:tcW w:w="1790" w:type="dxa"/>
            <w:vMerge/>
            <w:tcBorders>
              <w:top w:val="nil"/>
              <w:left w:val="single" w:sz="8" w:space="0" w:color="auto"/>
              <w:bottom w:val="single" w:sz="8" w:space="0" w:color="000000"/>
              <w:right w:val="single" w:sz="4" w:space="0" w:color="auto"/>
            </w:tcBorders>
            <w:vAlign w:val="center"/>
            <w:hideMark/>
          </w:tcPr>
          <w:p w14:paraId="79BA27A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759143BB"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5.3.1.4 Organizimi i seminareve, konferencave dhe takimeve publike në nivel qendror dhe lokal për të shpjeguar ndryshimet ligjore dhe ndikimin e tyre në jetën e përditshme të qytetarëve.</w:t>
            </w:r>
          </w:p>
        </w:tc>
        <w:tc>
          <w:tcPr>
            <w:tcW w:w="1890" w:type="dxa"/>
            <w:tcBorders>
              <w:top w:val="nil"/>
              <w:left w:val="nil"/>
              <w:bottom w:val="single" w:sz="8" w:space="0" w:color="auto"/>
              <w:right w:val="single" w:sz="4" w:space="0" w:color="auto"/>
            </w:tcBorders>
            <w:shd w:val="clear" w:color="auto" w:fill="auto"/>
            <w:vAlign w:val="center"/>
            <w:hideMark/>
          </w:tcPr>
          <w:p w14:paraId="60E05125"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MD</w:t>
            </w:r>
          </w:p>
        </w:tc>
        <w:tc>
          <w:tcPr>
            <w:tcW w:w="1620" w:type="dxa"/>
            <w:tcBorders>
              <w:top w:val="nil"/>
              <w:left w:val="nil"/>
              <w:bottom w:val="single" w:sz="8" w:space="0" w:color="auto"/>
              <w:right w:val="single" w:sz="8" w:space="0" w:color="auto"/>
            </w:tcBorders>
            <w:shd w:val="clear" w:color="auto" w:fill="auto"/>
            <w:vAlign w:val="center"/>
            <w:hideMark/>
          </w:tcPr>
          <w:p w14:paraId="1895EE28"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4ADE35B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49BFAEB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720E38A6" w14:textId="77777777" w:rsidTr="0018109D">
        <w:trPr>
          <w:trHeight w:val="636"/>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48F8E8BF"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5.3.2 Integrimi i njohurive mbi ligjet dhe politikat e Bashkimit Evropian në kurrikulat kombëtare të arsimit</w:t>
            </w:r>
          </w:p>
        </w:tc>
        <w:tc>
          <w:tcPr>
            <w:tcW w:w="2520" w:type="dxa"/>
            <w:tcBorders>
              <w:top w:val="nil"/>
              <w:left w:val="nil"/>
              <w:bottom w:val="single" w:sz="4" w:space="0" w:color="auto"/>
              <w:right w:val="single" w:sz="4" w:space="0" w:color="auto"/>
            </w:tcBorders>
            <w:shd w:val="clear" w:color="auto" w:fill="auto"/>
            <w:vAlign w:val="center"/>
            <w:hideMark/>
          </w:tcPr>
          <w:p w14:paraId="1005BADC"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5.2.2.1 Rishikimi i kurrikulave universitare për t’u përshtatur me kuadrin ligjor dhe procesin e integrimit evropian</w:t>
            </w:r>
          </w:p>
        </w:tc>
        <w:tc>
          <w:tcPr>
            <w:tcW w:w="1890" w:type="dxa"/>
            <w:tcBorders>
              <w:top w:val="nil"/>
              <w:left w:val="nil"/>
              <w:bottom w:val="single" w:sz="4" w:space="0" w:color="auto"/>
              <w:right w:val="single" w:sz="4" w:space="0" w:color="auto"/>
            </w:tcBorders>
            <w:shd w:val="clear" w:color="auto" w:fill="auto"/>
            <w:vAlign w:val="center"/>
            <w:hideMark/>
          </w:tcPr>
          <w:p w14:paraId="46DE4ABC"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MAS</w:t>
            </w:r>
          </w:p>
        </w:tc>
        <w:tc>
          <w:tcPr>
            <w:tcW w:w="1620" w:type="dxa"/>
            <w:tcBorders>
              <w:top w:val="nil"/>
              <w:left w:val="nil"/>
              <w:bottom w:val="single" w:sz="4" w:space="0" w:color="auto"/>
              <w:right w:val="single" w:sz="8" w:space="0" w:color="auto"/>
            </w:tcBorders>
            <w:shd w:val="clear" w:color="auto" w:fill="auto"/>
            <w:vAlign w:val="center"/>
            <w:hideMark/>
          </w:tcPr>
          <w:p w14:paraId="58E5ECB5"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IAL</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07B6B08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069DE2B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42BF9DD" w14:textId="77777777" w:rsidTr="0018109D">
        <w:trPr>
          <w:trHeight w:val="780"/>
        </w:trPr>
        <w:tc>
          <w:tcPr>
            <w:tcW w:w="1790" w:type="dxa"/>
            <w:vMerge/>
            <w:tcBorders>
              <w:top w:val="nil"/>
              <w:left w:val="single" w:sz="8" w:space="0" w:color="auto"/>
              <w:bottom w:val="single" w:sz="8" w:space="0" w:color="000000"/>
              <w:right w:val="single" w:sz="4" w:space="0" w:color="auto"/>
            </w:tcBorders>
            <w:vAlign w:val="center"/>
            <w:hideMark/>
          </w:tcPr>
          <w:p w14:paraId="26A039C8"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6BD582B3"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5.2.2.2 Rishikimi i kurrikulave të arsimit parauniversitar me qëllim përfshirjen  në të informacion të thjeshtëzuar mbi procesin e integrimit evropian dhe Bashkimin Evropian</w:t>
            </w:r>
          </w:p>
        </w:tc>
        <w:tc>
          <w:tcPr>
            <w:tcW w:w="1890" w:type="dxa"/>
            <w:tcBorders>
              <w:top w:val="nil"/>
              <w:left w:val="nil"/>
              <w:bottom w:val="single" w:sz="4" w:space="0" w:color="auto"/>
              <w:right w:val="single" w:sz="4" w:space="0" w:color="auto"/>
            </w:tcBorders>
            <w:shd w:val="clear" w:color="auto" w:fill="auto"/>
            <w:vAlign w:val="center"/>
            <w:hideMark/>
          </w:tcPr>
          <w:p w14:paraId="7903ED15"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MAS</w:t>
            </w:r>
          </w:p>
        </w:tc>
        <w:tc>
          <w:tcPr>
            <w:tcW w:w="1620" w:type="dxa"/>
            <w:tcBorders>
              <w:top w:val="nil"/>
              <w:left w:val="nil"/>
              <w:bottom w:val="single" w:sz="4" w:space="0" w:color="auto"/>
              <w:right w:val="single" w:sz="8" w:space="0" w:color="auto"/>
            </w:tcBorders>
            <w:shd w:val="clear" w:color="auto" w:fill="auto"/>
            <w:vAlign w:val="center"/>
            <w:hideMark/>
          </w:tcPr>
          <w:p w14:paraId="26AB39BD"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 </w:t>
            </w:r>
          </w:p>
        </w:tc>
        <w:tc>
          <w:tcPr>
            <w:tcW w:w="1710" w:type="dxa"/>
            <w:tcBorders>
              <w:top w:val="nil"/>
              <w:left w:val="single" w:sz="4" w:space="0" w:color="auto"/>
              <w:bottom w:val="single" w:sz="4" w:space="0" w:color="auto"/>
              <w:right w:val="single" w:sz="4" w:space="0" w:color="auto"/>
            </w:tcBorders>
            <w:shd w:val="clear" w:color="000000" w:fill="DDEBF7"/>
            <w:vAlign w:val="center"/>
            <w:hideMark/>
          </w:tcPr>
          <w:p w14:paraId="11D2CBE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4" w:space="0" w:color="auto"/>
              <w:right w:val="single" w:sz="8" w:space="0" w:color="auto"/>
            </w:tcBorders>
            <w:shd w:val="clear" w:color="000000" w:fill="DDEBF7"/>
            <w:vAlign w:val="center"/>
            <w:hideMark/>
          </w:tcPr>
          <w:p w14:paraId="5EE5E26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06E5569" w14:textId="77777777" w:rsidTr="0018109D">
        <w:trPr>
          <w:trHeight w:val="540"/>
        </w:trPr>
        <w:tc>
          <w:tcPr>
            <w:tcW w:w="1790" w:type="dxa"/>
            <w:vMerge/>
            <w:tcBorders>
              <w:top w:val="nil"/>
              <w:left w:val="single" w:sz="8" w:space="0" w:color="auto"/>
              <w:bottom w:val="single" w:sz="8" w:space="0" w:color="000000"/>
              <w:right w:val="single" w:sz="4" w:space="0" w:color="auto"/>
            </w:tcBorders>
            <w:vAlign w:val="center"/>
            <w:hideMark/>
          </w:tcPr>
          <w:p w14:paraId="161D68B5"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01469DEE"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5.2.2.3 Organizimi i konkurseve të eseve dhe debateve mbi temat e integrimit evropian për nxënësit dhe studentët.</w:t>
            </w:r>
          </w:p>
        </w:tc>
        <w:tc>
          <w:tcPr>
            <w:tcW w:w="1890" w:type="dxa"/>
            <w:tcBorders>
              <w:top w:val="nil"/>
              <w:left w:val="nil"/>
              <w:bottom w:val="single" w:sz="8" w:space="0" w:color="auto"/>
              <w:right w:val="single" w:sz="4" w:space="0" w:color="auto"/>
            </w:tcBorders>
            <w:shd w:val="clear" w:color="auto" w:fill="auto"/>
            <w:vAlign w:val="center"/>
            <w:hideMark/>
          </w:tcPr>
          <w:p w14:paraId="0D257374"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MAS</w:t>
            </w:r>
          </w:p>
        </w:tc>
        <w:tc>
          <w:tcPr>
            <w:tcW w:w="1620" w:type="dxa"/>
            <w:tcBorders>
              <w:top w:val="nil"/>
              <w:left w:val="nil"/>
              <w:bottom w:val="single" w:sz="8" w:space="0" w:color="auto"/>
              <w:right w:val="single" w:sz="8" w:space="0" w:color="auto"/>
            </w:tcBorders>
            <w:shd w:val="clear" w:color="auto" w:fill="auto"/>
            <w:vAlign w:val="center"/>
            <w:hideMark/>
          </w:tcPr>
          <w:p w14:paraId="70CAE143" w14:textId="77777777" w:rsidR="0018109D" w:rsidRPr="007440A2" w:rsidRDefault="0018109D" w:rsidP="0018109D">
            <w:pPr>
              <w:spacing w:after="0" w:line="240" w:lineRule="auto"/>
              <w:jc w:val="center"/>
              <w:rPr>
                <w:rFonts w:ascii="Times Newt Roman" w:eastAsia="Times New Roman" w:hAnsi="Times Newt Roman" w:cs="Calibri"/>
                <w:sz w:val="20"/>
                <w:szCs w:val="20"/>
              </w:rPr>
            </w:pPr>
            <w:r w:rsidRPr="007440A2">
              <w:rPr>
                <w:rFonts w:ascii="Times Newt Roman" w:eastAsia="Times New Roman" w:hAnsi="Times Newt Roman" w:cs="Calibri"/>
                <w:sz w:val="20"/>
                <w:szCs w:val="20"/>
              </w:rPr>
              <w:t>IAL</w:t>
            </w:r>
          </w:p>
        </w:tc>
        <w:tc>
          <w:tcPr>
            <w:tcW w:w="1710" w:type="dxa"/>
            <w:tcBorders>
              <w:top w:val="nil"/>
              <w:left w:val="single" w:sz="4" w:space="0" w:color="auto"/>
              <w:bottom w:val="single" w:sz="8" w:space="0" w:color="auto"/>
              <w:right w:val="single" w:sz="4" w:space="0" w:color="auto"/>
            </w:tcBorders>
            <w:shd w:val="clear" w:color="000000" w:fill="DDEBF7"/>
            <w:vAlign w:val="center"/>
            <w:hideMark/>
          </w:tcPr>
          <w:p w14:paraId="3230AE8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2026</w:t>
            </w:r>
          </w:p>
        </w:tc>
        <w:tc>
          <w:tcPr>
            <w:tcW w:w="1260" w:type="dxa"/>
            <w:tcBorders>
              <w:top w:val="nil"/>
              <w:left w:val="nil"/>
              <w:bottom w:val="single" w:sz="8" w:space="0" w:color="auto"/>
              <w:right w:val="single" w:sz="8" w:space="0" w:color="auto"/>
            </w:tcBorders>
            <w:shd w:val="clear" w:color="000000" w:fill="DDEBF7"/>
            <w:vAlign w:val="center"/>
            <w:hideMark/>
          </w:tcPr>
          <w:p w14:paraId="10A54C5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69FDBDC4" w14:textId="77777777" w:rsidTr="0018109D">
        <w:trPr>
          <w:trHeight w:val="528"/>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13CF72A4" w14:textId="128BC27E"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5.3.3 Organizimi i aktiviteteve informuese në Ditën e Europës</w:t>
            </w:r>
          </w:p>
        </w:tc>
        <w:tc>
          <w:tcPr>
            <w:tcW w:w="2520" w:type="dxa"/>
            <w:tcBorders>
              <w:top w:val="nil"/>
              <w:left w:val="nil"/>
              <w:bottom w:val="single" w:sz="4" w:space="0" w:color="auto"/>
              <w:right w:val="single" w:sz="4" w:space="0" w:color="auto"/>
            </w:tcBorders>
            <w:shd w:val="clear" w:color="auto" w:fill="auto"/>
            <w:vAlign w:val="center"/>
            <w:hideMark/>
          </w:tcPr>
          <w:p w14:paraId="186DBAB9"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5.3.3.1 Organizimi i aktiviteteve informuese mbi procesin e integrimit evropian dhe anëtarësimin</w:t>
            </w:r>
          </w:p>
        </w:tc>
        <w:tc>
          <w:tcPr>
            <w:tcW w:w="1890" w:type="dxa"/>
            <w:tcBorders>
              <w:top w:val="nil"/>
              <w:left w:val="nil"/>
              <w:bottom w:val="single" w:sz="4" w:space="0" w:color="auto"/>
              <w:right w:val="single" w:sz="4" w:space="0" w:color="auto"/>
            </w:tcBorders>
            <w:shd w:val="clear" w:color="auto" w:fill="auto"/>
            <w:vAlign w:val="center"/>
            <w:hideMark/>
          </w:tcPr>
          <w:p w14:paraId="44A1071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4" w:space="0" w:color="auto"/>
              <w:right w:val="single" w:sz="4" w:space="0" w:color="auto"/>
            </w:tcBorders>
            <w:shd w:val="clear" w:color="auto" w:fill="auto"/>
            <w:vAlign w:val="center"/>
            <w:hideMark/>
          </w:tcPr>
          <w:p w14:paraId="709942C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42A30B08"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4" w:space="0" w:color="auto"/>
              <w:right w:val="single" w:sz="8" w:space="0" w:color="auto"/>
            </w:tcBorders>
            <w:shd w:val="clear" w:color="000000" w:fill="DDEBF7"/>
            <w:vAlign w:val="center"/>
            <w:hideMark/>
          </w:tcPr>
          <w:p w14:paraId="03EB03CF"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56B628F9" w14:textId="77777777" w:rsidTr="0018109D">
        <w:trPr>
          <w:trHeight w:val="540"/>
        </w:trPr>
        <w:tc>
          <w:tcPr>
            <w:tcW w:w="1790" w:type="dxa"/>
            <w:vMerge/>
            <w:tcBorders>
              <w:top w:val="nil"/>
              <w:left w:val="single" w:sz="8" w:space="0" w:color="auto"/>
              <w:bottom w:val="single" w:sz="8" w:space="0" w:color="000000"/>
              <w:right w:val="single" w:sz="4" w:space="0" w:color="auto"/>
            </w:tcBorders>
            <w:vAlign w:val="center"/>
            <w:hideMark/>
          </w:tcPr>
          <w:p w14:paraId="4665F06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4FC578D6"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5.3.3.2 Përgatitja dhe shpërndarja e broshurave informuese mbi procesin e integrimit dhe anëtarësimit</w:t>
            </w:r>
          </w:p>
        </w:tc>
        <w:tc>
          <w:tcPr>
            <w:tcW w:w="1890" w:type="dxa"/>
            <w:tcBorders>
              <w:top w:val="nil"/>
              <w:left w:val="nil"/>
              <w:bottom w:val="single" w:sz="8" w:space="0" w:color="auto"/>
              <w:right w:val="single" w:sz="4" w:space="0" w:color="auto"/>
            </w:tcBorders>
            <w:shd w:val="clear" w:color="auto" w:fill="auto"/>
            <w:vAlign w:val="center"/>
            <w:hideMark/>
          </w:tcPr>
          <w:p w14:paraId="65B9918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8" w:space="0" w:color="auto"/>
              <w:right w:val="single" w:sz="4" w:space="0" w:color="auto"/>
            </w:tcBorders>
            <w:shd w:val="clear" w:color="auto" w:fill="auto"/>
            <w:vAlign w:val="center"/>
            <w:hideMark/>
          </w:tcPr>
          <w:p w14:paraId="1B1064C0"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5EF5CD8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2025</w:t>
            </w:r>
          </w:p>
        </w:tc>
        <w:tc>
          <w:tcPr>
            <w:tcW w:w="1260" w:type="dxa"/>
            <w:tcBorders>
              <w:top w:val="nil"/>
              <w:left w:val="nil"/>
              <w:bottom w:val="single" w:sz="8" w:space="0" w:color="auto"/>
              <w:right w:val="single" w:sz="8" w:space="0" w:color="auto"/>
            </w:tcBorders>
            <w:shd w:val="clear" w:color="000000" w:fill="DDEBF7"/>
            <w:vAlign w:val="center"/>
            <w:hideMark/>
          </w:tcPr>
          <w:p w14:paraId="16DA7B3A"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346B2BE6" w14:textId="77777777" w:rsidTr="0018109D">
        <w:trPr>
          <w:trHeight w:val="1320"/>
        </w:trPr>
        <w:tc>
          <w:tcPr>
            <w:tcW w:w="1790" w:type="dxa"/>
            <w:vMerge w:val="restart"/>
            <w:tcBorders>
              <w:top w:val="nil"/>
              <w:left w:val="single" w:sz="8" w:space="0" w:color="auto"/>
              <w:bottom w:val="single" w:sz="8" w:space="0" w:color="000000"/>
              <w:right w:val="single" w:sz="4" w:space="0" w:color="auto"/>
            </w:tcBorders>
            <w:shd w:val="clear" w:color="auto" w:fill="auto"/>
            <w:vAlign w:val="center"/>
            <w:hideMark/>
          </w:tcPr>
          <w:p w14:paraId="254ECE8C" w14:textId="77777777" w:rsidR="0018109D" w:rsidRPr="007440A2" w:rsidRDefault="0018109D" w:rsidP="0018109D">
            <w:pPr>
              <w:spacing w:after="0" w:line="240" w:lineRule="auto"/>
              <w:rPr>
                <w:rFonts w:ascii="Times New Roman" w:eastAsia="Times New Roman" w:hAnsi="Times New Roman" w:cs="Times New Roman"/>
                <w:b/>
                <w:bCs/>
                <w:sz w:val="20"/>
                <w:szCs w:val="20"/>
              </w:rPr>
            </w:pPr>
            <w:r w:rsidRPr="007440A2">
              <w:rPr>
                <w:rFonts w:ascii="Times New Roman" w:eastAsia="Times New Roman" w:hAnsi="Times New Roman" w:cs="Times New Roman"/>
                <w:b/>
                <w:bCs/>
                <w:sz w:val="20"/>
                <w:szCs w:val="20"/>
              </w:rPr>
              <w:t>5.3.4 Aktivitete informuese dhe zhvillimi i programeve edukative mbi integrimin evropian në shkollat 9- vjeçare dhe të mesme</w:t>
            </w:r>
          </w:p>
        </w:tc>
        <w:tc>
          <w:tcPr>
            <w:tcW w:w="2520" w:type="dxa"/>
            <w:tcBorders>
              <w:top w:val="nil"/>
              <w:left w:val="nil"/>
              <w:bottom w:val="single" w:sz="4" w:space="0" w:color="auto"/>
              <w:right w:val="single" w:sz="4" w:space="0" w:color="auto"/>
            </w:tcBorders>
            <w:shd w:val="clear" w:color="auto" w:fill="auto"/>
            <w:vAlign w:val="center"/>
            <w:hideMark/>
          </w:tcPr>
          <w:p w14:paraId="5B568E86"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5.3.4.1 Përgatitja dhe botimi i materialeve ndërgjegjësuese dhe edukuese për nxënësit e shkollave 9 vjecare dhe të mesme</w:t>
            </w:r>
          </w:p>
        </w:tc>
        <w:tc>
          <w:tcPr>
            <w:tcW w:w="1890" w:type="dxa"/>
            <w:tcBorders>
              <w:top w:val="nil"/>
              <w:left w:val="nil"/>
              <w:bottom w:val="single" w:sz="4" w:space="0" w:color="auto"/>
              <w:right w:val="single" w:sz="4" w:space="0" w:color="auto"/>
            </w:tcBorders>
            <w:shd w:val="clear" w:color="auto" w:fill="auto"/>
            <w:vAlign w:val="center"/>
            <w:hideMark/>
          </w:tcPr>
          <w:p w14:paraId="22A6975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4" w:space="0" w:color="auto"/>
              <w:right w:val="single" w:sz="4" w:space="0" w:color="auto"/>
            </w:tcBorders>
            <w:shd w:val="clear" w:color="auto" w:fill="auto"/>
            <w:vAlign w:val="center"/>
            <w:hideMark/>
          </w:tcPr>
          <w:p w14:paraId="6C083386"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11AD9CD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4C675D17"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4D10436" w14:textId="77777777" w:rsidTr="0018109D">
        <w:trPr>
          <w:trHeight w:val="528"/>
        </w:trPr>
        <w:tc>
          <w:tcPr>
            <w:tcW w:w="1790" w:type="dxa"/>
            <w:vMerge/>
            <w:tcBorders>
              <w:top w:val="nil"/>
              <w:left w:val="single" w:sz="8" w:space="0" w:color="auto"/>
              <w:bottom w:val="single" w:sz="8" w:space="0" w:color="000000"/>
              <w:right w:val="single" w:sz="4" w:space="0" w:color="auto"/>
            </w:tcBorders>
            <w:vAlign w:val="center"/>
            <w:hideMark/>
          </w:tcPr>
          <w:p w14:paraId="0E7FE9A7"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C337000"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5.3.4.2 Organizimi i takimeve informuese në shkolla 9 vjecare dhe të mesme lidhur me procesin e integrimit evropian</w:t>
            </w:r>
          </w:p>
        </w:tc>
        <w:tc>
          <w:tcPr>
            <w:tcW w:w="1890" w:type="dxa"/>
            <w:tcBorders>
              <w:top w:val="nil"/>
              <w:left w:val="nil"/>
              <w:bottom w:val="single" w:sz="4" w:space="0" w:color="auto"/>
              <w:right w:val="single" w:sz="4" w:space="0" w:color="auto"/>
            </w:tcBorders>
            <w:shd w:val="clear" w:color="auto" w:fill="auto"/>
            <w:vAlign w:val="center"/>
            <w:hideMark/>
          </w:tcPr>
          <w:p w14:paraId="3C5CA304"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4" w:space="0" w:color="auto"/>
              <w:right w:val="single" w:sz="4" w:space="0" w:color="auto"/>
            </w:tcBorders>
            <w:shd w:val="clear" w:color="auto" w:fill="auto"/>
            <w:vAlign w:val="center"/>
            <w:hideMark/>
          </w:tcPr>
          <w:p w14:paraId="48E6A353"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000000" w:fill="DDEBF7"/>
            <w:vAlign w:val="center"/>
            <w:hideMark/>
          </w:tcPr>
          <w:p w14:paraId="53147CF2"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4" w:space="0" w:color="auto"/>
              <w:right w:val="single" w:sz="8" w:space="0" w:color="auto"/>
            </w:tcBorders>
            <w:shd w:val="clear" w:color="000000" w:fill="DDEBF7"/>
            <w:vAlign w:val="center"/>
            <w:hideMark/>
          </w:tcPr>
          <w:p w14:paraId="540A28EE"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r w:rsidR="007440A2" w:rsidRPr="007440A2" w14:paraId="2B60EE0D" w14:textId="77777777" w:rsidTr="0018109D">
        <w:trPr>
          <w:trHeight w:val="276"/>
        </w:trPr>
        <w:tc>
          <w:tcPr>
            <w:tcW w:w="1790" w:type="dxa"/>
            <w:vMerge/>
            <w:tcBorders>
              <w:top w:val="nil"/>
              <w:left w:val="single" w:sz="8" w:space="0" w:color="auto"/>
              <w:bottom w:val="single" w:sz="8" w:space="0" w:color="000000"/>
              <w:right w:val="single" w:sz="4" w:space="0" w:color="auto"/>
            </w:tcBorders>
            <w:vAlign w:val="center"/>
            <w:hideMark/>
          </w:tcPr>
          <w:p w14:paraId="019B459E" w14:textId="77777777" w:rsidR="0018109D" w:rsidRPr="007440A2" w:rsidRDefault="0018109D" w:rsidP="0018109D">
            <w:pPr>
              <w:spacing w:after="0" w:line="240" w:lineRule="auto"/>
              <w:rPr>
                <w:rFonts w:ascii="Times New Roman" w:eastAsia="Times New Roman" w:hAnsi="Times New Roman" w:cs="Times New Roman"/>
                <w:b/>
                <w:bCs/>
                <w:sz w:val="20"/>
                <w:szCs w:val="20"/>
              </w:rPr>
            </w:pPr>
          </w:p>
        </w:tc>
        <w:tc>
          <w:tcPr>
            <w:tcW w:w="2520" w:type="dxa"/>
            <w:tcBorders>
              <w:top w:val="nil"/>
              <w:left w:val="nil"/>
              <w:bottom w:val="single" w:sz="8" w:space="0" w:color="auto"/>
              <w:right w:val="single" w:sz="4" w:space="0" w:color="auto"/>
            </w:tcBorders>
            <w:shd w:val="clear" w:color="auto" w:fill="auto"/>
            <w:vAlign w:val="center"/>
            <w:hideMark/>
          </w:tcPr>
          <w:p w14:paraId="3CCA6224" w14:textId="77777777" w:rsidR="0018109D" w:rsidRPr="007440A2" w:rsidRDefault="0018109D" w:rsidP="0018109D">
            <w:pPr>
              <w:spacing w:after="0" w:line="240" w:lineRule="auto"/>
              <w:rPr>
                <w:rFonts w:ascii="Times Newt Roman" w:eastAsia="Times New Roman" w:hAnsi="Times Newt Roman" w:cs="Calibri"/>
                <w:sz w:val="20"/>
                <w:szCs w:val="20"/>
              </w:rPr>
            </w:pPr>
            <w:r w:rsidRPr="007440A2">
              <w:rPr>
                <w:rFonts w:ascii="Times Newt Roman" w:eastAsia="Times New Roman" w:hAnsi="Times Newt Roman" w:cs="Calibri"/>
                <w:sz w:val="20"/>
                <w:szCs w:val="20"/>
              </w:rPr>
              <w:t xml:space="preserve">5.3.4.3Shpërndarja e broshurave informuese </w:t>
            </w:r>
          </w:p>
        </w:tc>
        <w:tc>
          <w:tcPr>
            <w:tcW w:w="1890" w:type="dxa"/>
            <w:tcBorders>
              <w:top w:val="nil"/>
              <w:left w:val="nil"/>
              <w:bottom w:val="single" w:sz="8" w:space="0" w:color="auto"/>
              <w:right w:val="single" w:sz="4" w:space="0" w:color="auto"/>
            </w:tcBorders>
            <w:shd w:val="clear" w:color="auto" w:fill="auto"/>
            <w:vAlign w:val="center"/>
            <w:hideMark/>
          </w:tcPr>
          <w:p w14:paraId="3B23CB35"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MD</w:t>
            </w:r>
          </w:p>
        </w:tc>
        <w:tc>
          <w:tcPr>
            <w:tcW w:w="1620" w:type="dxa"/>
            <w:tcBorders>
              <w:top w:val="nil"/>
              <w:left w:val="nil"/>
              <w:bottom w:val="single" w:sz="8" w:space="0" w:color="auto"/>
              <w:right w:val="single" w:sz="4" w:space="0" w:color="auto"/>
            </w:tcBorders>
            <w:shd w:val="clear" w:color="auto" w:fill="auto"/>
            <w:vAlign w:val="center"/>
            <w:hideMark/>
          </w:tcPr>
          <w:p w14:paraId="6737842C"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 </w:t>
            </w:r>
          </w:p>
        </w:tc>
        <w:tc>
          <w:tcPr>
            <w:tcW w:w="1710" w:type="dxa"/>
            <w:tcBorders>
              <w:top w:val="nil"/>
              <w:left w:val="nil"/>
              <w:bottom w:val="single" w:sz="8" w:space="0" w:color="auto"/>
              <w:right w:val="single" w:sz="4" w:space="0" w:color="auto"/>
            </w:tcBorders>
            <w:shd w:val="clear" w:color="000000" w:fill="DDEBF7"/>
            <w:vAlign w:val="center"/>
            <w:hideMark/>
          </w:tcPr>
          <w:p w14:paraId="57D6769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2024</w:t>
            </w:r>
          </w:p>
        </w:tc>
        <w:tc>
          <w:tcPr>
            <w:tcW w:w="1260" w:type="dxa"/>
            <w:tcBorders>
              <w:top w:val="nil"/>
              <w:left w:val="nil"/>
              <w:bottom w:val="single" w:sz="8" w:space="0" w:color="auto"/>
              <w:right w:val="single" w:sz="8" w:space="0" w:color="auto"/>
            </w:tcBorders>
            <w:shd w:val="clear" w:color="000000" w:fill="DDEBF7"/>
            <w:vAlign w:val="center"/>
            <w:hideMark/>
          </w:tcPr>
          <w:p w14:paraId="5991045B" w14:textId="77777777" w:rsidR="0018109D" w:rsidRPr="007440A2" w:rsidRDefault="0018109D" w:rsidP="0018109D">
            <w:pPr>
              <w:spacing w:after="0" w:line="240" w:lineRule="auto"/>
              <w:jc w:val="center"/>
              <w:rPr>
                <w:rFonts w:ascii="Times New Roman" w:eastAsia="Times New Roman" w:hAnsi="Times New Roman" w:cs="Times New Roman"/>
                <w:sz w:val="20"/>
                <w:szCs w:val="20"/>
              </w:rPr>
            </w:pPr>
            <w:r w:rsidRPr="007440A2">
              <w:rPr>
                <w:rFonts w:ascii="Times New Roman" w:eastAsia="Times New Roman" w:hAnsi="Times New Roman" w:cs="Times New Roman"/>
                <w:sz w:val="20"/>
                <w:szCs w:val="20"/>
              </w:rPr>
              <w:t>2030</w:t>
            </w:r>
          </w:p>
        </w:tc>
      </w:tr>
    </w:tbl>
    <w:p w14:paraId="09842FD3" w14:textId="2AF44410" w:rsidR="00BB0221" w:rsidRPr="007440A2" w:rsidRDefault="00BB0221" w:rsidP="00B9791B">
      <w:pPr>
        <w:spacing w:line="276" w:lineRule="auto"/>
        <w:jc w:val="both"/>
        <w:rPr>
          <w:rFonts w:ascii="Times New Roman" w:hAnsi="Times New Roman" w:cs="Times New Roman"/>
          <w:b/>
          <w:sz w:val="24"/>
          <w:szCs w:val="24"/>
        </w:rPr>
      </w:pPr>
    </w:p>
    <w:sectPr w:rsidR="00BB0221" w:rsidRPr="007440A2" w:rsidSect="009C38A9">
      <w:headerReference w:type="default" r:id="rId14"/>
      <w:footerReference w:type="default" r:id="rId15"/>
      <w:headerReference w:type="first" r:id="rId16"/>
      <w:pgSz w:w="12240" w:h="15840" w:code="1"/>
      <w:pgMar w:top="993" w:right="1440" w:bottom="144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0BEEC" w14:textId="77777777" w:rsidR="00C80979" w:rsidRDefault="00C80979" w:rsidP="005370A3">
      <w:pPr>
        <w:spacing w:after="0" w:line="240" w:lineRule="auto"/>
      </w:pPr>
      <w:r>
        <w:separator/>
      </w:r>
    </w:p>
  </w:endnote>
  <w:endnote w:type="continuationSeparator" w:id="0">
    <w:p w14:paraId="111C52F2" w14:textId="77777777" w:rsidR="00C80979" w:rsidRDefault="00C80979" w:rsidP="0053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Liberation Mono">
    <w:altName w:val="Courier New"/>
    <w:charset w:val="01"/>
    <w:family w:val="modern"/>
    <w:pitch w:val="fixed"/>
  </w:font>
  <w:font w:name="Tahoma">
    <w:panose1 w:val="020B0604030504040204"/>
    <w:charset w:val="00"/>
    <w:family w:val="swiss"/>
    <w:pitch w:val="variable"/>
    <w:sig w:usb0="E1002EFF" w:usb1="C000605B" w:usb2="00000029" w:usb3="00000000" w:csb0="000101FF" w:csb1="00000000"/>
  </w:font>
  <w:font w:name="Times Newt Roman">
    <w:altName w:val="Times New Roman"/>
    <w:panose1 w:val="00000000000000000000"/>
    <w:charset w:val="00"/>
    <w:family w:val="roman"/>
    <w:notTrueType/>
    <w:pitch w:val="default"/>
  </w:font>
  <w:font w:name="Arial-Bold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04865"/>
      <w:docPartObj>
        <w:docPartGallery w:val="Page Numbers (Bottom of Page)"/>
        <w:docPartUnique/>
      </w:docPartObj>
    </w:sdtPr>
    <w:sdtEndPr/>
    <w:sdtContent>
      <w:p w14:paraId="6A6F6F05" w14:textId="75EF3AF1" w:rsidR="00F940E2" w:rsidRDefault="00F940E2">
        <w:pPr>
          <w:pStyle w:val="Footer"/>
        </w:pPr>
        <w:r>
          <w:rPr>
            <w:noProof/>
          </w:rPr>
          <mc:AlternateContent>
            <mc:Choice Requires="wps">
              <w:drawing>
                <wp:anchor distT="0" distB="0" distL="114300" distR="114300" simplePos="0" relativeHeight="251662336" behindDoc="0" locked="0" layoutInCell="1" allowOverlap="1" wp14:anchorId="58B6750B" wp14:editId="757C466F">
                  <wp:simplePos x="0" y="0"/>
                  <wp:positionH relativeFrom="page">
                    <wp:align>right</wp:align>
                  </wp:positionH>
                  <wp:positionV relativeFrom="page">
                    <wp:posOffset>9276735</wp:posOffset>
                  </wp:positionV>
                  <wp:extent cx="7769082" cy="816602"/>
                  <wp:effectExtent l="0" t="0" r="3810" b="31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9082" cy="816602"/>
                          </a:xfrm>
                          <a:custGeom>
                            <a:avLst/>
                            <a:gdLst>
                              <a:gd name="connsiteX0" fmla="*/ 0 w 7783830"/>
                              <a:gd name="connsiteY0" fmla="*/ 0 h 614045"/>
                              <a:gd name="connsiteX1" fmla="*/ 7783830 w 7783830"/>
                              <a:gd name="connsiteY1" fmla="*/ 0 h 614045"/>
                              <a:gd name="connsiteX2" fmla="*/ 7783830 w 7783830"/>
                              <a:gd name="connsiteY2" fmla="*/ 614045 h 614045"/>
                              <a:gd name="connsiteX3" fmla="*/ 0 w 7783830"/>
                              <a:gd name="connsiteY3" fmla="*/ 614045 h 614045"/>
                              <a:gd name="connsiteX4" fmla="*/ 0 w 7783830"/>
                              <a:gd name="connsiteY4" fmla="*/ 0 h 614045"/>
                              <a:gd name="connsiteX0" fmla="*/ 0 w 7783830"/>
                              <a:gd name="connsiteY0" fmla="*/ 0 h 614045"/>
                              <a:gd name="connsiteX1" fmla="*/ 1485900 w 7783830"/>
                              <a:gd name="connsiteY1" fmla="*/ 228600 h 614045"/>
                              <a:gd name="connsiteX2" fmla="*/ 7783830 w 7783830"/>
                              <a:gd name="connsiteY2" fmla="*/ 0 h 614045"/>
                              <a:gd name="connsiteX3" fmla="*/ 7783830 w 7783830"/>
                              <a:gd name="connsiteY3" fmla="*/ 614045 h 614045"/>
                              <a:gd name="connsiteX4" fmla="*/ 0 w 7783830"/>
                              <a:gd name="connsiteY4" fmla="*/ 614045 h 614045"/>
                              <a:gd name="connsiteX5" fmla="*/ 0 w 7783830"/>
                              <a:gd name="connsiteY5" fmla="*/ 0 h 614045"/>
                              <a:gd name="connsiteX0" fmla="*/ 0 w 7783830"/>
                              <a:gd name="connsiteY0" fmla="*/ 158262 h 772307"/>
                              <a:gd name="connsiteX1" fmla="*/ 1485900 w 7783830"/>
                              <a:gd name="connsiteY1" fmla="*/ 386862 h 772307"/>
                              <a:gd name="connsiteX2" fmla="*/ 3631223 w 7783830"/>
                              <a:gd name="connsiteY2" fmla="*/ 0 h 772307"/>
                              <a:gd name="connsiteX3" fmla="*/ 7783830 w 7783830"/>
                              <a:gd name="connsiteY3" fmla="*/ 158262 h 772307"/>
                              <a:gd name="connsiteX4" fmla="*/ 7783830 w 7783830"/>
                              <a:gd name="connsiteY4" fmla="*/ 772307 h 772307"/>
                              <a:gd name="connsiteX5" fmla="*/ 0 w 7783830"/>
                              <a:gd name="connsiteY5" fmla="*/ 772307 h 772307"/>
                              <a:gd name="connsiteX6" fmla="*/ 0 w 7783830"/>
                              <a:gd name="connsiteY6" fmla="*/ 158262 h 772307"/>
                              <a:gd name="connsiteX0" fmla="*/ 0 w 7783830"/>
                              <a:gd name="connsiteY0" fmla="*/ 158262 h 772307"/>
                              <a:gd name="connsiteX1" fmla="*/ 1485900 w 7783830"/>
                              <a:gd name="connsiteY1" fmla="*/ 386862 h 772307"/>
                              <a:gd name="connsiteX2" fmla="*/ 3631223 w 7783830"/>
                              <a:gd name="connsiteY2" fmla="*/ 0 h 772307"/>
                              <a:gd name="connsiteX3" fmla="*/ 6198577 w 7783830"/>
                              <a:gd name="connsiteY3" fmla="*/ 413318 h 772307"/>
                              <a:gd name="connsiteX4" fmla="*/ 7783830 w 7783830"/>
                              <a:gd name="connsiteY4" fmla="*/ 158262 h 772307"/>
                              <a:gd name="connsiteX5" fmla="*/ 7783830 w 7783830"/>
                              <a:gd name="connsiteY5" fmla="*/ 772307 h 772307"/>
                              <a:gd name="connsiteX6" fmla="*/ 0 w 7783830"/>
                              <a:gd name="connsiteY6" fmla="*/ 772307 h 772307"/>
                              <a:gd name="connsiteX7" fmla="*/ 0 w 7783830"/>
                              <a:gd name="connsiteY7" fmla="*/ 158262 h 772307"/>
                              <a:gd name="connsiteX0" fmla="*/ 0 w 7783830"/>
                              <a:gd name="connsiteY0" fmla="*/ 202231 h 816276"/>
                              <a:gd name="connsiteX1" fmla="*/ 1485900 w 7783830"/>
                              <a:gd name="connsiteY1" fmla="*/ 430831 h 816276"/>
                              <a:gd name="connsiteX2" fmla="*/ 3894993 w 7783830"/>
                              <a:gd name="connsiteY2" fmla="*/ 0 h 816276"/>
                              <a:gd name="connsiteX3" fmla="*/ 6198577 w 7783830"/>
                              <a:gd name="connsiteY3" fmla="*/ 457287 h 816276"/>
                              <a:gd name="connsiteX4" fmla="*/ 7783830 w 7783830"/>
                              <a:gd name="connsiteY4" fmla="*/ 202231 h 816276"/>
                              <a:gd name="connsiteX5" fmla="*/ 7783830 w 7783830"/>
                              <a:gd name="connsiteY5" fmla="*/ 816276 h 816276"/>
                              <a:gd name="connsiteX6" fmla="*/ 0 w 7783830"/>
                              <a:gd name="connsiteY6" fmla="*/ 816276 h 816276"/>
                              <a:gd name="connsiteX7" fmla="*/ 0 w 7783830"/>
                              <a:gd name="connsiteY7" fmla="*/ 202231 h 8162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783830" h="816276">
                                <a:moveTo>
                                  <a:pt x="0" y="202231"/>
                                </a:moveTo>
                                <a:cubicBezTo>
                                  <a:pt x="477716" y="202231"/>
                                  <a:pt x="1008184" y="430831"/>
                                  <a:pt x="1485900" y="430831"/>
                                </a:cubicBezTo>
                                <a:cubicBezTo>
                                  <a:pt x="2218592" y="401523"/>
                                  <a:pt x="3162301" y="29308"/>
                                  <a:pt x="3894993" y="0"/>
                                </a:cubicBezTo>
                                <a:cubicBezTo>
                                  <a:pt x="4478216" y="20519"/>
                                  <a:pt x="5615354" y="436768"/>
                                  <a:pt x="6198577" y="457287"/>
                                </a:cubicBezTo>
                                <a:lnTo>
                                  <a:pt x="7783830" y="202231"/>
                                </a:lnTo>
                                <a:lnTo>
                                  <a:pt x="7783830" y="816276"/>
                                </a:lnTo>
                                <a:lnTo>
                                  <a:pt x="0" y="816276"/>
                                </a:lnTo>
                                <a:lnTo>
                                  <a:pt x="0" y="202231"/>
                                </a:lnTo>
                                <a:close/>
                              </a:path>
                            </a:pathLst>
                          </a:cu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16200000" scaled="1"/>
                            <a:tileRect/>
                          </a:gradFill>
                          <a:ln>
                            <a:noFill/>
                          </a:ln>
                        </wps:spPr>
                        <wps:txbx>
                          <w:txbxContent>
                            <w:p w14:paraId="6AB50421" w14:textId="76D81A17" w:rsidR="00F940E2" w:rsidRPr="00366DFC" w:rsidRDefault="00F940E2">
                              <w:pPr>
                                <w:jc w:val="center"/>
                                <w:rPr>
                                  <w:rFonts w:ascii="Times New Roman" w:hAnsi="Times New Roman" w:cs="Times New Roman"/>
                                  <w:szCs w:val="72"/>
                                </w:rPr>
                              </w:pPr>
                              <w:r w:rsidRPr="00366DFC">
                                <w:rPr>
                                  <w:rFonts w:ascii="Times New Roman" w:eastAsiaTheme="minorEastAsia" w:hAnsi="Times New Roman" w:cs="Times New Roman"/>
                                </w:rPr>
                                <w:fldChar w:fldCharType="begin"/>
                              </w:r>
                              <w:r w:rsidRPr="00366DFC">
                                <w:rPr>
                                  <w:rFonts w:ascii="Times New Roman" w:hAnsi="Times New Roman" w:cs="Times New Roman"/>
                                </w:rPr>
                                <w:instrText xml:space="preserve"> PAGE    \* MERGEFORMAT </w:instrText>
                              </w:r>
                              <w:r w:rsidRPr="00366DFC">
                                <w:rPr>
                                  <w:rFonts w:ascii="Times New Roman" w:eastAsiaTheme="minorEastAsia" w:hAnsi="Times New Roman" w:cs="Times New Roman"/>
                                </w:rPr>
                                <w:fldChar w:fldCharType="separate"/>
                              </w:r>
                              <w:r w:rsidR="00156509" w:rsidRPr="00156509">
                                <w:rPr>
                                  <w:rFonts w:ascii="Times New Roman" w:eastAsiaTheme="majorEastAsia" w:hAnsi="Times New Roman" w:cs="Times New Roman"/>
                                  <w:noProof/>
                                  <w:color w:val="FFFFFF" w:themeColor="background1"/>
                                  <w:sz w:val="72"/>
                                  <w:szCs w:val="72"/>
                                </w:rPr>
                                <w:t>1</w:t>
                              </w:r>
                              <w:r w:rsidRPr="00366DFC">
                                <w:rPr>
                                  <w:rFonts w:ascii="Times New Roman" w:eastAsiaTheme="majorEastAsia" w:hAnsi="Times New Roman" w:cs="Times New Roman"/>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6750B" id="Rectangle 13" o:spid="_x0000_s1028" style="position:absolute;margin-left:560.55pt;margin-top:730.45pt;width:611.75pt;height:64.3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7783830,8162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" adj="-11796480,,5400" path="m,202231v477716,,1008184,228600,1485900,228600c2218592,401523,3162301,29308,3894993,v583223,20519,1720361,436768,2303584,457287l7783830,202231r,614045l,816276,,202231xe" fillcolor="#006a96" stroked="f">
                  <v:fill color2="#00b8ff" rotate="t" angle="180" colors="0 #006a96;.5 #009ad9;1 #00b8ff" focus="100%" type="gradient"/>
                  <v:stroke joinstyle="miter"/>
                  <v:formulas/>
                  <v:path o:connecttype="custom" o:connectlocs="0,202312;1483085,431003;3887613,0;6186833,457470;7769082,202312;7769082,816602;0,816602;0,202312" o:connectangles="0,0,0,0,0,0,0,0" textboxrect="0,0,7783830,816276"/>
                  <v:textbox>
                    <w:txbxContent>
                      <w:p w14:paraId="6AB50421" w14:textId="76D81A17" w:rsidR="00F940E2" w:rsidRPr="00366DFC" w:rsidRDefault="00F940E2">
                        <w:pPr>
                          <w:jc w:val="center"/>
                          <w:rPr>
                            <w:rFonts w:ascii="Times New Roman" w:hAnsi="Times New Roman" w:cs="Times New Roman"/>
                            <w:szCs w:val="72"/>
                          </w:rPr>
                        </w:pPr>
                        <w:r w:rsidRPr="00366DFC">
                          <w:rPr>
                            <w:rFonts w:ascii="Times New Roman" w:eastAsiaTheme="minorEastAsia" w:hAnsi="Times New Roman" w:cs="Times New Roman"/>
                          </w:rPr>
                          <w:fldChar w:fldCharType="begin"/>
                        </w:r>
                        <w:r w:rsidRPr="00366DFC">
                          <w:rPr>
                            <w:rFonts w:ascii="Times New Roman" w:hAnsi="Times New Roman" w:cs="Times New Roman"/>
                          </w:rPr>
                          <w:instrText xml:space="preserve"> PAGE    \* MERGEFORMAT </w:instrText>
                        </w:r>
                        <w:r w:rsidRPr="00366DFC">
                          <w:rPr>
                            <w:rFonts w:ascii="Times New Roman" w:eastAsiaTheme="minorEastAsia" w:hAnsi="Times New Roman" w:cs="Times New Roman"/>
                          </w:rPr>
                          <w:fldChar w:fldCharType="separate"/>
                        </w:r>
                        <w:r w:rsidR="00156509" w:rsidRPr="00156509">
                          <w:rPr>
                            <w:rFonts w:ascii="Times New Roman" w:eastAsiaTheme="majorEastAsia" w:hAnsi="Times New Roman" w:cs="Times New Roman"/>
                            <w:noProof/>
                            <w:color w:val="FFFFFF" w:themeColor="background1"/>
                            <w:sz w:val="72"/>
                            <w:szCs w:val="72"/>
                          </w:rPr>
                          <w:t>1</w:t>
                        </w:r>
                        <w:r w:rsidRPr="00366DFC">
                          <w:rPr>
                            <w:rFonts w:ascii="Times New Roman" w:eastAsiaTheme="majorEastAsia" w:hAnsi="Times New Roman" w:cs="Times New Roman"/>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778CD" w14:textId="77777777" w:rsidR="00C80979" w:rsidRDefault="00C80979" w:rsidP="005370A3">
      <w:pPr>
        <w:spacing w:after="0" w:line="240" w:lineRule="auto"/>
      </w:pPr>
      <w:r>
        <w:separator/>
      </w:r>
    </w:p>
  </w:footnote>
  <w:footnote w:type="continuationSeparator" w:id="0">
    <w:p w14:paraId="3325054C" w14:textId="77777777" w:rsidR="00C80979" w:rsidRDefault="00C80979" w:rsidP="005370A3">
      <w:pPr>
        <w:spacing w:after="0" w:line="240" w:lineRule="auto"/>
      </w:pPr>
      <w:r>
        <w:continuationSeparator/>
      </w:r>
    </w:p>
  </w:footnote>
  <w:footnote w:id="1">
    <w:p w14:paraId="277268E2" w14:textId="77777777" w:rsidR="007440A2" w:rsidRPr="00FB4FDB" w:rsidRDefault="007440A2" w:rsidP="007440A2">
      <w:pPr>
        <w:pStyle w:val="FootnoteText"/>
        <w:jc w:val="both"/>
        <w:rPr>
          <w:rFonts w:ascii="Times New Roman" w:hAnsi="Times New Roman" w:cs="Times New Roman"/>
        </w:rPr>
      </w:pPr>
      <w:r w:rsidRPr="00FB4FDB">
        <w:rPr>
          <w:rStyle w:val="FootnoteReference"/>
          <w:rFonts w:ascii="Times New Roman" w:hAnsi="Times New Roman" w:cs="Times New Roman"/>
        </w:rPr>
        <w:footnoteRef/>
      </w:r>
      <w:r w:rsidRPr="00FB4FDB">
        <w:rPr>
          <w:rFonts w:ascii="Times New Roman" w:hAnsi="Times New Roman" w:cs="Times New Roman"/>
        </w:rPr>
        <w:t xml:space="preserve"> </w:t>
      </w:r>
      <w:r w:rsidRPr="00FB4FDB">
        <w:rPr>
          <w:rFonts w:ascii="Times New Roman" w:hAnsi="Times New Roman" w:cs="Times New Roman"/>
          <w:lang w:val="sq-AL"/>
        </w:rPr>
        <w:t>Reformat mund të vijojnë edhe pas përfundimit të fazës III, por është parashikuar që do të jenë të lidhura me përmirësimet graduale në nivel institucional, por pa përfshirë reforma të gjera ndërsektoriale</w:t>
      </w:r>
      <w:r w:rsidRPr="00FB4FDB">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48321" w14:textId="11109BE9" w:rsidR="004378E0" w:rsidRDefault="00AB4EDA">
    <w:pPr>
      <w:pStyle w:val="Header"/>
    </w:pPr>
    <w:r w:rsidRPr="00AB4EDA">
      <w:rPr>
        <w:rFonts w:ascii="Calibri" w:eastAsia="Calibri" w:hAnsi="Calibri" w:cs="Times New Roman"/>
        <w:noProof/>
      </w:rPr>
      <mc:AlternateContent>
        <mc:Choice Requires="wps">
          <w:drawing>
            <wp:anchor distT="0" distB="0" distL="114300" distR="114300" simplePos="0" relativeHeight="251672576" behindDoc="0" locked="0" layoutInCell="0" allowOverlap="1" wp14:anchorId="4539F164" wp14:editId="1D4D0B78">
              <wp:simplePos x="0" y="0"/>
              <wp:positionH relativeFrom="margin">
                <wp:posOffset>320480</wp:posOffset>
              </wp:positionH>
              <wp:positionV relativeFrom="topMargin">
                <wp:posOffset>302797</wp:posOffset>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color w:val="808080" w:themeColor="background1" w:themeShade="80"/>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1144A23C" w14:textId="3AC5FD84" w:rsidR="00AB4EDA" w:rsidRPr="00611C37" w:rsidRDefault="00AB4EDA" w:rsidP="00AB4EDA">
                              <w:pPr>
                                <w:spacing w:after="0" w:line="240" w:lineRule="auto"/>
                                <w:jc w:val="right"/>
                                <w:rPr>
                                  <w:rFonts w:ascii="Times New Roman" w:hAnsi="Times New Roman" w:cs="Times New Roman"/>
                                  <w:b/>
                                  <w:color w:val="808080" w:themeColor="background1" w:themeShade="80"/>
                                </w:rPr>
                              </w:pPr>
                              <w:r w:rsidRPr="00611C37">
                                <w:rPr>
                                  <w:rFonts w:ascii="Times New Roman" w:hAnsi="Times New Roman" w:cs="Times New Roman"/>
                                  <w:b/>
                                  <w:color w:val="808080" w:themeColor="background1" w:themeShade="80"/>
                                </w:rPr>
                                <w:t>Strategjia Ndërsektoriale e Drejtësisë          2024-2030</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39F164" id="_x0000_t202" coordsize="21600,21600" o:spt="202" path="m,l,21600r21600,l21600,xe">
              <v:stroke joinstyle="miter"/>
              <v:path gradientshapeok="t" o:connecttype="rect"/>
            </v:shapetype>
            <v:shape id="Text Box 218" o:spid="_x0000_s1027" type="#_x0000_t202" style="position:absolute;margin-left:25.25pt;margin-top:23.85pt;width:468pt;height:13.45pt;z-index:251672576;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" o:allowincell="f" filled="f" stroked="f">
              <v:textbox style="mso-fit-shape-to-text:t" inset=",0,,0">
                <w:txbxContent>
                  <w:sdt>
                    <w:sdtPr>
                      <w:rPr>
                        <w:rFonts w:ascii="Times New Roman" w:hAnsi="Times New Roman" w:cs="Times New Roman"/>
                        <w:b/>
                        <w:color w:val="808080" w:themeColor="background1" w:themeShade="80"/>
                      </w:r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1144A23C" w14:textId="3AC5FD84" w:rsidR="00AB4EDA" w:rsidRPr="00611C37" w:rsidRDefault="00AB4EDA" w:rsidP="00AB4EDA">
                        <w:pPr>
                          <w:spacing w:after="0" w:line="240" w:lineRule="auto"/>
                          <w:jc w:val="right"/>
                          <w:rPr>
                            <w:rFonts w:ascii="Times New Roman" w:hAnsi="Times New Roman" w:cs="Times New Roman"/>
                            <w:b/>
                            <w:color w:val="808080" w:themeColor="background1" w:themeShade="80"/>
                          </w:rPr>
                        </w:pPr>
                        <w:proofErr w:type="spellStart"/>
                        <w:r w:rsidRPr="00611C37">
                          <w:rPr>
                            <w:rFonts w:ascii="Times New Roman" w:hAnsi="Times New Roman" w:cs="Times New Roman"/>
                            <w:b/>
                            <w:color w:val="808080" w:themeColor="background1" w:themeShade="80"/>
                          </w:rPr>
                          <w:t>Strategjia</w:t>
                        </w:r>
                        <w:proofErr w:type="spellEnd"/>
                        <w:r w:rsidRPr="00611C37">
                          <w:rPr>
                            <w:rFonts w:ascii="Times New Roman" w:hAnsi="Times New Roman" w:cs="Times New Roman"/>
                            <w:b/>
                            <w:color w:val="808080" w:themeColor="background1" w:themeShade="80"/>
                          </w:rPr>
                          <w:t xml:space="preserve"> </w:t>
                        </w:r>
                        <w:proofErr w:type="spellStart"/>
                        <w:r w:rsidRPr="00611C37">
                          <w:rPr>
                            <w:rFonts w:ascii="Times New Roman" w:hAnsi="Times New Roman" w:cs="Times New Roman"/>
                            <w:b/>
                            <w:color w:val="808080" w:themeColor="background1" w:themeShade="80"/>
                          </w:rPr>
                          <w:t>Ndërsektoriale</w:t>
                        </w:r>
                        <w:proofErr w:type="spellEnd"/>
                        <w:r w:rsidRPr="00611C37">
                          <w:rPr>
                            <w:rFonts w:ascii="Times New Roman" w:hAnsi="Times New Roman" w:cs="Times New Roman"/>
                            <w:b/>
                            <w:color w:val="808080" w:themeColor="background1" w:themeShade="80"/>
                          </w:rPr>
                          <w:t xml:space="preserve"> e </w:t>
                        </w:r>
                        <w:proofErr w:type="spellStart"/>
                        <w:r w:rsidRPr="00611C37">
                          <w:rPr>
                            <w:rFonts w:ascii="Times New Roman" w:hAnsi="Times New Roman" w:cs="Times New Roman"/>
                            <w:b/>
                            <w:color w:val="808080" w:themeColor="background1" w:themeShade="80"/>
                          </w:rPr>
                          <w:t>Drejtësisë</w:t>
                        </w:r>
                        <w:proofErr w:type="spellEnd"/>
                        <w:r w:rsidRPr="00611C37">
                          <w:rPr>
                            <w:rFonts w:ascii="Times New Roman" w:hAnsi="Times New Roman" w:cs="Times New Roman"/>
                            <w:b/>
                            <w:color w:val="808080" w:themeColor="background1" w:themeShade="80"/>
                          </w:rPr>
                          <w:t xml:space="preserve">          2024-2030</w:t>
                        </w:r>
                      </w:p>
                    </w:sdtContent>
                  </w:sdt>
                </w:txbxContent>
              </v:textbox>
              <w10:wrap anchorx="margin" anchory="margin"/>
            </v:shape>
          </w:pict>
        </mc:Fallback>
      </mc:AlternateContent>
    </w:r>
    <w:r w:rsidR="006B1D69">
      <w:rPr>
        <w:noProof/>
      </w:rPr>
      <mc:AlternateContent>
        <mc:Choice Requires="wps">
          <w:drawing>
            <wp:anchor distT="0" distB="0" distL="114300" distR="114300" simplePos="0" relativeHeight="251670528" behindDoc="0" locked="0" layoutInCell="1" allowOverlap="1" wp14:anchorId="61529AE7" wp14:editId="6C40421E">
              <wp:simplePos x="0" y="0"/>
              <wp:positionH relativeFrom="column">
                <wp:posOffset>-1216045</wp:posOffset>
              </wp:positionH>
              <wp:positionV relativeFrom="paragraph">
                <wp:posOffset>-2681654</wp:posOffset>
              </wp:positionV>
              <wp:extent cx="9001975" cy="3105969"/>
              <wp:effectExtent l="0" t="0" r="0" b="0"/>
              <wp:wrapNone/>
              <wp:docPr id="1475705362" name="Freeform: Shape 29"/>
              <wp:cNvGraphicFramePr/>
              <a:graphic xmlns:a="http://schemas.openxmlformats.org/drawingml/2006/main">
                <a:graphicData uri="http://schemas.microsoft.com/office/word/2010/wordprocessingShape">
                  <wps:wsp>
                    <wps:cNvSpPr/>
                    <wps:spPr>
                      <a:xfrm>
                        <a:off x="0" y="0"/>
                        <a:ext cx="9001975" cy="3105969"/>
                      </a:xfrm>
                      <a:custGeom>
                        <a:avLst/>
                        <a:gdLst>
                          <a:gd name="connsiteX0" fmla="*/ 684452 w 9001975"/>
                          <a:gd name="connsiteY0" fmla="*/ 2857500 h 3105969"/>
                          <a:gd name="connsiteX1" fmla="*/ 675660 w 9001975"/>
                          <a:gd name="connsiteY1" fmla="*/ 2215662 h 3105969"/>
                          <a:gd name="connsiteX2" fmla="*/ 7727091 w 9001975"/>
                          <a:gd name="connsiteY2" fmla="*/ 3033346 h 3105969"/>
                          <a:gd name="connsiteX3" fmla="*/ 9001975 w 9001975"/>
                          <a:gd name="connsiteY3" fmla="*/ 0 h 3105969"/>
                        </a:gdLst>
                        <a:ahLst/>
                        <a:cxnLst>
                          <a:cxn ang="0">
                            <a:pos x="connsiteX0" y="connsiteY0"/>
                          </a:cxn>
                          <a:cxn ang="0">
                            <a:pos x="connsiteX1" y="connsiteY1"/>
                          </a:cxn>
                          <a:cxn ang="0">
                            <a:pos x="connsiteX2" y="connsiteY2"/>
                          </a:cxn>
                          <a:cxn ang="0">
                            <a:pos x="connsiteX3" y="connsiteY3"/>
                          </a:cxn>
                        </a:cxnLst>
                        <a:rect l="l" t="t" r="r" b="b"/>
                        <a:pathLst>
                          <a:path w="9001975" h="3105969">
                            <a:moveTo>
                              <a:pt x="684452" y="2857500"/>
                            </a:moveTo>
                            <a:cubicBezTo>
                              <a:pt x="93169" y="2521927"/>
                              <a:pt x="-498113" y="2186354"/>
                              <a:pt x="675660" y="2215662"/>
                            </a:cubicBezTo>
                            <a:cubicBezTo>
                              <a:pt x="1849433" y="2244970"/>
                              <a:pt x="6339372" y="3402623"/>
                              <a:pt x="7727091" y="3033346"/>
                            </a:cubicBezTo>
                            <a:cubicBezTo>
                              <a:pt x="9114810" y="2664069"/>
                              <a:pt x="8777771" y="445477"/>
                              <a:pt x="9001975" y="0"/>
                            </a:cubicBezTo>
                          </a:path>
                        </a:pathLst>
                      </a:custGeom>
                      <a:noFill/>
                      <a:ln w="15875"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424CDD" id="Freeform: Shape 29" o:spid="_x0000_s1026" style="position:absolute;margin-left:-95.75pt;margin-top:-211.15pt;width:708.8pt;height:244.5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9001975,310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" path="m684452,2857500c93169,2521927,-498113,2186354,675660,2215662v1173773,29308,5663712,1186961,7051431,817684c9114810,2664069,8777771,445477,9001975,e" filled="f" stroked="f" strokeweight="1.25pt">
              <v:stroke endcap="round"/>
              <v:path arrowok="t" o:connecttype="custom" o:connectlocs="684452,2857500;675660,2215662;7727091,3033346;9001975,0" o:connectangles="0,0,0,0"/>
            </v:shape>
          </w:pict>
        </mc:Fallback>
      </mc:AlternateContent>
    </w:r>
    <w:r w:rsidR="006B1D69">
      <w:rPr>
        <w:noProof/>
      </w:rPr>
      <mc:AlternateContent>
        <mc:Choice Requires="wps">
          <w:drawing>
            <wp:anchor distT="0" distB="0" distL="114300" distR="114300" simplePos="0" relativeHeight="251669504" behindDoc="0" locked="0" layoutInCell="1" allowOverlap="1" wp14:anchorId="2D31D834" wp14:editId="3AADB70D">
              <wp:simplePos x="0" y="0"/>
              <wp:positionH relativeFrom="column">
                <wp:posOffset>-645948</wp:posOffset>
              </wp:positionH>
              <wp:positionV relativeFrom="paragraph">
                <wp:posOffset>-491963</wp:posOffset>
              </wp:positionV>
              <wp:extent cx="8080186" cy="694186"/>
              <wp:effectExtent l="0" t="0" r="0" b="0"/>
              <wp:wrapNone/>
              <wp:docPr id="5969364" name="Freeform: Shape 28"/>
              <wp:cNvGraphicFramePr/>
              <a:graphic xmlns:a="http://schemas.openxmlformats.org/drawingml/2006/main">
                <a:graphicData uri="http://schemas.microsoft.com/office/word/2010/wordprocessingShape">
                  <wps:wsp>
                    <wps:cNvSpPr/>
                    <wps:spPr>
                      <a:xfrm>
                        <a:off x="0" y="0"/>
                        <a:ext cx="8080186" cy="694186"/>
                      </a:xfrm>
                      <a:custGeom>
                        <a:avLst/>
                        <a:gdLst>
                          <a:gd name="connsiteX0" fmla="*/ 131940 w 8080186"/>
                          <a:gd name="connsiteY0" fmla="*/ 650225 h 694186"/>
                          <a:gd name="connsiteX1" fmla="*/ 7904340 w 8080186"/>
                          <a:gd name="connsiteY1" fmla="*/ 694186 h 694186"/>
                          <a:gd name="connsiteX2" fmla="*/ 659478 w 8080186"/>
                          <a:gd name="connsiteY2" fmla="*/ 500755 h 694186"/>
                          <a:gd name="connsiteX3" fmla="*/ 3402678 w 8080186"/>
                          <a:gd name="connsiteY3" fmla="*/ 25971 h 694186"/>
                          <a:gd name="connsiteX4" fmla="*/ 7939509 w 8080186"/>
                          <a:gd name="connsiteY4" fmla="*/ 685394 h 694186"/>
                          <a:gd name="connsiteX5" fmla="*/ 55 w 8080186"/>
                          <a:gd name="connsiteY5" fmla="*/ 17178 h 694186"/>
                          <a:gd name="connsiteX6" fmla="*/ 8080186 w 8080186"/>
                          <a:gd name="connsiteY6" fmla="*/ 263363 h 694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080186" h="694186">
                            <a:moveTo>
                              <a:pt x="131940" y="650225"/>
                            </a:moveTo>
                            <a:lnTo>
                              <a:pt x="7904340" y="694186"/>
                            </a:lnTo>
                            <a:cubicBezTo>
                              <a:pt x="7992263" y="669274"/>
                              <a:pt x="1409755" y="612124"/>
                              <a:pt x="659478" y="500755"/>
                            </a:cubicBezTo>
                            <a:cubicBezTo>
                              <a:pt x="-90799" y="389386"/>
                              <a:pt x="2189340" y="-4802"/>
                              <a:pt x="3402678" y="25971"/>
                            </a:cubicBezTo>
                            <a:cubicBezTo>
                              <a:pt x="4616016" y="56744"/>
                              <a:pt x="8506613" y="686859"/>
                              <a:pt x="7939509" y="685394"/>
                            </a:cubicBezTo>
                            <a:cubicBezTo>
                              <a:pt x="7372405" y="683929"/>
                              <a:pt x="-23391" y="87516"/>
                              <a:pt x="55" y="17178"/>
                            </a:cubicBezTo>
                            <a:cubicBezTo>
                              <a:pt x="23501" y="-53161"/>
                              <a:pt x="4051843" y="105101"/>
                              <a:pt x="8080186" y="263363"/>
                            </a:cubicBezTo>
                          </a:path>
                        </a:pathLst>
                      </a:custGeom>
                      <a:noFill/>
                      <a:ln w="15875"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CDF866" id="Freeform: Shape 28" o:spid="_x0000_s1026" style="position:absolute;margin-left:-50.85pt;margin-top:-38.75pt;width:636.25pt;height:54.6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8080186,694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" path="m131940,650225r7772400,43961c7992263,669274,1409755,612124,659478,500755,-90799,389386,2189340,-4802,3402678,25971,4616016,56744,8506613,686859,7939509,685394,7372405,683929,-23391,87516,55,17178v23446,-70339,4051788,87923,8080131,246185e" filled="f" stroked="f" strokeweight="1.25pt">
              <v:stroke endcap="round"/>
              <v:path arrowok="t" o:connecttype="custom" o:connectlocs="131940,650225;7904340,694186;659478,500755;3402678,25971;7939509,685394;55,17178;8080186,263363" o:connectangles="0,0,0,0,0,0,0"/>
            </v:shape>
          </w:pict>
        </mc:Fallback>
      </mc:AlternateContent>
    </w:r>
    <w:r w:rsidR="006B1D69">
      <w:rPr>
        <w:noProof/>
      </w:rPr>
      <mc:AlternateContent>
        <mc:Choice Requires="wps">
          <w:drawing>
            <wp:anchor distT="0" distB="0" distL="114300" distR="114300" simplePos="0" relativeHeight="251668480" behindDoc="0" locked="0" layoutInCell="1" allowOverlap="1" wp14:anchorId="3CEB421B" wp14:editId="253DE663">
              <wp:simplePos x="0" y="0"/>
              <wp:positionH relativeFrom="column">
                <wp:posOffset>-531593</wp:posOffset>
              </wp:positionH>
              <wp:positionV relativeFrom="paragraph">
                <wp:posOffset>-492369</wp:posOffset>
              </wp:positionV>
              <wp:extent cx="7886700" cy="782515"/>
              <wp:effectExtent l="0" t="0" r="0" b="0"/>
              <wp:wrapNone/>
              <wp:docPr id="2111860132" name="Freeform: Shape 27"/>
              <wp:cNvGraphicFramePr/>
              <a:graphic xmlns:a="http://schemas.openxmlformats.org/drawingml/2006/main">
                <a:graphicData uri="http://schemas.microsoft.com/office/word/2010/wordprocessingShape">
                  <wps:wsp>
                    <wps:cNvSpPr/>
                    <wps:spPr>
                      <a:xfrm>
                        <a:off x="0" y="0"/>
                        <a:ext cx="7886700" cy="782515"/>
                      </a:xfrm>
                      <a:custGeom>
                        <a:avLst/>
                        <a:gdLst>
                          <a:gd name="connsiteX0" fmla="*/ 0 w 7886700"/>
                          <a:gd name="connsiteY0" fmla="*/ 685800 h 782515"/>
                          <a:gd name="connsiteX1" fmla="*/ 167054 w 7886700"/>
                          <a:gd name="connsiteY1" fmla="*/ 439615 h 782515"/>
                          <a:gd name="connsiteX2" fmla="*/ 228600 w 7886700"/>
                          <a:gd name="connsiteY2" fmla="*/ 369277 h 782515"/>
                          <a:gd name="connsiteX3" fmla="*/ 281354 w 7886700"/>
                          <a:gd name="connsiteY3" fmla="*/ 334107 h 782515"/>
                          <a:gd name="connsiteX4" fmla="*/ 457200 w 7886700"/>
                          <a:gd name="connsiteY4" fmla="*/ 246184 h 782515"/>
                          <a:gd name="connsiteX5" fmla="*/ 641839 w 7886700"/>
                          <a:gd name="connsiteY5" fmla="*/ 211015 h 782515"/>
                          <a:gd name="connsiteX6" fmla="*/ 1160585 w 7886700"/>
                          <a:gd name="connsiteY6" fmla="*/ 219807 h 782515"/>
                          <a:gd name="connsiteX7" fmla="*/ 1292470 w 7886700"/>
                          <a:gd name="connsiteY7" fmla="*/ 246184 h 782515"/>
                          <a:gd name="connsiteX8" fmla="*/ 1397977 w 7886700"/>
                          <a:gd name="connsiteY8" fmla="*/ 263769 h 782515"/>
                          <a:gd name="connsiteX9" fmla="*/ 1538654 w 7886700"/>
                          <a:gd name="connsiteY9" fmla="*/ 316523 h 782515"/>
                          <a:gd name="connsiteX10" fmla="*/ 1591408 w 7886700"/>
                          <a:gd name="connsiteY10" fmla="*/ 334107 h 782515"/>
                          <a:gd name="connsiteX11" fmla="*/ 1661746 w 7886700"/>
                          <a:gd name="connsiteY11" fmla="*/ 360484 h 782515"/>
                          <a:gd name="connsiteX12" fmla="*/ 1995854 w 7886700"/>
                          <a:gd name="connsiteY12" fmla="*/ 457200 h 782515"/>
                          <a:gd name="connsiteX13" fmla="*/ 2303585 w 7886700"/>
                          <a:gd name="connsiteY13" fmla="*/ 553915 h 782515"/>
                          <a:gd name="connsiteX14" fmla="*/ 2584939 w 7886700"/>
                          <a:gd name="connsiteY14" fmla="*/ 615461 h 782515"/>
                          <a:gd name="connsiteX15" fmla="*/ 2954216 w 7886700"/>
                          <a:gd name="connsiteY15" fmla="*/ 685800 h 782515"/>
                          <a:gd name="connsiteX16" fmla="*/ 3297116 w 7886700"/>
                          <a:gd name="connsiteY16" fmla="*/ 720969 h 782515"/>
                          <a:gd name="connsiteX17" fmla="*/ 3481754 w 7886700"/>
                          <a:gd name="connsiteY17" fmla="*/ 738554 h 782515"/>
                          <a:gd name="connsiteX18" fmla="*/ 3631223 w 7886700"/>
                          <a:gd name="connsiteY18" fmla="*/ 747346 h 782515"/>
                          <a:gd name="connsiteX19" fmla="*/ 3851031 w 7886700"/>
                          <a:gd name="connsiteY19" fmla="*/ 764931 h 782515"/>
                          <a:gd name="connsiteX20" fmla="*/ 4106008 w 7886700"/>
                          <a:gd name="connsiteY20" fmla="*/ 782515 h 782515"/>
                          <a:gd name="connsiteX21" fmla="*/ 5319346 w 7886700"/>
                          <a:gd name="connsiteY21" fmla="*/ 773723 h 782515"/>
                          <a:gd name="connsiteX22" fmla="*/ 5547946 w 7886700"/>
                          <a:gd name="connsiteY22" fmla="*/ 756138 h 782515"/>
                          <a:gd name="connsiteX23" fmla="*/ 5890846 w 7886700"/>
                          <a:gd name="connsiteY23" fmla="*/ 703384 h 782515"/>
                          <a:gd name="connsiteX24" fmla="*/ 6655777 w 7886700"/>
                          <a:gd name="connsiteY24" fmla="*/ 465992 h 782515"/>
                          <a:gd name="connsiteX25" fmla="*/ 6778870 w 7886700"/>
                          <a:gd name="connsiteY25" fmla="*/ 413238 h 782515"/>
                          <a:gd name="connsiteX26" fmla="*/ 7051431 w 7886700"/>
                          <a:gd name="connsiteY26" fmla="*/ 281354 h 782515"/>
                          <a:gd name="connsiteX27" fmla="*/ 7209693 w 7886700"/>
                          <a:gd name="connsiteY27" fmla="*/ 219807 h 782515"/>
                          <a:gd name="connsiteX28" fmla="*/ 7367954 w 7886700"/>
                          <a:gd name="connsiteY28" fmla="*/ 167054 h 782515"/>
                          <a:gd name="connsiteX29" fmla="*/ 7728439 w 7886700"/>
                          <a:gd name="connsiteY29" fmla="*/ 35169 h 782515"/>
                          <a:gd name="connsiteX30" fmla="*/ 7798777 w 7886700"/>
                          <a:gd name="connsiteY30" fmla="*/ 17584 h 782515"/>
                          <a:gd name="connsiteX31" fmla="*/ 7886700 w 7886700"/>
                          <a:gd name="connsiteY31" fmla="*/ 0 h 7825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7886700" h="782515">
                            <a:moveTo>
                              <a:pt x="0" y="685800"/>
                            </a:moveTo>
                            <a:cubicBezTo>
                              <a:pt x="62706" y="585471"/>
                              <a:pt x="77733" y="558710"/>
                              <a:pt x="167054" y="439615"/>
                            </a:cubicBezTo>
                            <a:cubicBezTo>
                              <a:pt x="185747" y="414692"/>
                              <a:pt x="205708" y="390408"/>
                              <a:pt x="228600" y="369277"/>
                            </a:cubicBezTo>
                            <a:cubicBezTo>
                              <a:pt x="244130" y="354942"/>
                              <a:pt x="263159" y="344859"/>
                              <a:pt x="281354" y="334107"/>
                            </a:cubicBezTo>
                            <a:cubicBezTo>
                              <a:pt x="419959" y="252204"/>
                              <a:pt x="372667" y="267319"/>
                              <a:pt x="457200" y="246184"/>
                            </a:cubicBezTo>
                            <a:cubicBezTo>
                              <a:pt x="522698" y="202520"/>
                              <a:pt x="498409" y="212878"/>
                              <a:pt x="641839" y="211015"/>
                            </a:cubicBezTo>
                            <a:lnTo>
                              <a:pt x="1160585" y="219807"/>
                            </a:lnTo>
                            <a:cubicBezTo>
                              <a:pt x="1204547" y="228599"/>
                              <a:pt x="1248248" y="238813"/>
                              <a:pt x="1292470" y="246184"/>
                            </a:cubicBezTo>
                            <a:cubicBezTo>
                              <a:pt x="1327639" y="252046"/>
                              <a:pt x="1363172" y="256034"/>
                              <a:pt x="1397977" y="263769"/>
                            </a:cubicBezTo>
                            <a:cubicBezTo>
                              <a:pt x="1430631" y="271026"/>
                              <a:pt x="1518744" y="309057"/>
                              <a:pt x="1538654" y="316523"/>
                            </a:cubicBezTo>
                            <a:cubicBezTo>
                              <a:pt x="1556010" y="323031"/>
                              <a:pt x="1573952" y="327873"/>
                              <a:pt x="1591408" y="334107"/>
                            </a:cubicBezTo>
                            <a:cubicBezTo>
                              <a:pt x="1614990" y="342529"/>
                              <a:pt x="1637707" y="353473"/>
                              <a:pt x="1661746" y="360484"/>
                            </a:cubicBezTo>
                            <a:cubicBezTo>
                              <a:pt x="1818205" y="406118"/>
                              <a:pt x="1826159" y="389322"/>
                              <a:pt x="1995854" y="457200"/>
                            </a:cubicBezTo>
                            <a:cubicBezTo>
                              <a:pt x="2119345" y="506596"/>
                              <a:pt x="2137933" y="517679"/>
                              <a:pt x="2303585" y="553915"/>
                            </a:cubicBezTo>
                            <a:lnTo>
                              <a:pt x="2584939" y="615461"/>
                            </a:lnTo>
                            <a:cubicBezTo>
                              <a:pt x="2693761" y="638932"/>
                              <a:pt x="2846443" y="671894"/>
                              <a:pt x="2954216" y="685800"/>
                            </a:cubicBezTo>
                            <a:cubicBezTo>
                              <a:pt x="3068171" y="700504"/>
                              <a:pt x="3182787" y="709536"/>
                              <a:pt x="3297116" y="720969"/>
                            </a:cubicBezTo>
                            <a:cubicBezTo>
                              <a:pt x="3358634" y="727121"/>
                              <a:pt x="3420036" y="734924"/>
                              <a:pt x="3481754" y="738554"/>
                            </a:cubicBezTo>
                            <a:lnTo>
                              <a:pt x="3631223" y="747346"/>
                            </a:lnTo>
                            <a:lnTo>
                              <a:pt x="3851031" y="764931"/>
                            </a:lnTo>
                            <a:lnTo>
                              <a:pt x="4106008" y="782515"/>
                            </a:lnTo>
                            <a:lnTo>
                              <a:pt x="5319346" y="773723"/>
                            </a:lnTo>
                            <a:cubicBezTo>
                              <a:pt x="5395758" y="772325"/>
                              <a:pt x="5472093" y="765474"/>
                              <a:pt x="5547946" y="756138"/>
                            </a:cubicBezTo>
                            <a:cubicBezTo>
                              <a:pt x="5662725" y="742011"/>
                              <a:pt x="5778334" y="730119"/>
                              <a:pt x="5890846" y="703384"/>
                            </a:cubicBezTo>
                            <a:cubicBezTo>
                              <a:pt x="6126648" y="647352"/>
                              <a:pt x="6416028" y="558203"/>
                              <a:pt x="6655777" y="465992"/>
                            </a:cubicBezTo>
                            <a:cubicBezTo>
                              <a:pt x="6697442" y="449967"/>
                              <a:pt x="6738418" y="432116"/>
                              <a:pt x="6778870" y="413238"/>
                            </a:cubicBezTo>
                            <a:cubicBezTo>
                              <a:pt x="6870332" y="370556"/>
                              <a:pt x="6957363" y="317936"/>
                              <a:pt x="7051431" y="281354"/>
                            </a:cubicBezTo>
                            <a:cubicBezTo>
                              <a:pt x="7104185" y="260838"/>
                              <a:pt x="7156455" y="239032"/>
                              <a:pt x="7209693" y="219807"/>
                            </a:cubicBezTo>
                            <a:cubicBezTo>
                              <a:pt x="7261995" y="200920"/>
                              <a:pt x="7316096" y="187128"/>
                              <a:pt x="7367954" y="167054"/>
                            </a:cubicBezTo>
                            <a:cubicBezTo>
                              <a:pt x="7592515" y="80128"/>
                              <a:pt x="7376576" y="123137"/>
                              <a:pt x="7728439" y="35169"/>
                            </a:cubicBezTo>
                            <a:cubicBezTo>
                              <a:pt x="7751885" y="29307"/>
                              <a:pt x="7775146" y="22648"/>
                              <a:pt x="7798777" y="17584"/>
                            </a:cubicBezTo>
                            <a:cubicBezTo>
                              <a:pt x="7949715" y="-14760"/>
                              <a:pt x="7775763" y="27733"/>
                              <a:pt x="7886700" y="0"/>
                            </a:cubicBezTo>
                          </a:path>
                        </a:pathLst>
                      </a:custGeom>
                      <a:noFill/>
                      <a:ln w="15875"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6571F7" id="Freeform: Shape 27" o:spid="_x0000_s1026" style="position:absolute;margin-left:-41.85pt;margin-top:-38.75pt;width:621pt;height:61.6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7886700,78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" path="m,685800c62706,585471,77733,558710,167054,439615v18693,-24923,38654,-49207,61546,-70338c244130,354942,263159,344859,281354,334107v138605,-81903,91313,-66788,175846,-87923c522698,202520,498409,212878,641839,211015r518746,8792c1204547,228599,1248248,238813,1292470,246184v35169,5862,70702,9850,105507,17585c1430631,271026,1518744,309057,1538654,316523v17356,6508,35298,11350,52754,17584c1614990,342529,1637707,353473,1661746,360484v156459,45634,164413,28838,334108,96716c2119345,506596,2137933,517679,2303585,553915r281354,61546c2693761,638932,2846443,671894,2954216,685800v113955,14704,228571,23736,342900,35169c3358634,727121,3420036,734924,3481754,738554r149469,8792l3851031,764931r254977,17584l5319346,773723v76412,-1398,152747,-8249,228600,-17585c5662725,742011,5778334,730119,5890846,703384v235802,-56032,525182,-145181,764931,-237392c6697442,449967,6738418,432116,6778870,413238v91462,-42682,178493,-95302,272561,-131884c7104185,260838,7156455,239032,7209693,219807v52302,-18887,106403,-32679,158261,-52753c7592515,80128,7376576,123137,7728439,35169v23446,-5862,46707,-12521,70338,-17585c7949715,-14760,7775763,27733,7886700,e" filled="f" stroked="f" strokeweight="1.25pt">
              <v:stroke endcap="round"/>
              <v:path arrowok="t" o:connecttype="custom" o:connectlocs="0,685800;167054,439615;228600,369277;281354,334107;457200,246184;641839,211015;1160585,219807;1292470,246184;1397977,263769;1538654,316523;1591408,334107;1661746,360484;1995854,457200;2303585,553915;2584939,615461;2954216,685800;3297116,720969;3481754,738554;3631223,747346;3851031,764931;4106008,782515;5319346,773723;5547946,756138;5890846,703384;6655777,465992;6778870,413238;7051431,281354;7209693,219807;7367954,167054;7728439,35169;7798777,17584;7886700,0" o:connectangles="0,0,0,0,0,0,0,0,0,0,0,0,0,0,0,0,0,0,0,0,0,0,0,0,0,0,0,0,0,0,0,0"/>
            </v:shape>
          </w:pict>
        </mc:Fallback>
      </mc:AlternateContent>
    </w:r>
    <w:r w:rsidR="006B1D69">
      <w:rPr>
        <w:noProof/>
      </w:rPr>
      <mc:AlternateContent>
        <mc:Choice Requires="wps">
          <w:drawing>
            <wp:anchor distT="0" distB="0" distL="114300" distR="114300" simplePos="0" relativeHeight="251667456" behindDoc="0" locked="0" layoutInCell="1" allowOverlap="1" wp14:anchorId="79EAF198" wp14:editId="116C77B2">
              <wp:simplePos x="0" y="0"/>
              <wp:positionH relativeFrom="column">
                <wp:posOffset>-461254</wp:posOffset>
              </wp:positionH>
              <wp:positionV relativeFrom="paragraph">
                <wp:posOffset>-158262</wp:posOffset>
              </wp:positionV>
              <wp:extent cx="5908431" cy="316524"/>
              <wp:effectExtent l="0" t="0" r="0" b="0"/>
              <wp:wrapNone/>
              <wp:docPr id="1956737950" name="Freeform: Shape 26"/>
              <wp:cNvGraphicFramePr/>
              <a:graphic xmlns:a="http://schemas.openxmlformats.org/drawingml/2006/main">
                <a:graphicData uri="http://schemas.microsoft.com/office/word/2010/wordprocessingShape">
                  <wps:wsp>
                    <wps:cNvSpPr/>
                    <wps:spPr>
                      <a:xfrm>
                        <a:off x="0" y="0"/>
                        <a:ext cx="5908431" cy="316524"/>
                      </a:xfrm>
                      <a:custGeom>
                        <a:avLst/>
                        <a:gdLst>
                          <a:gd name="connsiteX0" fmla="*/ 0 w 5908431"/>
                          <a:gd name="connsiteY0" fmla="*/ 316524 h 316524"/>
                          <a:gd name="connsiteX1" fmla="*/ 5908431 w 5908431"/>
                          <a:gd name="connsiteY1" fmla="*/ 0 h 316524"/>
                        </a:gdLst>
                        <a:ahLst/>
                        <a:cxnLst>
                          <a:cxn ang="0">
                            <a:pos x="connsiteX0" y="connsiteY0"/>
                          </a:cxn>
                          <a:cxn ang="0">
                            <a:pos x="connsiteX1" y="connsiteY1"/>
                          </a:cxn>
                        </a:cxnLst>
                        <a:rect l="l" t="t" r="r" b="b"/>
                        <a:pathLst>
                          <a:path w="5908431" h="316524">
                            <a:moveTo>
                              <a:pt x="0" y="316524"/>
                            </a:moveTo>
                            <a:lnTo>
                              <a:pt x="5908431" y="0"/>
                            </a:lnTo>
                          </a:path>
                        </a:pathLst>
                      </a:custGeom>
                      <a:noFill/>
                      <a:ln w="15875"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8DA0C8" id="Freeform: Shape 26" o:spid="_x0000_s1026" style="position:absolute;margin-left:-36.3pt;margin-top:-12.45pt;width:465.25pt;height:24.9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5908431,316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" path="m,316524l5908431,e" filled="f" stroked="f" strokeweight="1.25pt">
              <v:stroke endcap="round"/>
              <v:path arrowok="t" o:connecttype="custom" o:connectlocs="0,316524;5908431,0" o:connectangles="0,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348AF" w14:textId="2E18824B" w:rsidR="00B42071" w:rsidRDefault="00B42071">
    <w:pPr>
      <w:pStyle w:val="Header"/>
    </w:pPr>
    <w:r w:rsidRPr="007440A2">
      <w:rPr>
        <w:rFonts w:ascii="Times New Roman" w:eastAsia="Times New Roman" w:hAnsi="Times New Roman" w:cs="Times New Roman"/>
        <w:bCs/>
        <w:noProof/>
        <w:sz w:val="28"/>
        <w:szCs w:val="28"/>
      </w:rPr>
      <mc:AlternateContent>
        <mc:Choice Requires="wps">
          <w:drawing>
            <wp:anchor distT="0" distB="0" distL="114300" distR="114300" simplePos="0" relativeHeight="251664384" behindDoc="0" locked="0" layoutInCell="1" allowOverlap="1" wp14:anchorId="131BF5E5" wp14:editId="711354FF">
              <wp:simplePos x="0" y="0"/>
              <wp:positionH relativeFrom="page">
                <wp:align>left</wp:align>
              </wp:positionH>
              <wp:positionV relativeFrom="paragraph">
                <wp:posOffset>-508782</wp:posOffset>
              </wp:positionV>
              <wp:extent cx="7825740" cy="2468880"/>
              <wp:effectExtent l="0" t="0" r="3810" b="7620"/>
              <wp:wrapNone/>
              <wp:docPr id="1112935258" name="Rectangle 16"/>
              <wp:cNvGraphicFramePr/>
              <a:graphic xmlns:a="http://schemas.openxmlformats.org/drawingml/2006/main">
                <a:graphicData uri="http://schemas.microsoft.com/office/word/2010/wordprocessingShape">
                  <wps:wsp>
                    <wps:cNvSpPr/>
                    <wps:spPr>
                      <a:xfrm rot="10800000">
                        <a:off x="0" y="0"/>
                        <a:ext cx="7825740" cy="2468880"/>
                      </a:xfrm>
                      <a:custGeom>
                        <a:avLst/>
                        <a:gdLst>
                          <a:gd name="connsiteX0" fmla="*/ 0 w 7757160"/>
                          <a:gd name="connsiteY0" fmla="*/ 0 h 1036320"/>
                          <a:gd name="connsiteX1" fmla="*/ 7757160 w 7757160"/>
                          <a:gd name="connsiteY1" fmla="*/ 0 h 1036320"/>
                          <a:gd name="connsiteX2" fmla="*/ 7757160 w 7757160"/>
                          <a:gd name="connsiteY2" fmla="*/ 1036320 h 1036320"/>
                          <a:gd name="connsiteX3" fmla="*/ 0 w 7757160"/>
                          <a:gd name="connsiteY3" fmla="*/ 1036320 h 1036320"/>
                          <a:gd name="connsiteX4" fmla="*/ 0 w 7757160"/>
                          <a:gd name="connsiteY4" fmla="*/ 0 h 1036320"/>
                          <a:gd name="connsiteX0" fmla="*/ 0 w 7810500"/>
                          <a:gd name="connsiteY0" fmla="*/ 0 h 1082039"/>
                          <a:gd name="connsiteX1" fmla="*/ 7810500 w 7810500"/>
                          <a:gd name="connsiteY1" fmla="*/ 45719 h 1082039"/>
                          <a:gd name="connsiteX2" fmla="*/ 7810500 w 7810500"/>
                          <a:gd name="connsiteY2" fmla="*/ 1082039 h 1082039"/>
                          <a:gd name="connsiteX3" fmla="*/ 53340 w 7810500"/>
                          <a:gd name="connsiteY3" fmla="*/ 1082039 h 1082039"/>
                          <a:gd name="connsiteX4" fmla="*/ 0 w 7810500"/>
                          <a:gd name="connsiteY4" fmla="*/ 0 h 1082039"/>
                          <a:gd name="connsiteX0" fmla="*/ 0 w 7810500"/>
                          <a:gd name="connsiteY0" fmla="*/ 0 h 1097288"/>
                          <a:gd name="connsiteX1" fmla="*/ 7810500 w 7810500"/>
                          <a:gd name="connsiteY1" fmla="*/ 45719 h 1097288"/>
                          <a:gd name="connsiteX2" fmla="*/ 7810500 w 7810500"/>
                          <a:gd name="connsiteY2" fmla="*/ 1082039 h 1097288"/>
                          <a:gd name="connsiteX3" fmla="*/ 53340 w 7810500"/>
                          <a:gd name="connsiteY3" fmla="*/ 1097288 h 1097288"/>
                          <a:gd name="connsiteX4" fmla="*/ 0 w 7810500"/>
                          <a:gd name="connsiteY4" fmla="*/ 0 h 1097288"/>
                          <a:gd name="connsiteX0" fmla="*/ 22860 w 7833360"/>
                          <a:gd name="connsiteY0" fmla="*/ 0 h 1143008"/>
                          <a:gd name="connsiteX1" fmla="*/ 7833360 w 7833360"/>
                          <a:gd name="connsiteY1" fmla="*/ 45719 h 1143008"/>
                          <a:gd name="connsiteX2" fmla="*/ 7833360 w 7833360"/>
                          <a:gd name="connsiteY2" fmla="*/ 1082039 h 1143008"/>
                          <a:gd name="connsiteX3" fmla="*/ 0 w 7833360"/>
                          <a:gd name="connsiteY3" fmla="*/ 1143008 h 1143008"/>
                          <a:gd name="connsiteX4" fmla="*/ 22860 w 7833360"/>
                          <a:gd name="connsiteY4" fmla="*/ 0 h 1143008"/>
                          <a:gd name="connsiteX0" fmla="*/ 30480 w 7833360"/>
                          <a:gd name="connsiteY0" fmla="*/ 0 h 2164095"/>
                          <a:gd name="connsiteX1" fmla="*/ 7833360 w 7833360"/>
                          <a:gd name="connsiteY1" fmla="*/ 1066806 h 2164095"/>
                          <a:gd name="connsiteX2" fmla="*/ 7833360 w 7833360"/>
                          <a:gd name="connsiteY2" fmla="*/ 2103126 h 2164095"/>
                          <a:gd name="connsiteX3" fmla="*/ 0 w 7833360"/>
                          <a:gd name="connsiteY3" fmla="*/ 2164095 h 2164095"/>
                          <a:gd name="connsiteX4" fmla="*/ 30480 w 7833360"/>
                          <a:gd name="connsiteY4" fmla="*/ 0 h 2164095"/>
                          <a:gd name="connsiteX0" fmla="*/ 30480 w 7833360"/>
                          <a:gd name="connsiteY0" fmla="*/ 0 h 2392697"/>
                          <a:gd name="connsiteX1" fmla="*/ 7833360 w 7833360"/>
                          <a:gd name="connsiteY1" fmla="*/ 1295408 h 2392697"/>
                          <a:gd name="connsiteX2" fmla="*/ 7833360 w 7833360"/>
                          <a:gd name="connsiteY2" fmla="*/ 2331728 h 2392697"/>
                          <a:gd name="connsiteX3" fmla="*/ 0 w 7833360"/>
                          <a:gd name="connsiteY3" fmla="*/ 2392697 h 2392697"/>
                          <a:gd name="connsiteX4" fmla="*/ 30480 w 7833360"/>
                          <a:gd name="connsiteY4" fmla="*/ 0 h 2392697"/>
                          <a:gd name="connsiteX0" fmla="*/ 30480 w 7833360"/>
                          <a:gd name="connsiteY0" fmla="*/ 0 h 2392697"/>
                          <a:gd name="connsiteX1" fmla="*/ 7833360 w 7833360"/>
                          <a:gd name="connsiteY1" fmla="*/ 1295408 h 2392697"/>
                          <a:gd name="connsiteX2" fmla="*/ 7833360 w 7833360"/>
                          <a:gd name="connsiteY2" fmla="*/ 2331728 h 2392697"/>
                          <a:gd name="connsiteX3" fmla="*/ 0 w 7833360"/>
                          <a:gd name="connsiteY3" fmla="*/ 2392697 h 2392697"/>
                          <a:gd name="connsiteX4" fmla="*/ 30480 w 7833360"/>
                          <a:gd name="connsiteY4" fmla="*/ 0 h 2392697"/>
                          <a:gd name="connsiteX0" fmla="*/ 30480 w 7833360"/>
                          <a:gd name="connsiteY0" fmla="*/ 0 h 2392697"/>
                          <a:gd name="connsiteX1" fmla="*/ 7833360 w 7833360"/>
                          <a:gd name="connsiteY1" fmla="*/ 1295408 h 2392697"/>
                          <a:gd name="connsiteX2" fmla="*/ 7833360 w 7833360"/>
                          <a:gd name="connsiteY2" fmla="*/ 2331728 h 2392697"/>
                          <a:gd name="connsiteX3" fmla="*/ 0 w 7833360"/>
                          <a:gd name="connsiteY3" fmla="*/ 2392697 h 2392697"/>
                          <a:gd name="connsiteX4" fmla="*/ 30480 w 7833360"/>
                          <a:gd name="connsiteY4" fmla="*/ 0 h 23926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33360" h="2392697">
                            <a:moveTo>
                              <a:pt x="30480" y="0"/>
                            </a:moveTo>
                            <a:cubicBezTo>
                              <a:pt x="2151380" y="2938801"/>
                              <a:pt x="4417060" y="-73662"/>
                              <a:pt x="7833360" y="1295408"/>
                            </a:cubicBezTo>
                            <a:lnTo>
                              <a:pt x="7833360" y="2331728"/>
                            </a:lnTo>
                            <a:lnTo>
                              <a:pt x="0" y="2392697"/>
                            </a:lnTo>
                            <a:lnTo>
                              <a:pt x="30480" y="0"/>
                            </a:lnTo>
                            <a:close/>
                          </a:path>
                        </a:pathLst>
                      </a:cu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path path="circle">
                          <a:fillToRect t="100000" r="100000"/>
                        </a:path>
                        <a:tileRect l="-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F6543A" id="Rectangle 16" o:spid="_x0000_s1026" style="position:absolute;margin-left:0;margin-top:-40.05pt;width:616.2pt;height:194.4pt;rotation:180;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833360,2392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" path="m30480,c2151380,2938801,4417060,-73662,7833360,1295408r,1036320l,2392697,30480,xe" fillcolor="#006a96" stroked="f" strokeweight="1.25pt">
              <v:fill color2="#00b8ff" rotate="t" focusposition=",1" focussize="" colors="0 #006a96;.5 #009ad9;1 #00b8ff" focus="100%" type="gradientRadial"/>
              <v:stroke endcap="round"/>
              <v:path arrowok="t" o:connecttype="custom" o:connectlocs="30450,0;7825740,1336654;7825740,2405970;0,2468880;30450,0" o:connectangles="0,0,0,0,0"/>
              <w10:wrap anchorx="page"/>
            </v:shape>
          </w:pict>
        </mc:Fallback>
      </mc:AlternateContent>
    </w:r>
  </w:p>
  <w:p w14:paraId="6B72038E" w14:textId="295C303C" w:rsidR="00EC7CE4" w:rsidRDefault="00EC7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4E8"/>
    <w:multiLevelType w:val="hybridMultilevel"/>
    <w:tmpl w:val="E38E3962"/>
    <w:lvl w:ilvl="0" w:tplc="B74C8B16">
      <w:start w:val="1"/>
      <w:numFmt w:val="decimal"/>
      <w:lvlText w:val="5.3.%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F1FB6"/>
    <w:multiLevelType w:val="hybridMultilevel"/>
    <w:tmpl w:val="9E7EBA6E"/>
    <w:lvl w:ilvl="0" w:tplc="FFFFFFFF">
      <w:start w:val="14"/>
      <w:numFmt w:val="bullet"/>
      <w:lvlText w:val="-"/>
      <w:lvlJc w:val="left"/>
      <w:pPr>
        <w:ind w:left="360" w:hanging="360"/>
      </w:pPr>
      <w:rPr>
        <w:rFonts w:ascii="Times New Roman" w:eastAsia="Calibr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B932BE"/>
    <w:multiLevelType w:val="hybridMultilevel"/>
    <w:tmpl w:val="D0862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DB4F30"/>
    <w:multiLevelType w:val="hybridMultilevel"/>
    <w:tmpl w:val="192CF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0873CB"/>
    <w:multiLevelType w:val="hybridMultilevel"/>
    <w:tmpl w:val="0FEE737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048F1610"/>
    <w:multiLevelType w:val="hybridMultilevel"/>
    <w:tmpl w:val="B74C6BA2"/>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06052209"/>
    <w:multiLevelType w:val="hybridMultilevel"/>
    <w:tmpl w:val="E88614A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C26462"/>
    <w:multiLevelType w:val="hybridMultilevel"/>
    <w:tmpl w:val="8778A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9C13B8"/>
    <w:multiLevelType w:val="hybridMultilevel"/>
    <w:tmpl w:val="48A414D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D9D681E"/>
    <w:multiLevelType w:val="hybridMultilevel"/>
    <w:tmpl w:val="44FC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4E5B54"/>
    <w:multiLevelType w:val="hybridMultilevel"/>
    <w:tmpl w:val="1332E86C"/>
    <w:lvl w:ilvl="0" w:tplc="148E0D56">
      <w:start w:val="1"/>
      <w:numFmt w:val="decimal"/>
      <w:lvlText w:val="3.4.%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7777F8"/>
    <w:multiLevelType w:val="hybridMultilevel"/>
    <w:tmpl w:val="4726E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CD301E"/>
    <w:multiLevelType w:val="hybridMultilevel"/>
    <w:tmpl w:val="A6689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D539DD"/>
    <w:multiLevelType w:val="hybridMultilevel"/>
    <w:tmpl w:val="E034EE34"/>
    <w:lvl w:ilvl="0" w:tplc="09041B52">
      <w:start w:val="1"/>
      <w:numFmt w:val="decimal"/>
      <w:lvlText w:val="3.6.%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071725"/>
    <w:multiLevelType w:val="hybridMultilevel"/>
    <w:tmpl w:val="5858B036"/>
    <w:lvl w:ilvl="0" w:tplc="C44C3518">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405525"/>
    <w:multiLevelType w:val="hybridMultilevel"/>
    <w:tmpl w:val="3BFCA6C2"/>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1A7774CB"/>
    <w:multiLevelType w:val="hybridMultilevel"/>
    <w:tmpl w:val="2B32816E"/>
    <w:lvl w:ilvl="0" w:tplc="E91694E6">
      <w:start w:val="1"/>
      <w:numFmt w:val="decimal"/>
      <w:lvlText w:val="2.2.%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C430014"/>
    <w:multiLevelType w:val="hybridMultilevel"/>
    <w:tmpl w:val="BBB81FA8"/>
    <w:lvl w:ilvl="0" w:tplc="B172DD36">
      <w:start w:val="1"/>
      <w:numFmt w:val="decimal"/>
      <w:lvlText w:val="2.4.%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336314"/>
    <w:multiLevelType w:val="hybridMultilevel"/>
    <w:tmpl w:val="8F788F96"/>
    <w:lvl w:ilvl="0" w:tplc="DBB8A854">
      <w:start w:val="1"/>
      <w:numFmt w:val="decimal"/>
      <w:lvlText w:val="2.3.%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850E15"/>
    <w:multiLevelType w:val="multilevel"/>
    <w:tmpl w:val="8C3665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27A4D47"/>
    <w:multiLevelType w:val="hybridMultilevel"/>
    <w:tmpl w:val="B1801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285736F"/>
    <w:multiLevelType w:val="hybridMultilevel"/>
    <w:tmpl w:val="6A2A3448"/>
    <w:lvl w:ilvl="0" w:tplc="BADADF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515DF3"/>
    <w:multiLevelType w:val="multilevel"/>
    <w:tmpl w:val="0004CFE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290A36"/>
    <w:multiLevelType w:val="hybridMultilevel"/>
    <w:tmpl w:val="4B3CC2B2"/>
    <w:lvl w:ilvl="0" w:tplc="5C1653A4">
      <w:start w:val="1"/>
      <w:numFmt w:val="bullet"/>
      <w:lvlText w:val=""/>
      <w:lvlJc w:val="left"/>
      <w:pPr>
        <w:ind w:left="720" w:hanging="360"/>
      </w:pPr>
      <w:rPr>
        <w:rFonts w:ascii="Wingdings" w:hAnsi="Wingdings" w:hint="default"/>
        <w:b/>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81442BE"/>
    <w:multiLevelType w:val="hybridMultilevel"/>
    <w:tmpl w:val="58448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93F070D"/>
    <w:multiLevelType w:val="hybridMultilevel"/>
    <w:tmpl w:val="5EC6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474629"/>
    <w:multiLevelType w:val="hybridMultilevel"/>
    <w:tmpl w:val="C56C42AA"/>
    <w:lvl w:ilvl="0" w:tplc="04090019">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CA8534D"/>
    <w:multiLevelType w:val="hybridMultilevel"/>
    <w:tmpl w:val="D9C2A644"/>
    <w:lvl w:ilvl="0" w:tplc="C9FC405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B247FE"/>
    <w:multiLevelType w:val="hybridMultilevel"/>
    <w:tmpl w:val="62A2697A"/>
    <w:lvl w:ilvl="0" w:tplc="903CD49E">
      <w:start w:val="1"/>
      <w:numFmt w:val="decimal"/>
      <w:lvlText w:val="4.1.%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BA6922"/>
    <w:multiLevelType w:val="hybridMultilevel"/>
    <w:tmpl w:val="F78090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F871D19"/>
    <w:multiLevelType w:val="hybridMultilevel"/>
    <w:tmpl w:val="7E2AA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195118"/>
    <w:multiLevelType w:val="hybridMultilevel"/>
    <w:tmpl w:val="942AADE0"/>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2" w15:restartNumberingAfterBreak="0">
    <w:nsid w:val="340140F2"/>
    <w:multiLevelType w:val="hybridMultilevel"/>
    <w:tmpl w:val="8EFAA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46B17BF"/>
    <w:multiLevelType w:val="hybridMultilevel"/>
    <w:tmpl w:val="67CEE846"/>
    <w:lvl w:ilvl="0" w:tplc="61C2A3E0">
      <w:start w:val="1"/>
      <w:numFmt w:val="decimal"/>
      <w:lvlText w:val="4.4.%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2C542A"/>
    <w:multiLevelType w:val="hybridMultilevel"/>
    <w:tmpl w:val="D7162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7F26D2C"/>
    <w:multiLevelType w:val="hybridMultilevel"/>
    <w:tmpl w:val="C19271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F61AE3"/>
    <w:multiLevelType w:val="hybridMultilevel"/>
    <w:tmpl w:val="D2E427DA"/>
    <w:lvl w:ilvl="0" w:tplc="C9FC405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A72622"/>
    <w:multiLevelType w:val="multilevel"/>
    <w:tmpl w:val="FDA07440"/>
    <w:lvl w:ilvl="0">
      <w:start w:val="1"/>
      <w:numFmt w:val="decimal"/>
      <w:lvlText w:val="%1."/>
      <w:lvlJc w:val="left"/>
      <w:pPr>
        <w:ind w:left="360" w:hanging="360"/>
      </w:pPr>
      <w:rPr>
        <w:rFonts w:cstheme="minorBidi" w:hint="default"/>
        <w:sz w:val="28"/>
        <w:szCs w:val="32"/>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8" w15:restartNumberingAfterBreak="0">
    <w:nsid w:val="3C1E7C3E"/>
    <w:multiLevelType w:val="hybridMultilevel"/>
    <w:tmpl w:val="44086434"/>
    <w:lvl w:ilvl="0" w:tplc="C9FC405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2B7018"/>
    <w:multiLevelType w:val="hybridMultilevel"/>
    <w:tmpl w:val="6DCE1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6501D7"/>
    <w:multiLevelType w:val="hybridMultilevel"/>
    <w:tmpl w:val="8FAA1192"/>
    <w:lvl w:ilvl="0" w:tplc="FFFFFFFF">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406668"/>
    <w:multiLevelType w:val="multilevel"/>
    <w:tmpl w:val="FC98DBF2"/>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lowerLetter"/>
      <w:lvlText w:val="%1.%2.%3."/>
      <w:lvlJc w:val="left"/>
      <w:pPr>
        <w:ind w:left="2160" w:hanging="720"/>
      </w:pPr>
      <w:rPr>
        <w:rFonts w:hint="default"/>
        <w:b/>
      </w:rPr>
    </w:lvl>
    <w:lvl w:ilvl="3">
      <w:start w:val="1"/>
      <w:numFmt w:val="lowerLetter"/>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2" w15:restartNumberingAfterBreak="0">
    <w:nsid w:val="42ED503F"/>
    <w:multiLevelType w:val="hybridMultilevel"/>
    <w:tmpl w:val="A5448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57A1052"/>
    <w:multiLevelType w:val="hybridMultilevel"/>
    <w:tmpl w:val="4CC0C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7500965"/>
    <w:multiLevelType w:val="hybridMultilevel"/>
    <w:tmpl w:val="100A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A4046C"/>
    <w:multiLevelType w:val="hybridMultilevel"/>
    <w:tmpl w:val="5958F558"/>
    <w:lvl w:ilvl="0" w:tplc="E62E200E">
      <w:start w:val="1"/>
      <w:numFmt w:val="decimal"/>
      <w:lvlText w:val="5.1.%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5E6518"/>
    <w:multiLevelType w:val="hybridMultilevel"/>
    <w:tmpl w:val="147085A0"/>
    <w:lvl w:ilvl="0" w:tplc="CB528652">
      <w:start w:val="1"/>
      <w:numFmt w:val="decimal"/>
      <w:lvlText w:val="3.1.%1"/>
      <w:lvlJc w:val="right"/>
      <w:pPr>
        <w:ind w:left="7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453E2F"/>
    <w:multiLevelType w:val="hybridMultilevel"/>
    <w:tmpl w:val="43FED920"/>
    <w:lvl w:ilvl="0" w:tplc="1FF66DBA">
      <w:start w:val="1"/>
      <w:numFmt w:val="decimal"/>
      <w:lvlText w:val="3.3.%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DD4E49"/>
    <w:multiLevelType w:val="hybridMultilevel"/>
    <w:tmpl w:val="1324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3453D2"/>
    <w:multiLevelType w:val="hybridMultilevel"/>
    <w:tmpl w:val="587643E2"/>
    <w:lvl w:ilvl="0" w:tplc="08090013">
      <w:start w:val="1"/>
      <w:numFmt w:val="upp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6F406AB"/>
    <w:multiLevelType w:val="hybridMultilevel"/>
    <w:tmpl w:val="407EB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8712C56"/>
    <w:multiLevelType w:val="hybridMultilevel"/>
    <w:tmpl w:val="3B72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DD4489"/>
    <w:multiLevelType w:val="hybridMultilevel"/>
    <w:tmpl w:val="54A4988A"/>
    <w:lvl w:ilvl="0" w:tplc="543E20B0">
      <w:start w:val="1"/>
      <w:numFmt w:val="decimal"/>
      <w:lvlText w:val="3.2.%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DF78E2"/>
    <w:multiLevelType w:val="hybridMultilevel"/>
    <w:tmpl w:val="745EC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B120649"/>
    <w:multiLevelType w:val="hybridMultilevel"/>
    <w:tmpl w:val="F87EA9DA"/>
    <w:lvl w:ilvl="0" w:tplc="7A72DEB4">
      <w:start w:val="1"/>
      <w:numFmt w:val="decimal"/>
      <w:lvlText w:val="5.2.%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CB55927"/>
    <w:multiLevelType w:val="hybridMultilevel"/>
    <w:tmpl w:val="3AB6E444"/>
    <w:lvl w:ilvl="0" w:tplc="B8E6FBB4">
      <w:start w:val="1"/>
      <w:numFmt w:val="decimal"/>
      <w:lvlText w:val="3.5.%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0002CE"/>
    <w:multiLevelType w:val="hybridMultilevel"/>
    <w:tmpl w:val="996A1818"/>
    <w:lvl w:ilvl="0" w:tplc="B1F22A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49058F"/>
    <w:multiLevelType w:val="hybridMultilevel"/>
    <w:tmpl w:val="CF3226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4AE402D"/>
    <w:multiLevelType w:val="hybridMultilevel"/>
    <w:tmpl w:val="14DCA2C0"/>
    <w:lvl w:ilvl="0" w:tplc="1DB865C2">
      <w:start w:val="1"/>
      <w:numFmt w:val="decimal"/>
      <w:lvlText w:val="4.3.%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D526FA"/>
    <w:multiLevelType w:val="hybridMultilevel"/>
    <w:tmpl w:val="F8DE1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FD34FA"/>
    <w:multiLevelType w:val="hybridMultilevel"/>
    <w:tmpl w:val="AC42F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66729F"/>
    <w:multiLevelType w:val="hybridMultilevel"/>
    <w:tmpl w:val="B30E9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BE452E0"/>
    <w:multiLevelType w:val="hybridMultilevel"/>
    <w:tmpl w:val="4E1E5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BF61C8A"/>
    <w:multiLevelType w:val="hybridMultilevel"/>
    <w:tmpl w:val="3DCE5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E6141CE"/>
    <w:multiLevelType w:val="hybridMultilevel"/>
    <w:tmpl w:val="FF9A7CCE"/>
    <w:lvl w:ilvl="0" w:tplc="8DB4C25E">
      <w:start w:val="1"/>
      <w:numFmt w:val="decimal"/>
      <w:lvlText w:val="4.2.%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0C730F"/>
    <w:multiLevelType w:val="multilevel"/>
    <w:tmpl w:val="BB229CBC"/>
    <w:lvl w:ilvl="0">
      <w:start w:val="1"/>
      <w:numFmt w:val="decimal"/>
      <w:lvlText w:val="%1."/>
      <w:lvlJc w:val="left"/>
      <w:pPr>
        <w:ind w:left="720" w:hanging="360"/>
      </w:pPr>
      <w:rPr>
        <w:rFonts w:cstheme="minorBidi" w:hint="default"/>
        <w:sz w:val="22"/>
      </w:rPr>
    </w:lvl>
    <w:lvl w:ilvl="1">
      <w:start w:val="2"/>
      <w:numFmt w:val="decimal"/>
      <w:isLgl/>
      <w:lvlText w:val="%1.%2"/>
      <w:lvlJc w:val="left"/>
      <w:pPr>
        <w:ind w:left="720" w:hanging="360"/>
      </w:pPr>
      <w:rPr>
        <w:rFonts w:hint="default"/>
        <w:b/>
      </w:rPr>
    </w:lvl>
    <w:lvl w:ilvl="2">
      <w:start w:val="1"/>
      <w:numFmt w:val="decimal"/>
      <w:isLgl/>
      <w:lvlText w:val="2.1.%3"/>
      <w:lvlJc w:val="left"/>
      <w:pPr>
        <w:ind w:left="72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6" w15:restartNumberingAfterBreak="0">
    <w:nsid w:val="70DB6291"/>
    <w:multiLevelType w:val="hybridMultilevel"/>
    <w:tmpl w:val="D0A6F358"/>
    <w:lvl w:ilvl="0" w:tplc="404E48DE">
      <w:start w:val="1"/>
      <w:numFmt w:val="decimal"/>
      <w:lvlText w:val="2.5.%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080A78"/>
    <w:multiLevelType w:val="hybridMultilevel"/>
    <w:tmpl w:val="32462442"/>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1A479F0"/>
    <w:multiLevelType w:val="multilevel"/>
    <w:tmpl w:val="926A7C40"/>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1CF5A41"/>
    <w:multiLevelType w:val="hybridMultilevel"/>
    <w:tmpl w:val="4D541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1CF652F"/>
    <w:multiLevelType w:val="hybridMultilevel"/>
    <w:tmpl w:val="1AB86C82"/>
    <w:lvl w:ilvl="0" w:tplc="5C1653A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1F6417C"/>
    <w:multiLevelType w:val="hybridMultilevel"/>
    <w:tmpl w:val="CE44A16E"/>
    <w:lvl w:ilvl="0" w:tplc="5C1653A4">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39E57DC"/>
    <w:multiLevelType w:val="multilevel"/>
    <w:tmpl w:val="AFCA7DD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9701906"/>
    <w:multiLevelType w:val="hybridMultilevel"/>
    <w:tmpl w:val="DFD21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9"/>
  </w:num>
  <w:num w:numId="3">
    <w:abstractNumId w:val="37"/>
  </w:num>
  <w:num w:numId="4">
    <w:abstractNumId w:val="41"/>
  </w:num>
  <w:num w:numId="5">
    <w:abstractNumId w:val="14"/>
  </w:num>
  <w:num w:numId="6">
    <w:abstractNumId w:val="6"/>
  </w:num>
  <w:num w:numId="7">
    <w:abstractNumId w:val="26"/>
  </w:num>
  <w:num w:numId="8">
    <w:abstractNumId w:val="29"/>
  </w:num>
  <w:num w:numId="9">
    <w:abstractNumId w:val="56"/>
  </w:num>
  <w:num w:numId="10">
    <w:abstractNumId w:val="59"/>
  </w:num>
  <w:num w:numId="11">
    <w:abstractNumId w:val="38"/>
  </w:num>
  <w:num w:numId="12">
    <w:abstractNumId w:val="36"/>
  </w:num>
  <w:num w:numId="13">
    <w:abstractNumId w:val="27"/>
  </w:num>
  <w:num w:numId="14">
    <w:abstractNumId w:val="67"/>
  </w:num>
  <w:num w:numId="15">
    <w:abstractNumId w:val="71"/>
  </w:num>
  <w:num w:numId="16">
    <w:abstractNumId w:val="40"/>
  </w:num>
  <w:num w:numId="17">
    <w:abstractNumId w:val="1"/>
  </w:num>
  <w:num w:numId="18">
    <w:abstractNumId w:val="49"/>
  </w:num>
  <w:num w:numId="19">
    <w:abstractNumId w:val="70"/>
  </w:num>
  <w:num w:numId="20">
    <w:abstractNumId w:val="23"/>
  </w:num>
  <w:num w:numId="21">
    <w:abstractNumId w:val="15"/>
  </w:num>
  <w:num w:numId="22">
    <w:abstractNumId w:val="4"/>
  </w:num>
  <w:num w:numId="23">
    <w:abstractNumId w:val="5"/>
  </w:num>
  <w:num w:numId="24">
    <w:abstractNumId w:val="31"/>
  </w:num>
  <w:num w:numId="25">
    <w:abstractNumId w:val="34"/>
  </w:num>
  <w:num w:numId="26">
    <w:abstractNumId w:val="20"/>
  </w:num>
  <w:num w:numId="27">
    <w:abstractNumId w:val="19"/>
  </w:num>
  <w:num w:numId="28">
    <w:abstractNumId w:val="24"/>
  </w:num>
  <w:num w:numId="29">
    <w:abstractNumId w:val="2"/>
  </w:num>
  <w:num w:numId="30">
    <w:abstractNumId w:val="7"/>
  </w:num>
  <w:num w:numId="31">
    <w:abstractNumId w:val="62"/>
  </w:num>
  <w:num w:numId="32">
    <w:abstractNumId w:val="25"/>
  </w:num>
  <w:num w:numId="33">
    <w:abstractNumId w:val="69"/>
  </w:num>
  <w:num w:numId="34">
    <w:abstractNumId w:val="32"/>
  </w:num>
  <w:num w:numId="35">
    <w:abstractNumId w:val="22"/>
  </w:num>
  <w:num w:numId="36">
    <w:abstractNumId w:val="72"/>
  </w:num>
  <w:num w:numId="37">
    <w:abstractNumId w:val="68"/>
  </w:num>
  <w:num w:numId="38">
    <w:abstractNumId w:val="3"/>
  </w:num>
  <w:num w:numId="39">
    <w:abstractNumId w:val="50"/>
  </w:num>
  <w:num w:numId="40">
    <w:abstractNumId w:val="60"/>
  </w:num>
  <w:num w:numId="41">
    <w:abstractNumId w:val="51"/>
  </w:num>
  <w:num w:numId="42">
    <w:abstractNumId w:val="42"/>
  </w:num>
  <w:num w:numId="43">
    <w:abstractNumId w:val="12"/>
  </w:num>
  <w:num w:numId="44">
    <w:abstractNumId w:val="63"/>
  </w:num>
  <w:num w:numId="45">
    <w:abstractNumId w:val="30"/>
  </w:num>
  <w:num w:numId="46">
    <w:abstractNumId w:val="11"/>
  </w:num>
  <w:num w:numId="47">
    <w:abstractNumId w:val="43"/>
  </w:num>
  <w:num w:numId="48">
    <w:abstractNumId w:val="61"/>
  </w:num>
  <w:num w:numId="49">
    <w:abstractNumId w:val="8"/>
  </w:num>
  <w:num w:numId="50">
    <w:abstractNumId w:val="65"/>
  </w:num>
  <w:num w:numId="51">
    <w:abstractNumId w:val="53"/>
  </w:num>
  <w:num w:numId="52">
    <w:abstractNumId w:val="16"/>
  </w:num>
  <w:num w:numId="53">
    <w:abstractNumId w:val="18"/>
  </w:num>
  <w:num w:numId="54">
    <w:abstractNumId w:val="17"/>
  </w:num>
  <w:num w:numId="55">
    <w:abstractNumId w:val="66"/>
  </w:num>
  <w:num w:numId="56">
    <w:abstractNumId w:val="46"/>
  </w:num>
  <w:num w:numId="57">
    <w:abstractNumId w:val="52"/>
  </w:num>
  <w:num w:numId="58">
    <w:abstractNumId w:val="47"/>
  </w:num>
  <w:num w:numId="59">
    <w:abstractNumId w:val="10"/>
  </w:num>
  <w:num w:numId="60">
    <w:abstractNumId w:val="55"/>
  </w:num>
  <w:num w:numId="61">
    <w:abstractNumId w:val="13"/>
  </w:num>
  <w:num w:numId="62">
    <w:abstractNumId w:val="28"/>
  </w:num>
  <w:num w:numId="63">
    <w:abstractNumId w:val="64"/>
  </w:num>
  <w:num w:numId="64">
    <w:abstractNumId w:val="58"/>
  </w:num>
  <w:num w:numId="65">
    <w:abstractNumId w:val="33"/>
  </w:num>
  <w:num w:numId="66">
    <w:abstractNumId w:val="45"/>
  </w:num>
  <w:num w:numId="67">
    <w:abstractNumId w:val="54"/>
  </w:num>
  <w:num w:numId="68">
    <w:abstractNumId w:val="0"/>
  </w:num>
  <w:num w:numId="69">
    <w:abstractNumId w:val="73"/>
  </w:num>
  <w:num w:numId="70">
    <w:abstractNumId w:val="35"/>
  </w:num>
  <w:num w:numId="71">
    <w:abstractNumId w:val="57"/>
  </w:num>
  <w:num w:numId="72">
    <w:abstractNumId w:val="21"/>
  </w:num>
  <w:num w:numId="73">
    <w:abstractNumId w:val="48"/>
  </w:num>
  <w:num w:numId="74">
    <w:abstractNumId w:val="4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10C"/>
    <w:rsid w:val="000015C9"/>
    <w:rsid w:val="000030B5"/>
    <w:rsid w:val="000035FA"/>
    <w:rsid w:val="0001035C"/>
    <w:rsid w:val="00012119"/>
    <w:rsid w:val="000123F9"/>
    <w:rsid w:val="00015FD3"/>
    <w:rsid w:val="00020B10"/>
    <w:rsid w:val="00021EE5"/>
    <w:rsid w:val="00025DBE"/>
    <w:rsid w:val="00033912"/>
    <w:rsid w:val="00034918"/>
    <w:rsid w:val="0003517E"/>
    <w:rsid w:val="000370AE"/>
    <w:rsid w:val="0003769D"/>
    <w:rsid w:val="00037E34"/>
    <w:rsid w:val="00043C3D"/>
    <w:rsid w:val="00044847"/>
    <w:rsid w:val="0004666D"/>
    <w:rsid w:val="00050FB9"/>
    <w:rsid w:val="00052EC5"/>
    <w:rsid w:val="00053195"/>
    <w:rsid w:val="00061268"/>
    <w:rsid w:val="00064E08"/>
    <w:rsid w:val="00065E78"/>
    <w:rsid w:val="00072914"/>
    <w:rsid w:val="000800D6"/>
    <w:rsid w:val="0008107A"/>
    <w:rsid w:val="000810F9"/>
    <w:rsid w:val="000820E1"/>
    <w:rsid w:val="00083147"/>
    <w:rsid w:val="0008377D"/>
    <w:rsid w:val="00087532"/>
    <w:rsid w:val="000904A7"/>
    <w:rsid w:val="0009171A"/>
    <w:rsid w:val="00091BBF"/>
    <w:rsid w:val="00092166"/>
    <w:rsid w:val="000970F7"/>
    <w:rsid w:val="000A3232"/>
    <w:rsid w:val="000A3415"/>
    <w:rsid w:val="000A3734"/>
    <w:rsid w:val="000A61E4"/>
    <w:rsid w:val="000A6354"/>
    <w:rsid w:val="000B0A36"/>
    <w:rsid w:val="000B305E"/>
    <w:rsid w:val="000B6419"/>
    <w:rsid w:val="000C0CAD"/>
    <w:rsid w:val="000C2668"/>
    <w:rsid w:val="000C343C"/>
    <w:rsid w:val="000C3BAA"/>
    <w:rsid w:val="000C4024"/>
    <w:rsid w:val="000D49B7"/>
    <w:rsid w:val="000D745D"/>
    <w:rsid w:val="000E602B"/>
    <w:rsid w:val="000E7E5D"/>
    <w:rsid w:val="000F4746"/>
    <w:rsid w:val="00101FD2"/>
    <w:rsid w:val="00102335"/>
    <w:rsid w:val="00104441"/>
    <w:rsid w:val="001051A2"/>
    <w:rsid w:val="00105824"/>
    <w:rsid w:val="00110FDC"/>
    <w:rsid w:val="00111C95"/>
    <w:rsid w:val="00112CAA"/>
    <w:rsid w:val="00112DBC"/>
    <w:rsid w:val="00125B29"/>
    <w:rsid w:val="0012766F"/>
    <w:rsid w:val="001305B0"/>
    <w:rsid w:val="00130D91"/>
    <w:rsid w:val="001339D8"/>
    <w:rsid w:val="0013507F"/>
    <w:rsid w:val="00137141"/>
    <w:rsid w:val="0014353E"/>
    <w:rsid w:val="00146D25"/>
    <w:rsid w:val="001473B5"/>
    <w:rsid w:val="00154CFF"/>
    <w:rsid w:val="0015544D"/>
    <w:rsid w:val="00156509"/>
    <w:rsid w:val="001663DF"/>
    <w:rsid w:val="001679DE"/>
    <w:rsid w:val="001710BE"/>
    <w:rsid w:val="00180B5E"/>
    <w:rsid w:val="0018109D"/>
    <w:rsid w:val="00185CAC"/>
    <w:rsid w:val="00187295"/>
    <w:rsid w:val="001877B0"/>
    <w:rsid w:val="00190F89"/>
    <w:rsid w:val="001917DA"/>
    <w:rsid w:val="0019534A"/>
    <w:rsid w:val="001960D4"/>
    <w:rsid w:val="001961A4"/>
    <w:rsid w:val="00197826"/>
    <w:rsid w:val="00197E5C"/>
    <w:rsid w:val="001A1145"/>
    <w:rsid w:val="001A31F1"/>
    <w:rsid w:val="001A32AC"/>
    <w:rsid w:val="001B1A4D"/>
    <w:rsid w:val="001B1D3D"/>
    <w:rsid w:val="001B1F65"/>
    <w:rsid w:val="001C2FA7"/>
    <w:rsid w:val="001C2FC4"/>
    <w:rsid w:val="001C688D"/>
    <w:rsid w:val="001D1864"/>
    <w:rsid w:val="001D7959"/>
    <w:rsid w:val="001E080C"/>
    <w:rsid w:val="001E4415"/>
    <w:rsid w:val="001E4C46"/>
    <w:rsid w:val="001F0162"/>
    <w:rsid w:val="001F083F"/>
    <w:rsid w:val="001F0F47"/>
    <w:rsid w:val="001F0FCD"/>
    <w:rsid w:val="001F3B13"/>
    <w:rsid w:val="001F45E3"/>
    <w:rsid w:val="002004B8"/>
    <w:rsid w:val="0020196F"/>
    <w:rsid w:val="00201D79"/>
    <w:rsid w:val="002034E1"/>
    <w:rsid w:val="002076DA"/>
    <w:rsid w:val="0021110C"/>
    <w:rsid w:val="00212D5B"/>
    <w:rsid w:val="002213AF"/>
    <w:rsid w:val="002233D0"/>
    <w:rsid w:val="002235DB"/>
    <w:rsid w:val="0022622F"/>
    <w:rsid w:val="002275BC"/>
    <w:rsid w:val="00232CCC"/>
    <w:rsid w:val="00235720"/>
    <w:rsid w:val="0023653B"/>
    <w:rsid w:val="002514EF"/>
    <w:rsid w:val="002526EE"/>
    <w:rsid w:val="00254FAE"/>
    <w:rsid w:val="0025503D"/>
    <w:rsid w:val="00256A68"/>
    <w:rsid w:val="00266EF1"/>
    <w:rsid w:val="00267713"/>
    <w:rsid w:val="00270380"/>
    <w:rsid w:val="00282537"/>
    <w:rsid w:val="002833AD"/>
    <w:rsid w:val="002838A9"/>
    <w:rsid w:val="00283ACE"/>
    <w:rsid w:val="00284517"/>
    <w:rsid w:val="00285EDA"/>
    <w:rsid w:val="00286496"/>
    <w:rsid w:val="00286998"/>
    <w:rsid w:val="002869B2"/>
    <w:rsid w:val="00295E4F"/>
    <w:rsid w:val="002A033C"/>
    <w:rsid w:val="002A0658"/>
    <w:rsid w:val="002A3CFA"/>
    <w:rsid w:val="002A48A4"/>
    <w:rsid w:val="002A703C"/>
    <w:rsid w:val="002A7112"/>
    <w:rsid w:val="002A7E9F"/>
    <w:rsid w:val="002B04F1"/>
    <w:rsid w:val="002B19E6"/>
    <w:rsid w:val="002B24FB"/>
    <w:rsid w:val="002B374C"/>
    <w:rsid w:val="002C73D7"/>
    <w:rsid w:val="002D3540"/>
    <w:rsid w:val="002D4871"/>
    <w:rsid w:val="002D4D45"/>
    <w:rsid w:val="002E0925"/>
    <w:rsid w:val="002E13BC"/>
    <w:rsid w:val="002F29DC"/>
    <w:rsid w:val="002F31E1"/>
    <w:rsid w:val="002F530D"/>
    <w:rsid w:val="002F5696"/>
    <w:rsid w:val="00300432"/>
    <w:rsid w:val="003027AA"/>
    <w:rsid w:val="003111BF"/>
    <w:rsid w:val="00320861"/>
    <w:rsid w:val="00320AE3"/>
    <w:rsid w:val="00320F8D"/>
    <w:rsid w:val="00321B19"/>
    <w:rsid w:val="00324738"/>
    <w:rsid w:val="003248D9"/>
    <w:rsid w:val="003250A4"/>
    <w:rsid w:val="003278F1"/>
    <w:rsid w:val="00333673"/>
    <w:rsid w:val="00335494"/>
    <w:rsid w:val="0033792F"/>
    <w:rsid w:val="00341233"/>
    <w:rsid w:val="00343087"/>
    <w:rsid w:val="00343B3B"/>
    <w:rsid w:val="00343BAA"/>
    <w:rsid w:val="003456F8"/>
    <w:rsid w:val="00345CA0"/>
    <w:rsid w:val="00346FB8"/>
    <w:rsid w:val="00347849"/>
    <w:rsid w:val="00350F85"/>
    <w:rsid w:val="00362060"/>
    <w:rsid w:val="00364AEE"/>
    <w:rsid w:val="00364E30"/>
    <w:rsid w:val="0036516E"/>
    <w:rsid w:val="00365485"/>
    <w:rsid w:val="0036581E"/>
    <w:rsid w:val="00366DFC"/>
    <w:rsid w:val="0036755B"/>
    <w:rsid w:val="003729B0"/>
    <w:rsid w:val="003768E3"/>
    <w:rsid w:val="00377468"/>
    <w:rsid w:val="003775E8"/>
    <w:rsid w:val="00380D5A"/>
    <w:rsid w:val="00381E5E"/>
    <w:rsid w:val="00387877"/>
    <w:rsid w:val="00393F32"/>
    <w:rsid w:val="00396756"/>
    <w:rsid w:val="003A2B1D"/>
    <w:rsid w:val="003A6693"/>
    <w:rsid w:val="003B0DFD"/>
    <w:rsid w:val="003B45FD"/>
    <w:rsid w:val="003B5CC2"/>
    <w:rsid w:val="003B71BF"/>
    <w:rsid w:val="003B7621"/>
    <w:rsid w:val="003B79D1"/>
    <w:rsid w:val="003C2BFA"/>
    <w:rsid w:val="003C389D"/>
    <w:rsid w:val="003D0073"/>
    <w:rsid w:val="003D6089"/>
    <w:rsid w:val="003E10B8"/>
    <w:rsid w:val="003E2F00"/>
    <w:rsid w:val="003E3E70"/>
    <w:rsid w:val="003E45B2"/>
    <w:rsid w:val="003E4B0C"/>
    <w:rsid w:val="003E688B"/>
    <w:rsid w:val="003F02A3"/>
    <w:rsid w:val="003F11F2"/>
    <w:rsid w:val="003F6F0C"/>
    <w:rsid w:val="004069E9"/>
    <w:rsid w:val="004106B7"/>
    <w:rsid w:val="0041167E"/>
    <w:rsid w:val="004143C0"/>
    <w:rsid w:val="004147AB"/>
    <w:rsid w:val="004151E1"/>
    <w:rsid w:val="0041525D"/>
    <w:rsid w:val="004234B5"/>
    <w:rsid w:val="0043182D"/>
    <w:rsid w:val="00432A45"/>
    <w:rsid w:val="00432B70"/>
    <w:rsid w:val="00434823"/>
    <w:rsid w:val="00436F93"/>
    <w:rsid w:val="004378E0"/>
    <w:rsid w:val="0044368D"/>
    <w:rsid w:val="00443EEE"/>
    <w:rsid w:val="00445DE8"/>
    <w:rsid w:val="004462C1"/>
    <w:rsid w:val="00452800"/>
    <w:rsid w:val="004529AB"/>
    <w:rsid w:val="00454496"/>
    <w:rsid w:val="00455123"/>
    <w:rsid w:val="00455669"/>
    <w:rsid w:val="00457E4D"/>
    <w:rsid w:val="00462D28"/>
    <w:rsid w:val="00464301"/>
    <w:rsid w:val="00465523"/>
    <w:rsid w:val="00465C89"/>
    <w:rsid w:val="004731D4"/>
    <w:rsid w:val="0047597E"/>
    <w:rsid w:val="0048030C"/>
    <w:rsid w:val="00480DB0"/>
    <w:rsid w:val="00480F77"/>
    <w:rsid w:val="0048251E"/>
    <w:rsid w:val="00485897"/>
    <w:rsid w:val="00487034"/>
    <w:rsid w:val="00491CA8"/>
    <w:rsid w:val="00492475"/>
    <w:rsid w:val="00493D92"/>
    <w:rsid w:val="00496CF0"/>
    <w:rsid w:val="004A0108"/>
    <w:rsid w:val="004A068D"/>
    <w:rsid w:val="004A3298"/>
    <w:rsid w:val="004A397D"/>
    <w:rsid w:val="004A7103"/>
    <w:rsid w:val="004B2AC3"/>
    <w:rsid w:val="004B4BB6"/>
    <w:rsid w:val="004B7EF2"/>
    <w:rsid w:val="004C0C8A"/>
    <w:rsid w:val="004C5BF9"/>
    <w:rsid w:val="004D29EE"/>
    <w:rsid w:val="004D2D62"/>
    <w:rsid w:val="004D3807"/>
    <w:rsid w:val="004D520A"/>
    <w:rsid w:val="004D57F3"/>
    <w:rsid w:val="004D68D2"/>
    <w:rsid w:val="004E5E6D"/>
    <w:rsid w:val="004E77E2"/>
    <w:rsid w:val="004F5495"/>
    <w:rsid w:val="004F78F6"/>
    <w:rsid w:val="004F7F69"/>
    <w:rsid w:val="00501DB9"/>
    <w:rsid w:val="00503621"/>
    <w:rsid w:val="005042FB"/>
    <w:rsid w:val="00504864"/>
    <w:rsid w:val="005060A7"/>
    <w:rsid w:val="00506B3B"/>
    <w:rsid w:val="00510D91"/>
    <w:rsid w:val="0051287C"/>
    <w:rsid w:val="0051779A"/>
    <w:rsid w:val="00531EEA"/>
    <w:rsid w:val="005348A4"/>
    <w:rsid w:val="005349F4"/>
    <w:rsid w:val="00536834"/>
    <w:rsid w:val="005370A3"/>
    <w:rsid w:val="005373A6"/>
    <w:rsid w:val="00541B8D"/>
    <w:rsid w:val="0054286E"/>
    <w:rsid w:val="00542C8A"/>
    <w:rsid w:val="00542F7E"/>
    <w:rsid w:val="00551F07"/>
    <w:rsid w:val="005524F8"/>
    <w:rsid w:val="00553964"/>
    <w:rsid w:val="00556EFF"/>
    <w:rsid w:val="00563A1C"/>
    <w:rsid w:val="00566547"/>
    <w:rsid w:val="00570FD6"/>
    <w:rsid w:val="00573D5E"/>
    <w:rsid w:val="005778F8"/>
    <w:rsid w:val="0058009F"/>
    <w:rsid w:val="00581DB5"/>
    <w:rsid w:val="00584F8C"/>
    <w:rsid w:val="0058737B"/>
    <w:rsid w:val="00587B91"/>
    <w:rsid w:val="005902D5"/>
    <w:rsid w:val="00592D4D"/>
    <w:rsid w:val="00597F57"/>
    <w:rsid w:val="005A0837"/>
    <w:rsid w:val="005A114C"/>
    <w:rsid w:val="005A5BC6"/>
    <w:rsid w:val="005A5E40"/>
    <w:rsid w:val="005B1D85"/>
    <w:rsid w:val="005B6F7F"/>
    <w:rsid w:val="005B7C20"/>
    <w:rsid w:val="005C0E3D"/>
    <w:rsid w:val="005C4107"/>
    <w:rsid w:val="005C452E"/>
    <w:rsid w:val="005C51D8"/>
    <w:rsid w:val="005C75D1"/>
    <w:rsid w:val="005D1698"/>
    <w:rsid w:val="005D79F1"/>
    <w:rsid w:val="005D7E2A"/>
    <w:rsid w:val="005D7FE7"/>
    <w:rsid w:val="005E2460"/>
    <w:rsid w:val="005E55F1"/>
    <w:rsid w:val="005E5D1C"/>
    <w:rsid w:val="005E6002"/>
    <w:rsid w:val="005E7035"/>
    <w:rsid w:val="005E75BC"/>
    <w:rsid w:val="005F00C9"/>
    <w:rsid w:val="005F059C"/>
    <w:rsid w:val="006055A7"/>
    <w:rsid w:val="00607346"/>
    <w:rsid w:val="00607B7E"/>
    <w:rsid w:val="00610129"/>
    <w:rsid w:val="006119B1"/>
    <w:rsid w:val="00611C37"/>
    <w:rsid w:val="0061449F"/>
    <w:rsid w:val="006156E9"/>
    <w:rsid w:val="0061668D"/>
    <w:rsid w:val="00620783"/>
    <w:rsid w:val="00624150"/>
    <w:rsid w:val="00630264"/>
    <w:rsid w:val="00630309"/>
    <w:rsid w:val="006331CE"/>
    <w:rsid w:val="006370E3"/>
    <w:rsid w:val="00637798"/>
    <w:rsid w:val="00637CCE"/>
    <w:rsid w:val="006428B6"/>
    <w:rsid w:val="0064349E"/>
    <w:rsid w:val="00652FF8"/>
    <w:rsid w:val="00654031"/>
    <w:rsid w:val="00654BE7"/>
    <w:rsid w:val="00654FF4"/>
    <w:rsid w:val="006572F0"/>
    <w:rsid w:val="00660E56"/>
    <w:rsid w:val="00662FEC"/>
    <w:rsid w:val="00670E9A"/>
    <w:rsid w:val="006756A1"/>
    <w:rsid w:val="00676CB5"/>
    <w:rsid w:val="00680335"/>
    <w:rsid w:val="006830A6"/>
    <w:rsid w:val="00684804"/>
    <w:rsid w:val="006854FA"/>
    <w:rsid w:val="00695132"/>
    <w:rsid w:val="006A163A"/>
    <w:rsid w:val="006A1D89"/>
    <w:rsid w:val="006A2218"/>
    <w:rsid w:val="006A3C26"/>
    <w:rsid w:val="006A4640"/>
    <w:rsid w:val="006B131A"/>
    <w:rsid w:val="006B1D1A"/>
    <w:rsid w:val="006B1D69"/>
    <w:rsid w:val="006B677E"/>
    <w:rsid w:val="006C0B1D"/>
    <w:rsid w:val="006C14CC"/>
    <w:rsid w:val="006C5736"/>
    <w:rsid w:val="006D219A"/>
    <w:rsid w:val="006D221A"/>
    <w:rsid w:val="006D38EA"/>
    <w:rsid w:val="006D521F"/>
    <w:rsid w:val="006E2BCC"/>
    <w:rsid w:val="006F0CE7"/>
    <w:rsid w:val="006F2E56"/>
    <w:rsid w:val="006F37A2"/>
    <w:rsid w:val="006F37FB"/>
    <w:rsid w:val="006F4D2D"/>
    <w:rsid w:val="00701EC3"/>
    <w:rsid w:val="007033FA"/>
    <w:rsid w:val="007075BE"/>
    <w:rsid w:val="00716290"/>
    <w:rsid w:val="00720500"/>
    <w:rsid w:val="00722CB6"/>
    <w:rsid w:val="00724637"/>
    <w:rsid w:val="007246E5"/>
    <w:rsid w:val="00725493"/>
    <w:rsid w:val="00725F1B"/>
    <w:rsid w:val="00730BF7"/>
    <w:rsid w:val="00734149"/>
    <w:rsid w:val="00734902"/>
    <w:rsid w:val="00735C3C"/>
    <w:rsid w:val="00735EC1"/>
    <w:rsid w:val="0073785C"/>
    <w:rsid w:val="0074357C"/>
    <w:rsid w:val="007440A2"/>
    <w:rsid w:val="00745CBB"/>
    <w:rsid w:val="00750BF7"/>
    <w:rsid w:val="007510A5"/>
    <w:rsid w:val="00754994"/>
    <w:rsid w:val="00754ECA"/>
    <w:rsid w:val="007579BE"/>
    <w:rsid w:val="00757D75"/>
    <w:rsid w:val="00761E44"/>
    <w:rsid w:val="00763414"/>
    <w:rsid w:val="00763E23"/>
    <w:rsid w:val="00766A14"/>
    <w:rsid w:val="00766EF0"/>
    <w:rsid w:val="00771D2A"/>
    <w:rsid w:val="00772E5B"/>
    <w:rsid w:val="00773248"/>
    <w:rsid w:val="007740EA"/>
    <w:rsid w:val="00776451"/>
    <w:rsid w:val="00777767"/>
    <w:rsid w:val="00784A79"/>
    <w:rsid w:val="0078571F"/>
    <w:rsid w:val="00786DC9"/>
    <w:rsid w:val="00790B19"/>
    <w:rsid w:val="00792A34"/>
    <w:rsid w:val="007940EA"/>
    <w:rsid w:val="00796131"/>
    <w:rsid w:val="007A02EB"/>
    <w:rsid w:val="007A073C"/>
    <w:rsid w:val="007A1E85"/>
    <w:rsid w:val="007A2CE4"/>
    <w:rsid w:val="007A54FE"/>
    <w:rsid w:val="007A6CCA"/>
    <w:rsid w:val="007A7A71"/>
    <w:rsid w:val="007B0DF4"/>
    <w:rsid w:val="007B427D"/>
    <w:rsid w:val="007B4807"/>
    <w:rsid w:val="007B4DF7"/>
    <w:rsid w:val="007C1CA8"/>
    <w:rsid w:val="007C32A1"/>
    <w:rsid w:val="007C7B0D"/>
    <w:rsid w:val="007D1D9C"/>
    <w:rsid w:val="007D31A8"/>
    <w:rsid w:val="007D3283"/>
    <w:rsid w:val="007D34BB"/>
    <w:rsid w:val="007D3652"/>
    <w:rsid w:val="007E02A8"/>
    <w:rsid w:val="007E4297"/>
    <w:rsid w:val="007E58E3"/>
    <w:rsid w:val="007E5DA9"/>
    <w:rsid w:val="007F311C"/>
    <w:rsid w:val="007F59D8"/>
    <w:rsid w:val="007F5A84"/>
    <w:rsid w:val="007F5F89"/>
    <w:rsid w:val="008028E3"/>
    <w:rsid w:val="00807264"/>
    <w:rsid w:val="0081103E"/>
    <w:rsid w:val="008110A1"/>
    <w:rsid w:val="008119C2"/>
    <w:rsid w:val="00811DA5"/>
    <w:rsid w:val="008178CE"/>
    <w:rsid w:val="008229C8"/>
    <w:rsid w:val="0082496C"/>
    <w:rsid w:val="00827C0E"/>
    <w:rsid w:val="00830B88"/>
    <w:rsid w:val="0083208B"/>
    <w:rsid w:val="0083270B"/>
    <w:rsid w:val="00833954"/>
    <w:rsid w:val="00833EC2"/>
    <w:rsid w:val="0083720B"/>
    <w:rsid w:val="008413FE"/>
    <w:rsid w:val="00842E56"/>
    <w:rsid w:val="008447FB"/>
    <w:rsid w:val="00844E42"/>
    <w:rsid w:val="00850B71"/>
    <w:rsid w:val="00866C49"/>
    <w:rsid w:val="008675E0"/>
    <w:rsid w:val="00867DE4"/>
    <w:rsid w:val="00871535"/>
    <w:rsid w:val="0087348C"/>
    <w:rsid w:val="00873BA5"/>
    <w:rsid w:val="00874BA6"/>
    <w:rsid w:val="0087530C"/>
    <w:rsid w:val="0087662D"/>
    <w:rsid w:val="008871DC"/>
    <w:rsid w:val="008875EB"/>
    <w:rsid w:val="00894FF2"/>
    <w:rsid w:val="008961CA"/>
    <w:rsid w:val="008A6BB5"/>
    <w:rsid w:val="008A7A14"/>
    <w:rsid w:val="008B35A2"/>
    <w:rsid w:val="008B54B5"/>
    <w:rsid w:val="008B5745"/>
    <w:rsid w:val="008B7109"/>
    <w:rsid w:val="008C0E17"/>
    <w:rsid w:val="008C1FEA"/>
    <w:rsid w:val="008C2CB7"/>
    <w:rsid w:val="008C2CEF"/>
    <w:rsid w:val="008C30F6"/>
    <w:rsid w:val="008C403B"/>
    <w:rsid w:val="008C6F46"/>
    <w:rsid w:val="008C6FAD"/>
    <w:rsid w:val="008C7144"/>
    <w:rsid w:val="008C7CB4"/>
    <w:rsid w:val="008D11C5"/>
    <w:rsid w:val="008D2308"/>
    <w:rsid w:val="008D3503"/>
    <w:rsid w:val="008D5734"/>
    <w:rsid w:val="008E32E5"/>
    <w:rsid w:val="008E54C2"/>
    <w:rsid w:val="008E626A"/>
    <w:rsid w:val="008F1FC3"/>
    <w:rsid w:val="008F3F51"/>
    <w:rsid w:val="008F4C09"/>
    <w:rsid w:val="008F7866"/>
    <w:rsid w:val="00900695"/>
    <w:rsid w:val="00906074"/>
    <w:rsid w:val="00910FCC"/>
    <w:rsid w:val="009152F9"/>
    <w:rsid w:val="00922520"/>
    <w:rsid w:val="0092538C"/>
    <w:rsid w:val="00925411"/>
    <w:rsid w:val="009276F4"/>
    <w:rsid w:val="009276FF"/>
    <w:rsid w:val="00930636"/>
    <w:rsid w:val="009350E0"/>
    <w:rsid w:val="0094088A"/>
    <w:rsid w:val="0094360A"/>
    <w:rsid w:val="00944AD4"/>
    <w:rsid w:val="009479F6"/>
    <w:rsid w:val="009510BB"/>
    <w:rsid w:val="00956FB3"/>
    <w:rsid w:val="009600E8"/>
    <w:rsid w:val="009607B2"/>
    <w:rsid w:val="00961E40"/>
    <w:rsid w:val="009635EB"/>
    <w:rsid w:val="009638AE"/>
    <w:rsid w:val="0097304E"/>
    <w:rsid w:val="0097340E"/>
    <w:rsid w:val="00973AB4"/>
    <w:rsid w:val="0097682C"/>
    <w:rsid w:val="00984814"/>
    <w:rsid w:val="00995248"/>
    <w:rsid w:val="00995EBD"/>
    <w:rsid w:val="009A080B"/>
    <w:rsid w:val="009A611D"/>
    <w:rsid w:val="009A62DE"/>
    <w:rsid w:val="009B1D8F"/>
    <w:rsid w:val="009B4463"/>
    <w:rsid w:val="009B7B58"/>
    <w:rsid w:val="009C0306"/>
    <w:rsid w:val="009C38A9"/>
    <w:rsid w:val="009D4300"/>
    <w:rsid w:val="009D7864"/>
    <w:rsid w:val="009E1903"/>
    <w:rsid w:val="009E6EE6"/>
    <w:rsid w:val="009F0224"/>
    <w:rsid w:val="009F6102"/>
    <w:rsid w:val="00A025F7"/>
    <w:rsid w:val="00A22005"/>
    <w:rsid w:val="00A2273F"/>
    <w:rsid w:val="00A24D7E"/>
    <w:rsid w:val="00A258B7"/>
    <w:rsid w:val="00A261FE"/>
    <w:rsid w:val="00A26C45"/>
    <w:rsid w:val="00A374A9"/>
    <w:rsid w:val="00A40998"/>
    <w:rsid w:val="00A40D3F"/>
    <w:rsid w:val="00A45112"/>
    <w:rsid w:val="00A467A9"/>
    <w:rsid w:val="00A5567A"/>
    <w:rsid w:val="00A57631"/>
    <w:rsid w:val="00A60444"/>
    <w:rsid w:val="00A65A6C"/>
    <w:rsid w:val="00A66678"/>
    <w:rsid w:val="00A75F0F"/>
    <w:rsid w:val="00A7686C"/>
    <w:rsid w:val="00A77790"/>
    <w:rsid w:val="00A82A2D"/>
    <w:rsid w:val="00A82B35"/>
    <w:rsid w:val="00A910F0"/>
    <w:rsid w:val="00A9110A"/>
    <w:rsid w:val="00A94CA3"/>
    <w:rsid w:val="00A96C7A"/>
    <w:rsid w:val="00AA25AD"/>
    <w:rsid w:val="00AA3B17"/>
    <w:rsid w:val="00AA42E2"/>
    <w:rsid w:val="00AA4B2B"/>
    <w:rsid w:val="00AA5991"/>
    <w:rsid w:val="00AA6415"/>
    <w:rsid w:val="00AA71F6"/>
    <w:rsid w:val="00AA7B99"/>
    <w:rsid w:val="00AB09E7"/>
    <w:rsid w:val="00AB2CBE"/>
    <w:rsid w:val="00AB370F"/>
    <w:rsid w:val="00AB4EDA"/>
    <w:rsid w:val="00AB50D3"/>
    <w:rsid w:val="00AB70C1"/>
    <w:rsid w:val="00AB7DDE"/>
    <w:rsid w:val="00AC0B94"/>
    <w:rsid w:val="00AC5271"/>
    <w:rsid w:val="00AD2B5A"/>
    <w:rsid w:val="00AD662D"/>
    <w:rsid w:val="00AE5517"/>
    <w:rsid w:val="00AE6951"/>
    <w:rsid w:val="00AE6CF7"/>
    <w:rsid w:val="00AE7382"/>
    <w:rsid w:val="00AF0453"/>
    <w:rsid w:val="00B056F3"/>
    <w:rsid w:val="00B07109"/>
    <w:rsid w:val="00B1299F"/>
    <w:rsid w:val="00B205BB"/>
    <w:rsid w:val="00B22153"/>
    <w:rsid w:val="00B224AA"/>
    <w:rsid w:val="00B22A40"/>
    <w:rsid w:val="00B233D6"/>
    <w:rsid w:val="00B2421F"/>
    <w:rsid w:val="00B255D0"/>
    <w:rsid w:val="00B3554B"/>
    <w:rsid w:val="00B42071"/>
    <w:rsid w:val="00B43165"/>
    <w:rsid w:val="00B431A7"/>
    <w:rsid w:val="00B53E56"/>
    <w:rsid w:val="00B56B24"/>
    <w:rsid w:val="00B56EA1"/>
    <w:rsid w:val="00B620BE"/>
    <w:rsid w:val="00B62D57"/>
    <w:rsid w:val="00B63809"/>
    <w:rsid w:val="00B67D08"/>
    <w:rsid w:val="00B70EA5"/>
    <w:rsid w:val="00B73FEB"/>
    <w:rsid w:val="00B74F41"/>
    <w:rsid w:val="00B77546"/>
    <w:rsid w:val="00B77576"/>
    <w:rsid w:val="00B8100C"/>
    <w:rsid w:val="00B82A50"/>
    <w:rsid w:val="00B82AEC"/>
    <w:rsid w:val="00B86177"/>
    <w:rsid w:val="00B870D5"/>
    <w:rsid w:val="00B918A7"/>
    <w:rsid w:val="00B93D43"/>
    <w:rsid w:val="00B97148"/>
    <w:rsid w:val="00B9791B"/>
    <w:rsid w:val="00BA6A27"/>
    <w:rsid w:val="00BA6A6B"/>
    <w:rsid w:val="00BB0221"/>
    <w:rsid w:val="00BC220F"/>
    <w:rsid w:val="00BC5C2C"/>
    <w:rsid w:val="00BC78E4"/>
    <w:rsid w:val="00BD0D22"/>
    <w:rsid w:val="00BD0E41"/>
    <w:rsid w:val="00BD3620"/>
    <w:rsid w:val="00BD6622"/>
    <w:rsid w:val="00BE03C6"/>
    <w:rsid w:val="00BE17B9"/>
    <w:rsid w:val="00BE3312"/>
    <w:rsid w:val="00BE37A2"/>
    <w:rsid w:val="00BE4400"/>
    <w:rsid w:val="00BE4BA2"/>
    <w:rsid w:val="00BE7D4A"/>
    <w:rsid w:val="00BF1DF9"/>
    <w:rsid w:val="00BF20DE"/>
    <w:rsid w:val="00BF31E5"/>
    <w:rsid w:val="00BF3601"/>
    <w:rsid w:val="00BF3C9C"/>
    <w:rsid w:val="00C048DD"/>
    <w:rsid w:val="00C11ACC"/>
    <w:rsid w:val="00C16A4C"/>
    <w:rsid w:val="00C21615"/>
    <w:rsid w:val="00C21D26"/>
    <w:rsid w:val="00C23C71"/>
    <w:rsid w:val="00C240D7"/>
    <w:rsid w:val="00C24C16"/>
    <w:rsid w:val="00C25DA6"/>
    <w:rsid w:val="00C31175"/>
    <w:rsid w:val="00C33F53"/>
    <w:rsid w:val="00C352C2"/>
    <w:rsid w:val="00C3609D"/>
    <w:rsid w:val="00C37663"/>
    <w:rsid w:val="00C415EF"/>
    <w:rsid w:val="00C427FA"/>
    <w:rsid w:val="00C461EE"/>
    <w:rsid w:val="00C4757B"/>
    <w:rsid w:val="00C528F1"/>
    <w:rsid w:val="00C53887"/>
    <w:rsid w:val="00C55679"/>
    <w:rsid w:val="00C55701"/>
    <w:rsid w:val="00C561B0"/>
    <w:rsid w:val="00C600EF"/>
    <w:rsid w:val="00C6361C"/>
    <w:rsid w:val="00C7440D"/>
    <w:rsid w:val="00C745D9"/>
    <w:rsid w:val="00C775DF"/>
    <w:rsid w:val="00C80806"/>
    <w:rsid w:val="00C80979"/>
    <w:rsid w:val="00C80FC7"/>
    <w:rsid w:val="00C8340F"/>
    <w:rsid w:val="00C93F44"/>
    <w:rsid w:val="00C95827"/>
    <w:rsid w:val="00CA2316"/>
    <w:rsid w:val="00CA3DC3"/>
    <w:rsid w:val="00CA4A2C"/>
    <w:rsid w:val="00CA513F"/>
    <w:rsid w:val="00CA7592"/>
    <w:rsid w:val="00CB5734"/>
    <w:rsid w:val="00CB740D"/>
    <w:rsid w:val="00CC10F0"/>
    <w:rsid w:val="00CC1735"/>
    <w:rsid w:val="00CC17DC"/>
    <w:rsid w:val="00CC43ED"/>
    <w:rsid w:val="00CC77CF"/>
    <w:rsid w:val="00CD0947"/>
    <w:rsid w:val="00CE04DE"/>
    <w:rsid w:val="00CE1035"/>
    <w:rsid w:val="00CE18EE"/>
    <w:rsid w:val="00CE2DC1"/>
    <w:rsid w:val="00CE3275"/>
    <w:rsid w:val="00CE4F42"/>
    <w:rsid w:val="00CE5FA1"/>
    <w:rsid w:val="00CE6F77"/>
    <w:rsid w:val="00CF010A"/>
    <w:rsid w:val="00CF1230"/>
    <w:rsid w:val="00CF22D3"/>
    <w:rsid w:val="00CF31C0"/>
    <w:rsid w:val="00D015C4"/>
    <w:rsid w:val="00D025D0"/>
    <w:rsid w:val="00D06F79"/>
    <w:rsid w:val="00D102C6"/>
    <w:rsid w:val="00D20DA1"/>
    <w:rsid w:val="00D20EC1"/>
    <w:rsid w:val="00D23E3D"/>
    <w:rsid w:val="00D27863"/>
    <w:rsid w:val="00D34101"/>
    <w:rsid w:val="00D357DB"/>
    <w:rsid w:val="00D37978"/>
    <w:rsid w:val="00D41097"/>
    <w:rsid w:val="00D41F44"/>
    <w:rsid w:val="00D453F4"/>
    <w:rsid w:val="00D564E3"/>
    <w:rsid w:val="00D565D5"/>
    <w:rsid w:val="00D566A5"/>
    <w:rsid w:val="00D5739F"/>
    <w:rsid w:val="00D70899"/>
    <w:rsid w:val="00D7109D"/>
    <w:rsid w:val="00D71FEC"/>
    <w:rsid w:val="00D75D8C"/>
    <w:rsid w:val="00D76989"/>
    <w:rsid w:val="00D85FA3"/>
    <w:rsid w:val="00D8719C"/>
    <w:rsid w:val="00D90142"/>
    <w:rsid w:val="00DA25F1"/>
    <w:rsid w:val="00DA3A53"/>
    <w:rsid w:val="00DA6A9F"/>
    <w:rsid w:val="00DA7078"/>
    <w:rsid w:val="00DA7B24"/>
    <w:rsid w:val="00DB359F"/>
    <w:rsid w:val="00DC0DC3"/>
    <w:rsid w:val="00DC59CD"/>
    <w:rsid w:val="00DC5A61"/>
    <w:rsid w:val="00DC6AB8"/>
    <w:rsid w:val="00DC77C3"/>
    <w:rsid w:val="00DD0DB7"/>
    <w:rsid w:val="00DD693D"/>
    <w:rsid w:val="00DE0B18"/>
    <w:rsid w:val="00DE52C5"/>
    <w:rsid w:val="00DE5717"/>
    <w:rsid w:val="00DE77F2"/>
    <w:rsid w:val="00DF67DC"/>
    <w:rsid w:val="00DF6A07"/>
    <w:rsid w:val="00E0133C"/>
    <w:rsid w:val="00E01348"/>
    <w:rsid w:val="00E027FE"/>
    <w:rsid w:val="00E03456"/>
    <w:rsid w:val="00E0696E"/>
    <w:rsid w:val="00E07089"/>
    <w:rsid w:val="00E07662"/>
    <w:rsid w:val="00E07FE1"/>
    <w:rsid w:val="00E120CE"/>
    <w:rsid w:val="00E145D1"/>
    <w:rsid w:val="00E14BB7"/>
    <w:rsid w:val="00E316F6"/>
    <w:rsid w:val="00E33AB5"/>
    <w:rsid w:val="00E35320"/>
    <w:rsid w:val="00E4026A"/>
    <w:rsid w:val="00E4371C"/>
    <w:rsid w:val="00E505F9"/>
    <w:rsid w:val="00E52828"/>
    <w:rsid w:val="00E52F67"/>
    <w:rsid w:val="00E5566B"/>
    <w:rsid w:val="00E55D4B"/>
    <w:rsid w:val="00E600BE"/>
    <w:rsid w:val="00E60739"/>
    <w:rsid w:val="00E63030"/>
    <w:rsid w:val="00E66445"/>
    <w:rsid w:val="00E706EF"/>
    <w:rsid w:val="00E763B6"/>
    <w:rsid w:val="00E76D2A"/>
    <w:rsid w:val="00E77D73"/>
    <w:rsid w:val="00E77EF2"/>
    <w:rsid w:val="00E851A4"/>
    <w:rsid w:val="00E91ACB"/>
    <w:rsid w:val="00E933A7"/>
    <w:rsid w:val="00E95AA4"/>
    <w:rsid w:val="00E971A6"/>
    <w:rsid w:val="00E97D30"/>
    <w:rsid w:val="00EB06A4"/>
    <w:rsid w:val="00EB1408"/>
    <w:rsid w:val="00EB2D3C"/>
    <w:rsid w:val="00EB458A"/>
    <w:rsid w:val="00EB4BCC"/>
    <w:rsid w:val="00EB54F1"/>
    <w:rsid w:val="00EB6C2A"/>
    <w:rsid w:val="00EC183B"/>
    <w:rsid w:val="00EC33B1"/>
    <w:rsid w:val="00EC6382"/>
    <w:rsid w:val="00EC68A8"/>
    <w:rsid w:val="00EC772D"/>
    <w:rsid w:val="00EC7CE4"/>
    <w:rsid w:val="00ED3B94"/>
    <w:rsid w:val="00EE1C06"/>
    <w:rsid w:val="00EE5C88"/>
    <w:rsid w:val="00EE685E"/>
    <w:rsid w:val="00EE747B"/>
    <w:rsid w:val="00EF058E"/>
    <w:rsid w:val="00EF59DF"/>
    <w:rsid w:val="00F010F8"/>
    <w:rsid w:val="00F01DB0"/>
    <w:rsid w:val="00F162F9"/>
    <w:rsid w:val="00F16E70"/>
    <w:rsid w:val="00F22D51"/>
    <w:rsid w:val="00F27985"/>
    <w:rsid w:val="00F3593D"/>
    <w:rsid w:val="00F439A5"/>
    <w:rsid w:val="00F448D7"/>
    <w:rsid w:val="00F6533D"/>
    <w:rsid w:val="00F6549B"/>
    <w:rsid w:val="00F7186E"/>
    <w:rsid w:val="00F7329F"/>
    <w:rsid w:val="00F74B98"/>
    <w:rsid w:val="00F766E3"/>
    <w:rsid w:val="00F76D46"/>
    <w:rsid w:val="00F7763D"/>
    <w:rsid w:val="00F80E94"/>
    <w:rsid w:val="00F91A7E"/>
    <w:rsid w:val="00F9286E"/>
    <w:rsid w:val="00F932FB"/>
    <w:rsid w:val="00F940E2"/>
    <w:rsid w:val="00F9530B"/>
    <w:rsid w:val="00FA4DC6"/>
    <w:rsid w:val="00FA7DC0"/>
    <w:rsid w:val="00FB0413"/>
    <w:rsid w:val="00FB3AAB"/>
    <w:rsid w:val="00FB6785"/>
    <w:rsid w:val="00FC2015"/>
    <w:rsid w:val="00FC309E"/>
    <w:rsid w:val="00FC3A4B"/>
    <w:rsid w:val="00FC4634"/>
    <w:rsid w:val="00FC7140"/>
    <w:rsid w:val="00FC7145"/>
    <w:rsid w:val="00FD0C6E"/>
    <w:rsid w:val="00FD1A14"/>
    <w:rsid w:val="00FD1D40"/>
    <w:rsid w:val="00FD60DF"/>
    <w:rsid w:val="00FD6466"/>
    <w:rsid w:val="00FE0CCC"/>
    <w:rsid w:val="00FE19D7"/>
    <w:rsid w:val="00FE2B17"/>
    <w:rsid w:val="00FE399B"/>
    <w:rsid w:val="00FE4FA7"/>
    <w:rsid w:val="00FE55C7"/>
    <w:rsid w:val="00FE7F34"/>
    <w:rsid w:val="00FF11FA"/>
    <w:rsid w:val="00FF33F6"/>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B6625"/>
  <w15:chartTrackingRefBased/>
  <w15:docId w15:val="{8765CC27-EB4B-4953-8BC5-778B9510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F2"/>
  </w:style>
  <w:style w:type="paragraph" w:styleId="Heading1">
    <w:name w:val="heading 1"/>
    <w:basedOn w:val="Normal"/>
    <w:next w:val="Normal"/>
    <w:link w:val="Heading1Char"/>
    <w:uiPriority w:val="9"/>
    <w:qFormat/>
    <w:rsid w:val="00EB4BCC"/>
    <w:pPr>
      <w:keepNext/>
      <w:keepLines/>
      <w:spacing w:after="0" w:line="240" w:lineRule="auto"/>
      <w:outlineLvl w:val="0"/>
    </w:pPr>
    <w:rPr>
      <w:rFonts w:ascii="Arial" w:eastAsia="Times New Roman" w:hAnsi="Arial" w:cs="Times New Roman"/>
      <w:b/>
      <w:bCs/>
      <w:sz w:val="28"/>
      <w:szCs w:val="28"/>
      <w:lang w:val="en-GB" w:eastAsia="x-none"/>
    </w:rPr>
  </w:style>
  <w:style w:type="paragraph" w:styleId="Heading2">
    <w:name w:val="heading 2"/>
    <w:basedOn w:val="Normal"/>
    <w:next w:val="Normal"/>
    <w:link w:val="Heading2Char"/>
    <w:uiPriority w:val="9"/>
    <w:unhideWhenUsed/>
    <w:qFormat/>
    <w:rsid w:val="009152F9"/>
    <w:pPr>
      <w:keepNext/>
      <w:keepLines/>
      <w:spacing w:before="40" w:after="0"/>
      <w:outlineLvl w:val="1"/>
    </w:pPr>
    <w:rPr>
      <w:rFonts w:asciiTheme="majorHAnsi" w:eastAsiaTheme="majorEastAsia" w:hAnsiTheme="majorHAnsi" w:cstheme="majorBidi"/>
      <w:color w:val="729928" w:themeColor="accent1" w:themeShade="BF"/>
      <w:sz w:val="26"/>
      <w:szCs w:val="26"/>
    </w:rPr>
  </w:style>
  <w:style w:type="paragraph" w:styleId="Heading3">
    <w:name w:val="heading 3"/>
    <w:basedOn w:val="Normal"/>
    <w:next w:val="Normal"/>
    <w:link w:val="Heading3Char"/>
    <w:uiPriority w:val="9"/>
    <w:semiHidden/>
    <w:unhideWhenUsed/>
    <w:qFormat/>
    <w:rsid w:val="00380D5A"/>
    <w:pPr>
      <w:keepNext/>
      <w:keepLines/>
      <w:spacing w:before="40" w:after="0"/>
      <w:outlineLvl w:val="2"/>
    </w:pPr>
    <w:rPr>
      <w:rFonts w:asciiTheme="majorHAnsi" w:eastAsiaTheme="majorEastAsia" w:hAnsiTheme="majorHAnsi" w:cstheme="majorBidi"/>
      <w:color w:val="4C661A"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BCC"/>
    <w:rPr>
      <w:rFonts w:ascii="Arial" w:eastAsia="Times New Roman" w:hAnsi="Arial" w:cs="Times New Roman"/>
      <w:b/>
      <w:bCs/>
      <w:sz w:val="28"/>
      <w:szCs w:val="28"/>
      <w:lang w:val="en-GB" w:eastAsia="x-none"/>
    </w:rPr>
  </w:style>
  <w:style w:type="character" w:customStyle="1" w:styleId="Heading2Char">
    <w:name w:val="Heading 2 Char"/>
    <w:basedOn w:val="DefaultParagraphFont"/>
    <w:link w:val="Heading2"/>
    <w:uiPriority w:val="9"/>
    <w:rsid w:val="009152F9"/>
    <w:rPr>
      <w:rFonts w:asciiTheme="majorHAnsi" w:eastAsiaTheme="majorEastAsia" w:hAnsiTheme="majorHAnsi" w:cstheme="majorBidi"/>
      <w:color w:val="729928" w:themeColor="accent1" w:themeShade="BF"/>
      <w:sz w:val="26"/>
      <w:szCs w:val="26"/>
    </w:rPr>
  </w:style>
  <w:style w:type="paragraph" w:styleId="ListParagraph">
    <w:name w:val="List Paragraph"/>
    <w:aliases w:val="List Paragraph Char Char,List Paragraph 1,Akapit z listą BS,lp1,Normal 1,List Paragraph2,Dot pt,F5 List Paragraph,List Paragraph Char Char Char,Indicator Text,Numbered Para 1,Bullet 1,Bullet Points,MAIN CONTENT,Párrafo de lista"/>
    <w:basedOn w:val="Normal"/>
    <w:link w:val="ListParagraphChar"/>
    <w:uiPriority w:val="34"/>
    <w:qFormat/>
    <w:rsid w:val="0021110C"/>
    <w:pPr>
      <w:ind w:left="720"/>
      <w:contextualSpacing/>
    </w:pPr>
  </w:style>
  <w:style w:type="character" w:customStyle="1" w:styleId="ListParagraphChar">
    <w:name w:val="List Paragraph Char"/>
    <w:aliases w:val="List Paragraph Char Char Char1,List Paragraph 1 Char,Akapit z listą BS Char,lp1 Char,Normal 1 Char,List Paragraph2 Char,Dot pt Char,F5 List Paragraph Char,List Paragraph Char Char Char Char,Indicator Text Char,Numbered Para 1 Char"/>
    <w:link w:val="ListParagraph"/>
    <w:uiPriority w:val="34"/>
    <w:qFormat/>
    <w:locked/>
    <w:rsid w:val="000D745D"/>
  </w:style>
  <w:style w:type="paragraph" w:styleId="NormalWeb">
    <w:name w:val="Normal (Web)"/>
    <w:basedOn w:val="Normal"/>
    <w:uiPriority w:val="99"/>
    <w:unhideWhenUsed/>
    <w:rsid w:val="00EB4BCC"/>
    <w:pPr>
      <w:spacing w:before="100" w:beforeAutospacing="1" w:after="100" w:afterAutospacing="1" w:line="240" w:lineRule="auto"/>
    </w:pPr>
    <w:rPr>
      <w:rFonts w:ascii="Times" w:eastAsia="Calibri" w:hAnsi="Times" w:cs="Times New Roman"/>
      <w:sz w:val="20"/>
      <w:szCs w:val="20"/>
    </w:rPr>
  </w:style>
  <w:style w:type="paragraph" w:styleId="Header">
    <w:name w:val="header"/>
    <w:basedOn w:val="Normal"/>
    <w:link w:val="HeaderChar"/>
    <w:uiPriority w:val="99"/>
    <w:unhideWhenUsed/>
    <w:rsid w:val="00537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0A3"/>
  </w:style>
  <w:style w:type="paragraph" w:styleId="Footer">
    <w:name w:val="footer"/>
    <w:basedOn w:val="Normal"/>
    <w:link w:val="FooterChar"/>
    <w:uiPriority w:val="99"/>
    <w:unhideWhenUsed/>
    <w:rsid w:val="00537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0A3"/>
  </w:style>
  <w:style w:type="character" w:customStyle="1" w:styleId="xcontentpasted0">
    <w:name w:val="x_contentpasted0"/>
    <w:basedOn w:val="DefaultParagraphFont"/>
    <w:rsid w:val="00EC68A8"/>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uiPriority w:val="99"/>
    <w:unhideWhenUsed/>
    <w:qFormat/>
    <w:rsid w:val="00EC68A8"/>
    <w:pPr>
      <w:spacing w:after="0" w:line="240" w:lineRule="auto"/>
    </w:pPr>
    <w:rPr>
      <w:sz w:val="20"/>
      <w:szCs w:val="20"/>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basedOn w:val="DefaultParagraphFont"/>
    <w:link w:val="FootnoteText"/>
    <w:uiPriority w:val="99"/>
    <w:qFormat/>
    <w:rsid w:val="00EC68A8"/>
    <w:rPr>
      <w:sz w:val="20"/>
      <w:szCs w:val="20"/>
    </w:rPr>
  </w:style>
  <w:style w:type="character" w:styleId="FootnoteReference">
    <w:name w:val="footnote reference"/>
    <w:aliases w:val="BVI fnr,Footnote symbol,Footnote Reference Arial,Appel note de bas de page,callout,Footnote Reference1,ftref,4_G,BVI fnr Char,BVI fnr Car Car Char,BVI fnr Car Char,BVI fnr Car Car Car Car Char,fr,16 Point,Superscript 6 Point,note TESI"/>
    <w:basedOn w:val="DefaultParagraphFont"/>
    <w:link w:val="BVIfnrCarCar"/>
    <w:uiPriority w:val="99"/>
    <w:unhideWhenUsed/>
    <w:qFormat/>
    <w:rsid w:val="00EC68A8"/>
    <w:rPr>
      <w:vertAlign w:val="superscript"/>
    </w:rPr>
  </w:style>
  <w:style w:type="paragraph" w:customStyle="1" w:styleId="BVIfnrCarCar">
    <w:name w:val="BVI fnr Car Car"/>
    <w:aliases w:val="BVI fnr Car,BVI fnr Car Car Car Car, BVI fnr Car Car Car Car"/>
    <w:basedOn w:val="Normal"/>
    <w:link w:val="FootnoteReference"/>
    <w:uiPriority w:val="99"/>
    <w:rsid w:val="003775E8"/>
    <w:pPr>
      <w:spacing w:line="240" w:lineRule="exact"/>
    </w:pPr>
    <w:rPr>
      <w:vertAlign w:val="superscript"/>
    </w:rPr>
  </w:style>
  <w:style w:type="paragraph" w:styleId="NoSpacing">
    <w:name w:val="No Spacing"/>
    <w:link w:val="NoSpacingChar"/>
    <w:uiPriority w:val="1"/>
    <w:qFormat/>
    <w:rsid w:val="00D23E3D"/>
    <w:pPr>
      <w:spacing w:after="0" w:line="240" w:lineRule="auto"/>
    </w:pPr>
  </w:style>
  <w:style w:type="paragraph" w:customStyle="1" w:styleId="xmsonormal">
    <w:name w:val="x_msonormal"/>
    <w:basedOn w:val="Normal"/>
    <w:rsid w:val="00DA3A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D60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3775E8"/>
    <w:rPr>
      <w:color w:val="0000FF"/>
      <w:u w:val="single"/>
    </w:rPr>
  </w:style>
  <w:style w:type="character" w:styleId="CommentReference">
    <w:name w:val="annotation reference"/>
    <w:basedOn w:val="DefaultParagraphFont"/>
    <w:uiPriority w:val="99"/>
    <w:semiHidden/>
    <w:unhideWhenUsed/>
    <w:rsid w:val="004B2AC3"/>
    <w:rPr>
      <w:sz w:val="16"/>
      <w:szCs w:val="16"/>
    </w:rPr>
  </w:style>
  <w:style w:type="paragraph" w:styleId="CommentText">
    <w:name w:val="annotation text"/>
    <w:basedOn w:val="Normal"/>
    <w:link w:val="CommentTextChar"/>
    <w:uiPriority w:val="99"/>
    <w:unhideWhenUsed/>
    <w:rsid w:val="004B2AC3"/>
    <w:pPr>
      <w:spacing w:line="240" w:lineRule="auto"/>
    </w:pPr>
    <w:rPr>
      <w:sz w:val="20"/>
      <w:szCs w:val="20"/>
    </w:rPr>
  </w:style>
  <w:style w:type="character" w:customStyle="1" w:styleId="CommentTextChar">
    <w:name w:val="Comment Text Char"/>
    <w:basedOn w:val="DefaultParagraphFont"/>
    <w:link w:val="CommentText"/>
    <w:uiPriority w:val="99"/>
    <w:rsid w:val="004B2AC3"/>
    <w:rPr>
      <w:sz w:val="20"/>
      <w:szCs w:val="20"/>
    </w:rPr>
  </w:style>
  <w:style w:type="paragraph" w:styleId="CommentSubject">
    <w:name w:val="annotation subject"/>
    <w:basedOn w:val="CommentText"/>
    <w:next w:val="CommentText"/>
    <w:link w:val="CommentSubjectChar"/>
    <w:uiPriority w:val="99"/>
    <w:semiHidden/>
    <w:unhideWhenUsed/>
    <w:rsid w:val="004B2AC3"/>
    <w:rPr>
      <w:b/>
      <w:bCs/>
    </w:rPr>
  </w:style>
  <w:style w:type="character" w:customStyle="1" w:styleId="CommentSubjectChar">
    <w:name w:val="Comment Subject Char"/>
    <w:basedOn w:val="CommentTextChar"/>
    <w:link w:val="CommentSubject"/>
    <w:uiPriority w:val="99"/>
    <w:semiHidden/>
    <w:rsid w:val="004B2AC3"/>
    <w:rPr>
      <w:b/>
      <w:bCs/>
      <w:sz w:val="20"/>
      <w:szCs w:val="20"/>
    </w:rPr>
  </w:style>
  <w:style w:type="paragraph" w:styleId="BalloonText">
    <w:name w:val="Balloon Text"/>
    <w:basedOn w:val="Normal"/>
    <w:link w:val="BalloonTextChar"/>
    <w:uiPriority w:val="99"/>
    <w:semiHidden/>
    <w:unhideWhenUsed/>
    <w:rsid w:val="004B2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AC3"/>
    <w:rPr>
      <w:rFonts w:ascii="Segoe UI" w:hAnsi="Segoe UI" w:cs="Segoe UI"/>
      <w:sz w:val="18"/>
      <w:szCs w:val="18"/>
    </w:rPr>
  </w:style>
  <w:style w:type="paragraph" w:customStyle="1" w:styleId="teksti">
    <w:name w:val="teksti"/>
    <w:basedOn w:val="Normal"/>
    <w:rsid w:val="009B7B58"/>
    <w:pPr>
      <w:spacing w:after="0" w:line="240" w:lineRule="auto"/>
      <w:ind w:firstLine="284"/>
      <w:jc w:val="both"/>
    </w:pPr>
    <w:rPr>
      <w:rFonts w:ascii="Garamond" w:eastAsia="Calibri" w:hAnsi="Garamond" w:cs="Times New Roman"/>
      <w:sz w:val="24"/>
      <w:szCs w:val="24"/>
    </w:rPr>
  </w:style>
  <w:style w:type="paragraph" w:customStyle="1" w:styleId="AAAAATEXT">
    <w:name w:val="AAAAATEXT"/>
    <w:basedOn w:val="Normal"/>
    <w:qFormat/>
    <w:rsid w:val="009B7B58"/>
    <w:pPr>
      <w:spacing w:after="0" w:line="240" w:lineRule="auto"/>
      <w:ind w:firstLine="284"/>
      <w:jc w:val="both"/>
    </w:pPr>
    <w:rPr>
      <w:rFonts w:ascii="Garamond" w:eastAsia="Times New Roman" w:hAnsi="Garamond" w:cs="Times New Roman"/>
      <w:sz w:val="24"/>
      <w:szCs w:val="24"/>
      <w:lang w:val="sq-AL"/>
    </w:rPr>
  </w:style>
  <w:style w:type="paragraph" w:customStyle="1" w:styleId="Odwoanieprzypisu">
    <w:name w:val="Odwołanie przypisu"/>
    <w:aliases w:val="Footnote Reference Number,Footnote Reference_LVL6,Footnote Reference_LVL61,Footnote Reference_LVL62,Footnote Reference_LVL63,Footnote Reference_LVL64,Footnote Car Zchn Zchn"/>
    <w:basedOn w:val="Normal"/>
    <w:uiPriority w:val="99"/>
    <w:rsid w:val="009B7B58"/>
    <w:pPr>
      <w:spacing w:line="240" w:lineRule="exact"/>
    </w:pPr>
    <w:rPr>
      <w:vertAlign w:val="superscript"/>
    </w:rPr>
  </w:style>
  <w:style w:type="paragraph" w:customStyle="1" w:styleId="Default">
    <w:name w:val="Default"/>
    <w:rsid w:val="009B7B58"/>
    <w:pPr>
      <w:autoSpaceDE w:val="0"/>
      <w:autoSpaceDN w:val="0"/>
      <w:adjustRightInd w:val="0"/>
      <w:spacing w:after="0" w:line="240" w:lineRule="auto"/>
    </w:pPr>
    <w:rPr>
      <w:rFonts w:ascii="Garamond" w:hAnsi="Garamond" w:cs="Garamond"/>
      <w:color w:val="000000"/>
      <w:sz w:val="24"/>
      <w:szCs w:val="24"/>
    </w:rPr>
  </w:style>
  <w:style w:type="character" w:customStyle="1" w:styleId="Heading3Char">
    <w:name w:val="Heading 3 Char"/>
    <w:basedOn w:val="DefaultParagraphFont"/>
    <w:link w:val="Heading3"/>
    <w:uiPriority w:val="9"/>
    <w:semiHidden/>
    <w:rsid w:val="00380D5A"/>
    <w:rPr>
      <w:rFonts w:asciiTheme="majorHAnsi" w:eastAsiaTheme="majorEastAsia" w:hAnsiTheme="majorHAnsi" w:cstheme="majorBidi"/>
      <w:color w:val="4C661A" w:themeColor="accent1" w:themeShade="7F"/>
      <w:sz w:val="24"/>
      <w:szCs w:val="24"/>
    </w:rPr>
  </w:style>
  <w:style w:type="paragraph" w:customStyle="1" w:styleId="xmsonospacing">
    <w:name w:val="x_msonospacing"/>
    <w:basedOn w:val="Normal"/>
    <w:rsid w:val="00F80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dp726b0a77msonormal">
    <w:name w:val="x_ydp726b0a77msonormal"/>
    <w:basedOn w:val="Normal"/>
    <w:rsid w:val="00F80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A6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2">
    <w:name w:val="No Spacing2"/>
    <w:uiPriority w:val="1"/>
    <w:qFormat/>
    <w:rsid w:val="00BE37A2"/>
    <w:pPr>
      <w:spacing w:after="0" w:line="240" w:lineRule="auto"/>
    </w:pPr>
    <w:rPr>
      <w:rFonts w:ascii="Arial" w:eastAsia="Times New Roman" w:hAnsi="Arial" w:cs="Times New Roman"/>
      <w:szCs w:val="20"/>
      <w:lang w:val="en-GB"/>
    </w:rPr>
  </w:style>
  <w:style w:type="character" w:styleId="Strong">
    <w:name w:val="Strong"/>
    <w:uiPriority w:val="22"/>
    <w:qFormat/>
    <w:rsid w:val="00BE37A2"/>
    <w:rPr>
      <w:b/>
      <w:bCs/>
    </w:rPr>
  </w:style>
  <w:style w:type="paragraph" w:customStyle="1" w:styleId="Paragrafi">
    <w:name w:val="Paragrafi"/>
    <w:link w:val="ParagrafiChar"/>
    <w:rsid w:val="00BE37A2"/>
    <w:pPr>
      <w:widowControl w:val="0"/>
      <w:spacing w:after="0" w:line="240" w:lineRule="auto"/>
      <w:ind w:firstLine="720"/>
      <w:jc w:val="both"/>
    </w:pPr>
    <w:rPr>
      <w:rFonts w:ascii="CG Times" w:eastAsia="Times New Roman" w:hAnsi="CG Times" w:cs="Times New Roman"/>
      <w:sz w:val="20"/>
      <w:szCs w:val="20"/>
    </w:rPr>
  </w:style>
  <w:style w:type="character" w:customStyle="1" w:styleId="ParagrafiChar">
    <w:name w:val="Paragrafi Char"/>
    <w:link w:val="Paragrafi"/>
    <w:rsid w:val="00BE37A2"/>
    <w:rPr>
      <w:rFonts w:ascii="CG Times" w:eastAsia="Times New Roman" w:hAnsi="CG Times" w:cs="Times New Roman"/>
      <w:sz w:val="20"/>
      <w:szCs w:val="20"/>
    </w:rPr>
  </w:style>
  <w:style w:type="character" w:customStyle="1" w:styleId="contentpasted0">
    <w:name w:val="contentpasted0"/>
    <w:basedOn w:val="DefaultParagraphFont"/>
    <w:rsid w:val="00BE37A2"/>
  </w:style>
  <w:style w:type="character" w:customStyle="1" w:styleId="yiv6691212392contentpasted0">
    <w:name w:val="yiv6691212392contentpasted0"/>
    <w:basedOn w:val="DefaultParagraphFont"/>
    <w:rsid w:val="00050FB9"/>
  </w:style>
  <w:style w:type="paragraph" w:customStyle="1" w:styleId="Normal1">
    <w:name w:val="Normal1"/>
    <w:rsid w:val="00B620BE"/>
    <w:pPr>
      <w:spacing w:after="0" w:line="240" w:lineRule="auto"/>
    </w:pPr>
    <w:rPr>
      <w:rFonts w:ascii="Arial" w:eastAsia="Arial" w:hAnsi="Arial" w:cs="Arial"/>
      <w:sz w:val="24"/>
      <w:szCs w:val="24"/>
      <w:lang w:val="sq"/>
    </w:rPr>
  </w:style>
  <w:style w:type="paragraph" w:styleId="Title">
    <w:name w:val="Title"/>
    <w:basedOn w:val="Normal"/>
    <w:next w:val="Normal"/>
    <w:link w:val="TitleChar"/>
    <w:uiPriority w:val="10"/>
    <w:qFormat/>
    <w:rsid w:val="007B427D"/>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7B427D"/>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7B427D"/>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7B427D"/>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rsid w:val="007B427D"/>
  </w:style>
  <w:style w:type="paragraph" w:styleId="TOCHeading">
    <w:name w:val="TOC Heading"/>
    <w:basedOn w:val="Heading1"/>
    <w:next w:val="Normal"/>
    <w:uiPriority w:val="39"/>
    <w:unhideWhenUsed/>
    <w:qFormat/>
    <w:rsid w:val="004147AB"/>
    <w:pPr>
      <w:spacing w:before="240" w:line="259" w:lineRule="auto"/>
      <w:outlineLvl w:val="9"/>
    </w:pPr>
    <w:rPr>
      <w:rFonts w:asciiTheme="majorHAnsi" w:eastAsiaTheme="majorEastAsia" w:hAnsiTheme="majorHAnsi" w:cstheme="majorBidi"/>
      <w:b w:val="0"/>
      <w:bCs w:val="0"/>
      <w:color w:val="729928" w:themeColor="accent1" w:themeShade="BF"/>
      <w:sz w:val="32"/>
      <w:szCs w:val="32"/>
      <w:lang w:val="en-US" w:eastAsia="en-US"/>
    </w:rPr>
  </w:style>
  <w:style w:type="paragraph" w:styleId="TOC1">
    <w:name w:val="toc 1"/>
    <w:basedOn w:val="Normal"/>
    <w:next w:val="Normal"/>
    <w:autoRedefine/>
    <w:uiPriority w:val="39"/>
    <w:unhideWhenUsed/>
    <w:rsid w:val="004147AB"/>
    <w:pPr>
      <w:pBdr>
        <w:between w:val="double" w:sz="6" w:space="0" w:color="auto"/>
      </w:pBdr>
      <w:spacing w:before="120" w:after="120"/>
      <w:jc w:val="center"/>
    </w:pPr>
    <w:rPr>
      <w:rFonts w:cstheme="minorHAnsi"/>
      <w:b/>
      <w:bCs/>
      <w:i/>
      <w:iCs/>
      <w:sz w:val="24"/>
      <w:szCs w:val="24"/>
    </w:rPr>
  </w:style>
  <w:style w:type="paragraph" w:styleId="TOC2">
    <w:name w:val="toc 2"/>
    <w:basedOn w:val="Normal"/>
    <w:next w:val="Normal"/>
    <w:autoRedefine/>
    <w:uiPriority w:val="39"/>
    <w:unhideWhenUsed/>
    <w:rsid w:val="004147AB"/>
    <w:pPr>
      <w:pBdr>
        <w:between w:val="double" w:sz="6" w:space="0" w:color="auto"/>
      </w:pBdr>
      <w:spacing w:before="120" w:after="120"/>
      <w:jc w:val="center"/>
    </w:pPr>
    <w:rPr>
      <w:rFonts w:cstheme="minorHAnsi"/>
      <w:i/>
      <w:iCs/>
      <w:sz w:val="20"/>
      <w:szCs w:val="20"/>
    </w:rPr>
  </w:style>
  <w:style w:type="paragraph" w:styleId="TOC3">
    <w:name w:val="toc 3"/>
    <w:basedOn w:val="Normal"/>
    <w:next w:val="Normal"/>
    <w:autoRedefine/>
    <w:uiPriority w:val="39"/>
    <w:unhideWhenUsed/>
    <w:rsid w:val="004147AB"/>
    <w:pPr>
      <w:pBdr>
        <w:between w:val="double" w:sz="6" w:space="0" w:color="auto"/>
      </w:pBdr>
      <w:spacing w:before="120" w:after="120"/>
      <w:ind w:left="220"/>
      <w:jc w:val="center"/>
    </w:pPr>
    <w:rPr>
      <w:rFonts w:cstheme="minorHAnsi"/>
      <w:sz w:val="20"/>
      <w:szCs w:val="20"/>
    </w:rPr>
  </w:style>
  <w:style w:type="paragraph" w:styleId="TOC4">
    <w:name w:val="toc 4"/>
    <w:basedOn w:val="Normal"/>
    <w:next w:val="Normal"/>
    <w:autoRedefine/>
    <w:uiPriority w:val="39"/>
    <w:unhideWhenUsed/>
    <w:rsid w:val="004147AB"/>
    <w:pPr>
      <w:pBdr>
        <w:between w:val="double" w:sz="6" w:space="0" w:color="auto"/>
      </w:pBdr>
      <w:spacing w:before="120" w:after="120"/>
      <w:ind w:left="440"/>
      <w:jc w:val="center"/>
    </w:pPr>
    <w:rPr>
      <w:rFonts w:cstheme="minorHAnsi"/>
      <w:sz w:val="20"/>
      <w:szCs w:val="20"/>
    </w:rPr>
  </w:style>
  <w:style w:type="paragraph" w:styleId="TOC5">
    <w:name w:val="toc 5"/>
    <w:basedOn w:val="Normal"/>
    <w:next w:val="Normal"/>
    <w:autoRedefine/>
    <w:uiPriority w:val="39"/>
    <w:unhideWhenUsed/>
    <w:rsid w:val="004147AB"/>
    <w:pPr>
      <w:pBdr>
        <w:between w:val="double" w:sz="6" w:space="0" w:color="auto"/>
      </w:pBdr>
      <w:spacing w:before="120" w:after="120"/>
      <w:ind w:left="660"/>
      <w:jc w:val="center"/>
    </w:pPr>
    <w:rPr>
      <w:rFonts w:cstheme="minorHAnsi"/>
      <w:sz w:val="20"/>
      <w:szCs w:val="20"/>
    </w:rPr>
  </w:style>
  <w:style w:type="paragraph" w:styleId="TOC6">
    <w:name w:val="toc 6"/>
    <w:basedOn w:val="Normal"/>
    <w:next w:val="Normal"/>
    <w:autoRedefine/>
    <w:uiPriority w:val="39"/>
    <w:unhideWhenUsed/>
    <w:rsid w:val="004147AB"/>
    <w:pPr>
      <w:pBdr>
        <w:between w:val="double" w:sz="6" w:space="0" w:color="auto"/>
      </w:pBdr>
      <w:spacing w:before="120" w:after="120"/>
      <w:ind w:left="880"/>
      <w:jc w:val="center"/>
    </w:pPr>
    <w:rPr>
      <w:rFonts w:cstheme="minorHAnsi"/>
      <w:sz w:val="20"/>
      <w:szCs w:val="20"/>
    </w:rPr>
  </w:style>
  <w:style w:type="paragraph" w:styleId="TOC7">
    <w:name w:val="toc 7"/>
    <w:basedOn w:val="Normal"/>
    <w:next w:val="Normal"/>
    <w:autoRedefine/>
    <w:uiPriority w:val="39"/>
    <w:unhideWhenUsed/>
    <w:rsid w:val="004147AB"/>
    <w:pPr>
      <w:pBdr>
        <w:between w:val="double" w:sz="6" w:space="0" w:color="auto"/>
      </w:pBdr>
      <w:spacing w:before="120" w:after="120"/>
      <w:ind w:left="1100"/>
      <w:jc w:val="center"/>
    </w:pPr>
    <w:rPr>
      <w:rFonts w:cstheme="minorHAnsi"/>
      <w:sz w:val="20"/>
      <w:szCs w:val="20"/>
    </w:rPr>
  </w:style>
  <w:style w:type="paragraph" w:styleId="TOC8">
    <w:name w:val="toc 8"/>
    <w:basedOn w:val="Normal"/>
    <w:next w:val="Normal"/>
    <w:autoRedefine/>
    <w:uiPriority w:val="39"/>
    <w:unhideWhenUsed/>
    <w:rsid w:val="004147AB"/>
    <w:pPr>
      <w:pBdr>
        <w:between w:val="double" w:sz="6" w:space="0" w:color="auto"/>
      </w:pBdr>
      <w:spacing w:before="120" w:after="120"/>
      <w:ind w:left="1320"/>
      <w:jc w:val="center"/>
    </w:pPr>
    <w:rPr>
      <w:rFonts w:cstheme="minorHAnsi"/>
      <w:sz w:val="20"/>
      <w:szCs w:val="20"/>
    </w:rPr>
  </w:style>
  <w:style w:type="paragraph" w:styleId="TOC9">
    <w:name w:val="toc 9"/>
    <w:basedOn w:val="Normal"/>
    <w:next w:val="Normal"/>
    <w:autoRedefine/>
    <w:uiPriority w:val="39"/>
    <w:unhideWhenUsed/>
    <w:rsid w:val="004147AB"/>
    <w:pPr>
      <w:pBdr>
        <w:between w:val="double" w:sz="6" w:space="0" w:color="auto"/>
      </w:pBdr>
      <w:spacing w:before="120" w:after="120"/>
      <w:ind w:left="1540"/>
      <w:jc w:val="center"/>
    </w:pPr>
    <w:rPr>
      <w:rFonts w:cstheme="minorHAnsi"/>
      <w:sz w:val="20"/>
      <w:szCs w:val="20"/>
    </w:rPr>
  </w:style>
  <w:style w:type="paragraph" w:customStyle="1" w:styleId="PreformattedText">
    <w:name w:val="Preformatted Text"/>
    <w:basedOn w:val="Normal"/>
    <w:qFormat/>
    <w:rsid w:val="007A7A71"/>
    <w:pPr>
      <w:widowControl w:val="0"/>
      <w:suppressAutoHyphens/>
      <w:spacing w:after="0" w:line="240" w:lineRule="auto"/>
    </w:pPr>
    <w:rPr>
      <w:rFonts w:ascii="Liberation Mono" w:eastAsia="Liberation Mono" w:hAnsi="Liberation Mono" w:cs="Liberation Mono"/>
      <w:sz w:val="20"/>
      <w:szCs w:val="20"/>
      <w:lang w:eastAsia="zh-CN" w:bidi="hi-IN"/>
    </w:rPr>
  </w:style>
  <w:style w:type="table" w:styleId="TableGrid">
    <w:name w:val="Table Grid"/>
    <w:basedOn w:val="TableNormal"/>
    <w:uiPriority w:val="39"/>
    <w:rsid w:val="00774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22005"/>
  </w:style>
  <w:style w:type="character" w:customStyle="1" w:styleId="xcontentpasted1">
    <w:name w:val="x_contentpasted1"/>
    <w:basedOn w:val="DefaultParagraphFont"/>
    <w:rsid w:val="00A22005"/>
  </w:style>
  <w:style w:type="paragraph" w:customStyle="1" w:styleId="yiv6691212392msonormal">
    <w:name w:val="yiv6691212392msonormal"/>
    <w:basedOn w:val="Normal"/>
    <w:rsid w:val="00A2200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22005"/>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6C5736"/>
    <w:rPr>
      <w:color w:val="954F72"/>
      <w:u w:val="single"/>
    </w:rPr>
  </w:style>
  <w:style w:type="paragraph" w:customStyle="1" w:styleId="msonormal0">
    <w:name w:val="msonormal"/>
    <w:basedOn w:val="Normal"/>
    <w:rsid w:val="006C57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6C573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6C5736"/>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7">
    <w:name w:val="font7"/>
    <w:basedOn w:val="Normal"/>
    <w:rsid w:val="006C57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8">
    <w:name w:val="font8"/>
    <w:basedOn w:val="Normal"/>
    <w:rsid w:val="006C5736"/>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9">
    <w:name w:val="font9"/>
    <w:basedOn w:val="Normal"/>
    <w:rsid w:val="006C5736"/>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10">
    <w:name w:val="font10"/>
    <w:basedOn w:val="Normal"/>
    <w:rsid w:val="006C57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1">
    <w:name w:val="font11"/>
    <w:basedOn w:val="Normal"/>
    <w:rsid w:val="006C5736"/>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2">
    <w:name w:val="font12"/>
    <w:basedOn w:val="Normal"/>
    <w:rsid w:val="006C5736"/>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3">
    <w:name w:val="font13"/>
    <w:basedOn w:val="Normal"/>
    <w:rsid w:val="006C5736"/>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Normal"/>
    <w:rsid w:val="006C5736"/>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font15">
    <w:name w:val="font15"/>
    <w:basedOn w:val="Normal"/>
    <w:rsid w:val="006C5736"/>
    <w:pPr>
      <w:spacing w:before="100" w:beforeAutospacing="1" w:after="100" w:afterAutospacing="1" w:line="240" w:lineRule="auto"/>
    </w:pPr>
    <w:rPr>
      <w:rFonts w:ascii="Times New Roman" w:eastAsia="Times New Roman" w:hAnsi="Times New Roman" w:cs="Times New Roman"/>
      <w:b/>
      <w:bCs/>
      <w:color w:val="00B0F0"/>
      <w:sz w:val="24"/>
      <w:szCs w:val="24"/>
    </w:rPr>
  </w:style>
  <w:style w:type="paragraph" w:customStyle="1" w:styleId="font16">
    <w:name w:val="font16"/>
    <w:basedOn w:val="Normal"/>
    <w:rsid w:val="006C573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6">
    <w:name w:val="xl76"/>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6C5736"/>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78">
    <w:name w:val="xl78"/>
    <w:basedOn w:val="Normal"/>
    <w:rsid w:val="006C57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9">
    <w:name w:val="xl79"/>
    <w:basedOn w:val="Normal"/>
    <w:rsid w:val="006C5736"/>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0">
    <w:name w:val="xl80"/>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2">
    <w:name w:val="xl82"/>
    <w:basedOn w:val="Normal"/>
    <w:rsid w:val="006C5736"/>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3">
    <w:name w:val="xl83"/>
    <w:basedOn w:val="Normal"/>
    <w:rsid w:val="006C5736"/>
    <w:pP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84">
    <w:name w:val="xl84"/>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6C57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7">
    <w:name w:val="xl87"/>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Normal"/>
    <w:rsid w:val="006C57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0">
    <w:name w:val="xl90"/>
    <w:basedOn w:val="Normal"/>
    <w:rsid w:val="006C57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1">
    <w:name w:val="xl91"/>
    <w:basedOn w:val="Normal"/>
    <w:rsid w:val="006C57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3">
    <w:name w:val="xl93"/>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4">
    <w:name w:val="xl94"/>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5">
    <w:name w:val="xl95"/>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6C57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7">
    <w:name w:val="xl97"/>
    <w:basedOn w:val="Normal"/>
    <w:rsid w:val="006C57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8">
    <w:name w:val="xl98"/>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66CC"/>
      <w:sz w:val="24"/>
      <w:szCs w:val="24"/>
    </w:rPr>
  </w:style>
  <w:style w:type="paragraph" w:customStyle="1" w:styleId="xl99">
    <w:name w:val="xl99"/>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6C57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3">
    <w:name w:val="xl103"/>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4">
    <w:name w:val="xl104"/>
    <w:basedOn w:val="Normal"/>
    <w:rsid w:val="006C5736"/>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5">
    <w:name w:val="xl105"/>
    <w:basedOn w:val="Normal"/>
    <w:rsid w:val="006C57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6">
    <w:name w:val="xl106"/>
    <w:basedOn w:val="Normal"/>
    <w:rsid w:val="006C573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7">
    <w:name w:val="xl107"/>
    <w:basedOn w:val="Normal"/>
    <w:rsid w:val="006C573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8">
    <w:name w:val="xl108"/>
    <w:basedOn w:val="Normal"/>
    <w:rsid w:val="006C5736"/>
    <w:pPr>
      <w:pBdr>
        <w:top w:val="single" w:sz="4" w:space="0" w:color="auto"/>
        <w:bottom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9">
    <w:name w:val="xl109"/>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11">
    <w:name w:val="xl111"/>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12">
    <w:name w:val="xl112"/>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3">
    <w:name w:val="xl113"/>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4">
    <w:name w:val="xl114"/>
    <w:basedOn w:val="Normal"/>
    <w:rsid w:val="006C57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5">
    <w:name w:val="xl115"/>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16">
    <w:name w:val="xl116"/>
    <w:basedOn w:val="Normal"/>
    <w:rsid w:val="006C5736"/>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7">
    <w:name w:val="xl117"/>
    <w:basedOn w:val="Normal"/>
    <w:rsid w:val="006C5736"/>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18">
    <w:name w:val="xl118"/>
    <w:basedOn w:val="Normal"/>
    <w:rsid w:val="006C5736"/>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19">
    <w:name w:val="xl119"/>
    <w:basedOn w:val="Normal"/>
    <w:rsid w:val="006C5736"/>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Normal"/>
    <w:rsid w:val="006C5736"/>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21">
    <w:name w:val="xl121"/>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6C5736"/>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Normal"/>
    <w:rsid w:val="006C5736"/>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5">
    <w:name w:val="xl125"/>
    <w:basedOn w:val="Normal"/>
    <w:rsid w:val="006C5736"/>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26">
    <w:name w:val="xl126"/>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8">
    <w:name w:val="xl128"/>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9">
    <w:name w:val="xl129"/>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Normal"/>
    <w:rsid w:val="006C57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1">
    <w:name w:val="xl131"/>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2">
    <w:name w:val="xl132"/>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Normal"/>
    <w:rsid w:val="006C57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4">
    <w:name w:val="xl134"/>
    <w:basedOn w:val="Normal"/>
    <w:rsid w:val="006C573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36">
    <w:name w:val="xl136"/>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Normal"/>
    <w:rsid w:val="006C573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8">
    <w:name w:val="xl138"/>
    <w:basedOn w:val="Normal"/>
    <w:rsid w:val="006C57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9">
    <w:name w:val="xl139"/>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6C573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1">
    <w:name w:val="xl141"/>
    <w:basedOn w:val="Normal"/>
    <w:rsid w:val="006C5736"/>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2">
    <w:name w:val="xl142"/>
    <w:basedOn w:val="Normal"/>
    <w:rsid w:val="006C573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6C57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Normal"/>
    <w:rsid w:val="006C57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Normal"/>
    <w:rsid w:val="006C5736"/>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48">
    <w:name w:val="xl148"/>
    <w:basedOn w:val="Normal"/>
    <w:rsid w:val="006C5736"/>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9">
    <w:name w:val="xl149"/>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0">
    <w:name w:val="xl150"/>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1">
    <w:name w:val="xl151"/>
    <w:basedOn w:val="Normal"/>
    <w:rsid w:val="006C57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2">
    <w:name w:val="xl152"/>
    <w:basedOn w:val="Normal"/>
    <w:rsid w:val="006C57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6C57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0">
    <w:name w:val="xl160"/>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Normal"/>
    <w:rsid w:val="006C573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2">
    <w:name w:val="xl162"/>
    <w:basedOn w:val="Normal"/>
    <w:rsid w:val="006C573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Normal"/>
    <w:rsid w:val="006C573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64">
    <w:name w:val="xl164"/>
    <w:basedOn w:val="Normal"/>
    <w:rsid w:val="006C573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65">
    <w:name w:val="xl165"/>
    <w:basedOn w:val="Normal"/>
    <w:rsid w:val="006C5736"/>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66">
    <w:name w:val="xl166"/>
    <w:basedOn w:val="Normal"/>
    <w:rsid w:val="006C573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Normal"/>
    <w:rsid w:val="006C57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8">
    <w:name w:val="xl168"/>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Normal"/>
    <w:rsid w:val="006C5736"/>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70">
    <w:name w:val="xl170"/>
    <w:basedOn w:val="Normal"/>
    <w:rsid w:val="006C5736"/>
    <w:pPr>
      <w:pBdr>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71">
    <w:name w:val="xl171"/>
    <w:basedOn w:val="Normal"/>
    <w:rsid w:val="006C5736"/>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72">
    <w:name w:val="xl172"/>
    <w:basedOn w:val="Normal"/>
    <w:rsid w:val="006C5736"/>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73">
    <w:name w:val="xl173"/>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5">
    <w:name w:val="xl175"/>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6">
    <w:name w:val="xl176"/>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7">
    <w:name w:val="xl177"/>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8">
    <w:name w:val="xl178"/>
    <w:basedOn w:val="Normal"/>
    <w:rsid w:val="006C5736"/>
    <w:pPr>
      <w:pBdr>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9">
    <w:name w:val="xl179"/>
    <w:basedOn w:val="Normal"/>
    <w:rsid w:val="006C5736"/>
    <w:pPr>
      <w:pBdr>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80">
    <w:name w:val="xl180"/>
    <w:basedOn w:val="Normal"/>
    <w:rsid w:val="006C5736"/>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81">
    <w:name w:val="xl181"/>
    <w:basedOn w:val="Normal"/>
    <w:rsid w:val="006C5736"/>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2">
    <w:name w:val="xl182"/>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83">
    <w:name w:val="xl183"/>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
    <w:name w:val="xl184"/>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5">
    <w:name w:val="xl185"/>
    <w:basedOn w:val="Normal"/>
    <w:rsid w:val="006C573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6">
    <w:name w:val="xl186"/>
    <w:basedOn w:val="Normal"/>
    <w:rsid w:val="006C5736"/>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87">
    <w:name w:val="xl187"/>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Normal"/>
    <w:rsid w:val="006C57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9">
    <w:name w:val="xl189"/>
    <w:basedOn w:val="Normal"/>
    <w:rsid w:val="006C573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90">
    <w:name w:val="xl190"/>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1">
    <w:name w:val="xl191"/>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2">
    <w:name w:val="xl192"/>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3">
    <w:name w:val="xl193"/>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4">
    <w:name w:val="xl194"/>
    <w:basedOn w:val="Normal"/>
    <w:rsid w:val="006C5736"/>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95">
    <w:name w:val="xl195"/>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96">
    <w:name w:val="xl196"/>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7">
    <w:name w:val="xl197"/>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8">
    <w:name w:val="xl198"/>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6C5736"/>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01">
    <w:name w:val="xl201"/>
    <w:basedOn w:val="Normal"/>
    <w:rsid w:val="006C5736"/>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2">
    <w:name w:val="xl202"/>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3">
    <w:name w:val="xl203"/>
    <w:basedOn w:val="Normal"/>
    <w:rsid w:val="006C5736"/>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4">
    <w:name w:val="xl204"/>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Normal"/>
    <w:rsid w:val="006C5736"/>
    <w:pPr>
      <w:pBdr>
        <w:top w:val="single" w:sz="4" w:space="0" w:color="auto"/>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6">
    <w:name w:val="xl206"/>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07">
    <w:name w:val="xl207"/>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8">
    <w:name w:val="xl208"/>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Normal"/>
    <w:rsid w:val="006C5736"/>
    <w:pP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1">
    <w:name w:val="xl211"/>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2">
    <w:name w:val="xl212"/>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3">
    <w:name w:val="xl213"/>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14">
    <w:name w:val="xl214"/>
    <w:basedOn w:val="Normal"/>
    <w:rsid w:val="006C5736"/>
    <w:pPr>
      <w:pBdr>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15">
    <w:name w:val="xl215"/>
    <w:basedOn w:val="Normal"/>
    <w:rsid w:val="006C573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6">
    <w:name w:val="xl216"/>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7">
    <w:name w:val="xl217"/>
    <w:basedOn w:val="Normal"/>
    <w:rsid w:val="006C5736"/>
    <w:pPr>
      <w:pBdr>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18">
    <w:name w:val="xl218"/>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19">
    <w:name w:val="xl219"/>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0">
    <w:name w:val="xl220"/>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1">
    <w:name w:val="xl221"/>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2">
    <w:name w:val="xl222"/>
    <w:basedOn w:val="Normal"/>
    <w:rsid w:val="006C573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3">
    <w:name w:val="xl223"/>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4">
    <w:name w:val="xl224"/>
    <w:basedOn w:val="Normal"/>
    <w:rsid w:val="006C573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25">
    <w:name w:val="xl225"/>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6">
    <w:name w:val="xl226"/>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
    <w:name w:val="xl227"/>
    <w:basedOn w:val="Normal"/>
    <w:rsid w:val="006C573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
    <w:name w:val="xl228"/>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
    <w:name w:val="xl230"/>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
    <w:name w:val="xl231"/>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
    <w:name w:val="xl232"/>
    <w:basedOn w:val="Normal"/>
    <w:rsid w:val="006C5736"/>
    <w:pPr>
      <w:pBdr>
        <w:top w:val="single" w:sz="4" w:space="0" w:color="auto"/>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3">
    <w:name w:val="xl233"/>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4">
    <w:name w:val="xl234"/>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5">
    <w:name w:val="xl235"/>
    <w:basedOn w:val="Normal"/>
    <w:rsid w:val="006C5736"/>
    <w:pPr>
      <w:pBdr>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6">
    <w:name w:val="xl236"/>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7">
    <w:name w:val="xl237"/>
    <w:basedOn w:val="Normal"/>
    <w:rsid w:val="006C5736"/>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8">
    <w:name w:val="xl238"/>
    <w:basedOn w:val="Normal"/>
    <w:rsid w:val="006C5736"/>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39">
    <w:name w:val="xl239"/>
    <w:basedOn w:val="Normal"/>
    <w:rsid w:val="006C5736"/>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0">
    <w:name w:val="xl240"/>
    <w:basedOn w:val="Normal"/>
    <w:rsid w:val="006C5736"/>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1">
    <w:name w:val="xl241"/>
    <w:basedOn w:val="Normal"/>
    <w:rsid w:val="006C5736"/>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2">
    <w:name w:val="xl242"/>
    <w:basedOn w:val="Normal"/>
    <w:rsid w:val="006C5736"/>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3">
    <w:name w:val="xl243"/>
    <w:basedOn w:val="Normal"/>
    <w:rsid w:val="006C5736"/>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4">
    <w:name w:val="xl244"/>
    <w:basedOn w:val="Normal"/>
    <w:rsid w:val="006C5736"/>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5">
    <w:name w:val="xl245"/>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46">
    <w:name w:val="xl246"/>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47">
    <w:name w:val="xl247"/>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48">
    <w:name w:val="xl248"/>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9">
    <w:name w:val="xl249"/>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0">
    <w:name w:val="xl250"/>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1">
    <w:name w:val="xl251"/>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2">
    <w:name w:val="xl252"/>
    <w:basedOn w:val="Normal"/>
    <w:rsid w:val="006C573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53">
    <w:name w:val="xl253"/>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54">
    <w:name w:val="xl254"/>
    <w:basedOn w:val="Normal"/>
    <w:rsid w:val="006C5736"/>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255">
    <w:name w:val="xl255"/>
    <w:basedOn w:val="Normal"/>
    <w:rsid w:val="006C57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6">
    <w:name w:val="xl256"/>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7">
    <w:name w:val="xl257"/>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8">
    <w:name w:val="xl258"/>
    <w:basedOn w:val="Normal"/>
    <w:rsid w:val="006C57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59">
    <w:name w:val="xl259"/>
    <w:basedOn w:val="Normal"/>
    <w:rsid w:val="006C57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60">
    <w:name w:val="xl260"/>
    <w:basedOn w:val="Normal"/>
    <w:rsid w:val="006C57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1">
    <w:name w:val="xl261"/>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62">
    <w:name w:val="xl262"/>
    <w:basedOn w:val="Normal"/>
    <w:rsid w:val="006C57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3">
    <w:name w:val="xl263"/>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64">
    <w:name w:val="xl264"/>
    <w:basedOn w:val="Normal"/>
    <w:rsid w:val="006C57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5">
    <w:name w:val="xl265"/>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66">
    <w:name w:val="xl266"/>
    <w:basedOn w:val="Normal"/>
    <w:rsid w:val="006C5736"/>
    <w:pPr>
      <w:pBdr>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67">
    <w:name w:val="xl267"/>
    <w:basedOn w:val="Normal"/>
    <w:rsid w:val="006C57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6C5736"/>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9">
    <w:name w:val="xl269"/>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0">
    <w:name w:val="xl270"/>
    <w:basedOn w:val="Normal"/>
    <w:rsid w:val="006C57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1">
    <w:name w:val="xl271"/>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2">
    <w:name w:val="xl272"/>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3">
    <w:name w:val="xl273"/>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4">
    <w:name w:val="xl274"/>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5">
    <w:name w:val="xl275"/>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6">
    <w:name w:val="xl276"/>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7">
    <w:name w:val="xl277"/>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8">
    <w:name w:val="xl278"/>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9">
    <w:name w:val="xl279"/>
    <w:basedOn w:val="Normal"/>
    <w:rsid w:val="006C573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0">
    <w:name w:val="xl280"/>
    <w:basedOn w:val="Normal"/>
    <w:rsid w:val="006C573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1">
    <w:name w:val="xl281"/>
    <w:basedOn w:val="Normal"/>
    <w:rsid w:val="006C573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2">
    <w:name w:val="xl282"/>
    <w:basedOn w:val="Normal"/>
    <w:rsid w:val="006C573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3">
    <w:name w:val="xl283"/>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4">
    <w:name w:val="xl284"/>
    <w:basedOn w:val="Normal"/>
    <w:rsid w:val="006C57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5">
    <w:name w:val="xl285"/>
    <w:basedOn w:val="Normal"/>
    <w:rsid w:val="006C573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86">
    <w:name w:val="xl286"/>
    <w:basedOn w:val="Normal"/>
    <w:rsid w:val="006C57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7">
    <w:name w:val="xl287"/>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8">
    <w:name w:val="xl288"/>
    <w:basedOn w:val="Normal"/>
    <w:rsid w:val="006C5736"/>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9">
    <w:name w:val="xl289"/>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0">
    <w:name w:val="xl290"/>
    <w:basedOn w:val="Normal"/>
    <w:rsid w:val="006C5736"/>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1">
    <w:name w:val="xl291"/>
    <w:basedOn w:val="Normal"/>
    <w:rsid w:val="006C5736"/>
    <w:pP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92">
    <w:name w:val="xl292"/>
    <w:basedOn w:val="Normal"/>
    <w:rsid w:val="006C573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93">
    <w:name w:val="xl293"/>
    <w:basedOn w:val="Normal"/>
    <w:rsid w:val="006C573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94">
    <w:name w:val="xl294"/>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5">
    <w:name w:val="xl295"/>
    <w:basedOn w:val="Normal"/>
    <w:rsid w:val="006C573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6">
    <w:name w:val="xl296"/>
    <w:basedOn w:val="Normal"/>
    <w:rsid w:val="006C573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7">
    <w:name w:val="xl297"/>
    <w:basedOn w:val="Normal"/>
    <w:rsid w:val="006C5736"/>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98">
    <w:name w:val="xl298"/>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9">
    <w:name w:val="xl299"/>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0">
    <w:name w:val="xl300"/>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1">
    <w:name w:val="xl301"/>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302">
    <w:name w:val="xl302"/>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303">
    <w:name w:val="xl303"/>
    <w:basedOn w:val="Normal"/>
    <w:rsid w:val="006C57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304">
    <w:name w:val="xl304"/>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05">
    <w:name w:val="xl305"/>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06">
    <w:name w:val="xl306"/>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07">
    <w:name w:val="xl307"/>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08">
    <w:name w:val="xl308"/>
    <w:basedOn w:val="Normal"/>
    <w:rsid w:val="006C57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09">
    <w:name w:val="xl309"/>
    <w:basedOn w:val="Normal"/>
    <w:rsid w:val="006C57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0">
    <w:name w:val="xl310"/>
    <w:basedOn w:val="Normal"/>
    <w:rsid w:val="006C57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1">
    <w:name w:val="xl311"/>
    <w:basedOn w:val="Normal"/>
    <w:rsid w:val="006C57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2">
    <w:name w:val="xl312"/>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313">
    <w:name w:val="xl313"/>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314">
    <w:name w:val="xl314"/>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5">
    <w:name w:val="xl315"/>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6">
    <w:name w:val="xl316"/>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17">
    <w:name w:val="xl317"/>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18">
    <w:name w:val="xl318"/>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19">
    <w:name w:val="xl319"/>
    <w:basedOn w:val="Normal"/>
    <w:rsid w:val="006C5736"/>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20">
    <w:name w:val="xl320"/>
    <w:basedOn w:val="Normal"/>
    <w:rsid w:val="006C573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21">
    <w:name w:val="xl321"/>
    <w:basedOn w:val="Normal"/>
    <w:rsid w:val="006C5736"/>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22">
    <w:name w:val="xl322"/>
    <w:basedOn w:val="Normal"/>
    <w:rsid w:val="006C5736"/>
    <w:pPr>
      <w:pBdr>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23">
    <w:name w:val="xl323"/>
    <w:basedOn w:val="Normal"/>
    <w:rsid w:val="006C5736"/>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24">
    <w:name w:val="xl324"/>
    <w:basedOn w:val="Normal"/>
    <w:rsid w:val="006C5736"/>
    <w:pPr>
      <w:pBdr>
        <w:top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25">
    <w:name w:val="xl325"/>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6">
    <w:name w:val="xl326"/>
    <w:basedOn w:val="Normal"/>
    <w:rsid w:val="006C5736"/>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27">
    <w:name w:val="xl327"/>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28">
    <w:name w:val="xl328"/>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29">
    <w:name w:val="xl329"/>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30">
    <w:name w:val="xl330"/>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31">
    <w:name w:val="xl331"/>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32">
    <w:name w:val="xl332"/>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33">
    <w:name w:val="xl333"/>
    <w:basedOn w:val="Normal"/>
    <w:rsid w:val="006C573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34">
    <w:name w:val="xl334"/>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5">
    <w:name w:val="xl335"/>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6">
    <w:name w:val="xl336"/>
    <w:basedOn w:val="Normal"/>
    <w:rsid w:val="006C573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7">
    <w:name w:val="xl337"/>
    <w:basedOn w:val="Normal"/>
    <w:rsid w:val="006C57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38">
    <w:name w:val="xl338"/>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39">
    <w:name w:val="xl339"/>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0">
    <w:name w:val="xl340"/>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41">
    <w:name w:val="xl341"/>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42">
    <w:name w:val="xl342"/>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3">
    <w:name w:val="xl343"/>
    <w:basedOn w:val="Normal"/>
    <w:rsid w:val="006C57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4">
    <w:name w:val="xl344"/>
    <w:basedOn w:val="Normal"/>
    <w:rsid w:val="006C57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5">
    <w:name w:val="xl345"/>
    <w:basedOn w:val="Normal"/>
    <w:rsid w:val="006C573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6C5736"/>
    <w:pPr>
      <w:pBdr>
        <w:top w:val="single" w:sz="4" w:space="0" w:color="auto"/>
        <w:lef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7">
    <w:name w:val="xl347"/>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8">
    <w:name w:val="xl348"/>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49">
    <w:name w:val="xl349"/>
    <w:basedOn w:val="Normal"/>
    <w:rsid w:val="006C57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50">
    <w:name w:val="xl350"/>
    <w:basedOn w:val="Normal"/>
    <w:rsid w:val="006C5736"/>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1">
    <w:name w:val="xl351"/>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352">
    <w:name w:val="xl352"/>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53">
    <w:name w:val="xl353"/>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54">
    <w:name w:val="xl354"/>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55">
    <w:name w:val="xl355"/>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56">
    <w:name w:val="xl356"/>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7">
    <w:name w:val="xl357"/>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58">
    <w:name w:val="xl358"/>
    <w:basedOn w:val="Normal"/>
    <w:rsid w:val="006C573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
    <w:name w:val="xl359"/>
    <w:basedOn w:val="Normal"/>
    <w:rsid w:val="006C573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0">
    <w:name w:val="xl360"/>
    <w:basedOn w:val="Normal"/>
    <w:rsid w:val="006C573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1">
    <w:name w:val="xl361"/>
    <w:basedOn w:val="Normal"/>
    <w:rsid w:val="006C573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2">
    <w:name w:val="xl362"/>
    <w:basedOn w:val="Normal"/>
    <w:rsid w:val="006C573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63">
    <w:name w:val="xl363"/>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4">
    <w:name w:val="xl364"/>
    <w:basedOn w:val="Normal"/>
    <w:rsid w:val="006C573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Normal"/>
    <w:rsid w:val="006C573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6">
    <w:name w:val="xl366"/>
    <w:basedOn w:val="Normal"/>
    <w:rsid w:val="006C5736"/>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7">
    <w:name w:val="xl367"/>
    <w:basedOn w:val="Normal"/>
    <w:rsid w:val="006C5736"/>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8">
    <w:name w:val="xl368"/>
    <w:basedOn w:val="Normal"/>
    <w:rsid w:val="006C5736"/>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69">
    <w:name w:val="xl369"/>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70">
    <w:name w:val="xl370"/>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1">
    <w:name w:val="xl371"/>
    <w:basedOn w:val="Normal"/>
    <w:rsid w:val="006C573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2">
    <w:name w:val="xl372"/>
    <w:basedOn w:val="Normal"/>
    <w:rsid w:val="006C5736"/>
    <w:pPr>
      <w:pBdr>
        <w:top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
    <w:name w:val="xl373"/>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74">
    <w:name w:val="xl374"/>
    <w:basedOn w:val="Normal"/>
    <w:rsid w:val="006C573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5">
    <w:name w:val="xl375"/>
    <w:basedOn w:val="Normal"/>
    <w:rsid w:val="006C5736"/>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6">
    <w:name w:val="xl376"/>
    <w:basedOn w:val="Normal"/>
    <w:rsid w:val="006C5736"/>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7">
    <w:name w:val="xl377"/>
    <w:basedOn w:val="Normal"/>
    <w:rsid w:val="006C57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8">
    <w:name w:val="xl378"/>
    <w:basedOn w:val="Normal"/>
    <w:rsid w:val="006C5736"/>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9">
    <w:name w:val="xl379"/>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80">
    <w:name w:val="xl380"/>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81">
    <w:name w:val="xl381"/>
    <w:basedOn w:val="Normal"/>
    <w:rsid w:val="006C573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2">
    <w:name w:val="xl382"/>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83">
    <w:name w:val="xl383"/>
    <w:basedOn w:val="Normal"/>
    <w:rsid w:val="006C5736"/>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4">
    <w:name w:val="xl384"/>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85">
    <w:name w:val="xl385"/>
    <w:basedOn w:val="Normal"/>
    <w:rsid w:val="006C573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86">
    <w:name w:val="xl386"/>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387">
    <w:name w:val="xl387"/>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88">
    <w:name w:val="xl388"/>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89">
    <w:name w:val="xl389"/>
    <w:basedOn w:val="Normal"/>
    <w:rsid w:val="006C5736"/>
    <w:pPr>
      <w:pBdr>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90">
    <w:name w:val="xl390"/>
    <w:basedOn w:val="Normal"/>
    <w:rsid w:val="006C5736"/>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91">
    <w:name w:val="xl391"/>
    <w:basedOn w:val="Normal"/>
    <w:rsid w:val="006C5736"/>
    <w:pPr>
      <w:pBdr>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92">
    <w:name w:val="xl392"/>
    <w:basedOn w:val="Normal"/>
    <w:rsid w:val="006C5736"/>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93">
    <w:name w:val="xl393"/>
    <w:basedOn w:val="Normal"/>
    <w:rsid w:val="006C5736"/>
    <w:pPr>
      <w:pBdr>
        <w:top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94">
    <w:name w:val="xl394"/>
    <w:basedOn w:val="Normal"/>
    <w:rsid w:val="006C5736"/>
    <w:pPr>
      <w:pBdr>
        <w:top w:val="single" w:sz="4" w:space="0" w:color="auto"/>
        <w:lef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95">
    <w:name w:val="xl395"/>
    <w:basedOn w:val="Normal"/>
    <w:rsid w:val="006C5736"/>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396">
    <w:name w:val="xl396"/>
    <w:basedOn w:val="Normal"/>
    <w:rsid w:val="006C573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397">
    <w:name w:val="xl397"/>
    <w:basedOn w:val="Normal"/>
    <w:rsid w:val="006C5736"/>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398">
    <w:name w:val="xl398"/>
    <w:basedOn w:val="Normal"/>
    <w:rsid w:val="006C5736"/>
    <w:pPr>
      <w:pBdr>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99">
    <w:name w:val="xl399"/>
    <w:basedOn w:val="Normal"/>
    <w:rsid w:val="006C5736"/>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400">
    <w:name w:val="xl400"/>
    <w:basedOn w:val="Normal"/>
    <w:rsid w:val="006C5736"/>
    <w:pPr>
      <w:pBdr>
        <w:top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401">
    <w:name w:val="xl401"/>
    <w:basedOn w:val="Normal"/>
    <w:rsid w:val="006C5736"/>
    <w:pPr>
      <w:pBdr>
        <w:top w:val="single" w:sz="4" w:space="0" w:color="auto"/>
        <w:left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402">
    <w:name w:val="xl402"/>
    <w:basedOn w:val="Normal"/>
    <w:rsid w:val="006C57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03">
    <w:name w:val="xl403"/>
    <w:basedOn w:val="Normal"/>
    <w:rsid w:val="006C573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404">
    <w:name w:val="xl404"/>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405">
    <w:name w:val="xl405"/>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06">
    <w:name w:val="xl406"/>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7">
    <w:name w:val="xl407"/>
    <w:basedOn w:val="Normal"/>
    <w:rsid w:val="006C573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8">
    <w:name w:val="xl408"/>
    <w:basedOn w:val="Normal"/>
    <w:rsid w:val="006C573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9">
    <w:name w:val="xl409"/>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10">
    <w:name w:val="xl410"/>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11">
    <w:name w:val="xl411"/>
    <w:basedOn w:val="Normal"/>
    <w:rsid w:val="006C5736"/>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412">
    <w:name w:val="xl412"/>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3">
    <w:name w:val="xl413"/>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5B9BD5"/>
      <w:sz w:val="24"/>
      <w:szCs w:val="24"/>
    </w:rPr>
  </w:style>
  <w:style w:type="paragraph" w:customStyle="1" w:styleId="xl414">
    <w:name w:val="xl414"/>
    <w:basedOn w:val="Normal"/>
    <w:rsid w:val="006C573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15">
    <w:name w:val="xl415"/>
    <w:basedOn w:val="Normal"/>
    <w:rsid w:val="006C57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16">
    <w:name w:val="xl416"/>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7">
    <w:name w:val="xl417"/>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8">
    <w:name w:val="xl418"/>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9">
    <w:name w:val="xl419"/>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0">
    <w:name w:val="xl420"/>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1">
    <w:name w:val="xl421"/>
    <w:basedOn w:val="Normal"/>
    <w:rsid w:val="006C57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22">
    <w:name w:val="xl422"/>
    <w:basedOn w:val="Normal"/>
    <w:rsid w:val="006C573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3">
    <w:name w:val="xl423"/>
    <w:basedOn w:val="Normal"/>
    <w:rsid w:val="006C5736"/>
    <w:pPr>
      <w:pBdr>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424">
    <w:name w:val="xl424"/>
    <w:basedOn w:val="Normal"/>
    <w:rsid w:val="006C5736"/>
    <w:pPr>
      <w:pBdr>
        <w:top w:val="single" w:sz="4" w:space="0" w:color="auto"/>
        <w:left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425">
    <w:name w:val="xl425"/>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6">
    <w:name w:val="xl426"/>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427">
    <w:name w:val="xl427"/>
    <w:basedOn w:val="Normal"/>
    <w:rsid w:val="006C5736"/>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28">
    <w:name w:val="xl428"/>
    <w:basedOn w:val="Normal"/>
    <w:rsid w:val="006C5736"/>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29">
    <w:name w:val="xl429"/>
    <w:basedOn w:val="Normal"/>
    <w:rsid w:val="006C5736"/>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430">
    <w:name w:val="xl430"/>
    <w:basedOn w:val="Normal"/>
    <w:rsid w:val="006C573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31">
    <w:name w:val="xl431"/>
    <w:basedOn w:val="Normal"/>
    <w:rsid w:val="006C573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32">
    <w:name w:val="xl432"/>
    <w:basedOn w:val="Normal"/>
    <w:rsid w:val="006C5736"/>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33">
    <w:name w:val="xl433"/>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34">
    <w:name w:val="xl434"/>
    <w:basedOn w:val="Normal"/>
    <w:rsid w:val="006C5736"/>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35">
    <w:name w:val="xl435"/>
    <w:basedOn w:val="Normal"/>
    <w:rsid w:val="006C5736"/>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36">
    <w:name w:val="xl436"/>
    <w:basedOn w:val="Normal"/>
    <w:rsid w:val="006C57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437">
    <w:name w:val="xl437"/>
    <w:basedOn w:val="Normal"/>
    <w:rsid w:val="006C5736"/>
    <w:pPr>
      <w:pBdr>
        <w:top w:val="single" w:sz="4" w:space="0" w:color="auto"/>
        <w:lef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38">
    <w:name w:val="xl438"/>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39">
    <w:name w:val="xl439"/>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FF0000"/>
      <w:sz w:val="24"/>
      <w:szCs w:val="24"/>
    </w:rPr>
  </w:style>
  <w:style w:type="paragraph" w:customStyle="1" w:styleId="xl440">
    <w:name w:val="xl440"/>
    <w:basedOn w:val="Normal"/>
    <w:rsid w:val="006C573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41">
    <w:name w:val="xl441"/>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442">
    <w:name w:val="xl442"/>
    <w:basedOn w:val="Normal"/>
    <w:rsid w:val="006C5736"/>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43">
    <w:name w:val="xl443"/>
    <w:basedOn w:val="Normal"/>
    <w:rsid w:val="006C57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444">
    <w:name w:val="xl444"/>
    <w:basedOn w:val="Normal"/>
    <w:rsid w:val="006C57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445">
    <w:name w:val="xl445"/>
    <w:basedOn w:val="Normal"/>
    <w:rsid w:val="006C57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446">
    <w:name w:val="xl446"/>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7">
    <w:name w:val="xl447"/>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448">
    <w:name w:val="xl448"/>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449">
    <w:name w:val="xl449"/>
    <w:basedOn w:val="Normal"/>
    <w:rsid w:val="006C5736"/>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50">
    <w:name w:val="xl450"/>
    <w:basedOn w:val="Normal"/>
    <w:rsid w:val="006C573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51">
    <w:name w:val="xl451"/>
    <w:basedOn w:val="Normal"/>
    <w:rsid w:val="006C5736"/>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52">
    <w:name w:val="xl452"/>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5B9BD5"/>
      <w:sz w:val="24"/>
      <w:szCs w:val="24"/>
    </w:rPr>
  </w:style>
  <w:style w:type="paragraph" w:customStyle="1" w:styleId="xl453">
    <w:name w:val="xl453"/>
    <w:basedOn w:val="Normal"/>
    <w:rsid w:val="006C57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454">
    <w:name w:val="xl454"/>
    <w:basedOn w:val="Normal"/>
    <w:rsid w:val="006C5736"/>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455">
    <w:name w:val="xl455"/>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456">
    <w:name w:val="xl456"/>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FF0000"/>
      <w:sz w:val="24"/>
      <w:szCs w:val="24"/>
    </w:rPr>
  </w:style>
  <w:style w:type="paragraph" w:customStyle="1" w:styleId="xl457">
    <w:name w:val="xl457"/>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58">
    <w:name w:val="xl458"/>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59">
    <w:name w:val="xl459"/>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460">
    <w:name w:val="xl460"/>
    <w:basedOn w:val="Normal"/>
    <w:rsid w:val="006C573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61">
    <w:name w:val="xl461"/>
    <w:basedOn w:val="Normal"/>
    <w:rsid w:val="006C573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62">
    <w:name w:val="xl462"/>
    <w:basedOn w:val="Normal"/>
    <w:rsid w:val="006C573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63">
    <w:name w:val="xl463"/>
    <w:basedOn w:val="Normal"/>
    <w:rsid w:val="006C5736"/>
    <w:pPr>
      <w:pBdr>
        <w:lef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64">
    <w:name w:val="xl464"/>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65">
    <w:name w:val="xl465"/>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66">
    <w:name w:val="xl466"/>
    <w:basedOn w:val="Normal"/>
    <w:rsid w:val="006C5736"/>
    <w:pPr>
      <w:pBdr>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467">
    <w:name w:val="xl467"/>
    <w:basedOn w:val="Normal"/>
    <w:rsid w:val="006C5736"/>
    <w:pPr>
      <w:pBdr>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8">
    <w:name w:val="xl468"/>
    <w:basedOn w:val="Normal"/>
    <w:rsid w:val="006C5736"/>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69">
    <w:name w:val="xl469"/>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FF0000"/>
      <w:sz w:val="20"/>
      <w:szCs w:val="20"/>
    </w:rPr>
  </w:style>
  <w:style w:type="paragraph" w:customStyle="1" w:styleId="xl470">
    <w:name w:val="xl470"/>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71">
    <w:name w:val="xl471"/>
    <w:basedOn w:val="Normal"/>
    <w:rsid w:val="006C5736"/>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72">
    <w:name w:val="xl472"/>
    <w:basedOn w:val="Normal"/>
    <w:rsid w:val="006C573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3">
    <w:name w:val="xl473"/>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4">
    <w:name w:val="xl474"/>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75">
    <w:name w:val="xl475"/>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76">
    <w:name w:val="xl476"/>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77">
    <w:name w:val="xl477"/>
    <w:basedOn w:val="Normal"/>
    <w:rsid w:val="006C5736"/>
    <w:pPr>
      <w:pBdr>
        <w:top w:val="single" w:sz="8" w:space="0" w:color="auto"/>
        <w:left w:val="single" w:sz="4"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8">
    <w:name w:val="xl478"/>
    <w:basedOn w:val="Normal"/>
    <w:rsid w:val="006C5736"/>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9">
    <w:name w:val="xl479"/>
    <w:basedOn w:val="Normal"/>
    <w:rsid w:val="006C573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0">
    <w:name w:val="xl480"/>
    <w:basedOn w:val="Normal"/>
    <w:rsid w:val="006C573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1">
    <w:name w:val="xl481"/>
    <w:basedOn w:val="Normal"/>
    <w:rsid w:val="006C573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82">
    <w:name w:val="xl482"/>
    <w:basedOn w:val="Normal"/>
    <w:rsid w:val="006C5736"/>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3">
    <w:name w:val="xl483"/>
    <w:basedOn w:val="Normal"/>
    <w:rsid w:val="006C573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4">
    <w:name w:val="xl484"/>
    <w:basedOn w:val="Normal"/>
    <w:rsid w:val="006C5736"/>
    <w:pPr>
      <w:pBdr>
        <w:lef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85">
    <w:name w:val="xl485"/>
    <w:basedOn w:val="Normal"/>
    <w:rsid w:val="006C5736"/>
    <w:pPr>
      <w:pBdr>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86">
    <w:name w:val="xl486"/>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87">
    <w:name w:val="xl487"/>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488">
    <w:name w:val="xl488"/>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489">
    <w:name w:val="xl489"/>
    <w:basedOn w:val="Normal"/>
    <w:rsid w:val="006C5736"/>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0">
    <w:name w:val="xl490"/>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91">
    <w:name w:val="xl491"/>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92">
    <w:name w:val="xl492"/>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493">
    <w:name w:val="xl493"/>
    <w:basedOn w:val="Normal"/>
    <w:rsid w:val="006C57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4">
    <w:name w:val="xl494"/>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95">
    <w:name w:val="xl495"/>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96">
    <w:name w:val="xl496"/>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97">
    <w:name w:val="xl497"/>
    <w:basedOn w:val="Normal"/>
    <w:rsid w:val="006C573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98">
    <w:name w:val="xl498"/>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99">
    <w:name w:val="xl499"/>
    <w:basedOn w:val="Normal"/>
    <w:rsid w:val="006C5736"/>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00">
    <w:name w:val="xl500"/>
    <w:basedOn w:val="Normal"/>
    <w:rsid w:val="006C5736"/>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01">
    <w:name w:val="xl501"/>
    <w:basedOn w:val="Normal"/>
    <w:rsid w:val="006C57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02">
    <w:name w:val="xl502"/>
    <w:basedOn w:val="Normal"/>
    <w:rsid w:val="006C5736"/>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03">
    <w:name w:val="xl503"/>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504">
    <w:name w:val="xl504"/>
    <w:basedOn w:val="Normal"/>
    <w:rsid w:val="006C5736"/>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505">
    <w:name w:val="xl505"/>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6">
    <w:name w:val="xl506"/>
    <w:basedOn w:val="Normal"/>
    <w:rsid w:val="006C5736"/>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07">
    <w:name w:val="xl507"/>
    <w:basedOn w:val="Normal"/>
    <w:rsid w:val="006C573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08">
    <w:name w:val="xl508"/>
    <w:basedOn w:val="Normal"/>
    <w:rsid w:val="006C573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09">
    <w:name w:val="xl509"/>
    <w:basedOn w:val="Normal"/>
    <w:rsid w:val="006C573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0">
    <w:name w:val="xl510"/>
    <w:basedOn w:val="Normal"/>
    <w:rsid w:val="006C573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1">
    <w:name w:val="xl511"/>
    <w:basedOn w:val="Normal"/>
    <w:rsid w:val="006C5736"/>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2">
    <w:name w:val="xl512"/>
    <w:basedOn w:val="Normal"/>
    <w:rsid w:val="006C5736"/>
    <w:pPr>
      <w:pBdr>
        <w:top w:val="single" w:sz="4" w:space="0" w:color="auto"/>
        <w:left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513">
    <w:name w:val="xl513"/>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4">
    <w:name w:val="xl514"/>
    <w:basedOn w:val="Normal"/>
    <w:rsid w:val="006C5736"/>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5">
    <w:name w:val="xl515"/>
    <w:basedOn w:val="Normal"/>
    <w:rsid w:val="006C573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16">
    <w:name w:val="xl516"/>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17">
    <w:name w:val="xl517"/>
    <w:basedOn w:val="Normal"/>
    <w:rsid w:val="006C573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18">
    <w:name w:val="xl518"/>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19">
    <w:name w:val="xl519"/>
    <w:basedOn w:val="Normal"/>
    <w:rsid w:val="006C5736"/>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0">
    <w:name w:val="xl520"/>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21">
    <w:name w:val="xl521"/>
    <w:basedOn w:val="Normal"/>
    <w:rsid w:val="006C5736"/>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22">
    <w:name w:val="xl522"/>
    <w:basedOn w:val="Normal"/>
    <w:rsid w:val="006C5736"/>
    <w:pPr>
      <w:pBdr>
        <w:top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23">
    <w:name w:val="xl523"/>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24">
    <w:name w:val="xl524"/>
    <w:basedOn w:val="Normal"/>
    <w:rsid w:val="006C5736"/>
    <w:pPr>
      <w:pBdr>
        <w:top w:val="single" w:sz="4"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5">
    <w:name w:val="xl525"/>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6">
    <w:name w:val="xl526"/>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527">
    <w:name w:val="xl527"/>
    <w:basedOn w:val="Normal"/>
    <w:rsid w:val="006C573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8">
    <w:name w:val="xl528"/>
    <w:basedOn w:val="Normal"/>
    <w:rsid w:val="006C5736"/>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9">
    <w:name w:val="xl529"/>
    <w:basedOn w:val="Normal"/>
    <w:rsid w:val="006C5736"/>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0">
    <w:name w:val="xl530"/>
    <w:basedOn w:val="Normal"/>
    <w:rsid w:val="006C5736"/>
    <w:pPr>
      <w:pBdr>
        <w:top w:val="single" w:sz="4" w:space="0" w:color="auto"/>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1">
    <w:name w:val="xl531"/>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2">
    <w:name w:val="xl532"/>
    <w:basedOn w:val="Normal"/>
    <w:rsid w:val="006C5736"/>
    <w:pP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33">
    <w:name w:val="xl533"/>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34">
    <w:name w:val="xl534"/>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35">
    <w:name w:val="xl535"/>
    <w:basedOn w:val="Normal"/>
    <w:rsid w:val="006C5736"/>
    <w:pPr>
      <w:pBdr>
        <w:top w:val="single" w:sz="8"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36">
    <w:name w:val="xl536"/>
    <w:basedOn w:val="Normal"/>
    <w:rsid w:val="006C5736"/>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37">
    <w:name w:val="xl537"/>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38">
    <w:name w:val="xl538"/>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39">
    <w:name w:val="xl539"/>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0">
    <w:name w:val="xl540"/>
    <w:basedOn w:val="Normal"/>
    <w:rsid w:val="006C5736"/>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541">
    <w:name w:val="xl541"/>
    <w:basedOn w:val="Normal"/>
    <w:rsid w:val="006C5736"/>
    <w:pPr>
      <w:pBdr>
        <w:top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542">
    <w:name w:val="xl542"/>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43">
    <w:name w:val="xl543"/>
    <w:basedOn w:val="Normal"/>
    <w:rsid w:val="006C573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44">
    <w:name w:val="xl544"/>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545">
    <w:name w:val="xl545"/>
    <w:basedOn w:val="Normal"/>
    <w:rsid w:val="006C5736"/>
    <w:pPr>
      <w:pBdr>
        <w:top w:val="single" w:sz="4" w:space="0" w:color="auto"/>
        <w:bottom w:val="single" w:sz="8"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546">
    <w:name w:val="xl546"/>
    <w:basedOn w:val="Normal"/>
    <w:rsid w:val="006C5736"/>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47">
    <w:name w:val="xl547"/>
    <w:basedOn w:val="Normal"/>
    <w:rsid w:val="006C5736"/>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48">
    <w:name w:val="xl548"/>
    <w:basedOn w:val="Normal"/>
    <w:rsid w:val="006C573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9">
    <w:name w:val="xl549"/>
    <w:basedOn w:val="Normal"/>
    <w:rsid w:val="006C5736"/>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0">
    <w:name w:val="xl550"/>
    <w:basedOn w:val="Normal"/>
    <w:rsid w:val="006C573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51">
    <w:name w:val="xl551"/>
    <w:basedOn w:val="Normal"/>
    <w:rsid w:val="006C5736"/>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52">
    <w:name w:val="xl552"/>
    <w:basedOn w:val="Normal"/>
    <w:rsid w:val="006C5736"/>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53">
    <w:name w:val="xl553"/>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54">
    <w:name w:val="xl554"/>
    <w:basedOn w:val="Normal"/>
    <w:rsid w:val="006C5736"/>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55">
    <w:name w:val="xl555"/>
    <w:basedOn w:val="Normal"/>
    <w:rsid w:val="006C5736"/>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56">
    <w:name w:val="xl556"/>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57">
    <w:name w:val="xl557"/>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558">
    <w:name w:val="xl558"/>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59">
    <w:name w:val="xl559"/>
    <w:basedOn w:val="Normal"/>
    <w:rsid w:val="006C5736"/>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60">
    <w:name w:val="xl560"/>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61">
    <w:name w:val="xl561"/>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2">
    <w:name w:val="xl562"/>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3">
    <w:name w:val="xl563"/>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4">
    <w:name w:val="xl564"/>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65">
    <w:name w:val="xl565"/>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566">
    <w:name w:val="xl566"/>
    <w:basedOn w:val="Normal"/>
    <w:rsid w:val="006C5736"/>
    <w:pPr>
      <w:pBdr>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7">
    <w:name w:val="xl567"/>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8">
    <w:name w:val="xl568"/>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9">
    <w:name w:val="xl569"/>
    <w:basedOn w:val="Normal"/>
    <w:rsid w:val="006C573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70">
    <w:name w:val="xl570"/>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71">
    <w:name w:val="xl571"/>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72">
    <w:name w:val="xl572"/>
    <w:basedOn w:val="Normal"/>
    <w:rsid w:val="006C5736"/>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73">
    <w:name w:val="xl573"/>
    <w:basedOn w:val="Normal"/>
    <w:rsid w:val="006C5736"/>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74">
    <w:name w:val="xl574"/>
    <w:basedOn w:val="Normal"/>
    <w:rsid w:val="006C5736"/>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75">
    <w:name w:val="xl575"/>
    <w:basedOn w:val="Normal"/>
    <w:rsid w:val="006C5736"/>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76">
    <w:name w:val="xl576"/>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7">
    <w:name w:val="xl577"/>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8">
    <w:name w:val="xl578"/>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FF0000"/>
      <w:sz w:val="24"/>
      <w:szCs w:val="24"/>
    </w:rPr>
  </w:style>
  <w:style w:type="paragraph" w:customStyle="1" w:styleId="xl579">
    <w:name w:val="xl579"/>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580">
    <w:name w:val="xl580"/>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581">
    <w:name w:val="xl581"/>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82">
    <w:name w:val="xl582"/>
    <w:basedOn w:val="Normal"/>
    <w:rsid w:val="006C5736"/>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3">
    <w:name w:val="xl583"/>
    <w:basedOn w:val="Normal"/>
    <w:rsid w:val="006C5736"/>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4">
    <w:name w:val="xl584"/>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5">
    <w:name w:val="xl585"/>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586">
    <w:name w:val="xl586"/>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587">
    <w:name w:val="xl587"/>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88">
    <w:name w:val="xl588"/>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589">
    <w:name w:val="xl589"/>
    <w:basedOn w:val="Normal"/>
    <w:rsid w:val="006C573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590">
    <w:name w:val="xl590"/>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91">
    <w:name w:val="xl591"/>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92">
    <w:name w:val="xl592"/>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93">
    <w:name w:val="xl593"/>
    <w:basedOn w:val="Normal"/>
    <w:rsid w:val="006C5736"/>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594">
    <w:name w:val="xl594"/>
    <w:basedOn w:val="Normal"/>
    <w:rsid w:val="006C5736"/>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95">
    <w:name w:val="xl595"/>
    <w:basedOn w:val="Normal"/>
    <w:rsid w:val="006C573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96">
    <w:name w:val="xl596"/>
    <w:basedOn w:val="Normal"/>
    <w:rsid w:val="006C5736"/>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97">
    <w:name w:val="xl597"/>
    <w:basedOn w:val="Normal"/>
    <w:rsid w:val="006C5736"/>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98">
    <w:name w:val="xl598"/>
    <w:basedOn w:val="Normal"/>
    <w:rsid w:val="006C57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599">
    <w:name w:val="xl599"/>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00">
    <w:name w:val="xl600"/>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01">
    <w:name w:val="xl601"/>
    <w:basedOn w:val="Normal"/>
    <w:rsid w:val="006C5736"/>
    <w:pPr>
      <w:pBdr>
        <w:top w:val="single" w:sz="4"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02">
    <w:name w:val="xl602"/>
    <w:basedOn w:val="Normal"/>
    <w:rsid w:val="006C5736"/>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03">
    <w:name w:val="xl603"/>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04">
    <w:name w:val="xl604"/>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605">
    <w:name w:val="xl605"/>
    <w:basedOn w:val="Normal"/>
    <w:rsid w:val="006C5736"/>
    <w:pPr>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606">
    <w:name w:val="xl606"/>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607">
    <w:name w:val="xl607"/>
    <w:basedOn w:val="Normal"/>
    <w:rsid w:val="006C573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08">
    <w:name w:val="xl608"/>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09">
    <w:name w:val="xl609"/>
    <w:basedOn w:val="Normal"/>
    <w:rsid w:val="006C57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10">
    <w:name w:val="xl610"/>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11">
    <w:name w:val="xl611"/>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12">
    <w:name w:val="xl612"/>
    <w:basedOn w:val="Normal"/>
    <w:rsid w:val="006C5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13">
    <w:name w:val="xl613"/>
    <w:basedOn w:val="Normal"/>
    <w:rsid w:val="006C5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14">
    <w:name w:val="xl614"/>
    <w:basedOn w:val="Normal"/>
    <w:rsid w:val="006C573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15">
    <w:name w:val="xl615"/>
    <w:basedOn w:val="Normal"/>
    <w:rsid w:val="006C5736"/>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616">
    <w:name w:val="xl616"/>
    <w:basedOn w:val="Normal"/>
    <w:rsid w:val="006C573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617">
    <w:name w:val="xl617"/>
    <w:basedOn w:val="Normal"/>
    <w:rsid w:val="006C5736"/>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618">
    <w:name w:val="xl618"/>
    <w:basedOn w:val="Normal"/>
    <w:rsid w:val="006C573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19">
    <w:name w:val="xl619"/>
    <w:basedOn w:val="Normal"/>
    <w:rsid w:val="006C573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20">
    <w:name w:val="xl620"/>
    <w:basedOn w:val="Normal"/>
    <w:rsid w:val="006C57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21">
    <w:name w:val="xl621"/>
    <w:basedOn w:val="Normal"/>
    <w:rsid w:val="006C5736"/>
    <w:pPr>
      <w:pBdr>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22">
    <w:name w:val="xl622"/>
    <w:basedOn w:val="Normal"/>
    <w:rsid w:val="006C5736"/>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23">
    <w:name w:val="xl623"/>
    <w:basedOn w:val="Normal"/>
    <w:rsid w:val="006C5736"/>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24">
    <w:name w:val="xl624"/>
    <w:basedOn w:val="Normal"/>
    <w:rsid w:val="006C5736"/>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25">
    <w:name w:val="xl625"/>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26">
    <w:name w:val="xl626"/>
    <w:basedOn w:val="Normal"/>
    <w:rsid w:val="006C5736"/>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27">
    <w:name w:val="xl627"/>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28">
    <w:name w:val="xl628"/>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29">
    <w:name w:val="xl629"/>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30">
    <w:name w:val="xl630"/>
    <w:basedOn w:val="Normal"/>
    <w:rsid w:val="006C573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631">
    <w:name w:val="xl631"/>
    <w:basedOn w:val="Normal"/>
    <w:rsid w:val="006C5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32">
    <w:name w:val="xl632"/>
    <w:basedOn w:val="Normal"/>
    <w:rsid w:val="006C5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33">
    <w:name w:val="xl633"/>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34">
    <w:name w:val="xl634"/>
    <w:basedOn w:val="Normal"/>
    <w:rsid w:val="006C5736"/>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35">
    <w:name w:val="xl635"/>
    <w:basedOn w:val="Normal"/>
    <w:rsid w:val="006C5736"/>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36">
    <w:name w:val="xl636"/>
    <w:basedOn w:val="Normal"/>
    <w:rsid w:val="006C5736"/>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637">
    <w:name w:val="xl637"/>
    <w:basedOn w:val="Normal"/>
    <w:rsid w:val="006C5736"/>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638">
    <w:name w:val="xl638"/>
    <w:basedOn w:val="Normal"/>
    <w:rsid w:val="006C5736"/>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639">
    <w:name w:val="xl639"/>
    <w:basedOn w:val="Normal"/>
    <w:rsid w:val="006C573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40">
    <w:name w:val="xl640"/>
    <w:basedOn w:val="Normal"/>
    <w:rsid w:val="006C5736"/>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1">
    <w:name w:val="xl641"/>
    <w:basedOn w:val="Normal"/>
    <w:rsid w:val="006C5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42">
    <w:name w:val="xl642"/>
    <w:basedOn w:val="Normal"/>
    <w:rsid w:val="006C573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43">
    <w:name w:val="xl643"/>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44">
    <w:name w:val="xl644"/>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45">
    <w:name w:val="xl645"/>
    <w:basedOn w:val="Normal"/>
    <w:rsid w:val="006C57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46">
    <w:name w:val="xl646"/>
    <w:basedOn w:val="Normal"/>
    <w:rsid w:val="006C57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7">
    <w:name w:val="xl647"/>
    <w:basedOn w:val="Normal"/>
    <w:rsid w:val="006C57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8">
    <w:name w:val="xl648"/>
    <w:basedOn w:val="Normal"/>
    <w:rsid w:val="006C5736"/>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9">
    <w:name w:val="xl649"/>
    <w:basedOn w:val="Normal"/>
    <w:rsid w:val="006C5736"/>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50">
    <w:name w:val="xl650"/>
    <w:basedOn w:val="Normal"/>
    <w:rsid w:val="006C5736"/>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651">
    <w:name w:val="xl651"/>
    <w:basedOn w:val="Normal"/>
    <w:rsid w:val="006C573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52">
    <w:name w:val="xl652"/>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53">
    <w:name w:val="xl653"/>
    <w:basedOn w:val="Normal"/>
    <w:rsid w:val="006C5736"/>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4">
    <w:name w:val="xl654"/>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5">
    <w:name w:val="xl655"/>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6">
    <w:name w:val="xl656"/>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7">
    <w:name w:val="xl657"/>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t Roman" w:eastAsia="Times New Roman" w:hAnsi="Times Newt Roman" w:cs="Times New Roman"/>
      <w:sz w:val="20"/>
      <w:szCs w:val="20"/>
    </w:rPr>
  </w:style>
  <w:style w:type="paragraph" w:customStyle="1" w:styleId="xl658">
    <w:name w:val="xl658"/>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t Roman" w:eastAsia="Times New Roman" w:hAnsi="Times Newt Roman" w:cs="Times New Roman"/>
      <w:sz w:val="20"/>
      <w:szCs w:val="20"/>
    </w:rPr>
  </w:style>
  <w:style w:type="paragraph" w:customStyle="1" w:styleId="xl659">
    <w:name w:val="xl659"/>
    <w:basedOn w:val="Normal"/>
    <w:rsid w:val="006C57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t Roman" w:eastAsia="Times New Roman" w:hAnsi="Times Newt Roman" w:cs="Times New Roman"/>
      <w:sz w:val="20"/>
      <w:szCs w:val="20"/>
    </w:rPr>
  </w:style>
  <w:style w:type="paragraph" w:customStyle="1" w:styleId="xl660">
    <w:name w:val="xl660"/>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t Roman" w:eastAsia="Times New Roman" w:hAnsi="Times Newt Roman" w:cs="Times New Roman"/>
      <w:sz w:val="20"/>
      <w:szCs w:val="20"/>
    </w:rPr>
  </w:style>
  <w:style w:type="paragraph" w:customStyle="1" w:styleId="xl661">
    <w:name w:val="xl661"/>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t Roman" w:eastAsia="Times New Roman" w:hAnsi="Times Newt Roman" w:cs="Times New Roman"/>
      <w:sz w:val="20"/>
      <w:szCs w:val="20"/>
    </w:rPr>
  </w:style>
  <w:style w:type="paragraph" w:customStyle="1" w:styleId="xl662">
    <w:name w:val="xl662"/>
    <w:basedOn w:val="Normal"/>
    <w:rsid w:val="006C573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t Roman" w:eastAsia="Times New Roman" w:hAnsi="Times Newt Roman" w:cs="Times New Roman"/>
      <w:sz w:val="20"/>
      <w:szCs w:val="20"/>
    </w:rPr>
  </w:style>
  <w:style w:type="paragraph" w:customStyle="1" w:styleId="xl663">
    <w:name w:val="xl663"/>
    <w:basedOn w:val="Normal"/>
    <w:rsid w:val="006C57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t Roman" w:eastAsia="Times New Roman" w:hAnsi="Times Newt Roman" w:cs="Times New Roman"/>
      <w:sz w:val="20"/>
      <w:szCs w:val="20"/>
    </w:rPr>
  </w:style>
  <w:style w:type="paragraph" w:customStyle="1" w:styleId="xl664">
    <w:name w:val="xl664"/>
    <w:basedOn w:val="Normal"/>
    <w:rsid w:val="006C57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t Roman" w:eastAsia="Times New Roman" w:hAnsi="Times Newt Roman" w:cs="Times New Roman"/>
      <w:sz w:val="20"/>
      <w:szCs w:val="20"/>
    </w:rPr>
  </w:style>
  <w:style w:type="paragraph" w:customStyle="1" w:styleId="xl665">
    <w:name w:val="xl665"/>
    <w:basedOn w:val="Normal"/>
    <w:rsid w:val="006C57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t Roman" w:eastAsia="Times New Roman" w:hAnsi="Times Newt Roman" w:cs="Times New Roman"/>
      <w:sz w:val="20"/>
      <w:szCs w:val="20"/>
    </w:rPr>
  </w:style>
  <w:style w:type="paragraph" w:customStyle="1" w:styleId="xl666">
    <w:name w:val="xl666"/>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t Roman" w:eastAsia="Times New Roman" w:hAnsi="Times Newt Roman" w:cs="Times New Roman"/>
      <w:sz w:val="24"/>
      <w:szCs w:val="24"/>
    </w:rPr>
  </w:style>
  <w:style w:type="paragraph" w:customStyle="1" w:styleId="xl667">
    <w:name w:val="xl667"/>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t Roman" w:eastAsia="Times New Roman" w:hAnsi="Times Newt Roman" w:cs="Times New Roman"/>
      <w:sz w:val="24"/>
      <w:szCs w:val="24"/>
    </w:rPr>
  </w:style>
  <w:style w:type="paragraph" w:customStyle="1" w:styleId="xl668">
    <w:name w:val="xl668"/>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t Roman" w:eastAsia="Times New Roman" w:hAnsi="Times Newt Roman" w:cs="Times New Roman"/>
      <w:sz w:val="24"/>
      <w:szCs w:val="24"/>
    </w:rPr>
  </w:style>
  <w:style w:type="paragraph" w:customStyle="1" w:styleId="xl669">
    <w:name w:val="xl669"/>
    <w:basedOn w:val="Normal"/>
    <w:rsid w:val="006C573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t Roman" w:eastAsia="Times New Roman" w:hAnsi="Times Newt Roman" w:cs="Times New Roman"/>
      <w:color w:val="FF0000"/>
      <w:sz w:val="24"/>
      <w:szCs w:val="24"/>
    </w:rPr>
  </w:style>
  <w:style w:type="paragraph" w:customStyle="1" w:styleId="xl670">
    <w:name w:val="xl670"/>
    <w:basedOn w:val="Normal"/>
    <w:rsid w:val="006C57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66CC"/>
      <w:sz w:val="24"/>
      <w:szCs w:val="24"/>
    </w:rPr>
  </w:style>
  <w:style w:type="paragraph" w:customStyle="1" w:styleId="xl671">
    <w:name w:val="xl671"/>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t Roman" w:eastAsia="Times New Roman" w:hAnsi="Times Newt Roman" w:cs="Times New Roman"/>
      <w:sz w:val="24"/>
      <w:szCs w:val="24"/>
    </w:rPr>
  </w:style>
  <w:style w:type="paragraph" w:customStyle="1" w:styleId="xl672">
    <w:name w:val="xl672"/>
    <w:basedOn w:val="Normal"/>
    <w:rsid w:val="006C57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t Roman" w:eastAsia="Times New Roman" w:hAnsi="Times Newt Roman" w:cs="Times New Roman"/>
      <w:sz w:val="24"/>
      <w:szCs w:val="24"/>
    </w:rPr>
  </w:style>
  <w:style w:type="paragraph" w:customStyle="1" w:styleId="xl673">
    <w:name w:val="xl673"/>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t Roman" w:eastAsia="Times New Roman" w:hAnsi="Times Newt Roman" w:cs="Times New Roman"/>
      <w:sz w:val="24"/>
      <w:szCs w:val="24"/>
    </w:rPr>
  </w:style>
  <w:style w:type="paragraph" w:customStyle="1" w:styleId="xl674">
    <w:name w:val="xl674"/>
    <w:basedOn w:val="Normal"/>
    <w:rsid w:val="006C5736"/>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t Roman" w:eastAsia="Times New Roman" w:hAnsi="Times Newt Roman" w:cs="Times New Roman"/>
      <w:color w:val="FF0000"/>
      <w:sz w:val="24"/>
      <w:szCs w:val="24"/>
    </w:rPr>
  </w:style>
  <w:style w:type="paragraph" w:customStyle="1" w:styleId="xl675">
    <w:name w:val="xl675"/>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t Roman" w:eastAsia="Times New Roman" w:hAnsi="Times Newt Roman" w:cs="Times New Roman"/>
      <w:sz w:val="20"/>
      <w:szCs w:val="20"/>
    </w:rPr>
  </w:style>
  <w:style w:type="paragraph" w:customStyle="1" w:styleId="xl676">
    <w:name w:val="xl676"/>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t Roman" w:eastAsia="Times New Roman" w:hAnsi="Times Newt Roman" w:cs="Times New Roman"/>
      <w:sz w:val="20"/>
      <w:szCs w:val="20"/>
    </w:rPr>
  </w:style>
  <w:style w:type="paragraph" w:customStyle="1" w:styleId="xl677">
    <w:name w:val="xl677"/>
    <w:basedOn w:val="Normal"/>
    <w:rsid w:val="006C57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t Roman" w:eastAsia="Times New Roman" w:hAnsi="Times Newt Roman" w:cs="Times New Roman"/>
      <w:sz w:val="20"/>
      <w:szCs w:val="20"/>
    </w:rPr>
  </w:style>
  <w:style w:type="paragraph" w:customStyle="1" w:styleId="xl678">
    <w:name w:val="xl678"/>
    <w:basedOn w:val="Normal"/>
    <w:rsid w:val="006C573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t Roman" w:eastAsia="Times New Roman" w:hAnsi="Times Newt Roman" w:cs="Times New Roman"/>
      <w:sz w:val="20"/>
      <w:szCs w:val="20"/>
    </w:rPr>
  </w:style>
  <w:style w:type="paragraph" w:customStyle="1" w:styleId="xl679">
    <w:name w:val="xl679"/>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0">
    <w:name w:val="xl680"/>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1">
    <w:name w:val="xl681"/>
    <w:basedOn w:val="Normal"/>
    <w:rsid w:val="006C57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2">
    <w:name w:val="xl682"/>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3">
    <w:name w:val="xl683"/>
    <w:basedOn w:val="Normal"/>
    <w:rsid w:val="006C5736"/>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t Roman" w:eastAsia="Times New Roman" w:hAnsi="Times Newt Roman" w:cs="Times New Roman"/>
      <w:sz w:val="20"/>
      <w:szCs w:val="20"/>
    </w:rPr>
  </w:style>
  <w:style w:type="paragraph" w:customStyle="1" w:styleId="xl684">
    <w:name w:val="xl684"/>
    <w:basedOn w:val="Normal"/>
    <w:rsid w:val="006C573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t Roman" w:eastAsia="Times New Roman" w:hAnsi="Times Newt Roman" w:cs="Times New Roman"/>
      <w:sz w:val="20"/>
      <w:szCs w:val="20"/>
    </w:rPr>
  </w:style>
  <w:style w:type="paragraph" w:customStyle="1" w:styleId="xl685">
    <w:name w:val="xl685"/>
    <w:basedOn w:val="Normal"/>
    <w:rsid w:val="006C5736"/>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t Roman" w:eastAsia="Times New Roman" w:hAnsi="Times Newt Roman" w:cs="Times New Roman"/>
      <w:sz w:val="20"/>
      <w:szCs w:val="20"/>
    </w:rPr>
  </w:style>
  <w:style w:type="paragraph" w:customStyle="1" w:styleId="xl686">
    <w:name w:val="xl686"/>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7">
    <w:name w:val="xl687"/>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t Roman" w:eastAsia="Times New Roman" w:hAnsi="Times Newt Roman" w:cs="Times New Roman"/>
      <w:sz w:val="20"/>
      <w:szCs w:val="20"/>
    </w:rPr>
  </w:style>
  <w:style w:type="paragraph" w:customStyle="1" w:styleId="xl688">
    <w:name w:val="xl688"/>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t Roman" w:eastAsia="Times New Roman" w:hAnsi="Times Newt Roman" w:cs="Times New Roman"/>
      <w:sz w:val="20"/>
      <w:szCs w:val="20"/>
    </w:rPr>
  </w:style>
  <w:style w:type="paragraph" w:customStyle="1" w:styleId="xl689">
    <w:name w:val="xl689"/>
    <w:basedOn w:val="Normal"/>
    <w:rsid w:val="006C573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t Roman" w:eastAsia="Times New Roman" w:hAnsi="Times Newt Roman" w:cs="Times New Roman"/>
      <w:sz w:val="20"/>
      <w:szCs w:val="20"/>
    </w:rPr>
  </w:style>
  <w:style w:type="paragraph" w:customStyle="1" w:styleId="xl690">
    <w:name w:val="xl690"/>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1">
    <w:name w:val="xl691"/>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t Roman" w:eastAsia="Times New Roman" w:hAnsi="Times Newt Roman" w:cs="Times New Roman"/>
      <w:color w:val="000000"/>
      <w:sz w:val="20"/>
      <w:szCs w:val="20"/>
    </w:rPr>
  </w:style>
  <w:style w:type="paragraph" w:customStyle="1" w:styleId="xl692">
    <w:name w:val="xl692"/>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t Roman" w:eastAsia="Times New Roman" w:hAnsi="Times Newt Roman" w:cs="Times New Roman"/>
      <w:color w:val="000000"/>
      <w:sz w:val="20"/>
      <w:szCs w:val="20"/>
    </w:rPr>
  </w:style>
  <w:style w:type="paragraph" w:customStyle="1" w:styleId="xl693">
    <w:name w:val="xl693"/>
    <w:basedOn w:val="Normal"/>
    <w:rsid w:val="006C57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t Roman" w:eastAsia="Times New Roman" w:hAnsi="Times Newt Roman" w:cs="Times New Roman"/>
      <w:color w:val="000000"/>
      <w:sz w:val="20"/>
      <w:szCs w:val="20"/>
    </w:rPr>
  </w:style>
  <w:style w:type="paragraph" w:customStyle="1" w:styleId="xl694">
    <w:name w:val="xl694"/>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5">
    <w:name w:val="xl695"/>
    <w:basedOn w:val="Normal"/>
    <w:rsid w:val="006C57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6">
    <w:name w:val="xl696"/>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7">
    <w:name w:val="xl697"/>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8">
    <w:name w:val="xl698"/>
    <w:basedOn w:val="Normal"/>
    <w:rsid w:val="006C57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t Roman" w:eastAsia="Times New Roman" w:hAnsi="Times Newt Roman" w:cs="Times New Roman"/>
      <w:sz w:val="24"/>
      <w:szCs w:val="24"/>
    </w:rPr>
  </w:style>
  <w:style w:type="paragraph" w:customStyle="1" w:styleId="xl699">
    <w:name w:val="xl699"/>
    <w:basedOn w:val="Normal"/>
    <w:rsid w:val="006C57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t Roman" w:eastAsia="Times New Roman" w:hAnsi="Times Newt Roman" w:cs="Times New Roman"/>
      <w:sz w:val="24"/>
      <w:szCs w:val="24"/>
    </w:rPr>
  </w:style>
  <w:style w:type="paragraph" w:customStyle="1" w:styleId="xl700">
    <w:name w:val="xl700"/>
    <w:basedOn w:val="Normal"/>
    <w:rsid w:val="006C573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t Roman" w:eastAsia="Times New Roman" w:hAnsi="Times Newt Roman" w:cs="Times New Roman"/>
      <w:sz w:val="24"/>
      <w:szCs w:val="24"/>
    </w:rPr>
  </w:style>
  <w:style w:type="paragraph" w:customStyle="1" w:styleId="xl701">
    <w:name w:val="xl701"/>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2">
    <w:name w:val="xl702"/>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3">
    <w:name w:val="xl703"/>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704">
    <w:name w:val="xl704"/>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705">
    <w:name w:val="xl705"/>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706">
    <w:name w:val="xl706"/>
    <w:basedOn w:val="Normal"/>
    <w:rsid w:val="006C57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7">
    <w:name w:val="xl707"/>
    <w:basedOn w:val="Normal"/>
    <w:rsid w:val="006C5736"/>
    <w:pPr>
      <w:pBdr>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08">
    <w:name w:val="xl708"/>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9">
    <w:name w:val="xl709"/>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0">
    <w:name w:val="xl710"/>
    <w:basedOn w:val="Normal"/>
    <w:rsid w:val="006C5736"/>
    <w:pPr>
      <w:pBdr>
        <w:lef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1">
    <w:name w:val="xl711"/>
    <w:basedOn w:val="Normal"/>
    <w:rsid w:val="006C57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2">
    <w:name w:val="xl712"/>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3">
    <w:name w:val="xl713"/>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4">
    <w:name w:val="xl714"/>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5">
    <w:name w:val="xl715"/>
    <w:basedOn w:val="Normal"/>
    <w:rsid w:val="006C573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6">
    <w:name w:val="xl716"/>
    <w:basedOn w:val="Normal"/>
    <w:rsid w:val="006C5736"/>
    <w:pPr>
      <w:pBdr>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7">
    <w:name w:val="xl717"/>
    <w:basedOn w:val="Normal"/>
    <w:rsid w:val="006C5736"/>
    <w:pPr>
      <w:pBdr>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8">
    <w:name w:val="xl718"/>
    <w:basedOn w:val="Normal"/>
    <w:rsid w:val="006C573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9">
    <w:name w:val="xl719"/>
    <w:basedOn w:val="Normal"/>
    <w:rsid w:val="006C573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0">
    <w:name w:val="xl720"/>
    <w:basedOn w:val="Normal"/>
    <w:rsid w:val="006C573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1">
    <w:name w:val="xl721"/>
    <w:basedOn w:val="Normal"/>
    <w:rsid w:val="006C573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2">
    <w:name w:val="xl722"/>
    <w:basedOn w:val="Normal"/>
    <w:rsid w:val="006C573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3">
    <w:name w:val="xl723"/>
    <w:basedOn w:val="Normal"/>
    <w:rsid w:val="006C573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4">
    <w:name w:val="xl724"/>
    <w:basedOn w:val="Normal"/>
    <w:rsid w:val="006C573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5">
    <w:name w:val="xl725"/>
    <w:basedOn w:val="Normal"/>
    <w:rsid w:val="006C573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726">
    <w:name w:val="xl726"/>
    <w:basedOn w:val="Normal"/>
    <w:rsid w:val="006C5736"/>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7">
    <w:name w:val="xl727"/>
    <w:basedOn w:val="Normal"/>
    <w:rsid w:val="006C573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28">
    <w:name w:val="xl728"/>
    <w:basedOn w:val="Normal"/>
    <w:rsid w:val="006C573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9">
    <w:name w:val="xl729"/>
    <w:basedOn w:val="Normal"/>
    <w:rsid w:val="006C573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30">
    <w:name w:val="xl730"/>
    <w:basedOn w:val="Normal"/>
    <w:rsid w:val="006C573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31">
    <w:name w:val="xl731"/>
    <w:basedOn w:val="Normal"/>
    <w:rsid w:val="006C5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32">
    <w:name w:val="xl732"/>
    <w:basedOn w:val="Normal"/>
    <w:rsid w:val="006C5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33">
    <w:name w:val="xl733"/>
    <w:basedOn w:val="Normal"/>
    <w:rsid w:val="006C573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4">
    <w:name w:val="xl734"/>
    <w:basedOn w:val="Normal"/>
    <w:rsid w:val="006C5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5">
    <w:name w:val="xl735"/>
    <w:basedOn w:val="Normal"/>
    <w:rsid w:val="006C573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6">
    <w:name w:val="xl736"/>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7">
    <w:name w:val="xl737"/>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8">
    <w:name w:val="xl738"/>
    <w:basedOn w:val="Normal"/>
    <w:rsid w:val="006C573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9">
    <w:name w:val="xl739"/>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40">
    <w:name w:val="xl740"/>
    <w:basedOn w:val="Normal"/>
    <w:rsid w:val="006C5736"/>
    <w:pP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41">
    <w:name w:val="xl741"/>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742">
    <w:name w:val="xl742"/>
    <w:basedOn w:val="Normal"/>
    <w:rsid w:val="006C5736"/>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3">
    <w:name w:val="xl743"/>
    <w:basedOn w:val="Normal"/>
    <w:rsid w:val="006C5736"/>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4">
    <w:name w:val="xl744"/>
    <w:basedOn w:val="Normal"/>
    <w:rsid w:val="006C5736"/>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5">
    <w:name w:val="xl745"/>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46">
    <w:name w:val="xl746"/>
    <w:basedOn w:val="Normal"/>
    <w:rsid w:val="006C5736"/>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7">
    <w:name w:val="xl747"/>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t Roman" w:eastAsia="Times New Roman" w:hAnsi="Times Newt Roman" w:cs="Times New Roman"/>
      <w:sz w:val="24"/>
      <w:szCs w:val="24"/>
    </w:rPr>
  </w:style>
  <w:style w:type="paragraph" w:customStyle="1" w:styleId="xl748">
    <w:name w:val="xl748"/>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9">
    <w:name w:val="xl749"/>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0">
    <w:name w:val="xl750"/>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1">
    <w:name w:val="xl751"/>
    <w:basedOn w:val="Normal"/>
    <w:rsid w:val="006C57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t Roman" w:eastAsia="Times New Roman" w:hAnsi="Times Newt Roman" w:cs="Times New Roman"/>
      <w:sz w:val="20"/>
      <w:szCs w:val="20"/>
    </w:rPr>
  </w:style>
  <w:style w:type="paragraph" w:customStyle="1" w:styleId="xl752">
    <w:name w:val="xl752"/>
    <w:basedOn w:val="Normal"/>
    <w:rsid w:val="006C57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753">
    <w:name w:val="xl753"/>
    <w:basedOn w:val="Normal"/>
    <w:rsid w:val="006C57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54">
    <w:name w:val="xl754"/>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5">
    <w:name w:val="xl755"/>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56">
    <w:name w:val="xl756"/>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757">
    <w:name w:val="xl757"/>
    <w:basedOn w:val="Normal"/>
    <w:rsid w:val="006C5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8">
    <w:name w:val="xl758"/>
    <w:basedOn w:val="Normal"/>
    <w:rsid w:val="006C573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9">
    <w:name w:val="xl759"/>
    <w:basedOn w:val="Normal"/>
    <w:rsid w:val="006C573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60">
    <w:name w:val="xl760"/>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61">
    <w:name w:val="xl761"/>
    <w:basedOn w:val="Normal"/>
    <w:rsid w:val="006C5736"/>
    <w:pPr>
      <w:pBdr>
        <w:top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762">
    <w:name w:val="xl762"/>
    <w:basedOn w:val="Normal"/>
    <w:rsid w:val="006C5736"/>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3">
    <w:name w:val="xl763"/>
    <w:basedOn w:val="Normal"/>
    <w:rsid w:val="006C573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4">
    <w:name w:val="xl764"/>
    <w:basedOn w:val="Normal"/>
    <w:rsid w:val="006C573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5">
    <w:name w:val="xl765"/>
    <w:basedOn w:val="Normal"/>
    <w:rsid w:val="006C57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6">
    <w:name w:val="xl766"/>
    <w:basedOn w:val="Normal"/>
    <w:rsid w:val="006C573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67">
    <w:name w:val="xl767"/>
    <w:basedOn w:val="Normal"/>
    <w:rsid w:val="006C5736"/>
    <w:pPr>
      <w:pBdr>
        <w:top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68">
    <w:name w:val="xl768"/>
    <w:basedOn w:val="Normal"/>
    <w:rsid w:val="006C5736"/>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9">
    <w:name w:val="xl769"/>
    <w:basedOn w:val="Normal"/>
    <w:rsid w:val="006C573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70">
    <w:name w:val="xl770"/>
    <w:basedOn w:val="Normal"/>
    <w:rsid w:val="006C5736"/>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771">
    <w:name w:val="xl771"/>
    <w:basedOn w:val="Normal"/>
    <w:rsid w:val="006C573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772">
    <w:name w:val="xl772"/>
    <w:basedOn w:val="Normal"/>
    <w:rsid w:val="006C5736"/>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773">
    <w:name w:val="xl773"/>
    <w:basedOn w:val="Normal"/>
    <w:rsid w:val="006C573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4">
    <w:name w:val="xl774"/>
    <w:basedOn w:val="Normal"/>
    <w:rsid w:val="006C57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75">
    <w:name w:val="xl775"/>
    <w:basedOn w:val="Normal"/>
    <w:rsid w:val="006C57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76">
    <w:name w:val="xl776"/>
    <w:basedOn w:val="Normal"/>
    <w:rsid w:val="006C57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77">
    <w:name w:val="xl777"/>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78">
    <w:name w:val="xl778"/>
    <w:basedOn w:val="Normal"/>
    <w:rsid w:val="006C573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79">
    <w:name w:val="xl779"/>
    <w:basedOn w:val="Normal"/>
    <w:rsid w:val="006C5736"/>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780">
    <w:name w:val="xl780"/>
    <w:basedOn w:val="Normal"/>
    <w:rsid w:val="006C573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1">
    <w:name w:val="xl781"/>
    <w:basedOn w:val="Normal"/>
    <w:rsid w:val="006C5736"/>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2">
    <w:name w:val="xl782"/>
    <w:basedOn w:val="Normal"/>
    <w:rsid w:val="006C5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3">
    <w:name w:val="xl783"/>
    <w:basedOn w:val="Normal"/>
    <w:rsid w:val="006C573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4">
    <w:name w:val="xl784"/>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5">
    <w:name w:val="xl785"/>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6">
    <w:name w:val="xl786"/>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7">
    <w:name w:val="xl787"/>
    <w:basedOn w:val="Normal"/>
    <w:rsid w:val="006C5736"/>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88">
    <w:name w:val="xl788"/>
    <w:basedOn w:val="Normal"/>
    <w:rsid w:val="006C5736"/>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89">
    <w:name w:val="xl789"/>
    <w:basedOn w:val="Normal"/>
    <w:rsid w:val="006C5736"/>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90">
    <w:name w:val="xl790"/>
    <w:basedOn w:val="Normal"/>
    <w:rsid w:val="006C5736"/>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791">
    <w:name w:val="xl791"/>
    <w:basedOn w:val="Normal"/>
    <w:rsid w:val="006C5736"/>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792">
    <w:name w:val="xl792"/>
    <w:basedOn w:val="Normal"/>
    <w:rsid w:val="006C57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3">
    <w:name w:val="xl793"/>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4">
    <w:name w:val="xl794"/>
    <w:basedOn w:val="Normal"/>
    <w:rsid w:val="006C57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5">
    <w:name w:val="xl795"/>
    <w:basedOn w:val="Normal"/>
    <w:rsid w:val="006C5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6">
    <w:name w:val="xl796"/>
    <w:basedOn w:val="Normal"/>
    <w:rsid w:val="006C57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97">
    <w:name w:val="xl797"/>
    <w:basedOn w:val="Normal"/>
    <w:rsid w:val="006C5736"/>
    <w:pPr>
      <w:pBdr>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798">
    <w:name w:val="xl798"/>
    <w:basedOn w:val="Normal"/>
    <w:rsid w:val="006C5736"/>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799">
    <w:name w:val="xl799"/>
    <w:basedOn w:val="Normal"/>
    <w:rsid w:val="006C5736"/>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800">
    <w:name w:val="xl800"/>
    <w:basedOn w:val="Normal"/>
    <w:rsid w:val="006C5736"/>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801">
    <w:name w:val="xl801"/>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02">
    <w:name w:val="xl802"/>
    <w:basedOn w:val="Normal"/>
    <w:rsid w:val="006C5736"/>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03">
    <w:name w:val="xl803"/>
    <w:basedOn w:val="Normal"/>
    <w:rsid w:val="006C57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804">
    <w:name w:val="xl804"/>
    <w:basedOn w:val="Normal"/>
    <w:rsid w:val="006C57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5">
    <w:name w:val="xl805"/>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06">
    <w:name w:val="xl806"/>
    <w:basedOn w:val="Normal"/>
    <w:rsid w:val="006C5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07">
    <w:name w:val="xl807"/>
    <w:basedOn w:val="Normal"/>
    <w:rsid w:val="006C5736"/>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808">
    <w:name w:val="xl808"/>
    <w:basedOn w:val="Normal"/>
    <w:rsid w:val="006C5736"/>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809">
    <w:name w:val="xl809"/>
    <w:basedOn w:val="Normal"/>
    <w:rsid w:val="006C5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10">
    <w:name w:val="xl810"/>
    <w:basedOn w:val="Normal"/>
    <w:rsid w:val="006C5736"/>
    <w:pPr>
      <w:pBdr>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811">
    <w:name w:val="xl811"/>
    <w:basedOn w:val="Normal"/>
    <w:rsid w:val="006C5736"/>
    <w:pPr>
      <w:pBdr>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812">
    <w:name w:val="xl812"/>
    <w:basedOn w:val="Normal"/>
    <w:rsid w:val="006C5736"/>
    <w:pPr>
      <w:pBdr>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69">
    <w:name w:val="xl69"/>
    <w:basedOn w:val="Normal"/>
    <w:rsid w:val="0018109D"/>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70">
    <w:name w:val="xl70"/>
    <w:basedOn w:val="Normal"/>
    <w:rsid w:val="0018109D"/>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1">
    <w:name w:val="xl71"/>
    <w:basedOn w:val="Normal"/>
    <w:rsid w:val="00181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2">
    <w:name w:val="xl72"/>
    <w:basedOn w:val="Normal"/>
    <w:rsid w:val="0018109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Normal"/>
    <w:rsid w:val="0018109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Normal"/>
    <w:rsid w:val="00181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Normal"/>
    <w:rsid w:val="0018109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5687">
      <w:bodyDiv w:val="1"/>
      <w:marLeft w:val="0"/>
      <w:marRight w:val="0"/>
      <w:marTop w:val="0"/>
      <w:marBottom w:val="0"/>
      <w:divBdr>
        <w:top w:val="none" w:sz="0" w:space="0" w:color="auto"/>
        <w:left w:val="none" w:sz="0" w:space="0" w:color="auto"/>
        <w:bottom w:val="none" w:sz="0" w:space="0" w:color="auto"/>
        <w:right w:val="none" w:sz="0" w:space="0" w:color="auto"/>
      </w:divBdr>
    </w:div>
    <w:div w:id="73209294">
      <w:bodyDiv w:val="1"/>
      <w:marLeft w:val="0"/>
      <w:marRight w:val="0"/>
      <w:marTop w:val="0"/>
      <w:marBottom w:val="0"/>
      <w:divBdr>
        <w:top w:val="none" w:sz="0" w:space="0" w:color="auto"/>
        <w:left w:val="none" w:sz="0" w:space="0" w:color="auto"/>
        <w:bottom w:val="none" w:sz="0" w:space="0" w:color="auto"/>
        <w:right w:val="none" w:sz="0" w:space="0" w:color="auto"/>
      </w:divBdr>
    </w:div>
    <w:div w:id="234049681">
      <w:bodyDiv w:val="1"/>
      <w:marLeft w:val="0"/>
      <w:marRight w:val="0"/>
      <w:marTop w:val="0"/>
      <w:marBottom w:val="0"/>
      <w:divBdr>
        <w:top w:val="none" w:sz="0" w:space="0" w:color="auto"/>
        <w:left w:val="none" w:sz="0" w:space="0" w:color="auto"/>
        <w:bottom w:val="none" w:sz="0" w:space="0" w:color="auto"/>
        <w:right w:val="none" w:sz="0" w:space="0" w:color="auto"/>
      </w:divBdr>
      <w:divsChild>
        <w:div w:id="1476335344">
          <w:marLeft w:val="0"/>
          <w:marRight w:val="0"/>
          <w:marTop w:val="0"/>
          <w:marBottom w:val="0"/>
          <w:divBdr>
            <w:top w:val="none" w:sz="0" w:space="0" w:color="auto"/>
            <w:left w:val="none" w:sz="0" w:space="0" w:color="auto"/>
            <w:bottom w:val="none" w:sz="0" w:space="0" w:color="auto"/>
            <w:right w:val="none" w:sz="0" w:space="0" w:color="auto"/>
          </w:divBdr>
        </w:div>
      </w:divsChild>
    </w:div>
    <w:div w:id="278535759">
      <w:bodyDiv w:val="1"/>
      <w:marLeft w:val="0"/>
      <w:marRight w:val="0"/>
      <w:marTop w:val="0"/>
      <w:marBottom w:val="0"/>
      <w:divBdr>
        <w:top w:val="none" w:sz="0" w:space="0" w:color="auto"/>
        <w:left w:val="none" w:sz="0" w:space="0" w:color="auto"/>
        <w:bottom w:val="none" w:sz="0" w:space="0" w:color="auto"/>
        <w:right w:val="none" w:sz="0" w:space="0" w:color="auto"/>
      </w:divBdr>
    </w:div>
    <w:div w:id="357584678">
      <w:bodyDiv w:val="1"/>
      <w:marLeft w:val="0"/>
      <w:marRight w:val="0"/>
      <w:marTop w:val="0"/>
      <w:marBottom w:val="0"/>
      <w:divBdr>
        <w:top w:val="none" w:sz="0" w:space="0" w:color="auto"/>
        <w:left w:val="none" w:sz="0" w:space="0" w:color="auto"/>
        <w:bottom w:val="none" w:sz="0" w:space="0" w:color="auto"/>
        <w:right w:val="none" w:sz="0" w:space="0" w:color="auto"/>
      </w:divBdr>
    </w:div>
    <w:div w:id="376776889">
      <w:bodyDiv w:val="1"/>
      <w:marLeft w:val="0"/>
      <w:marRight w:val="0"/>
      <w:marTop w:val="0"/>
      <w:marBottom w:val="0"/>
      <w:divBdr>
        <w:top w:val="none" w:sz="0" w:space="0" w:color="auto"/>
        <w:left w:val="none" w:sz="0" w:space="0" w:color="auto"/>
        <w:bottom w:val="none" w:sz="0" w:space="0" w:color="auto"/>
        <w:right w:val="none" w:sz="0" w:space="0" w:color="auto"/>
      </w:divBdr>
    </w:div>
    <w:div w:id="420493529">
      <w:bodyDiv w:val="1"/>
      <w:marLeft w:val="0"/>
      <w:marRight w:val="0"/>
      <w:marTop w:val="0"/>
      <w:marBottom w:val="0"/>
      <w:divBdr>
        <w:top w:val="none" w:sz="0" w:space="0" w:color="auto"/>
        <w:left w:val="none" w:sz="0" w:space="0" w:color="auto"/>
        <w:bottom w:val="none" w:sz="0" w:space="0" w:color="auto"/>
        <w:right w:val="none" w:sz="0" w:space="0" w:color="auto"/>
      </w:divBdr>
    </w:div>
    <w:div w:id="583031170">
      <w:bodyDiv w:val="1"/>
      <w:marLeft w:val="0"/>
      <w:marRight w:val="0"/>
      <w:marTop w:val="0"/>
      <w:marBottom w:val="0"/>
      <w:divBdr>
        <w:top w:val="none" w:sz="0" w:space="0" w:color="auto"/>
        <w:left w:val="none" w:sz="0" w:space="0" w:color="auto"/>
        <w:bottom w:val="none" w:sz="0" w:space="0" w:color="auto"/>
        <w:right w:val="none" w:sz="0" w:space="0" w:color="auto"/>
      </w:divBdr>
    </w:div>
    <w:div w:id="598492225">
      <w:bodyDiv w:val="1"/>
      <w:marLeft w:val="0"/>
      <w:marRight w:val="0"/>
      <w:marTop w:val="0"/>
      <w:marBottom w:val="0"/>
      <w:divBdr>
        <w:top w:val="none" w:sz="0" w:space="0" w:color="auto"/>
        <w:left w:val="none" w:sz="0" w:space="0" w:color="auto"/>
        <w:bottom w:val="none" w:sz="0" w:space="0" w:color="auto"/>
        <w:right w:val="none" w:sz="0" w:space="0" w:color="auto"/>
      </w:divBdr>
    </w:div>
    <w:div w:id="637149511">
      <w:bodyDiv w:val="1"/>
      <w:marLeft w:val="0"/>
      <w:marRight w:val="0"/>
      <w:marTop w:val="0"/>
      <w:marBottom w:val="0"/>
      <w:divBdr>
        <w:top w:val="none" w:sz="0" w:space="0" w:color="auto"/>
        <w:left w:val="none" w:sz="0" w:space="0" w:color="auto"/>
        <w:bottom w:val="none" w:sz="0" w:space="0" w:color="auto"/>
        <w:right w:val="none" w:sz="0" w:space="0" w:color="auto"/>
      </w:divBdr>
    </w:div>
    <w:div w:id="647323883">
      <w:bodyDiv w:val="1"/>
      <w:marLeft w:val="0"/>
      <w:marRight w:val="0"/>
      <w:marTop w:val="0"/>
      <w:marBottom w:val="0"/>
      <w:divBdr>
        <w:top w:val="none" w:sz="0" w:space="0" w:color="auto"/>
        <w:left w:val="none" w:sz="0" w:space="0" w:color="auto"/>
        <w:bottom w:val="none" w:sz="0" w:space="0" w:color="auto"/>
        <w:right w:val="none" w:sz="0" w:space="0" w:color="auto"/>
      </w:divBdr>
    </w:div>
    <w:div w:id="665981592">
      <w:bodyDiv w:val="1"/>
      <w:marLeft w:val="0"/>
      <w:marRight w:val="0"/>
      <w:marTop w:val="0"/>
      <w:marBottom w:val="0"/>
      <w:divBdr>
        <w:top w:val="none" w:sz="0" w:space="0" w:color="auto"/>
        <w:left w:val="none" w:sz="0" w:space="0" w:color="auto"/>
        <w:bottom w:val="none" w:sz="0" w:space="0" w:color="auto"/>
        <w:right w:val="none" w:sz="0" w:space="0" w:color="auto"/>
      </w:divBdr>
    </w:div>
    <w:div w:id="671878488">
      <w:bodyDiv w:val="1"/>
      <w:marLeft w:val="0"/>
      <w:marRight w:val="0"/>
      <w:marTop w:val="0"/>
      <w:marBottom w:val="0"/>
      <w:divBdr>
        <w:top w:val="none" w:sz="0" w:space="0" w:color="auto"/>
        <w:left w:val="none" w:sz="0" w:space="0" w:color="auto"/>
        <w:bottom w:val="none" w:sz="0" w:space="0" w:color="auto"/>
        <w:right w:val="none" w:sz="0" w:space="0" w:color="auto"/>
      </w:divBdr>
    </w:div>
    <w:div w:id="777915494">
      <w:bodyDiv w:val="1"/>
      <w:marLeft w:val="0"/>
      <w:marRight w:val="0"/>
      <w:marTop w:val="0"/>
      <w:marBottom w:val="0"/>
      <w:divBdr>
        <w:top w:val="none" w:sz="0" w:space="0" w:color="auto"/>
        <w:left w:val="none" w:sz="0" w:space="0" w:color="auto"/>
        <w:bottom w:val="none" w:sz="0" w:space="0" w:color="auto"/>
        <w:right w:val="none" w:sz="0" w:space="0" w:color="auto"/>
      </w:divBdr>
    </w:div>
    <w:div w:id="935790351">
      <w:bodyDiv w:val="1"/>
      <w:marLeft w:val="0"/>
      <w:marRight w:val="0"/>
      <w:marTop w:val="0"/>
      <w:marBottom w:val="0"/>
      <w:divBdr>
        <w:top w:val="none" w:sz="0" w:space="0" w:color="auto"/>
        <w:left w:val="none" w:sz="0" w:space="0" w:color="auto"/>
        <w:bottom w:val="none" w:sz="0" w:space="0" w:color="auto"/>
        <w:right w:val="none" w:sz="0" w:space="0" w:color="auto"/>
      </w:divBdr>
    </w:div>
    <w:div w:id="1013144721">
      <w:bodyDiv w:val="1"/>
      <w:marLeft w:val="0"/>
      <w:marRight w:val="0"/>
      <w:marTop w:val="0"/>
      <w:marBottom w:val="0"/>
      <w:divBdr>
        <w:top w:val="none" w:sz="0" w:space="0" w:color="auto"/>
        <w:left w:val="none" w:sz="0" w:space="0" w:color="auto"/>
        <w:bottom w:val="none" w:sz="0" w:space="0" w:color="auto"/>
        <w:right w:val="none" w:sz="0" w:space="0" w:color="auto"/>
      </w:divBdr>
    </w:div>
    <w:div w:id="1082070325">
      <w:bodyDiv w:val="1"/>
      <w:marLeft w:val="0"/>
      <w:marRight w:val="0"/>
      <w:marTop w:val="0"/>
      <w:marBottom w:val="0"/>
      <w:divBdr>
        <w:top w:val="none" w:sz="0" w:space="0" w:color="auto"/>
        <w:left w:val="none" w:sz="0" w:space="0" w:color="auto"/>
        <w:bottom w:val="none" w:sz="0" w:space="0" w:color="auto"/>
        <w:right w:val="none" w:sz="0" w:space="0" w:color="auto"/>
      </w:divBdr>
    </w:div>
    <w:div w:id="1107894121">
      <w:bodyDiv w:val="1"/>
      <w:marLeft w:val="0"/>
      <w:marRight w:val="0"/>
      <w:marTop w:val="0"/>
      <w:marBottom w:val="0"/>
      <w:divBdr>
        <w:top w:val="none" w:sz="0" w:space="0" w:color="auto"/>
        <w:left w:val="none" w:sz="0" w:space="0" w:color="auto"/>
        <w:bottom w:val="none" w:sz="0" w:space="0" w:color="auto"/>
        <w:right w:val="none" w:sz="0" w:space="0" w:color="auto"/>
      </w:divBdr>
    </w:div>
    <w:div w:id="1159275066">
      <w:bodyDiv w:val="1"/>
      <w:marLeft w:val="0"/>
      <w:marRight w:val="0"/>
      <w:marTop w:val="0"/>
      <w:marBottom w:val="0"/>
      <w:divBdr>
        <w:top w:val="none" w:sz="0" w:space="0" w:color="auto"/>
        <w:left w:val="none" w:sz="0" w:space="0" w:color="auto"/>
        <w:bottom w:val="none" w:sz="0" w:space="0" w:color="auto"/>
        <w:right w:val="none" w:sz="0" w:space="0" w:color="auto"/>
      </w:divBdr>
    </w:div>
    <w:div w:id="1172640710">
      <w:bodyDiv w:val="1"/>
      <w:marLeft w:val="0"/>
      <w:marRight w:val="0"/>
      <w:marTop w:val="0"/>
      <w:marBottom w:val="0"/>
      <w:divBdr>
        <w:top w:val="none" w:sz="0" w:space="0" w:color="auto"/>
        <w:left w:val="none" w:sz="0" w:space="0" w:color="auto"/>
        <w:bottom w:val="none" w:sz="0" w:space="0" w:color="auto"/>
        <w:right w:val="none" w:sz="0" w:space="0" w:color="auto"/>
      </w:divBdr>
    </w:div>
    <w:div w:id="1258172290">
      <w:bodyDiv w:val="1"/>
      <w:marLeft w:val="0"/>
      <w:marRight w:val="0"/>
      <w:marTop w:val="0"/>
      <w:marBottom w:val="0"/>
      <w:divBdr>
        <w:top w:val="none" w:sz="0" w:space="0" w:color="auto"/>
        <w:left w:val="none" w:sz="0" w:space="0" w:color="auto"/>
        <w:bottom w:val="none" w:sz="0" w:space="0" w:color="auto"/>
        <w:right w:val="none" w:sz="0" w:space="0" w:color="auto"/>
      </w:divBdr>
    </w:div>
    <w:div w:id="1261373794">
      <w:bodyDiv w:val="1"/>
      <w:marLeft w:val="0"/>
      <w:marRight w:val="0"/>
      <w:marTop w:val="0"/>
      <w:marBottom w:val="0"/>
      <w:divBdr>
        <w:top w:val="none" w:sz="0" w:space="0" w:color="auto"/>
        <w:left w:val="none" w:sz="0" w:space="0" w:color="auto"/>
        <w:bottom w:val="none" w:sz="0" w:space="0" w:color="auto"/>
        <w:right w:val="none" w:sz="0" w:space="0" w:color="auto"/>
      </w:divBdr>
      <w:divsChild>
        <w:div w:id="705371637">
          <w:marLeft w:val="0"/>
          <w:marRight w:val="0"/>
          <w:marTop w:val="0"/>
          <w:marBottom w:val="0"/>
          <w:divBdr>
            <w:top w:val="none" w:sz="0" w:space="0" w:color="auto"/>
            <w:left w:val="none" w:sz="0" w:space="0" w:color="auto"/>
            <w:bottom w:val="none" w:sz="0" w:space="0" w:color="auto"/>
            <w:right w:val="none" w:sz="0" w:space="0" w:color="auto"/>
          </w:divBdr>
        </w:div>
      </w:divsChild>
    </w:div>
    <w:div w:id="1287738117">
      <w:bodyDiv w:val="1"/>
      <w:marLeft w:val="0"/>
      <w:marRight w:val="0"/>
      <w:marTop w:val="0"/>
      <w:marBottom w:val="0"/>
      <w:divBdr>
        <w:top w:val="none" w:sz="0" w:space="0" w:color="auto"/>
        <w:left w:val="none" w:sz="0" w:space="0" w:color="auto"/>
        <w:bottom w:val="none" w:sz="0" w:space="0" w:color="auto"/>
        <w:right w:val="none" w:sz="0" w:space="0" w:color="auto"/>
      </w:divBdr>
    </w:div>
    <w:div w:id="1335570366">
      <w:bodyDiv w:val="1"/>
      <w:marLeft w:val="0"/>
      <w:marRight w:val="0"/>
      <w:marTop w:val="0"/>
      <w:marBottom w:val="0"/>
      <w:divBdr>
        <w:top w:val="none" w:sz="0" w:space="0" w:color="auto"/>
        <w:left w:val="none" w:sz="0" w:space="0" w:color="auto"/>
        <w:bottom w:val="none" w:sz="0" w:space="0" w:color="auto"/>
        <w:right w:val="none" w:sz="0" w:space="0" w:color="auto"/>
      </w:divBdr>
    </w:div>
    <w:div w:id="1362433206">
      <w:bodyDiv w:val="1"/>
      <w:marLeft w:val="0"/>
      <w:marRight w:val="0"/>
      <w:marTop w:val="0"/>
      <w:marBottom w:val="0"/>
      <w:divBdr>
        <w:top w:val="none" w:sz="0" w:space="0" w:color="auto"/>
        <w:left w:val="none" w:sz="0" w:space="0" w:color="auto"/>
        <w:bottom w:val="none" w:sz="0" w:space="0" w:color="auto"/>
        <w:right w:val="none" w:sz="0" w:space="0" w:color="auto"/>
      </w:divBdr>
    </w:div>
    <w:div w:id="1422330561">
      <w:bodyDiv w:val="1"/>
      <w:marLeft w:val="0"/>
      <w:marRight w:val="0"/>
      <w:marTop w:val="0"/>
      <w:marBottom w:val="0"/>
      <w:divBdr>
        <w:top w:val="none" w:sz="0" w:space="0" w:color="auto"/>
        <w:left w:val="none" w:sz="0" w:space="0" w:color="auto"/>
        <w:bottom w:val="none" w:sz="0" w:space="0" w:color="auto"/>
        <w:right w:val="none" w:sz="0" w:space="0" w:color="auto"/>
      </w:divBdr>
    </w:div>
    <w:div w:id="1439761257">
      <w:bodyDiv w:val="1"/>
      <w:marLeft w:val="0"/>
      <w:marRight w:val="0"/>
      <w:marTop w:val="0"/>
      <w:marBottom w:val="0"/>
      <w:divBdr>
        <w:top w:val="none" w:sz="0" w:space="0" w:color="auto"/>
        <w:left w:val="none" w:sz="0" w:space="0" w:color="auto"/>
        <w:bottom w:val="none" w:sz="0" w:space="0" w:color="auto"/>
        <w:right w:val="none" w:sz="0" w:space="0" w:color="auto"/>
      </w:divBdr>
      <w:divsChild>
        <w:div w:id="272828789">
          <w:marLeft w:val="0"/>
          <w:marRight w:val="0"/>
          <w:marTop w:val="45"/>
          <w:marBottom w:val="0"/>
          <w:divBdr>
            <w:top w:val="none" w:sz="0" w:space="0" w:color="auto"/>
            <w:left w:val="none" w:sz="0" w:space="0" w:color="auto"/>
            <w:bottom w:val="none" w:sz="0" w:space="0" w:color="auto"/>
            <w:right w:val="none" w:sz="0" w:space="0" w:color="auto"/>
          </w:divBdr>
        </w:div>
      </w:divsChild>
    </w:div>
    <w:div w:id="1493787733">
      <w:bodyDiv w:val="1"/>
      <w:marLeft w:val="0"/>
      <w:marRight w:val="0"/>
      <w:marTop w:val="0"/>
      <w:marBottom w:val="0"/>
      <w:divBdr>
        <w:top w:val="none" w:sz="0" w:space="0" w:color="auto"/>
        <w:left w:val="none" w:sz="0" w:space="0" w:color="auto"/>
        <w:bottom w:val="none" w:sz="0" w:space="0" w:color="auto"/>
        <w:right w:val="none" w:sz="0" w:space="0" w:color="auto"/>
      </w:divBdr>
    </w:div>
    <w:div w:id="1672564478">
      <w:bodyDiv w:val="1"/>
      <w:marLeft w:val="0"/>
      <w:marRight w:val="0"/>
      <w:marTop w:val="0"/>
      <w:marBottom w:val="0"/>
      <w:divBdr>
        <w:top w:val="none" w:sz="0" w:space="0" w:color="auto"/>
        <w:left w:val="none" w:sz="0" w:space="0" w:color="auto"/>
        <w:bottom w:val="none" w:sz="0" w:space="0" w:color="auto"/>
        <w:right w:val="none" w:sz="0" w:space="0" w:color="auto"/>
      </w:divBdr>
    </w:div>
    <w:div w:id="1786076723">
      <w:bodyDiv w:val="1"/>
      <w:marLeft w:val="0"/>
      <w:marRight w:val="0"/>
      <w:marTop w:val="0"/>
      <w:marBottom w:val="0"/>
      <w:divBdr>
        <w:top w:val="none" w:sz="0" w:space="0" w:color="auto"/>
        <w:left w:val="none" w:sz="0" w:space="0" w:color="auto"/>
        <w:bottom w:val="none" w:sz="0" w:space="0" w:color="auto"/>
        <w:right w:val="none" w:sz="0" w:space="0" w:color="auto"/>
      </w:divBdr>
      <w:divsChild>
        <w:div w:id="933905435">
          <w:marLeft w:val="0"/>
          <w:marRight w:val="0"/>
          <w:marTop w:val="0"/>
          <w:marBottom w:val="0"/>
          <w:divBdr>
            <w:top w:val="none" w:sz="0" w:space="0" w:color="auto"/>
            <w:left w:val="none" w:sz="0" w:space="0" w:color="auto"/>
            <w:bottom w:val="none" w:sz="0" w:space="0" w:color="auto"/>
            <w:right w:val="none" w:sz="0" w:space="0" w:color="auto"/>
          </w:divBdr>
        </w:div>
        <w:div w:id="1692759646">
          <w:marLeft w:val="0"/>
          <w:marRight w:val="0"/>
          <w:marTop w:val="0"/>
          <w:marBottom w:val="0"/>
          <w:divBdr>
            <w:top w:val="none" w:sz="0" w:space="0" w:color="auto"/>
            <w:left w:val="none" w:sz="0" w:space="0" w:color="auto"/>
            <w:bottom w:val="none" w:sz="0" w:space="0" w:color="auto"/>
            <w:right w:val="none" w:sz="0" w:space="0" w:color="auto"/>
          </w:divBdr>
        </w:div>
        <w:div w:id="1374619922">
          <w:marLeft w:val="0"/>
          <w:marRight w:val="0"/>
          <w:marTop w:val="0"/>
          <w:marBottom w:val="0"/>
          <w:divBdr>
            <w:top w:val="none" w:sz="0" w:space="0" w:color="auto"/>
            <w:left w:val="none" w:sz="0" w:space="0" w:color="auto"/>
            <w:bottom w:val="none" w:sz="0" w:space="0" w:color="auto"/>
            <w:right w:val="none" w:sz="0" w:space="0" w:color="auto"/>
          </w:divBdr>
        </w:div>
        <w:div w:id="2030832063">
          <w:marLeft w:val="0"/>
          <w:marRight w:val="0"/>
          <w:marTop w:val="0"/>
          <w:marBottom w:val="0"/>
          <w:divBdr>
            <w:top w:val="none" w:sz="0" w:space="0" w:color="auto"/>
            <w:left w:val="none" w:sz="0" w:space="0" w:color="auto"/>
            <w:bottom w:val="none" w:sz="0" w:space="0" w:color="auto"/>
            <w:right w:val="none" w:sz="0" w:space="0" w:color="auto"/>
          </w:divBdr>
        </w:div>
        <w:div w:id="1643465227">
          <w:marLeft w:val="0"/>
          <w:marRight w:val="0"/>
          <w:marTop w:val="0"/>
          <w:marBottom w:val="0"/>
          <w:divBdr>
            <w:top w:val="none" w:sz="0" w:space="0" w:color="auto"/>
            <w:left w:val="none" w:sz="0" w:space="0" w:color="auto"/>
            <w:bottom w:val="none" w:sz="0" w:space="0" w:color="auto"/>
            <w:right w:val="none" w:sz="0" w:space="0" w:color="auto"/>
          </w:divBdr>
        </w:div>
        <w:div w:id="617299321">
          <w:marLeft w:val="0"/>
          <w:marRight w:val="0"/>
          <w:marTop w:val="0"/>
          <w:marBottom w:val="0"/>
          <w:divBdr>
            <w:top w:val="none" w:sz="0" w:space="0" w:color="auto"/>
            <w:left w:val="none" w:sz="0" w:space="0" w:color="auto"/>
            <w:bottom w:val="none" w:sz="0" w:space="0" w:color="auto"/>
            <w:right w:val="none" w:sz="0" w:space="0" w:color="auto"/>
          </w:divBdr>
        </w:div>
        <w:div w:id="1893350607">
          <w:marLeft w:val="0"/>
          <w:marRight w:val="0"/>
          <w:marTop w:val="0"/>
          <w:marBottom w:val="0"/>
          <w:divBdr>
            <w:top w:val="none" w:sz="0" w:space="0" w:color="auto"/>
            <w:left w:val="none" w:sz="0" w:space="0" w:color="auto"/>
            <w:bottom w:val="none" w:sz="0" w:space="0" w:color="auto"/>
            <w:right w:val="none" w:sz="0" w:space="0" w:color="auto"/>
          </w:divBdr>
        </w:div>
        <w:div w:id="1542743190">
          <w:marLeft w:val="0"/>
          <w:marRight w:val="0"/>
          <w:marTop w:val="0"/>
          <w:marBottom w:val="0"/>
          <w:divBdr>
            <w:top w:val="none" w:sz="0" w:space="0" w:color="auto"/>
            <w:left w:val="none" w:sz="0" w:space="0" w:color="auto"/>
            <w:bottom w:val="none" w:sz="0" w:space="0" w:color="auto"/>
            <w:right w:val="none" w:sz="0" w:space="0" w:color="auto"/>
          </w:divBdr>
        </w:div>
        <w:div w:id="2144157903">
          <w:marLeft w:val="0"/>
          <w:marRight w:val="0"/>
          <w:marTop w:val="0"/>
          <w:marBottom w:val="0"/>
          <w:divBdr>
            <w:top w:val="none" w:sz="0" w:space="0" w:color="auto"/>
            <w:left w:val="none" w:sz="0" w:space="0" w:color="auto"/>
            <w:bottom w:val="none" w:sz="0" w:space="0" w:color="auto"/>
            <w:right w:val="none" w:sz="0" w:space="0" w:color="auto"/>
          </w:divBdr>
        </w:div>
        <w:div w:id="1807429304">
          <w:marLeft w:val="0"/>
          <w:marRight w:val="0"/>
          <w:marTop w:val="0"/>
          <w:marBottom w:val="0"/>
          <w:divBdr>
            <w:top w:val="none" w:sz="0" w:space="0" w:color="auto"/>
            <w:left w:val="none" w:sz="0" w:space="0" w:color="auto"/>
            <w:bottom w:val="none" w:sz="0" w:space="0" w:color="auto"/>
            <w:right w:val="none" w:sz="0" w:space="0" w:color="auto"/>
          </w:divBdr>
        </w:div>
        <w:div w:id="1875385406">
          <w:marLeft w:val="0"/>
          <w:marRight w:val="0"/>
          <w:marTop w:val="0"/>
          <w:marBottom w:val="0"/>
          <w:divBdr>
            <w:top w:val="none" w:sz="0" w:space="0" w:color="auto"/>
            <w:left w:val="none" w:sz="0" w:space="0" w:color="auto"/>
            <w:bottom w:val="none" w:sz="0" w:space="0" w:color="auto"/>
            <w:right w:val="none" w:sz="0" w:space="0" w:color="auto"/>
          </w:divBdr>
        </w:div>
        <w:div w:id="295182686">
          <w:marLeft w:val="0"/>
          <w:marRight w:val="0"/>
          <w:marTop w:val="0"/>
          <w:marBottom w:val="0"/>
          <w:divBdr>
            <w:top w:val="none" w:sz="0" w:space="0" w:color="auto"/>
            <w:left w:val="none" w:sz="0" w:space="0" w:color="auto"/>
            <w:bottom w:val="none" w:sz="0" w:space="0" w:color="auto"/>
            <w:right w:val="none" w:sz="0" w:space="0" w:color="auto"/>
          </w:divBdr>
        </w:div>
        <w:div w:id="561869089">
          <w:marLeft w:val="0"/>
          <w:marRight w:val="0"/>
          <w:marTop w:val="0"/>
          <w:marBottom w:val="0"/>
          <w:divBdr>
            <w:top w:val="none" w:sz="0" w:space="0" w:color="auto"/>
            <w:left w:val="none" w:sz="0" w:space="0" w:color="auto"/>
            <w:bottom w:val="none" w:sz="0" w:space="0" w:color="auto"/>
            <w:right w:val="none" w:sz="0" w:space="0" w:color="auto"/>
          </w:divBdr>
        </w:div>
        <w:div w:id="383334559">
          <w:marLeft w:val="0"/>
          <w:marRight w:val="0"/>
          <w:marTop w:val="0"/>
          <w:marBottom w:val="0"/>
          <w:divBdr>
            <w:top w:val="none" w:sz="0" w:space="0" w:color="auto"/>
            <w:left w:val="none" w:sz="0" w:space="0" w:color="auto"/>
            <w:bottom w:val="none" w:sz="0" w:space="0" w:color="auto"/>
            <w:right w:val="none" w:sz="0" w:space="0" w:color="auto"/>
          </w:divBdr>
        </w:div>
        <w:div w:id="897394916">
          <w:marLeft w:val="0"/>
          <w:marRight w:val="0"/>
          <w:marTop w:val="0"/>
          <w:marBottom w:val="0"/>
          <w:divBdr>
            <w:top w:val="none" w:sz="0" w:space="0" w:color="auto"/>
            <w:left w:val="none" w:sz="0" w:space="0" w:color="auto"/>
            <w:bottom w:val="none" w:sz="0" w:space="0" w:color="auto"/>
            <w:right w:val="none" w:sz="0" w:space="0" w:color="auto"/>
          </w:divBdr>
        </w:div>
        <w:div w:id="1092510800">
          <w:marLeft w:val="0"/>
          <w:marRight w:val="0"/>
          <w:marTop w:val="0"/>
          <w:marBottom w:val="0"/>
          <w:divBdr>
            <w:top w:val="none" w:sz="0" w:space="0" w:color="auto"/>
            <w:left w:val="none" w:sz="0" w:space="0" w:color="auto"/>
            <w:bottom w:val="none" w:sz="0" w:space="0" w:color="auto"/>
            <w:right w:val="none" w:sz="0" w:space="0" w:color="auto"/>
          </w:divBdr>
        </w:div>
        <w:div w:id="1883054539">
          <w:marLeft w:val="0"/>
          <w:marRight w:val="0"/>
          <w:marTop w:val="0"/>
          <w:marBottom w:val="0"/>
          <w:divBdr>
            <w:top w:val="none" w:sz="0" w:space="0" w:color="auto"/>
            <w:left w:val="none" w:sz="0" w:space="0" w:color="auto"/>
            <w:bottom w:val="none" w:sz="0" w:space="0" w:color="auto"/>
            <w:right w:val="none" w:sz="0" w:space="0" w:color="auto"/>
          </w:divBdr>
        </w:div>
        <w:div w:id="2009097067">
          <w:marLeft w:val="0"/>
          <w:marRight w:val="0"/>
          <w:marTop w:val="0"/>
          <w:marBottom w:val="0"/>
          <w:divBdr>
            <w:top w:val="none" w:sz="0" w:space="0" w:color="auto"/>
            <w:left w:val="none" w:sz="0" w:space="0" w:color="auto"/>
            <w:bottom w:val="none" w:sz="0" w:space="0" w:color="auto"/>
            <w:right w:val="none" w:sz="0" w:space="0" w:color="auto"/>
          </w:divBdr>
        </w:div>
        <w:div w:id="361785002">
          <w:marLeft w:val="0"/>
          <w:marRight w:val="0"/>
          <w:marTop w:val="0"/>
          <w:marBottom w:val="0"/>
          <w:divBdr>
            <w:top w:val="none" w:sz="0" w:space="0" w:color="auto"/>
            <w:left w:val="none" w:sz="0" w:space="0" w:color="auto"/>
            <w:bottom w:val="none" w:sz="0" w:space="0" w:color="auto"/>
            <w:right w:val="none" w:sz="0" w:space="0" w:color="auto"/>
          </w:divBdr>
        </w:div>
      </w:divsChild>
    </w:div>
    <w:div w:id="1812862057">
      <w:bodyDiv w:val="1"/>
      <w:marLeft w:val="0"/>
      <w:marRight w:val="0"/>
      <w:marTop w:val="0"/>
      <w:marBottom w:val="0"/>
      <w:divBdr>
        <w:top w:val="none" w:sz="0" w:space="0" w:color="auto"/>
        <w:left w:val="none" w:sz="0" w:space="0" w:color="auto"/>
        <w:bottom w:val="none" w:sz="0" w:space="0" w:color="auto"/>
        <w:right w:val="none" w:sz="0" w:space="0" w:color="auto"/>
      </w:divBdr>
    </w:div>
    <w:div w:id="1839811281">
      <w:bodyDiv w:val="1"/>
      <w:marLeft w:val="0"/>
      <w:marRight w:val="0"/>
      <w:marTop w:val="0"/>
      <w:marBottom w:val="0"/>
      <w:divBdr>
        <w:top w:val="none" w:sz="0" w:space="0" w:color="auto"/>
        <w:left w:val="none" w:sz="0" w:space="0" w:color="auto"/>
        <w:bottom w:val="none" w:sz="0" w:space="0" w:color="auto"/>
        <w:right w:val="none" w:sz="0" w:space="0" w:color="auto"/>
      </w:divBdr>
    </w:div>
    <w:div w:id="1889760040">
      <w:bodyDiv w:val="1"/>
      <w:marLeft w:val="0"/>
      <w:marRight w:val="0"/>
      <w:marTop w:val="0"/>
      <w:marBottom w:val="0"/>
      <w:divBdr>
        <w:top w:val="none" w:sz="0" w:space="0" w:color="auto"/>
        <w:left w:val="none" w:sz="0" w:space="0" w:color="auto"/>
        <w:bottom w:val="none" w:sz="0" w:space="0" w:color="auto"/>
        <w:right w:val="none" w:sz="0" w:space="0" w:color="auto"/>
      </w:divBdr>
    </w:div>
    <w:div w:id="1951081814">
      <w:bodyDiv w:val="1"/>
      <w:marLeft w:val="0"/>
      <w:marRight w:val="0"/>
      <w:marTop w:val="0"/>
      <w:marBottom w:val="0"/>
      <w:divBdr>
        <w:top w:val="none" w:sz="0" w:space="0" w:color="auto"/>
        <w:left w:val="none" w:sz="0" w:space="0" w:color="auto"/>
        <w:bottom w:val="none" w:sz="0" w:space="0" w:color="auto"/>
        <w:right w:val="none" w:sz="0" w:space="0" w:color="auto"/>
      </w:divBdr>
    </w:div>
    <w:div w:id="1951089822">
      <w:bodyDiv w:val="1"/>
      <w:marLeft w:val="0"/>
      <w:marRight w:val="0"/>
      <w:marTop w:val="0"/>
      <w:marBottom w:val="0"/>
      <w:divBdr>
        <w:top w:val="none" w:sz="0" w:space="0" w:color="auto"/>
        <w:left w:val="none" w:sz="0" w:space="0" w:color="auto"/>
        <w:bottom w:val="none" w:sz="0" w:space="0" w:color="auto"/>
        <w:right w:val="none" w:sz="0" w:space="0" w:color="auto"/>
      </w:divBdr>
    </w:div>
    <w:div w:id="2061707875">
      <w:bodyDiv w:val="1"/>
      <w:marLeft w:val="0"/>
      <w:marRight w:val="0"/>
      <w:marTop w:val="0"/>
      <w:marBottom w:val="0"/>
      <w:divBdr>
        <w:top w:val="none" w:sz="0" w:space="0" w:color="auto"/>
        <w:left w:val="none" w:sz="0" w:space="0" w:color="auto"/>
        <w:bottom w:val="none" w:sz="0" w:space="0" w:color="auto"/>
        <w:right w:val="none" w:sz="0" w:space="0" w:color="auto"/>
      </w:divBdr>
    </w:div>
    <w:div w:id="2071489903">
      <w:bodyDiv w:val="1"/>
      <w:marLeft w:val="0"/>
      <w:marRight w:val="0"/>
      <w:marTop w:val="0"/>
      <w:marBottom w:val="0"/>
      <w:divBdr>
        <w:top w:val="none" w:sz="0" w:space="0" w:color="auto"/>
        <w:left w:val="none" w:sz="0" w:space="0" w:color="auto"/>
        <w:bottom w:val="none" w:sz="0" w:space="0" w:color="auto"/>
        <w:right w:val="none" w:sz="0" w:space="0" w:color="auto"/>
      </w:divBdr>
    </w:div>
    <w:div w:id="213740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rejtesia.gov.al/plani-i-veprimit-te-strategjise-ndersektoriale-te-drejtesise/" TargetMode="External"/><Relationship Id="rId4" Type="http://schemas.openxmlformats.org/officeDocument/2006/relationships/settings" Target="settings.xml"/><Relationship Id="rId9" Type="http://schemas.openxmlformats.org/officeDocument/2006/relationships/image" Target="cid:image001.jpg@01D80239.2DD75DB0"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SND%202024-2030%20Drafting\Draft%20PV%20&amp;%20Indicators\Kapitujt\Final\12.10.2024%20Plani%20i%20Veprimit%20-%20IPSIS%20SND%202024%20-%202030%2003.09.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SND%202024-2030%20Drafting\Draft%20PV%20&amp;%20Indicators\Kapitujt\Final\12.10.2024%20Plani%20i%20Veprimit%20-%20IPSIS%20SND%202024%20-%202030%2003.09.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NDARJA E SHPENZIMEVE</a:t>
            </a:r>
          </a:p>
        </c:rich>
      </c:tx>
      <c:overlay val="0"/>
      <c:spPr>
        <a:noFill/>
        <a:ln w="25400">
          <a:noFill/>
        </a:ln>
      </c:spPr>
    </c:title>
    <c:autoTitleDeleted val="0"/>
    <c:plotArea>
      <c:layout>
        <c:manualLayout>
          <c:layoutTarget val="inner"/>
          <c:xMode val="edge"/>
          <c:yMode val="edge"/>
          <c:x val="0.25440140845070419"/>
          <c:y val="0.18090452261306531"/>
          <c:w val="0.49031690140845868"/>
          <c:h val="0.6997487437186006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D3F-40AC-80D0-A353151C8E4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D3F-40AC-80D0-A353151C8E4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D3F-40AC-80D0-A353151C8E46}"/>
              </c:ext>
            </c:extLst>
          </c:dPt>
          <c:dLbls>
            <c:dLbl>
              <c:idx val="2"/>
              <c:layout>
                <c:manualLayout>
                  <c:x val="0.17302971821560048"/>
                  <c:y val="-0.11895702267733144"/>
                </c:manualLayout>
              </c:layout>
              <c:numFmt formatCode="0.0%" sourceLinked="0"/>
              <c:spPr>
                <a:noFill/>
                <a:ln w="25400">
                  <a:noFill/>
                </a:ln>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1513880476478897"/>
                      <c:h val="0.11892155474077977"/>
                    </c:manualLayout>
                  </c15:layout>
                </c:ext>
                <c:ext xmlns:c16="http://schemas.microsoft.com/office/drawing/2014/chart" uri="{C3380CC4-5D6E-409C-BE32-E72D297353CC}">
                  <c16:uniqueId val="{00000005-ED3F-40AC-80D0-A353151C8E46}"/>
                </c:ext>
              </c:extLst>
            </c:dLbl>
            <c:numFmt formatCode="0.0%" sourceLinked="0"/>
            <c:spPr>
              <a:noFill/>
              <a:ln w="25400">
                <a:noFill/>
              </a:ln>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'Totali_Qellimet politike'!$G$61:$G$64</c:f>
              <c:strCache>
                <c:ptCount val="4"/>
                <c:pt idx="0">
                  <c:v>MTBP 2024-2026</c:v>
                </c:pt>
                <c:pt idx="1">
                  <c:v>Financim i Huaj /Burime te tjera</c:v>
                </c:pt>
                <c:pt idx="2">
                  <c:v>Buxheti 2027-2030</c:v>
                </c:pt>
                <c:pt idx="3">
                  <c:v>Hendek financiar 2024-2030</c:v>
                </c:pt>
              </c:strCache>
            </c:strRef>
          </c:cat>
          <c:val>
            <c:numRef>
              <c:f>'Totali_Qellimet politike'!$H$61:$H$64</c:f>
              <c:numCache>
                <c:formatCode>#,##0</c:formatCode>
                <c:ptCount val="4"/>
                <c:pt idx="0">
                  <c:v>2853162589.1999998</c:v>
                </c:pt>
                <c:pt idx="1">
                  <c:v>0</c:v>
                </c:pt>
                <c:pt idx="2">
                  <c:v>1138394541</c:v>
                </c:pt>
                <c:pt idx="3">
                  <c:v>-476291840</c:v>
                </c:pt>
              </c:numCache>
            </c:numRef>
          </c:val>
          <c:extLst>
            <c:ext xmlns:c16="http://schemas.microsoft.com/office/drawing/2014/chart" uri="{C3380CC4-5D6E-409C-BE32-E72D297353CC}">
              <c16:uniqueId val="{00000006-ED3F-40AC-80D0-A353151C8E46}"/>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sz="1600" b="1" i="0" strike="noStrike">
                <a:solidFill>
                  <a:srgbClr val="333333"/>
                </a:solidFill>
                <a:latin typeface="Times New Roman" panose="02020603050405020304" pitchFamily="18" charset="0"/>
                <a:cs typeface="Times New Roman" panose="02020603050405020304" pitchFamily="18" charset="0"/>
              </a:rPr>
              <a:t>NATYRA EKONOMIKE E KOSTOVE TË </a:t>
            </a:r>
          </a:p>
          <a:p>
            <a:pPr>
              <a:defRPr sz="1600"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sz="1600" b="1" i="0" strike="noStrike">
                <a:solidFill>
                  <a:srgbClr val="333333"/>
                </a:solidFill>
                <a:latin typeface="Times New Roman" panose="02020603050405020304" pitchFamily="18" charset="0"/>
                <a:cs typeface="Times New Roman" panose="02020603050405020304" pitchFamily="18" charset="0"/>
              </a:rPr>
              <a:t>Planit të Veprimit</a:t>
            </a:r>
          </a:p>
          <a:p>
            <a:pPr>
              <a:defRPr sz="160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sz="1600" b="1" i="0" strike="noStrike">
              <a:solidFill>
                <a:srgbClr val="333333"/>
              </a:solidFill>
              <a:latin typeface="Times New Roman" panose="02020603050405020304" pitchFamily="18" charset="0"/>
              <a:cs typeface="Times New Roman" panose="02020603050405020304" pitchFamily="18" charset="0"/>
            </a:endParaRPr>
          </a:p>
        </c:rich>
      </c:tx>
      <c:overlay val="0"/>
      <c:spPr>
        <a:noFill/>
        <a:ln w="25400">
          <a:noFill/>
        </a:ln>
      </c:sp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9.1549295774648098E-2"/>
          <c:y val="0.18718592964824118"/>
          <c:w val="0.80897887323944706"/>
          <c:h val="0.7211055276382034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456-41BE-A1CD-66AEB1D3532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456-41BE-A1CD-66AEB1D3532F}"/>
              </c:ext>
            </c:extLst>
          </c:dPt>
          <c:dLbls>
            <c:spPr>
              <a:noFill/>
              <a:ln w="25400">
                <a:noFill/>
              </a:ln>
            </c:spPr>
            <c:txPr>
              <a:bodyPr wrap="square" lIns="38100" tIns="19050" rIns="38100" bIns="19050" anchor="ctr">
                <a:spAutoFit/>
              </a:bodyPr>
              <a:lstStyle/>
              <a:p>
                <a:pPr>
                  <a:defRPr sz="1600" b="1">
                    <a:latin typeface="Times New Roman" panose="02020603050405020304" pitchFamily="18" charset="0"/>
                    <a:cs typeface="Times New Roman" panose="02020603050405020304" pitchFamily="18" charset="0"/>
                  </a:defRPr>
                </a:pPr>
                <a:endParaRPr lang="en-US"/>
              </a:p>
            </c:txPr>
            <c:dLblPos val="ctr"/>
            <c:showLegendKey val="0"/>
            <c:showVal val="0"/>
            <c:showCatName val="1"/>
            <c:showSerName val="0"/>
            <c:showPercent val="1"/>
            <c:showBubbleSize val="0"/>
            <c:showLeaderLines val="1"/>
            <c:extLst>
              <c:ext xmlns:c15="http://schemas.microsoft.com/office/drawing/2012/chart" uri="{CE6537A1-D6FC-4f65-9D91-7224C49458BB}"/>
            </c:extLst>
          </c:dLbls>
          <c:cat>
            <c:strRef>
              <c:f>'Totali_Qellimet politike'!$G$75:$G$76</c:f>
              <c:strCache>
                <c:ptCount val="2"/>
                <c:pt idx="0">
                  <c:v>Kosto Korente </c:v>
                </c:pt>
                <c:pt idx="1">
                  <c:v>Kosto kapitale</c:v>
                </c:pt>
              </c:strCache>
            </c:strRef>
          </c:cat>
          <c:val>
            <c:numRef>
              <c:f>'Totali_Qellimet politike'!$H$75:$H$76</c:f>
              <c:numCache>
                <c:formatCode>#,##0</c:formatCode>
                <c:ptCount val="2"/>
                <c:pt idx="0">
                  <c:v>2484847970.1999998</c:v>
                </c:pt>
                <c:pt idx="1">
                  <c:v>1983001000</c:v>
                </c:pt>
              </c:numCache>
            </c:numRef>
          </c:val>
          <c:extLst>
            <c:ext xmlns:c16="http://schemas.microsoft.com/office/drawing/2014/chart" uri="{C3380CC4-5D6E-409C-BE32-E72D297353CC}">
              <c16:uniqueId val="{00000004-9456-41BE-A1CD-66AEB1D3532F}"/>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753940656235205E-2"/>
          <c:y val="0.13355485318415578"/>
          <c:w val="0.91838859045748866"/>
          <c:h val="0.68402347018979126"/>
        </c:manualLayout>
      </c:layout>
      <c:barChart>
        <c:barDir val="col"/>
        <c:grouping val="percentStacked"/>
        <c:varyColors val="0"/>
        <c:ser>
          <c:idx val="0"/>
          <c:order val="0"/>
          <c:tx>
            <c:strRef>
              <c:f>'Totali_Qellimet politike'!$K$59</c:f>
              <c:strCache>
                <c:ptCount val="1"/>
                <c:pt idx="0">
                  <c:v>Kosto Korente</c:v>
                </c:pt>
              </c:strCache>
            </c:strRef>
          </c:tx>
          <c:spPr>
            <a:solidFill>
              <a:srgbClr val="5B9BD5"/>
            </a:solidFill>
            <a:ln w="25400">
              <a:noFill/>
            </a:ln>
          </c:spPr>
          <c:invertIfNegative val="0"/>
          <c:dLbls>
            <c:spPr>
              <a:noFill/>
              <a:ln w="25400">
                <a:noFill/>
              </a:ln>
            </c:spPr>
            <c:txPr>
              <a:bodyPr rot="-540000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'Totali_Qellimet politike'!$J$60:$J$67</c:f>
              <c:strCache>
                <c:ptCount val="5"/>
                <c:pt idx="0">
                  <c:v>Qëllimi i Politikës I</c:v>
                </c:pt>
                <c:pt idx="1">
                  <c:v>Qëllimi i Politikës II</c:v>
                </c:pt>
                <c:pt idx="2">
                  <c:v>Qëllimi i Politikës III</c:v>
                </c:pt>
                <c:pt idx="3">
                  <c:v>Qëllimi i Politikës IV</c:v>
                </c:pt>
                <c:pt idx="4">
                  <c:v>Qëllimi i Politikës V</c:v>
                </c:pt>
              </c:strCache>
            </c:strRef>
          </c:cat>
          <c:val>
            <c:numRef>
              <c:f>'Totali_Qellimet politike'!$K$60:$K$67</c:f>
              <c:numCache>
                <c:formatCode>#,##0</c:formatCode>
                <c:ptCount val="8"/>
                <c:pt idx="0">
                  <c:v>429547445.19999999</c:v>
                </c:pt>
                <c:pt idx="1">
                  <c:v>449795730</c:v>
                </c:pt>
                <c:pt idx="2">
                  <c:v>1114311091</c:v>
                </c:pt>
                <c:pt idx="3">
                  <c:v>150476249</c:v>
                </c:pt>
                <c:pt idx="4">
                  <c:v>340717455</c:v>
                </c:pt>
              </c:numCache>
            </c:numRef>
          </c:val>
          <c:extLst>
            <c:ext xmlns:c16="http://schemas.microsoft.com/office/drawing/2014/chart" uri="{C3380CC4-5D6E-409C-BE32-E72D297353CC}">
              <c16:uniqueId val="{00000000-8C27-4668-A96A-DE9230D75F56}"/>
            </c:ext>
          </c:extLst>
        </c:ser>
        <c:ser>
          <c:idx val="1"/>
          <c:order val="1"/>
          <c:tx>
            <c:strRef>
              <c:f>'Totali_Qellimet politike'!$L$59</c:f>
              <c:strCache>
                <c:ptCount val="1"/>
                <c:pt idx="0">
                  <c:v>Kosto Kapitale</c:v>
                </c:pt>
              </c:strCache>
            </c:strRef>
          </c:tx>
          <c:spPr>
            <a:solidFill>
              <a:srgbClr val="ED7D31"/>
            </a:solidFill>
            <a:ln w="25400">
              <a:no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8C27-4668-A96A-DE9230D75F56}"/>
                </c:ext>
              </c:extLst>
            </c:dLbl>
            <c:dLbl>
              <c:idx val="1"/>
              <c:delete val="1"/>
              <c:extLst>
                <c:ext xmlns:c15="http://schemas.microsoft.com/office/drawing/2012/chart" uri="{CE6537A1-D6FC-4f65-9D91-7224C49458BB}"/>
                <c:ext xmlns:c16="http://schemas.microsoft.com/office/drawing/2014/chart" uri="{C3380CC4-5D6E-409C-BE32-E72D297353CC}">
                  <c16:uniqueId val="{00000002-8C27-4668-A96A-DE9230D75F56}"/>
                </c:ext>
              </c:extLst>
            </c:dLbl>
            <c:dLbl>
              <c:idx val="4"/>
              <c:delete val="1"/>
              <c:extLst>
                <c:ext xmlns:c15="http://schemas.microsoft.com/office/drawing/2012/chart" uri="{CE6537A1-D6FC-4f65-9D91-7224C49458BB}"/>
                <c:ext xmlns:c16="http://schemas.microsoft.com/office/drawing/2014/chart" uri="{C3380CC4-5D6E-409C-BE32-E72D297353CC}">
                  <c16:uniqueId val="{00000003-8C27-4668-A96A-DE9230D75F56}"/>
                </c:ext>
              </c:extLst>
            </c:dLbl>
            <c:spPr>
              <a:noFill/>
              <a:ln>
                <a:noFill/>
              </a:ln>
              <a:effectLst/>
            </c:spPr>
            <c:txPr>
              <a:bodyPr rot="-5400000" vert="horz"/>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'Totali_Qellimet politike'!$J$60:$J$67</c:f>
              <c:strCache>
                <c:ptCount val="5"/>
                <c:pt idx="0">
                  <c:v>Qëllimi i Politikës I</c:v>
                </c:pt>
                <c:pt idx="1">
                  <c:v>Qëllimi i Politikës II</c:v>
                </c:pt>
                <c:pt idx="2">
                  <c:v>Qëllimi i Politikës III</c:v>
                </c:pt>
                <c:pt idx="3">
                  <c:v>Qëllimi i Politikës IV</c:v>
                </c:pt>
                <c:pt idx="4">
                  <c:v>Qëllimi i Politikës V</c:v>
                </c:pt>
              </c:strCache>
            </c:strRef>
          </c:cat>
          <c:val>
            <c:numRef>
              <c:f>'Totali_Qellimet politike'!$L$60:$L$67</c:f>
              <c:numCache>
                <c:formatCode>#,##0</c:formatCode>
                <c:ptCount val="8"/>
                <c:pt idx="0">
                  <c:v>0</c:v>
                </c:pt>
                <c:pt idx="1">
                  <c:v>0</c:v>
                </c:pt>
                <c:pt idx="2">
                  <c:v>1799001000</c:v>
                </c:pt>
                <c:pt idx="3">
                  <c:v>184000000</c:v>
                </c:pt>
                <c:pt idx="4">
                  <c:v>0</c:v>
                </c:pt>
              </c:numCache>
            </c:numRef>
          </c:val>
          <c:extLst>
            <c:ext xmlns:c16="http://schemas.microsoft.com/office/drawing/2014/chart" uri="{C3380CC4-5D6E-409C-BE32-E72D297353CC}">
              <c16:uniqueId val="{00000004-8C27-4668-A96A-DE9230D75F56}"/>
            </c:ext>
          </c:extLst>
        </c:ser>
        <c:dLbls>
          <c:showLegendKey val="0"/>
          <c:showVal val="0"/>
          <c:showCatName val="0"/>
          <c:showSerName val="0"/>
          <c:showPercent val="0"/>
          <c:showBubbleSize val="0"/>
        </c:dLbls>
        <c:gapWidth val="55"/>
        <c:overlap val="100"/>
        <c:axId val="96667136"/>
        <c:axId val="96668672"/>
      </c:barChart>
      <c:catAx>
        <c:axId val="9666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668672"/>
        <c:crosses val="autoZero"/>
        <c:auto val="1"/>
        <c:lblAlgn val="ctr"/>
        <c:lblOffset val="100"/>
        <c:noMultiLvlLbl val="0"/>
      </c:catAx>
      <c:valAx>
        <c:axId val="96668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67136"/>
        <c:crosses val="autoZero"/>
        <c:crossBetween val="between"/>
      </c:valAx>
      <c:spPr>
        <a:noFill/>
        <a:ln w="25400">
          <a:noFill/>
        </a:ln>
      </c:spPr>
    </c:plotArea>
    <c:legend>
      <c:legendPos val="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Sl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spDef>
      <a:spPr>
        <a:solidFill>
          <a:schemeClr val="accent6">
            <a:lumMod val="60000"/>
            <a:lumOff val="40000"/>
          </a:schemeClr>
        </a:solidFill>
        <a:ln w="15875" cap="rnd"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Slice" id="{0507925B-6AC9-4358-8E18-C330545D08F8}" vid="{13FEC7C6-62A9-40C4-99D2-581AACACAA2F}"/>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38D07-83F3-42A7-8934-F44BD4AC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55527</Words>
  <Characters>316506</Characters>
  <Application>Microsoft Office Word</Application>
  <DocSecurity>0</DocSecurity>
  <Lines>2637</Lines>
  <Paragraphs>742</Paragraphs>
  <ScaleCrop>false</ScaleCrop>
  <HeadingPairs>
    <vt:vector size="2" baseType="variant">
      <vt:variant>
        <vt:lpstr>Title</vt:lpstr>
      </vt:variant>
      <vt:variant>
        <vt:i4>1</vt:i4>
      </vt:variant>
    </vt:vector>
  </HeadingPairs>
  <TitlesOfParts>
    <vt:vector size="1" baseType="lpstr">
      <vt:lpstr>Strategjia Ndërsektoriale e Drejtësisë          2024-2030</vt:lpstr>
    </vt:vector>
  </TitlesOfParts>
  <Company/>
  <LinksUpToDate>false</LinksUpToDate>
  <CharactersWithSpaces>371291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Strategjia Ndërsektoriale e Drejtësisë          2024-2030</dc:title>
  <dc:subject/>
  <dc:creator>Elona Hoxha2</dc:creator>
  <cp:keywords/>
  <dc:description/>
  <cp:lastModifiedBy>Nertila Kaja</cp:lastModifiedBy>
  <cp:revision>2</cp:revision>
  <dcterms:created xsi:type="dcterms:W3CDTF">2024-09-12T12:13:00Z</dcterms:created>
  <dcterms:modified xsi:type="dcterms:W3CDTF">2024-09-12T12:13:00Z</dcterms:modified>
</cp:coreProperties>
</file>